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6D" w:rsidRPr="00D9726D" w:rsidRDefault="00D9726D" w:rsidP="00D9726D">
      <w:pPr>
        <w:widowControl/>
        <w:shd w:val="clear" w:color="auto" w:fill="FFFFFF"/>
        <w:spacing w:after="120" w:line="500" w:lineRule="exact"/>
        <w:jc w:val="center"/>
        <w:outlineLvl w:val="1"/>
        <w:rPr>
          <w:rFonts w:ascii="微软雅黑" w:eastAsia="微软雅黑" w:hAnsi="微软雅黑" w:cs="宋体"/>
          <w:kern w:val="0"/>
          <w:sz w:val="45"/>
          <w:szCs w:val="45"/>
        </w:rPr>
      </w:pPr>
      <w:r w:rsidRPr="00D9726D">
        <w:rPr>
          <w:rFonts w:ascii="微软雅黑" w:eastAsia="微软雅黑" w:hAnsi="微软雅黑" w:cs="宋体" w:hint="eastAsia"/>
          <w:kern w:val="0"/>
          <w:sz w:val="45"/>
          <w:szCs w:val="45"/>
        </w:rPr>
        <w:t>全市体育场馆赛事承办能力评估服务项目中标(成交)结果公告</w:t>
      </w:r>
    </w:p>
    <w:p w:rsidR="00D9726D" w:rsidRPr="00D9726D" w:rsidRDefault="00D9726D" w:rsidP="00D9726D">
      <w:pPr>
        <w:widowControl/>
        <w:shd w:val="clear" w:color="auto" w:fill="FFFFFF"/>
        <w:spacing w:after="120" w:line="500" w:lineRule="exact"/>
        <w:jc w:val="left"/>
        <w:outlineLvl w:val="3"/>
        <w:rPr>
          <w:rFonts w:ascii="微软雅黑" w:eastAsia="微软雅黑" w:hAnsi="微软雅黑" w:cs="宋体" w:hint="eastAsia"/>
          <w:kern w:val="0"/>
          <w:sz w:val="36"/>
          <w:szCs w:val="36"/>
        </w:rPr>
      </w:pPr>
      <w:bookmarkStart w:id="0" w:name="_GoBack"/>
      <w:bookmarkEnd w:id="0"/>
      <w:r w:rsidRPr="00D9726D">
        <w:rPr>
          <w:rFonts w:ascii="微软雅黑" w:eastAsia="微软雅黑" w:hAnsi="微软雅黑" w:cs="宋体" w:hint="eastAsia"/>
          <w:kern w:val="0"/>
          <w:sz w:val="36"/>
          <w:szCs w:val="36"/>
        </w:rPr>
        <w:t>一、项目号：</w:t>
      </w:r>
      <w:r w:rsidRPr="00D9726D">
        <w:rPr>
          <w:rFonts w:ascii="微软雅黑" w:eastAsia="微软雅黑" w:hAnsi="微软雅黑" w:cs="宋体" w:hint="eastAsia"/>
          <w:kern w:val="0"/>
          <w:sz w:val="27"/>
          <w:szCs w:val="27"/>
        </w:rPr>
        <w:t>20C01693</w:t>
      </w:r>
    </w:p>
    <w:p w:rsidR="00D9726D" w:rsidRPr="00D9726D" w:rsidRDefault="00D9726D" w:rsidP="00D9726D">
      <w:pPr>
        <w:widowControl/>
        <w:shd w:val="clear" w:color="auto" w:fill="FFFFFF"/>
        <w:spacing w:after="120" w:line="500" w:lineRule="exact"/>
        <w:jc w:val="left"/>
        <w:outlineLvl w:val="3"/>
        <w:rPr>
          <w:rFonts w:ascii="微软雅黑" w:eastAsia="微软雅黑" w:hAnsi="微软雅黑" w:cs="宋体" w:hint="eastAsia"/>
          <w:kern w:val="0"/>
          <w:sz w:val="36"/>
          <w:szCs w:val="36"/>
        </w:rPr>
      </w:pPr>
      <w:r w:rsidRPr="00D9726D">
        <w:rPr>
          <w:rFonts w:ascii="微软雅黑" w:eastAsia="微软雅黑" w:hAnsi="微软雅黑" w:cs="宋体" w:hint="eastAsia"/>
          <w:kern w:val="0"/>
          <w:sz w:val="36"/>
          <w:szCs w:val="36"/>
        </w:rPr>
        <w:t>二、项目名称：</w:t>
      </w:r>
      <w:r w:rsidRPr="00D9726D">
        <w:rPr>
          <w:rFonts w:ascii="微软雅黑" w:eastAsia="微软雅黑" w:hAnsi="微软雅黑" w:cs="宋体" w:hint="eastAsia"/>
          <w:kern w:val="0"/>
          <w:sz w:val="27"/>
          <w:szCs w:val="27"/>
        </w:rPr>
        <w:t>全市体育场馆赛事承办能力评估服务项目</w:t>
      </w:r>
    </w:p>
    <w:p w:rsidR="00D9726D" w:rsidRPr="00D9726D" w:rsidRDefault="00D9726D" w:rsidP="00D9726D">
      <w:pPr>
        <w:widowControl/>
        <w:shd w:val="clear" w:color="auto" w:fill="FFFFFF"/>
        <w:spacing w:after="120" w:line="500" w:lineRule="exact"/>
        <w:jc w:val="left"/>
        <w:outlineLvl w:val="3"/>
        <w:rPr>
          <w:rFonts w:ascii="微软雅黑" w:eastAsia="微软雅黑" w:hAnsi="微软雅黑" w:cs="宋体" w:hint="eastAsia"/>
          <w:kern w:val="0"/>
          <w:sz w:val="36"/>
          <w:szCs w:val="36"/>
        </w:rPr>
      </w:pPr>
      <w:r w:rsidRPr="00D9726D">
        <w:rPr>
          <w:rFonts w:ascii="微软雅黑" w:eastAsia="微软雅黑" w:hAnsi="微软雅黑" w:cs="宋体" w:hint="eastAsia"/>
          <w:kern w:val="0"/>
          <w:sz w:val="36"/>
          <w:szCs w:val="36"/>
        </w:rPr>
        <w:t>三、采购方式：</w:t>
      </w:r>
      <w:r w:rsidRPr="00D9726D">
        <w:rPr>
          <w:rFonts w:ascii="微软雅黑" w:eastAsia="微软雅黑" w:hAnsi="微软雅黑" w:cs="宋体" w:hint="eastAsia"/>
          <w:kern w:val="0"/>
          <w:sz w:val="27"/>
          <w:szCs w:val="27"/>
        </w:rPr>
        <w:t>单一来源</w:t>
      </w:r>
    </w:p>
    <w:p w:rsidR="00D9726D" w:rsidRPr="00D9726D" w:rsidRDefault="00D9726D" w:rsidP="00D9726D">
      <w:pPr>
        <w:widowControl/>
        <w:shd w:val="clear" w:color="auto" w:fill="FFFFFF"/>
        <w:spacing w:after="120" w:line="500" w:lineRule="exact"/>
        <w:jc w:val="left"/>
        <w:outlineLvl w:val="3"/>
        <w:rPr>
          <w:rFonts w:ascii="微软雅黑" w:eastAsia="微软雅黑" w:hAnsi="微软雅黑" w:cs="宋体" w:hint="eastAsia"/>
          <w:kern w:val="0"/>
          <w:sz w:val="36"/>
          <w:szCs w:val="36"/>
        </w:rPr>
      </w:pPr>
      <w:r w:rsidRPr="00D9726D">
        <w:rPr>
          <w:rFonts w:ascii="微软雅黑" w:eastAsia="微软雅黑" w:hAnsi="微软雅黑" w:cs="宋体" w:hint="eastAsia"/>
          <w:kern w:val="0"/>
          <w:sz w:val="36"/>
          <w:szCs w:val="36"/>
        </w:rPr>
        <w:t>四、中标结果</w:t>
      </w:r>
    </w:p>
    <w:p w:rsidR="00D9726D" w:rsidRPr="00D9726D" w:rsidRDefault="00D9726D" w:rsidP="00D9726D">
      <w:pPr>
        <w:widowControl/>
        <w:shd w:val="clear" w:color="auto" w:fill="F2DEDE"/>
        <w:spacing w:line="500" w:lineRule="exact"/>
        <w:jc w:val="left"/>
        <w:rPr>
          <w:rFonts w:ascii="微软雅黑" w:eastAsia="微软雅黑" w:hAnsi="微软雅黑" w:cs="宋体" w:hint="eastAsia"/>
          <w:color w:val="A94442"/>
          <w:kern w:val="0"/>
          <w:szCs w:val="21"/>
        </w:rPr>
      </w:pPr>
      <w:r w:rsidRPr="00D9726D">
        <w:rPr>
          <w:rFonts w:ascii="微软雅黑" w:eastAsia="微软雅黑" w:hAnsi="微软雅黑" w:cs="宋体" w:hint="eastAsia"/>
          <w:color w:val="A94442"/>
          <w:kern w:val="0"/>
          <w:szCs w:val="21"/>
        </w:rPr>
        <w:t>分包号：1</w:t>
      </w:r>
    </w:p>
    <w:tbl>
      <w:tblPr>
        <w:tblW w:w="15690" w:type="dxa"/>
        <w:tblCellMar>
          <w:top w:w="15" w:type="dxa"/>
          <w:left w:w="15" w:type="dxa"/>
          <w:bottom w:w="15" w:type="dxa"/>
          <w:right w:w="15" w:type="dxa"/>
        </w:tblCellMar>
        <w:tblLook w:val="04A0" w:firstRow="1" w:lastRow="0" w:firstColumn="1" w:lastColumn="0" w:noHBand="0" w:noVBand="1"/>
      </w:tblPr>
      <w:tblGrid>
        <w:gridCol w:w="1575"/>
        <w:gridCol w:w="1680"/>
        <w:gridCol w:w="1225"/>
        <w:gridCol w:w="1132"/>
        <w:gridCol w:w="8911"/>
        <w:gridCol w:w="1167"/>
      </w:tblGrid>
      <w:tr w:rsidR="00D9726D" w:rsidRPr="00D9726D" w:rsidTr="00D9726D">
        <w:tc>
          <w:tcPr>
            <w:tcW w:w="4710" w:type="dxa"/>
            <w:tcBorders>
              <w:top w:val="nil"/>
            </w:tcBorders>
            <w:shd w:val="clear" w:color="auto" w:fill="auto"/>
            <w:tcMar>
              <w:top w:w="120" w:type="dxa"/>
              <w:left w:w="120" w:type="dxa"/>
              <w:bottom w:w="120" w:type="dxa"/>
              <w:right w:w="120" w:type="dxa"/>
            </w:tcMa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分包内容</w:t>
            </w:r>
          </w:p>
        </w:tc>
        <w:tc>
          <w:tcPr>
            <w:tcW w:w="1575" w:type="dxa"/>
            <w:tcBorders>
              <w:top w:val="nil"/>
            </w:tcBorders>
            <w:shd w:val="clear" w:color="auto" w:fill="auto"/>
            <w:tcMar>
              <w:top w:w="120" w:type="dxa"/>
              <w:left w:w="120" w:type="dxa"/>
              <w:bottom w:w="120" w:type="dxa"/>
              <w:right w:w="120" w:type="dxa"/>
            </w:tcMa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金额（元）</w:t>
            </w:r>
          </w:p>
        </w:tc>
        <w:tc>
          <w:tcPr>
            <w:tcW w:w="1575" w:type="dxa"/>
            <w:tcBorders>
              <w:top w:val="nil"/>
            </w:tcBorders>
            <w:shd w:val="clear" w:color="auto" w:fill="auto"/>
            <w:tcMar>
              <w:top w:w="120" w:type="dxa"/>
              <w:left w:w="120" w:type="dxa"/>
              <w:bottom w:w="120" w:type="dxa"/>
              <w:right w:w="120" w:type="dxa"/>
            </w:tcMa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中标供应商</w:t>
            </w:r>
          </w:p>
        </w:tc>
        <w:tc>
          <w:tcPr>
            <w:tcW w:w="1560" w:type="dxa"/>
            <w:tcBorders>
              <w:top w:val="nil"/>
            </w:tcBorders>
            <w:shd w:val="clear" w:color="auto" w:fill="auto"/>
            <w:tcMar>
              <w:top w:w="120" w:type="dxa"/>
              <w:left w:w="120" w:type="dxa"/>
              <w:bottom w:w="120" w:type="dxa"/>
              <w:right w:w="120" w:type="dxa"/>
            </w:tcMa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地址</w:t>
            </w:r>
          </w:p>
        </w:tc>
        <w:tc>
          <w:tcPr>
            <w:tcW w:w="3135" w:type="dxa"/>
            <w:tcBorders>
              <w:top w:val="nil"/>
            </w:tcBorders>
            <w:shd w:val="clear" w:color="auto" w:fill="auto"/>
            <w:tcMar>
              <w:top w:w="120" w:type="dxa"/>
              <w:left w:w="120" w:type="dxa"/>
              <w:bottom w:w="120" w:type="dxa"/>
              <w:right w:w="120" w:type="dxa"/>
            </w:tcMa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服务要求</w:t>
            </w:r>
          </w:p>
        </w:tc>
        <w:tc>
          <w:tcPr>
            <w:tcW w:w="3135" w:type="dxa"/>
            <w:tcBorders>
              <w:top w:val="nil"/>
            </w:tcBorders>
            <w:shd w:val="clear" w:color="auto" w:fill="auto"/>
            <w:tcMar>
              <w:top w:w="120" w:type="dxa"/>
              <w:left w:w="120" w:type="dxa"/>
              <w:bottom w:w="120" w:type="dxa"/>
              <w:right w:w="120" w:type="dxa"/>
            </w:tcMa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其他</w:t>
            </w:r>
          </w:p>
        </w:tc>
      </w:tr>
      <w:tr w:rsidR="00D9726D" w:rsidRPr="00D9726D" w:rsidTr="00D9726D">
        <w:tc>
          <w:tcPr>
            <w:tcW w:w="0" w:type="auto"/>
            <w:tcBorders>
              <w:top w:val="single" w:sz="6" w:space="0" w:color="DDDDDD"/>
            </w:tcBorders>
            <w:shd w:val="clear" w:color="auto" w:fill="auto"/>
            <w:tcMar>
              <w:top w:w="120" w:type="dxa"/>
              <w:left w:w="120" w:type="dxa"/>
              <w:bottom w:w="120" w:type="dxa"/>
              <w:right w:w="120" w:type="dxa"/>
            </w:tcMar>
            <w:vAlign w:val="cente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全市体育场馆赛事承办能力评估服务</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D9726D" w:rsidRPr="00D9726D" w:rsidRDefault="00D9726D" w:rsidP="00D9726D">
            <w:pPr>
              <w:widowControl/>
              <w:spacing w:line="500" w:lineRule="exact"/>
              <w:jc w:val="center"/>
              <w:rPr>
                <w:rFonts w:ascii="宋体" w:eastAsia="宋体" w:hAnsi="宋体" w:cs="宋体"/>
                <w:color w:val="FF0000"/>
                <w:kern w:val="0"/>
                <w:sz w:val="24"/>
                <w:szCs w:val="24"/>
              </w:rPr>
            </w:pPr>
            <w:r w:rsidRPr="00D9726D">
              <w:rPr>
                <w:rFonts w:ascii="宋体" w:eastAsia="宋体" w:hAnsi="宋体" w:cs="宋体"/>
                <w:color w:val="FF0000"/>
                <w:kern w:val="0"/>
                <w:sz w:val="24"/>
                <w:szCs w:val="24"/>
              </w:rPr>
              <w:t>￥576,300.00</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重庆市体育设施建设维护中心</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D9726D" w:rsidRPr="00D9726D" w:rsidRDefault="00D9726D" w:rsidP="00D9726D">
            <w:pPr>
              <w:widowControl/>
              <w:spacing w:line="500" w:lineRule="exact"/>
              <w:jc w:val="center"/>
              <w:rPr>
                <w:rFonts w:ascii="宋体" w:eastAsia="宋体" w:hAnsi="宋体" w:cs="宋体"/>
                <w:kern w:val="0"/>
                <w:sz w:val="24"/>
                <w:szCs w:val="24"/>
              </w:rPr>
            </w:pPr>
            <w:r w:rsidRPr="00D9726D">
              <w:rPr>
                <w:rFonts w:ascii="宋体" w:eastAsia="宋体" w:hAnsi="宋体" w:cs="宋体"/>
                <w:kern w:val="0"/>
                <w:sz w:val="24"/>
                <w:szCs w:val="24"/>
              </w:rPr>
              <w:t>重庆市渝中区体育村33号</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D9726D" w:rsidRPr="00D9726D" w:rsidRDefault="00D9726D" w:rsidP="00D9726D">
            <w:pPr>
              <w:widowControl/>
              <w:spacing w:line="500" w:lineRule="exact"/>
              <w:jc w:val="left"/>
              <w:rPr>
                <w:rFonts w:ascii="宋体" w:eastAsia="宋体" w:hAnsi="宋体" w:cs="宋体"/>
                <w:kern w:val="0"/>
                <w:sz w:val="24"/>
                <w:szCs w:val="24"/>
              </w:rPr>
            </w:pPr>
            <w:r w:rsidRPr="00D9726D">
              <w:rPr>
                <w:rFonts w:ascii="宋体" w:eastAsia="宋体" w:hAnsi="宋体" w:cs="宋体"/>
                <w:kern w:val="0"/>
                <w:sz w:val="24"/>
                <w:szCs w:val="24"/>
              </w:rPr>
              <w:br/>
              <w:t xml:space="preserve">服务要求：1、（二）具体要求 </w:t>
            </w:r>
            <w:proofErr w:type="gramStart"/>
            <w:r w:rsidRPr="00D9726D">
              <w:rPr>
                <w:rFonts w:ascii="宋体" w:eastAsia="宋体" w:hAnsi="宋体" w:cs="宋体"/>
                <w:kern w:val="0"/>
                <w:sz w:val="24"/>
                <w:szCs w:val="24"/>
              </w:rPr>
              <w:t>场馆赛事</w:t>
            </w:r>
            <w:proofErr w:type="gramEnd"/>
            <w:r w:rsidRPr="00D9726D">
              <w:rPr>
                <w:rFonts w:ascii="宋体" w:eastAsia="宋体" w:hAnsi="宋体" w:cs="宋体"/>
                <w:kern w:val="0"/>
                <w:sz w:val="24"/>
                <w:szCs w:val="24"/>
              </w:rPr>
              <w:t xml:space="preserve">承办能力评估服务具有特殊性，其专业性、规范性要求高，须由具备专业能力的供应商承担：一是要从事体育场馆建设维护相关工作，掌握全市体育设施基本信息，了解体育赛事承办要求；二是要拥有一批精通体育场馆维护、建设管理的专业人才，具有丰富的组织管理经验；三是要具备协调各区县体育部门相关单位配合完成本次评估工作的能力。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D9726D" w:rsidRPr="00D9726D" w:rsidRDefault="00D9726D" w:rsidP="00D9726D">
            <w:pPr>
              <w:widowControl/>
              <w:spacing w:line="500" w:lineRule="exact"/>
              <w:jc w:val="center"/>
              <w:rPr>
                <w:rFonts w:ascii="宋体" w:eastAsia="宋体" w:hAnsi="宋体" w:cs="宋体"/>
                <w:kern w:val="0"/>
                <w:sz w:val="24"/>
                <w:szCs w:val="24"/>
              </w:rPr>
            </w:pPr>
          </w:p>
        </w:tc>
      </w:tr>
    </w:tbl>
    <w:p w:rsidR="00D9726D" w:rsidRPr="00D9726D" w:rsidRDefault="00D9726D" w:rsidP="00D9726D">
      <w:pPr>
        <w:widowControl/>
        <w:shd w:val="clear" w:color="auto" w:fill="FFFFFF"/>
        <w:spacing w:after="120" w:line="500" w:lineRule="exact"/>
        <w:jc w:val="left"/>
        <w:outlineLvl w:val="3"/>
        <w:rPr>
          <w:rFonts w:ascii="微软雅黑" w:eastAsia="微软雅黑" w:hAnsi="微软雅黑" w:cs="宋体" w:hint="eastAsia"/>
          <w:kern w:val="0"/>
          <w:sz w:val="36"/>
          <w:szCs w:val="36"/>
        </w:rPr>
      </w:pPr>
      <w:r w:rsidRPr="00D9726D">
        <w:rPr>
          <w:rFonts w:ascii="微软雅黑" w:eastAsia="微软雅黑" w:hAnsi="微软雅黑" w:cs="宋体" w:hint="eastAsia"/>
          <w:kern w:val="0"/>
          <w:sz w:val="36"/>
          <w:szCs w:val="36"/>
        </w:rPr>
        <w:lastRenderedPageBreak/>
        <w:t>五、采购小组成员名单</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李小宁,周小敏,李欢</w:t>
      </w:r>
    </w:p>
    <w:p w:rsidR="00D9726D" w:rsidRPr="00D9726D" w:rsidRDefault="00D9726D" w:rsidP="00D9726D">
      <w:pPr>
        <w:widowControl/>
        <w:shd w:val="clear" w:color="auto" w:fill="FFFFFF"/>
        <w:spacing w:after="120" w:line="500" w:lineRule="exact"/>
        <w:jc w:val="left"/>
        <w:outlineLvl w:val="3"/>
        <w:rPr>
          <w:rFonts w:ascii="微软雅黑" w:eastAsia="微软雅黑" w:hAnsi="微软雅黑" w:cs="宋体" w:hint="eastAsia"/>
          <w:kern w:val="0"/>
          <w:sz w:val="36"/>
          <w:szCs w:val="36"/>
        </w:rPr>
      </w:pPr>
      <w:r w:rsidRPr="00D9726D">
        <w:rPr>
          <w:rFonts w:ascii="微软雅黑" w:eastAsia="微软雅黑" w:hAnsi="微软雅黑" w:cs="宋体" w:hint="eastAsia"/>
          <w:kern w:val="0"/>
          <w:sz w:val="36"/>
          <w:szCs w:val="36"/>
        </w:rPr>
        <w:t>六、代理服务收费标准及金额：</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代理服务收费标准：（一）供应</w:t>
      </w:r>
      <w:proofErr w:type="gramStart"/>
      <w:r w:rsidRPr="00D9726D">
        <w:rPr>
          <w:rFonts w:ascii="微软雅黑" w:eastAsia="微软雅黑" w:hAnsi="微软雅黑" w:cs="宋体" w:hint="eastAsia"/>
          <w:kern w:val="0"/>
          <w:sz w:val="27"/>
          <w:szCs w:val="27"/>
        </w:rPr>
        <w:t>商成交</w:t>
      </w:r>
      <w:proofErr w:type="gramEnd"/>
      <w:r w:rsidRPr="00D9726D">
        <w:rPr>
          <w:rFonts w:ascii="微软雅黑" w:eastAsia="微软雅黑" w:hAnsi="微软雅黑" w:cs="宋体" w:hint="eastAsia"/>
          <w:kern w:val="0"/>
          <w:sz w:val="27"/>
          <w:szCs w:val="27"/>
        </w:rPr>
        <w:t>后向采购代理机构缴纳采购代理服务费（</w:t>
      </w:r>
      <w:proofErr w:type="gramStart"/>
      <w:r w:rsidRPr="00D9726D">
        <w:rPr>
          <w:rFonts w:ascii="微软雅黑" w:eastAsia="微软雅黑" w:hAnsi="微软雅黑" w:cs="宋体" w:hint="eastAsia"/>
          <w:kern w:val="0"/>
          <w:sz w:val="27"/>
          <w:szCs w:val="27"/>
        </w:rPr>
        <w:t>由成交</w:t>
      </w:r>
      <w:proofErr w:type="gramEnd"/>
      <w:r w:rsidRPr="00D9726D">
        <w:rPr>
          <w:rFonts w:ascii="微软雅黑" w:eastAsia="微软雅黑" w:hAnsi="微软雅黑" w:cs="宋体" w:hint="eastAsia"/>
          <w:kern w:val="0"/>
          <w:sz w:val="27"/>
          <w:szCs w:val="27"/>
        </w:rPr>
        <w:t>供应商在领取成交通知书之前一次性支付给采购代理机构）。采购代理服务费以成交金额为计算基数按照以下标准收取。 采购类型 成交金额（万元） 货物采购 服务采购 工程采购 100以下 1.5% 1.5% 1.0% 100-500 1.1% 0.8% 0.7% 500-1000 0.8% 0.45% 0.55% 1000-5000 0.5% 0.25% 0.35% 5000-10000 0.25% 0.1% 0.2% 10000-100000 0.05% 0.05% 0.05% 1000000以上 0.01% 0.01% 0.01% 按70%收取</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代理服务费总计：6051.0元</w:t>
      </w:r>
    </w:p>
    <w:p w:rsidR="00D9726D" w:rsidRPr="00D9726D" w:rsidRDefault="00D9726D" w:rsidP="00D9726D">
      <w:pPr>
        <w:widowControl/>
        <w:shd w:val="clear" w:color="auto" w:fill="FFFFFF"/>
        <w:spacing w:after="120" w:line="500" w:lineRule="exact"/>
        <w:jc w:val="left"/>
        <w:outlineLvl w:val="3"/>
        <w:rPr>
          <w:rFonts w:ascii="微软雅黑" w:eastAsia="微软雅黑" w:hAnsi="微软雅黑" w:cs="宋体" w:hint="eastAsia"/>
          <w:kern w:val="0"/>
          <w:sz w:val="36"/>
          <w:szCs w:val="36"/>
        </w:rPr>
      </w:pPr>
      <w:r w:rsidRPr="00D9726D">
        <w:rPr>
          <w:rFonts w:ascii="微软雅黑" w:eastAsia="微软雅黑" w:hAnsi="微软雅黑" w:cs="宋体" w:hint="eastAsia"/>
          <w:kern w:val="0"/>
          <w:sz w:val="36"/>
          <w:szCs w:val="36"/>
        </w:rPr>
        <w:t>七、公告期限</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自本公告发布之日起1个工作日</w:t>
      </w:r>
    </w:p>
    <w:p w:rsidR="00D9726D" w:rsidRPr="00D9726D" w:rsidRDefault="00D9726D" w:rsidP="00D9726D">
      <w:pPr>
        <w:widowControl/>
        <w:shd w:val="clear" w:color="auto" w:fill="FFFFFF"/>
        <w:spacing w:after="120" w:line="500" w:lineRule="exact"/>
        <w:jc w:val="left"/>
        <w:outlineLvl w:val="3"/>
        <w:rPr>
          <w:rFonts w:ascii="微软雅黑" w:eastAsia="微软雅黑" w:hAnsi="微软雅黑" w:cs="宋体" w:hint="eastAsia"/>
          <w:kern w:val="0"/>
          <w:sz w:val="36"/>
          <w:szCs w:val="36"/>
        </w:rPr>
      </w:pPr>
      <w:r w:rsidRPr="00D9726D">
        <w:rPr>
          <w:rFonts w:ascii="微软雅黑" w:eastAsia="微软雅黑" w:hAnsi="微软雅黑" w:cs="宋体" w:hint="eastAsia"/>
          <w:kern w:val="0"/>
          <w:sz w:val="36"/>
          <w:szCs w:val="36"/>
        </w:rPr>
        <w:t>八、联系方式</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1、采购人信息</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采购人：重庆市体育局</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lastRenderedPageBreak/>
        <w:t>采购经办人：李欢</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采购人电话：</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采购人地址：重庆市渝中区两路口</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联系方式：</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2、采购代理机构信息</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代理机构：重庆道</w:t>
      </w:r>
      <w:proofErr w:type="gramStart"/>
      <w:r w:rsidRPr="00D9726D">
        <w:rPr>
          <w:rFonts w:ascii="微软雅黑" w:eastAsia="微软雅黑" w:hAnsi="微软雅黑" w:cs="宋体" w:hint="eastAsia"/>
          <w:kern w:val="0"/>
          <w:sz w:val="27"/>
          <w:szCs w:val="27"/>
        </w:rPr>
        <w:t>一</w:t>
      </w:r>
      <w:proofErr w:type="gramEnd"/>
      <w:r w:rsidRPr="00D9726D">
        <w:rPr>
          <w:rFonts w:ascii="微软雅黑" w:eastAsia="微软雅黑" w:hAnsi="微软雅黑" w:cs="宋体" w:hint="eastAsia"/>
          <w:kern w:val="0"/>
          <w:sz w:val="27"/>
          <w:szCs w:val="27"/>
        </w:rPr>
        <w:t>招标代理有限公司</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代理机构经办人：韦奇</w:t>
      </w:r>
    </w:p>
    <w:p w:rsidR="00D9726D" w:rsidRPr="00D9726D" w:rsidRDefault="00D9726D" w:rsidP="00D9726D">
      <w:pPr>
        <w:widowControl/>
        <w:shd w:val="clear" w:color="auto" w:fill="FFFFFF"/>
        <w:spacing w:after="150" w:line="500" w:lineRule="exact"/>
        <w:ind w:left="300" w:right="300"/>
        <w:jc w:val="left"/>
        <w:rPr>
          <w:rFonts w:ascii="微软雅黑" w:eastAsia="微软雅黑" w:hAnsi="微软雅黑" w:cs="宋体" w:hint="eastAsia"/>
          <w:kern w:val="0"/>
          <w:sz w:val="27"/>
          <w:szCs w:val="27"/>
        </w:rPr>
      </w:pPr>
      <w:r w:rsidRPr="00D9726D">
        <w:rPr>
          <w:rFonts w:ascii="微软雅黑" w:eastAsia="微软雅黑" w:hAnsi="微软雅黑" w:cs="宋体" w:hint="eastAsia"/>
          <w:kern w:val="0"/>
          <w:sz w:val="27"/>
          <w:szCs w:val="27"/>
        </w:rPr>
        <w:t>代理机构电话：15823580987</w:t>
      </w:r>
    </w:p>
    <w:p w:rsidR="00297CA2" w:rsidRPr="00D9726D" w:rsidRDefault="00297CA2" w:rsidP="00D9726D">
      <w:pPr>
        <w:spacing w:line="500" w:lineRule="exact"/>
      </w:pPr>
    </w:p>
    <w:sectPr w:rsidR="00297CA2" w:rsidRPr="00D9726D" w:rsidSect="00D9726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E8" w:rsidRDefault="00A354E8" w:rsidP="00D9726D">
      <w:r>
        <w:separator/>
      </w:r>
    </w:p>
  </w:endnote>
  <w:endnote w:type="continuationSeparator" w:id="0">
    <w:p w:rsidR="00A354E8" w:rsidRDefault="00A354E8" w:rsidP="00D9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E8" w:rsidRDefault="00A354E8" w:rsidP="00D9726D">
      <w:r>
        <w:separator/>
      </w:r>
    </w:p>
  </w:footnote>
  <w:footnote w:type="continuationSeparator" w:id="0">
    <w:p w:rsidR="00A354E8" w:rsidRDefault="00A354E8" w:rsidP="00D97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C2"/>
    <w:rsid w:val="00297CA2"/>
    <w:rsid w:val="00555FC2"/>
    <w:rsid w:val="00A354E8"/>
    <w:rsid w:val="00D9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726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9726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D9726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26D"/>
    <w:rPr>
      <w:sz w:val="18"/>
      <w:szCs w:val="18"/>
    </w:rPr>
  </w:style>
  <w:style w:type="paragraph" w:styleId="a4">
    <w:name w:val="footer"/>
    <w:basedOn w:val="a"/>
    <w:link w:val="Char0"/>
    <w:uiPriority w:val="99"/>
    <w:unhideWhenUsed/>
    <w:rsid w:val="00D9726D"/>
    <w:pPr>
      <w:tabs>
        <w:tab w:val="center" w:pos="4153"/>
        <w:tab w:val="right" w:pos="8306"/>
      </w:tabs>
      <w:snapToGrid w:val="0"/>
      <w:jc w:val="left"/>
    </w:pPr>
    <w:rPr>
      <w:sz w:val="18"/>
      <w:szCs w:val="18"/>
    </w:rPr>
  </w:style>
  <w:style w:type="character" w:customStyle="1" w:styleId="Char0">
    <w:name w:val="页脚 Char"/>
    <w:basedOn w:val="a0"/>
    <w:link w:val="a4"/>
    <w:uiPriority w:val="99"/>
    <w:rsid w:val="00D9726D"/>
    <w:rPr>
      <w:sz w:val="18"/>
      <w:szCs w:val="18"/>
    </w:rPr>
  </w:style>
  <w:style w:type="character" w:customStyle="1" w:styleId="2Char">
    <w:name w:val="标题 2 Char"/>
    <w:basedOn w:val="a0"/>
    <w:link w:val="2"/>
    <w:uiPriority w:val="9"/>
    <w:rsid w:val="00D9726D"/>
    <w:rPr>
      <w:rFonts w:ascii="宋体" w:eastAsia="宋体" w:hAnsi="宋体" w:cs="宋体"/>
      <w:b/>
      <w:bCs/>
      <w:kern w:val="0"/>
      <w:sz w:val="36"/>
      <w:szCs w:val="36"/>
    </w:rPr>
  </w:style>
  <w:style w:type="character" w:customStyle="1" w:styleId="3Char">
    <w:name w:val="标题 3 Char"/>
    <w:basedOn w:val="a0"/>
    <w:link w:val="3"/>
    <w:uiPriority w:val="9"/>
    <w:rsid w:val="00D9726D"/>
    <w:rPr>
      <w:rFonts w:ascii="宋体" w:eastAsia="宋体" w:hAnsi="宋体" w:cs="宋体"/>
      <w:b/>
      <w:bCs/>
      <w:kern w:val="0"/>
      <w:sz w:val="27"/>
      <w:szCs w:val="27"/>
    </w:rPr>
  </w:style>
  <w:style w:type="character" w:customStyle="1" w:styleId="4Char">
    <w:name w:val="标题 4 Char"/>
    <w:basedOn w:val="a0"/>
    <w:link w:val="4"/>
    <w:uiPriority w:val="9"/>
    <w:rsid w:val="00D9726D"/>
    <w:rPr>
      <w:rFonts w:ascii="宋体" w:eastAsia="宋体" w:hAnsi="宋体" w:cs="宋体"/>
      <w:b/>
      <w:bCs/>
      <w:kern w:val="0"/>
      <w:sz w:val="24"/>
      <w:szCs w:val="24"/>
    </w:rPr>
  </w:style>
  <w:style w:type="paragraph" w:styleId="a5">
    <w:name w:val="Normal (Web)"/>
    <w:basedOn w:val="a"/>
    <w:uiPriority w:val="99"/>
    <w:semiHidden/>
    <w:unhideWhenUsed/>
    <w:rsid w:val="00D9726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726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9726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D9726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26D"/>
    <w:rPr>
      <w:sz w:val="18"/>
      <w:szCs w:val="18"/>
    </w:rPr>
  </w:style>
  <w:style w:type="paragraph" w:styleId="a4">
    <w:name w:val="footer"/>
    <w:basedOn w:val="a"/>
    <w:link w:val="Char0"/>
    <w:uiPriority w:val="99"/>
    <w:unhideWhenUsed/>
    <w:rsid w:val="00D9726D"/>
    <w:pPr>
      <w:tabs>
        <w:tab w:val="center" w:pos="4153"/>
        <w:tab w:val="right" w:pos="8306"/>
      </w:tabs>
      <w:snapToGrid w:val="0"/>
      <w:jc w:val="left"/>
    </w:pPr>
    <w:rPr>
      <w:sz w:val="18"/>
      <w:szCs w:val="18"/>
    </w:rPr>
  </w:style>
  <w:style w:type="character" w:customStyle="1" w:styleId="Char0">
    <w:name w:val="页脚 Char"/>
    <w:basedOn w:val="a0"/>
    <w:link w:val="a4"/>
    <w:uiPriority w:val="99"/>
    <w:rsid w:val="00D9726D"/>
    <w:rPr>
      <w:sz w:val="18"/>
      <w:szCs w:val="18"/>
    </w:rPr>
  </w:style>
  <w:style w:type="character" w:customStyle="1" w:styleId="2Char">
    <w:name w:val="标题 2 Char"/>
    <w:basedOn w:val="a0"/>
    <w:link w:val="2"/>
    <w:uiPriority w:val="9"/>
    <w:rsid w:val="00D9726D"/>
    <w:rPr>
      <w:rFonts w:ascii="宋体" w:eastAsia="宋体" w:hAnsi="宋体" w:cs="宋体"/>
      <w:b/>
      <w:bCs/>
      <w:kern w:val="0"/>
      <w:sz w:val="36"/>
      <w:szCs w:val="36"/>
    </w:rPr>
  </w:style>
  <w:style w:type="character" w:customStyle="1" w:styleId="3Char">
    <w:name w:val="标题 3 Char"/>
    <w:basedOn w:val="a0"/>
    <w:link w:val="3"/>
    <w:uiPriority w:val="9"/>
    <w:rsid w:val="00D9726D"/>
    <w:rPr>
      <w:rFonts w:ascii="宋体" w:eastAsia="宋体" w:hAnsi="宋体" w:cs="宋体"/>
      <w:b/>
      <w:bCs/>
      <w:kern w:val="0"/>
      <w:sz w:val="27"/>
      <w:szCs w:val="27"/>
    </w:rPr>
  </w:style>
  <w:style w:type="character" w:customStyle="1" w:styleId="4Char">
    <w:name w:val="标题 4 Char"/>
    <w:basedOn w:val="a0"/>
    <w:link w:val="4"/>
    <w:uiPriority w:val="9"/>
    <w:rsid w:val="00D9726D"/>
    <w:rPr>
      <w:rFonts w:ascii="宋体" w:eastAsia="宋体" w:hAnsi="宋体" w:cs="宋体"/>
      <w:b/>
      <w:bCs/>
      <w:kern w:val="0"/>
      <w:sz w:val="24"/>
      <w:szCs w:val="24"/>
    </w:rPr>
  </w:style>
  <w:style w:type="paragraph" w:styleId="a5">
    <w:name w:val="Normal (Web)"/>
    <w:basedOn w:val="a"/>
    <w:uiPriority w:val="99"/>
    <w:semiHidden/>
    <w:unhideWhenUsed/>
    <w:rsid w:val="00D972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62671">
      <w:bodyDiv w:val="1"/>
      <w:marLeft w:val="0"/>
      <w:marRight w:val="0"/>
      <w:marTop w:val="0"/>
      <w:marBottom w:val="0"/>
      <w:divBdr>
        <w:top w:val="none" w:sz="0" w:space="0" w:color="auto"/>
        <w:left w:val="none" w:sz="0" w:space="0" w:color="auto"/>
        <w:bottom w:val="none" w:sz="0" w:space="0" w:color="auto"/>
        <w:right w:val="none" w:sz="0" w:space="0" w:color="auto"/>
      </w:divBdr>
      <w:divsChild>
        <w:div w:id="616332398">
          <w:marLeft w:val="0"/>
          <w:marRight w:val="0"/>
          <w:marTop w:val="0"/>
          <w:marBottom w:val="300"/>
          <w:divBdr>
            <w:top w:val="single" w:sz="6" w:space="0" w:color="EBCCD1"/>
            <w:left w:val="single" w:sz="6" w:space="0" w:color="EBCCD1"/>
            <w:bottom w:val="single" w:sz="6" w:space="0" w:color="EBCCD1"/>
            <w:right w:val="single" w:sz="6" w:space="0" w:color="EBCCD1"/>
          </w:divBdr>
          <w:divsChild>
            <w:div w:id="2022973451">
              <w:marLeft w:val="0"/>
              <w:marRight w:val="0"/>
              <w:marTop w:val="0"/>
              <w:marBottom w:val="0"/>
              <w:divBdr>
                <w:top w:val="none" w:sz="0" w:space="8" w:color="EBCCD1"/>
                <w:left w:val="none" w:sz="0" w:space="11" w:color="EBCCD1"/>
                <w:bottom w:val="single" w:sz="6" w:space="8" w:color="EBCCD1"/>
                <w:right w:val="none" w:sz="0" w:space="11" w:color="EB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738</Characters>
  <Application>Microsoft Office Word</Application>
  <DocSecurity>0</DocSecurity>
  <Lines>6</Lines>
  <Paragraphs>1</Paragraphs>
  <ScaleCrop>false</ScaleCrop>
  <Company>Microsoft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李欢</dc:creator>
  <cp:keywords/>
  <dc:description/>
  <cp:lastModifiedBy>李欢</cp:lastModifiedBy>
  <cp:revision>2</cp:revision>
  <dcterms:created xsi:type="dcterms:W3CDTF">2020-12-01T01:52:00Z</dcterms:created>
  <dcterms:modified xsi:type="dcterms:W3CDTF">2020-12-01T01:53:00Z</dcterms:modified>
</cp:coreProperties>
</file>