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附件：自动流动书柜图片及参数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    </w:t>
      </w:r>
    </w:p>
    <w:tbl>
      <w:tblPr>
        <w:tblStyle w:val="6"/>
        <w:tblpPr w:leftFromText="180" w:rightFromText="180" w:vertAnchor="text" w:horzAnchor="page" w:tblpX="7667" w:tblpY="787"/>
        <w:tblOverlap w:val="never"/>
        <w:tblW w:w="3877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291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AD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产品名称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AD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自助流动书柜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AD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产品尺寸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AD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1858.8高*2340宽*350深（mm）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CellSpacing w:w="0" w:type="dxa"/>
        </w:trPr>
        <w:tc>
          <w:tcPr>
            <w:tcW w:w="95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单仓尺寸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大285高*45宽*235深（mm）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tblCellSpacing w:w="0" w:type="dxa"/>
        </w:trPr>
        <w:tc>
          <w:tcPr>
            <w:tcW w:w="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中245高*45宽*235深（mm）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</w:trPr>
        <w:tc>
          <w:tcPr>
            <w:tcW w:w="95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小215高*45宽*235深（mm）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tblCellSpacing w:w="0" w:type="dxa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AD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控制屏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AD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17寸高清LED（离地高度12600mm）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APP平台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IOS/Android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tblCellSpacing w:w="0" w:type="dxa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AD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颜色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DEAD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金色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重量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450KG（主、副柜）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</w:trPr>
        <w:tc>
          <w:tcPr>
            <w:tcW w:w="9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电源</w:t>
            </w:r>
          </w:p>
        </w:tc>
        <w:tc>
          <w:tcPr>
            <w:tcW w:w="2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EEECE1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220V±10%，50HZ，135W</w:t>
            </w:r>
          </w:p>
        </w:tc>
      </w:tr>
    </w:tbl>
    <w:p>
      <w:pPr>
        <w:spacing w:line="360" w:lineRule="auto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-339725</wp:posOffset>
            </wp:positionH>
            <wp:positionV relativeFrom="paragraph">
              <wp:posOffset>394335</wp:posOffset>
            </wp:positionV>
            <wp:extent cx="4106545" cy="4185285"/>
            <wp:effectExtent l="304800" t="266700" r="313055" b="291465"/>
            <wp:wrapNone/>
            <wp:docPr id="4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545" cy="4185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glow rad="381000">
                        <a:srgbClr val="D9D9D9">
                          <a:lumMod val="85000"/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单书单格自助流动书柜（主柜）适用于图书角、楼道等，可合理利用位置不影响整体布局；藏书量为216册，单书单格图书借阅、归还简便。</w:t>
      </w:r>
    </w:p>
    <w:p/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  <w:r>
      <w:rPr>
        <w:rFonts w:hint="eastAsia"/>
      </w:rPr>
      <w:t xml:space="preserve">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1B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