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F80E8">
      <w:pPr>
        <w:rPr>
          <w:color w:val="000000"/>
        </w:rPr>
      </w:pPr>
    </w:p>
    <w:p w14:paraId="6CF63F32">
      <w:pPr>
        <w:rPr>
          <w:color w:val="000000"/>
        </w:rPr>
      </w:pPr>
    </w:p>
    <w:p w14:paraId="5A4956CB">
      <w:pPr>
        <w:rPr>
          <w:color w:val="000000"/>
        </w:rPr>
      </w:pPr>
    </w:p>
    <w:p w14:paraId="01BF6560">
      <w:pPr>
        <w:rPr>
          <w:color w:val="000000"/>
        </w:rPr>
      </w:pPr>
    </w:p>
    <w:p w14:paraId="1D9A7F32">
      <w:pPr>
        <w:rPr>
          <w:color w:val="000000"/>
        </w:rPr>
      </w:pPr>
    </w:p>
    <w:p w14:paraId="2FCF668B">
      <w:pPr>
        <w:jc w:val="center"/>
        <w:rPr>
          <w:rFonts w:ascii="黑体" w:hAnsi="黑体" w:eastAsia="黑体"/>
          <w:color w:val="000000"/>
          <w:sz w:val="60"/>
          <w:szCs w:val="60"/>
        </w:rPr>
      </w:pPr>
      <w:r>
        <w:rPr>
          <w:rFonts w:hint="eastAsia" w:ascii="黑体" w:hAnsi="黑体" w:eastAsia="黑体"/>
          <w:color w:val="000000"/>
          <w:sz w:val="60"/>
          <w:szCs w:val="60"/>
        </w:rPr>
        <w:t>工程咨询服务合同</w:t>
      </w:r>
    </w:p>
    <w:p w14:paraId="4A3E9284">
      <w:pPr>
        <w:rPr>
          <w:color w:val="000000"/>
        </w:rPr>
      </w:pPr>
    </w:p>
    <w:p w14:paraId="2A2ED379">
      <w:pPr>
        <w:rPr>
          <w:color w:val="000000"/>
        </w:rPr>
      </w:pPr>
    </w:p>
    <w:p w14:paraId="401CCEAE">
      <w:pPr>
        <w:rPr>
          <w:color w:val="000000"/>
        </w:rPr>
      </w:pPr>
    </w:p>
    <w:p w14:paraId="5062A6D7">
      <w:pPr>
        <w:rPr>
          <w:color w:val="000000"/>
        </w:rPr>
      </w:pPr>
    </w:p>
    <w:p w14:paraId="7A7A6AA2">
      <w:pPr>
        <w:rPr>
          <w:color w:val="000000"/>
        </w:rPr>
      </w:pPr>
    </w:p>
    <w:p w14:paraId="5A2A0CC6">
      <w:pPr>
        <w:rPr>
          <w:color w:val="000000"/>
        </w:rPr>
      </w:pPr>
    </w:p>
    <w:p w14:paraId="613318B3">
      <w:pPr>
        <w:rPr>
          <w:color w:val="000000"/>
        </w:rPr>
      </w:pPr>
    </w:p>
    <w:p w14:paraId="78D3B2EA">
      <w:pPr>
        <w:rPr>
          <w:color w:val="000000"/>
        </w:rPr>
      </w:pPr>
    </w:p>
    <w:p w14:paraId="5B43CF5A">
      <w:pPr>
        <w:rPr>
          <w:color w:val="000000"/>
        </w:rPr>
      </w:pPr>
    </w:p>
    <w:p w14:paraId="787271CD">
      <w:pPr>
        <w:rPr>
          <w:color w:val="000000"/>
        </w:rPr>
      </w:pPr>
    </w:p>
    <w:p w14:paraId="09B74A82">
      <w:pPr>
        <w:rPr>
          <w:color w:val="000000"/>
        </w:rPr>
      </w:pPr>
    </w:p>
    <w:p w14:paraId="391C5EB3">
      <w:pPr>
        <w:rPr>
          <w:color w:val="000000"/>
        </w:rPr>
      </w:pPr>
    </w:p>
    <w:p w14:paraId="69FC3EB4">
      <w:pPr>
        <w:ind w:left="1600" w:hanging="1600" w:hangingChars="500"/>
        <w:jc w:val="left"/>
        <w:rPr>
          <w:rFonts w:asciiTheme="minorEastAsia" w:hAnsiTheme="minorEastAsia" w:eastAsiaTheme="minorEastAsia"/>
          <w:color w:val="000000"/>
          <w:sz w:val="32"/>
          <w:szCs w:val="32"/>
          <w:u w:val="single"/>
        </w:rPr>
      </w:pPr>
      <w:r>
        <w:rPr>
          <w:rFonts w:hint="eastAsia"/>
          <w:color w:val="000000"/>
          <w:sz w:val="32"/>
          <w:szCs w:val="32"/>
        </w:rPr>
        <w:t>项目名称：</w:t>
      </w:r>
      <w:r>
        <w:rPr>
          <w:rFonts w:hint="eastAsia"/>
          <w:color w:val="000000"/>
          <w:sz w:val="32"/>
          <w:szCs w:val="32"/>
          <w:u w:val="single"/>
        </w:rPr>
        <w:t>重庆市奥林匹克体育中心体育场及游泳跳水馆顶棚维护和游泳馆改造可行性研究报告</w:t>
      </w:r>
    </w:p>
    <w:p w14:paraId="1EDD3AA6">
      <w:pP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委 托 方：</w:t>
      </w:r>
      <w:r>
        <w:rPr>
          <w:rFonts w:hint="eastAsia" w:asciiTheme="minorEastAsia" w:hAnsiTheme="minorEastAsia" w:eastAsiaTheme="minorEastAsia"/>
          <w:color w:val="000000"/>
          <w:sz w:val="32"/>
          <w:szCs w:val="32"/>
          <w:u w:val="single"/>
        </w:rPr>
        <w:t>重庆市奥林匹克体育中心</w:t>
      </w:r>
      <w:r>
        <w:rPr>
          <w:rFonts w:asciiTheme="minorEastAsia" w:hAnsiTheme="minorEastAsia" w:eastAsiaTheme="minorEastAsia"/>
          <w:color w:val="000000"/>
          <w:sz w:val="32"/>
          <w:szCs w:val="32"/>
        </w:rPr>
        <w:t xml:space="preserve"> </w:t>
      </w:r>
    </w:p>
    <w:p w14:paraId="10526159">
      <w:pP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（甲方、客户）</w:t>
      </w:r>
    </w:p>
    <w:p w14:paraId="316F00BE">
      <w:pPr>
        <w:rPr>
          <w:rFonts w:asciiTheme="minorEastAsia" w:hAnsiTheme="minorEastAsia" w:eastAsiaTheme="minorEastAsia"/>
          <w:color w:val="000000"/>
          <w:sz w:val="32"/>
          <w:szCs w:val="32"/>
          <w:u w:val="single"/>
        </w:rPr>
      </w:pPr>
      <w:r>
        <w:rPr>
          <w:rFonts w:hint="eastAsia" w:asciiTheme="minorEastAsia" w:hAnsiTheme="minorEastAsia" w:eastAsiaTheme="minorEastAsia"/>
          <w:color w:val="000000"/>
          <w:sz w:val="32"/>
          <w:szCs w:val="32"/>
        </w:rPr>
        <w:t>受 托 方：</w:t>
      </w:r>
      <w:r>
        <w:rPr>
          <w:rFonts w:hint="eastAsia" w:asciiTheme="minorEastAsia" w:hAnsiTheme="minorEastAsia" w:eastAsiaTheme="minorEastAsia"/>
          <w:color w:val="000000"/>
          <w:sz w:val="32"/>
          <w:szCs w:val="32"/>
          <w:u w:val="single"/>
        </w:rPr>
        <w:t>达华工程管理(集团)有限公司</w:t>
      </w:r>
    </w:p>
    <w:p w14:paraId="76073E51">
      <w:pP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（乙方、工程咨询单位）</w:t>
      </w:r>
    </w:p>
    <w:p w14:paraId="1D00BD53">
      <w:pP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签订日期：</w:t>
      </w:r>
      <w:r>
        <w:rPr>
          <w:rFonts w:asciiTheme="minorEastAsia" w:hAnsiTheme="minorEastAsia" w:eastAsiaTheme="minorEastAsia"/>
          <w:color w:val="000000"/>
          <w:sz w:val="32"/>
          <w:szCs w:val="32"/>
          <w:u w:val="single"/>
        </w:rPr>
        <w:t>201</w:t>
      </w:r>
      <w:r>
        <w:rPr>
          <w:rFonts w:hint="eastAsia" w:asciiTheme="minorEastAsia" w:hAnsiTheme="minorEastAsia" w:eastAsiaTheme="minorEastAsia"/>
          <w:color w:val="000000"/>
          <w:sz w:val="32"/>
          <w:szCs w:val="32"/>
          <w:u w:val="single"/>
        </w:rPr>
        <w:t>9年</w:t>
      </w:r>
      <w:r>
        <w:rPr>
          <w:rFonts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32"/>
          <w:szCs w:val="32"/>
          <w:u w:val="single"/>
        </w:rPr>
        <w:t>05</w:t>
      </w:r>
      <w:r>
        <w:rPr>
          <w:rFonts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32"/>
          <w:szCs w:val="32"/>
          <w:u w:val="single"/>
        </w:rPr>
        <w:t>月</w:t>
      </w:r>
      <w:r>
        <w:rPr>
          <w:rFonts w:hint="eastAsia" w:asciiTheme="minorEastAsia" w:hAnsiTheme="minorEastAsia" w:eastAsiaTheme="minorEastAsia"/>
          <w:color w:val="000000"/>
          <w:sz w:val="32"/>
          <w:szCs w:val="32"/>
          <w:u w:val="single"/>
          <w:lang w:val="en-US" w:eastAsia="zh-CN"/>
        </w:rPr>
        <w:t xml:space="preserve"> 日</w:t>
      </w:r>
      <w:r>
        <w:rPr>
          <w:rFonts w:hint="eastAsia" w:asciiTheme="minorEastAsia" w:hAnsiTheme="minorEastAsia" w:eastAsiaTheme="minorEastAsia"/>
          <w:color w:val="000000"/>
          <w:sz w:val="32"/>
          <w:szCs w:val="32"/>
        </w:rPr>
        <w:t xml:space="preserve"> </w:t>
      </w:r>
    </w:p>
    <w:p w14:paraId="2D5F5E4E">
      <w:pPr>
        <w:rPr>
          <w:rFonts w:eastAsiaTheme="minorEastAsia"/>
          <w:color w:val="000000"/>
          <w:sz w:val="32"/>
          <w:szCs w:val="32"/>
        </w:rPr>
      </w:pPr>
      <w:r>
        <w:rPr>
          <w:rFonts w:hint="eastAsia" w:asciiTheme="minorEastAsia" w:hAnsiTheme="minorEastAsia" w:eastAsiaTheme="minorEastAsia"/>
          <w:color w:val="000000"/>
          <w:sz w:val="32"/>
          <w:szCs w:val="32"/>
        </w:rPr>
        <w:t>签订地点：</w:t>
      </w:r>
      <w:r>
        <w:rPr>
          <w:rFonts w:hint="eastAsia" w:asciiTheme="minorEastAsia" w:hAnsiTheme="minorEastAsia" w:eastAsiaTheme="minorEastAsia"/>
          <w:color w:val="000000"/>
          <w:sz w:val="32"/>
          <w:szCs w:val="32"/>
          <w:u w:val="single"/>
        </w:rPr>
        <w:t xml:space="preserve">重庆市      </w:t>
      </w:r>
      <w:r>
        <w:rPr>
          <w:rFonts w:hint="eastAsia" w:asciiTheme="minorEastAsia" w:hAnsiTheme="minorEastAsia" w:eastAsiaTheme="minorEastAsia"/>
          <w:color w:val="000000"/>
          <w:sz w:val="32"/>
          <w:szCs w:val="32"/>
        </w:rPr>
        <w:t xml:space="preserve"> </w:t>
      </w:r>
    </w:p>
    <w:p w14:paraId="5FEE87F9">
      <w:pPr>
        <w:rPr>
          <w:color w:val="000000"/>
        </w:rPr>
      </w:pPr>
    </w:p>
    <w:p w14:paraId="0B06D5FB">
      <w:pPr>
        <w:rPr>
          <w:color w:val="000000"/>
        </w:rPr>
      </w:pPr>
    </w:p>
    <w:p w14:paraId="691F745F">
      <w:pPr>
        <w:jc w:val="center"/>
        <w:rPr>
          <w:rFonts w:ascii="黑体" w:hAnsi="黑体" w:eastAsia="黑体"/>
          <w:color w:val="000000"/>
          <w:sz w:val="32"/>
          <w:szCs w:val="32"/>
        </w:rPr>
      </w:pPr>
    </w:p>
    <w:p w14:paraId="1521B184">
      <w:pPr>
        <w:jc w:val="center"/>
        <w:rPr>
          <w:rFonts w:ascii="黑体" w:hAnsi="黑体" w:eastAsia="黑体"/>
          <w:color w:val="000000"/>
          <w:sz w:val="32"/>
          <w:szCs w:val="32"/>
        </w:rPr>
        <w:sectPr>
          <w:pgSz w:w="11906" w:h="16838"/>
          <w:pgMar w:top="1440" w:right="1800" w:bottom="1440" w:left="1800" w:header="851" w:footer="992" w:gutter="0"/>
          <w:cols w:space="425" w:num="1"/>
          <w:docGrid w:type="lines" w:linePitch="312" w:charSpace="0"/>
        </w:sectPr>
      </w:pPr>
    </w:p>
    <w:p w14:paraId="69DDA100">
      <w:pPr>
        <w:jc w:val="center"/>
        <w:rPr>
          <w:rFonts w:ascii="黑体" w:hAnsi="黑体" w:eastAsia="黑体"/>
          <w:color w:val="000000"/>
          <w:sz w:val="32"/>
          <w:szCs w:val="32"/>
        </w:rPr>
      </w:pPr>
    </w:p>
    <w:p w14:paraId="73BD8FC8">
      <w:pPr>
        <w:jc w:val="center"/>
        <w:rPr>
          <w:rFonts w:ascii="黑体" w:hAnsi="黑体" w:eastAsia="黑体"/>
          <w:color w:val="000000"/>
          <w:sz w:val="40"/>
          <w:szCs w:val="40"/>
        </w:rPr>
      </w:pPr>
      <w:r>
        <w:rPr>
          <w:rFonts w:hint="eastAsia" w:ascii="黑体" w:hAnsi="黑体" w:eastAsia="黑体"/>
          <w:color w:val="000000"/>
          <w:sz w:val="40"/>
          <w:szCs w:val="40"/>
        </w:rPr>
        <w:t>工程咨询服务合同</w:t>
      </w:r>
    </w:p>
    <w:p w14:paraId="0E513B62">
      <w:pPr>
        <w:rPr>
          <w:color w:val="000000"/>
        </w:rPr>
      </w:pPr>
    </w:p>
    <w:p w14:paraId="3DCC7F82">
      <w:pPr>
        <w:spacing w:line="520" w:lineRule="exact"/>
        <w:rPr>
          <w:color w:val="000000"/>
          <w:sz w:val="30"/>
          <w:szCs w:val="30"/>
        </w:rPr>
      </w:pPr>
      <w:r>
        <w:rPr>
          <w:rFonts w:hint="eastAsia"/>
          <w:color w:val="000000"/>
          <w:sz w:val="30"/>
          <w:szCs w:val="30"/>
        </w:rPr>
        <w:t>委托方（单位全称）：</w:t>
      </w:r>
      <w:r>
        <w:rPr>
          <w:rFonts w:hint="eastAsia"/>
          <w:color w:val="000000"/>
          <w:sz w:val="30"/>
          <w:szCs w:val="30"/>
          <w:u w:val="single"/>
        </w:rPr>
        <w:t>重庆市奥林匹克体育中心</w:t>
      </w:r>
    </w:p>
    <w:p w14:paraId="4E3F8B05">
      <w:pPr>
        <w:spacing w:line="520" w:lineRule="exact"/>
        <w:rPr>
          <w:color w:val="000000"/>
          <w:sz w:val="30"/>
          <w:szCs w:val="30"/>
          <w:u w:val="single"/>
        </w:rPr>
      </w:pPr>
      <w:r>
        <w:rPr>
          <w:rFonts w:hint="eastAsia"/>
          <w:color w:val="000000"/>
          <w:sz w:val="30"/>
          <w:szCs w:val="30"/>
        </w:rPr>
        <w:t>法定代表人（或负责人）：</w:t>
      </w:r>
      <w:r>
        <w:rPr>
          <w:rFonts w:hint="eastAsia"/>
          <w:color w:val="000000"/>
          <w:sz w:val="30"/>
          <w:szCs w:val="30"/>
          <w:u w:val="single"/>
        </w:rPr>
        <w:t xml:space="preserve"> 姚宏             </w:t>
      </w:r>
    </w:p>
    <w:p w14:paraId="72DAD516">
      <w:pPr>
        <w:spacing w:line="520" w:lineRule="exact"/>
        <w:rPr>
          <w:color w:val="000000"/>
          <w:sz w:val="30"/>
          <w:szCs w:val="30"/>
          <w:u w:val="single"/>
        </w:rPr>
      </w:pPr>
      <w:r>
        <w:rPr>
          <w:rFonts w:hint="eastAsia"/>
          <w:color w:val="000000"/>
          <w:sz w:val="30"/>
          <w:szCs w:val="30"/>
        </w:rPr>
        <w:t>项目联系人：</w:t>
      </w:r>
      <w:r>
        <w:rPr>
          <w:rFonts w:hint="eastAsia"/>
          <w:color w:val="000000"/>
          <w:sz w:val="30"/>
          <w:szCs w:val="30"/>
          <w:u w:val="single"/>
        </w:rPr>
        <w:t xml:space="preserve"> 蒋文佳                      </w:t>
      </w:r>
    </w:p>
    <w:p w14:paraId="61504214">
      <w:pPr>
        <w:spacing w:line="520" w:lineRule="exact"/>
        <w:rPr>
          <w:color w:val="000000"/>
          <w:sz w:val="30"/>
          <w:szCs w:val="30"/>
          <w:u w:val="single"/>
        </w:rPr>
      </w:pPr>
      <w:r>
        <w:rPr>
          <w:rFonts w:hint="eastAsia"/>
          <w:color w:val="000000"/>
          <w:sz w:val="30"/>
          <w:szCs w:val="30"/>
        </w:rPr>
        <w:t>联系方式：</w:t>
      </w:r>
      <w:r>
        <w:rPr>
          <w:rFonts w:hint="eastAsia"/>
          <w:color w:val="000000"/>
          <w:sz w:val="30"/>
          <w:szCs w:val="30"/>
          <w:u w:val="single"/>
        </w:rPr>
        <w:t xml:space="preserve">   13883462164                 </w:t>
      </w:r>
    </w:p>
    <w:p w14:paraId="060CBC7B">
      <w:pPr>
        <w:spacing w:line="520" w:lineRule="exact"/>
        <w:rPr>
          <w:color w:val="000000"/>
          <w:sz w:val="30"/>
          <w:szCs w:val="30"/>
          <w:u w:val="single"/>
        </w:rPr>
      </w:pPr>
      <w:r>
        <w:rPr>
          <w:rFonts w:hint="eastAsia"/>
          <w:color w:val="000000"/>
          <w:sz w:val="30"/>
          <w:szCs w:val="30"/>
        </w:rPr>
        <w:t>通讯地址：</w:t>
      </w:r>
      <w:r>
        <w:rPr>
          <w:rFonts w:hint="eastAsia"/>
          <w:color w:val="000000"/>
          <w:sz w:val="30"/>
          <w:szCs w:val="30"/>
          <w:u w:val="single"/>
        </w:rPr>
        <w:t xml:space="preserve">重庆市袁家岗渝洲路街道奥体中心  </w:t>
      </w:r>
    </w:p>
    <w:p w14:paraId="795985B8">
      <w:pPr>
        <w:spacing w:line="520" w:lineRule="exact"/>
        <w:rPr>
          <w:color w:val="000000"/>
          <w:sz w:val="30"/>
          <w:szCs w:val="30"/>
        </w:rPr>
      </w:pPr>
      <w:r>
        <w:rPr>
          <w:rFonts w:hint="eastAsia"/>
          <w:color w:val="000000"/>
          <w:sz w:val="30"/>
          <w:szCs w:val="30"/>
        </w:rPr>
        <w:t>邮政编码：</w:t>
      </w:r>
      <w:r>
        <w:rPr>
          <w:rFonts w:hint="eastAsia"/>
          <w:color w:val="000000"/>
          <w:sz w:val="30"/>
          <w:szCs w:val="30"/>
          <w:u w:val="single"/>
        </w:rPr>
        <w:t xml:space="preserve"> 400000    </w:t>
      </w:r>
    </w:p>
    <w:p w14:paraId="53E01B4E">
      <w:pPr>
        <w:spacing w:line="520" w:lineRule="exact"/>
        <w:rPr>
          <w:color w:val="000000"/>
          <w:sz w:val="30"/>
          <w:szCs w:val="30"/>
        </w:rPr>
      </w:pPr>
      <w:r>
        <w:rPr>
          <w:rFonts w:hint="eastAsia"/>
          <w:color w:val="000000"/>
          <w:sz w:val="30"/>
          <w:szCs w:val="30"/>
        </w:rPr>
        <w:t>电话：</w:t>
      </w:r>
      <w:r>
        <w:rPr>
          <w:rFonts w:hint="eastAsia"/>
          <w:color w:val="000000"/>
          <w:sz w:val="30"/>
          <w:szCs w:val="30"/>
          <w:u w:val="single"/>
        </w:rPr>
        <w:t xml:space="preserve">   023-</w:t>
      </w:r>
      <w:r>
        <w:rPr>
          <w:color w:val="000000"/>
          <w:sz w:val="30"/>
          <w:szCs w:val="30"/>
          <w:u w:val="single"/>
        </w:rPr>
        <w:t>68968835</w:t>
      </w:r>
      <w:r>
        <w:rPr>
          <w:rFonts w:hint="eastAsia"/>
          <w:color w:val="000000"/>
          <w:sz w:val="30"/>
          <w:szCs w:val="30"/>
          <w:u w:val="single"/>
        </w:rPr>
        <w:t xml:space="preserve">   </w:t>
      </w:r>
      <w:r>
        <w:rPr>
          <w:rFonts w:hint="eastAsia"/>
          <w:color w:val="000000"/>
          <w:sz w:val="30"/>
          <w:szCs w:val="30"/>
        </w:rPr>
        <w:t xml:space="preserve">   传真：</w:t>
      </w:r>
      <w:r>
        <w:rPr>
          <w:rFonts w:hint="eastAsia"/>
          <w:color w:val="000000"/>
          <w:sz w:val="30"/>
          <w:szCs w:val="30"/>
          <w:u w:val="single"/>
        </w:rPr>
        <w:t xml:space="preserve">  023-68968835   </w:t>
      </w:r>
    </w:p>
    <w:p w14:paraId="461F8573">
      <w:pPr>
        <w:spacing w:line="520" w:lineRule="exact"/>
        <w:rPr>
          <w:color w:val="000000"/>
        </w:rPr>
      </w:pPr>
      <w:r>
        <w:rPr>
          <w:rFonts w:hint="eastAsia"/>
          <w:color w:val="000000"/>
          <w:sz w:val="30"/>
          <w:szCs w:val="30"/>
        </w:rPr>
        <w:t xml:space="preserve"> </w:t>
      </w:r>
    </w:p>
    <w:p w14:paraId="72C34AC8">
      <w:pPr>
        <w:spacing w:line="520" w:lineRule="exact"/>
        <w:rPr>
          <w:color w:val="000000"/>
          <w:sz w:val="30"/>
          <w:szCs w:val="30"/>
        </w:rPr>
      </w:pPr>
      <w:r>
        <w:rPr>
          <w:rFonts w:hint="eastAsia"/>
          <w:color w:val="000000"/>
          <w:sz w:val="30"/>
          <w:szCs w:val="30"/>
        </w:rPr>
        <w:t>受托方（单位全称）：</w:t>
      </w:r>
      <w:r>
        <w:rPr>
          <w:rFonts w:hint="eastAsia"/>
          <w:color w:val="000000"/>
          <w:sz w:val="30"/>
          <w:szCs w:val="30"/>
          <w:u w:val="single"/>
        </w:rPr>
        <w:t>达华工程管理(集团)有限公司</w:t>
      </w:r>
    </w:p>
    <w:p w14:paraId="538ACB69">
      <w:pPr>
        <w:spacing w:line="520" w:lineRule="exact"/>
        <w:rPr>
          <w:color w:val="000000"/>
          <w:sz w:val="30"/>
          <w:szCs w:val="30"/>
        </w:rPr>
      </w:pPr>
      <w:r>
        <w:rPr>
          <w:rFonts w:hint="eastAsia"/>
          <w:color w:val="000000"/>
          <w:sz w:val="30"/>
          <w:szCs w:val="30"/>
        </w:rPr>
        <w:t>法定代表人（或负责人）：</w:t>
      </w:r>
      <w:r>
        <w:rPr>
          <w:rFonts w:hint="eastAsia"/>
          <w:color w:val="000000"/>
          <w:sz w:val="30"/>
          <w:szCs w:val="30"/>
          <w:u w:val="single"/>
        </w:rPr>
        <w:t xml:space="preserve"> 杜永刚 </w:t>
      </w:r>
    </w:p>
    <w:p w14:paraId="5527F2F8">
      <w:pPr>
        <w:spacing w:line="520" w:lineRule="exac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工程咨询单位资格证书级别及编号：</w:t>
      </w:r>
      <w:r>
        <w:rPr>
          <w:rFonts w:hint="eastAsia" w:asciiTheme="minorEastAsia" w:hAnsiTheme="minorEastAsia" w:eastAsiaTheme="minorEastAsia" w:cstheme="minorEastAsia"/>
          <w:color w:val="000000"/>
          <w:sz w:val="30"/>
          <w:szCs w:val="30"/>
          <w:u w:val="single"/>
        </w:rPr>
        <w:t>工咨甲 10120070039</w:t>
      </w:r>
    </w:p>
    <w:p w14:paraId="696E898C">
      <w:pPr>
        <w:spacing w:line="520" w:lineRule="exact"/>
        <w:rPr>
          <w:rFonts w:asciiTheme="minorEastAsia" w:hAnsiTheme="minorEastAsia" w:eastAsiaTheme="minorEastAsia" w:cstheme="minorEastAsia"/>
          <w:w w:val="90"/>
          <w:sz w:val="28"/>
          <w:u w:val="single"/>
        </w:rPr>
      </w:pPr>
      <w:r>
        <w:rPr>
          <w:rFonts w:hint="eastAsia" w:asciiTheme="minorEastAsia" w:hAnsiTheme="minorEastAsia" w:eastAsiaTheme="minorEastAsia" w:cstheme="minorEastAsia"/>
          <w:sz w:val="30"/>
          <w:szCs w:val="30"/>
          <w:lang w:bidi="ar"/>
        </w:rPr>
        <w:t>地址：</w:t>
      </w:r>
      <w:r>
        <w:rPr>
          <w:rFonts w:hint="eastAsia" w:asciiTheme="minorEastAsia" w:hAnsiTheme="minorEastAsia" w:eastAsiaTheme="minorEastAsia" w:cstheme="minorEastAsia"/>
          <w:sz w:val="30"/>
          <w:szCs w:val="30"/>
          <w:u w:val="single"/>
          <w:lang w:bidi="ar"/>
        </w:rPr>
        <w:t>重庆市渝北区新溉大道18号山顶道国宾城11栋13楼</w:t>
      </w:r>
    </w:p>
    <w:p w14:paraId="054C9F37">
      <w:pPr>
        <w:spacing w:line="520" w:lineRule="exact"/>
        <w:rPr>
          <w:rFonts w:asciiTheme="minorEastAsia" w:hAnsiTheme="minorEastAsia" w:eastAsiaTheme="minorEastAsia" w:cstheme="minorEastAsia"/>
          <w:color w:val="000000"/>
          <w:sz w:val="30"/>
          <w:szCs w:val="30"/>
          <w:u w:val="single"/>
        </w:rPr>
      </w:pPr>
      <w:r>
        <w:rPr>
          <w:rFonts w:hint="eastAsia" w:asciiTheme="minorEastAsia" w:hAnsiTheme="minorEastAsia" w:eastAsiaTheme="minorEastAsia" w:cstheme="minorEastAsia"/>
          <w:sz w:val="30"/>
          <w:szCs w:val="30"/>
          <w:lang w:bidi="ar"/>
        </w:rPr>
        <w:t>电话（传真）：</w:t>
      </w:r>
      <w:r>
        <w:rPr>
          <w:rFonts w:hint="eastAsia" w:asciiTheme="minorEastAsia" w:hAnsiTheme="minorEastAsia" w:eastAsiaTheme="minorEastAsia" w:cstheme="minorEastAsia"/>
          <w:w w:val="90"/>
          <w:sz w:val="30"/>
          <w:szCs w:val="30"/>
          <w:u w:val="single"/>
          <w:lang w:bidi="ar"/>
        </w:rPr>
        <w:t>023-63210722</w:t>
      </w:r>
      <w:r>
        <w:rPr>
          <w:rFonts w:hint="eastAsia" w:asciiTheme="minorEastAsia" w:hAnsiTheme="minorEastAsia" w:eastAsiaTheme="minorEastAsia" w:cstheme="minorEastAsia"/>
          <w:color w:val="000000"/>
          <w:sz w:val="30"/>
          <w:szCs w:val="30"/>
        </w:rPr>
        <w:t>手机：</w:t>
      </w:r>
      <w:r>
        <w:rPr>
          <w:rFonts w:hint="eastAsia" w:asciiTheme="minorEastAsia" w:hAnsiTheme="minorEastAsia" w:eastAsiaTheme="minorEastAsia" w:cstheme="minorEastAsia"/>
          <w:color w:val="000000"/>
          <w:sz w:val="30"/>
          <w:szCs w:val="30"/>
          <w:u w:val="single"/>
        </w:rPr>
        <w:t>15999642440</w:t>
      </w:r>
    </w:p>
    <w:p w14:paraId="367CD0BC">
      <w:pPr>
        <w:spacing w:line="520" w:lineRule="exact"/>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电子信箱：</w:t>
      </w:r>
      <w:r>
        <w:rPr>
          <w:rFonts w:hint="eastAsia" w:asciiTheme="minorEastAsia" w:hAnsiTheme="minorEastAsia" w:eastAsiaTheme="minorEastAsia" w:cstheme="minorEastAsia"/>
          <w:color w:val="000000"/>
          <w:sz w:val="30"/>
          <w:szCs w:val="30"/>
          <w:u w:val="single"/>
        </w:rPr>
        <w:t>83309923@qq.com</w:t>
      </w:r>
    </w:p>
    <w:p w14:paraId="26F2021B">
      <w:pPr>
        <w:ind w:firstLine="600" w:firstLineChars="200"/>
        <w:rPr>
          <w:color w:val="000000"/>
          <w:sz w:val="30"/>
          <w:szCs w:val="30"/>
        </w:rPr>
      </w:pPr>
      <w:r>
        <w:rPr>
          <w:rFonts w:hint="eastAsia"/>
          <w:color w:val="000000"/>
          <w:sz w:val="30"/>
          <w:szCs w:val="30"/>
        </w:rPr>
        <w:t>委托方受托方双方经过平等协商，在真实、充分地表达各自意愿的基础上，根据《中华人民共和国合同法》等相关法律法规和工程咨询行业有关规定，达成如下协议，并由双方共同恪守。</w:t>
      </w:r>
    </w:p>
    <w:p w14:paraId="0A1540A5">
      <w:pPr>
        <w:ind w:firstLine="600" w:firstLineChars="200"/>
        <w:rPr>
          <w:color w:val="000000"/>
          <w:sz w:val="30"/>
          <w:szCs w:val="30"/>
        </w:rPr>
      </w:pPr>
      <w:r>
        <w:rPr>
          <w:rFonts w:hint="eastAsia"/>
          <w:color w:val="000000"/>
          <w:sz w:val="30"/>
          <w:szCs w:val="30"/>
        </w:rPr>
        <w:t>根据委托方的委托要求，受托方应根据国家、地区及行业的有关政策、法规及规范要求，按时向委托方提交咨询成果。</w:t>
      </w:r>
    </w:p>
    <w:p w14:paraId="7D723EDF">
      <w:pPr>
        <w:ind w:firstLine="602" w:firstLineChars="200"/>
        <w:rPr>
          <w:b/>
          <w:color w:val="000000"/>
          <w:sz w:val="30"/>
          <w:szCs w:val="30"/>
        </w:rPr>
      </w:pPr>
      <w:r>
        <w:rPr>
          <w:rFonts w:hint="eastAsia"/>
          <w:b/>
          <w:color w:val="000000"/>
          <w:sz w:val="30"/>
          <w:szCs w:val="30"/>
        </w:rPr>
        <w:t>第一条 委托项目名称及合同类型</w:t>
      </w:r>
    </w:p>
    <w:p w14:paraId="636A6640">
      <w:pPr>
        <w:ind w:left="596" w:leftChars="284"/>
        <w:rPr>
          <w:color w:val="000000"/>
          <w:sz w:val="30"/>
          <w:szCs w:val="30"/>
        </w:rPr>
      </w:pPr>
      <w:r>
        <w:rPr>
          <w:rFonts w:hint="eastAsia"/>
          <w:color w:val="000000"/>
          <w:sz w:val="30"/>
          <w:szCs w:val="30"/>
        </w:rPr>
        <w:t>（一）委托项目名称：</w:t>
      </w:r>
      <w:r>
        <w:rPr>
          <w:rFonts w:hint="eastAsia"/>
          <w:color w:val="000000"/>
          <w:sz w:val="30"/>
          <w:szCs w:val="30"/>
          <w:u w:val="single"/>
        </w:rPr>
        <w:t>重庆市奥林匹克体育中心体育场及游泳跳水馆顶棚维护和游泳馆改造可行性研究报告</w:t>
      </w:r>
    </w:p>
    <w:p w14:paraId="7182CDD5">
      <w:pPr>
        <w:ind w:firstLine="600" w:firstLineChars="200"/>
        <w:rPr>
          <w:color w:val="000000"/>
          <w:sz w:val="30"/>
          <w:szCs w:val="30"/>
        </w:rPr>
      </w:pPr>
      <w:r>
        <w:rPr>
          <w:rFonts w:hint="eastAsia"/>
          <w:color w:val="000000"/>
          <w:sz w:val="30"/>
          <w:szCs w:val="30"/>
        </w:rPr>
        <w:t>（二）合同类型：</w:t>
      </w:r>
      <w:r>
        <w:rPr>
          <w:rFonts w:hint="eastAsia"/>
          <w:color w:val="000000"/>
          <w:sz w:val="30"/>
          <w:szCs w:val="30"/>
          <w:u w:val="single"/>
        </w:rPr>
        <w:t>可行性研究报告</w:t>
      </w:r>
    </w:p>
    <w:p w14:paraId="17B8FC5B">
      <w:pPr>
        <w:ind w:firstLine="602" w:firstLineChars="200"/>
        <w:rPr>
          <w:b/>
          <w:color w:val="000000"/>
          <w:sz w:val="30"/>
          <w:szCs w:val="30"/>
        </w:rPr>
      </w:pPr>
      <w:r>
        <w:rPr>
          <w:rFonts w:hint="eastAsia"/>
          <w:b/>
          <w:color w:val="000000"/>
          <w:sz w:val="30"/>
          <w:szCs w:val="30"/>
        </w:rPr>
        <w:t>第二条 咨询项目概况</w:t>
      </w:r>
    </w:p>
    <w:p w14:paraId="5B152250">
      <w:pPr>
        <w:ind w:firstLine="600" w:firstLineChars="200"/>
        <w:rPr>
          <w:color w:val="000000"/>
          <w:sz w:val="30"/>
          <w:szCs w:val="30"/>
        </w:rPr>
      </w:pPr>
      <w:r>
        <w:rPr>
          <w:rFonts w:hint="eastAsia"/>
          <w:color w:val="000000"/>
          <w:sz w:val="30"/>
          <w:szCs w:val="30"/>
        </w:rPr>
        <w:t>（一）建设地点：</w:t>
      </w:r>
      <w:r>
        <w:rPr>
          <w:rFonts w:hint="eastAsia"/>
          <w:color w:val="000000"/>
          <w:sz w:val="30"/>
          <w:szCs w:val="30"/>
          <w:u w:val="single"/>
        </w:rPr>
        <w:t>重庆市九龙坡区</w:t>
      </w:r>
      <w:r>
        <w:rPr>
          <w:rFonts w:hint="eastAsia"/>
          <w:color w:val="000000"/>
          <w:sz w:val="30"/>
          <w:szCs w:val="30"/>
        </w:rPr>
        <w:t>；</w:t>
      </w:r>
    </w:p>
    <w:p w14:paraId="7D897DAD">
      <w:pPr>
        <w:ind w:firstLine="600" w:firstLineChars="200"/>
        <w:rPr>
          <w:color w:val="000000"/>
          <w:sz w:val="30"/>
          <w:szCs w:val="30"/>
        </w:rPr>
      </w:pPr>
      <w:r>
        <w:rPr>
          <w:rFonts w:hint="eastAsia"/>
          <w:color w:val="000000"/>
          <w:sz w:val="30"/>
          <w:szCs w:val="30"/>
        </w:rPr>
        <w:t>（二）项目总投资：</w:t>
      </w:r>
      <w:r>
        <w:rPr>
          <w:rFonts w:hint="eastAsia"/>
          <w:color w:val="000000"/>
          <w:sz w:val="30"/>
          <w:szCs w:val="30"/>
          <w:u w:val="single"/>
        </w:rPr>
        <w:t>项目总投资约4000万元。</w:t>
      </w:r>
    </w:p>
    <w:p w14:paraId="26D9E849">
      <w:pPr>
        <w:ind w:firstLine="602" w:firstLineChars="200"/>
        <w:rPr>
          <w:b/>
          <w:color w:val="000000"/>
          <w:sz w:val="30"/>
          <w:szCs w:val="30"/>
        </w:rPr>
      </w:pPr>
      <w:r>
        <w:rPr>
          <w:rFonts w:hint="eastAsia"/>
          <w:b/>
          <w:color w:val="000000"/>
          <w:sz w:val="30"/>
          <w:szCs w:val="30"/>
        </w:rPr>
        <w:t>第三条 委托咨询服务的期限、地点及进度要求</w:t>
      </w:r>
    </w:p>
    <w:p w14:paraId="6E129759">
      <w:pPr>
        <w:ind w:left="720" w:hanging="300"/>
        <w:jc w:val="left"/>
        <w:rPr>
          <w:color w:val="000000"/>
          <w:sz w:val="30"/>
          <w:szCs w:val="30"/>
        </w:rPr>
      </w:pPr>
      <w:r>
        <w:rPr>
          <w:rFonts w:hint="eastAsia"/>
          <w:color w:val="000000"/>
          <w:sz w:val="30"/>
          <w:szCs w:val="30"/>
        </w:rPr>
        <w:t>（一）技术咨询的工作期限：</w:t>
      </w:r>
    </w:p>
    <w:p w14:paraId="52C9593E">
      <w:pPr>
        <w:pStyle w:val="3"/>
        <w:ind w:firstLine="600" w:firstLineChars="200"/>
        <w:rPr>
          <w:rFonts w:hint="default" w:ascii="Times New Roman" w:hAnsi="Times New Roman" w:eastAsia="宋体" w:cs="Times New Roman"/>
          <w:color w:val="auto"/>
          <w:kern w:val="2"/>
          <w:sz w:val="30"/>
          <w:szCs w:val="30"/>
          <w:lang w:val="en-US" w:eastAsia="zh-CN" w:bidi="ar-SA"/>
        </w:rPr>
      </w:pPr>
      <w:r>
        <w:rPr>
          <w:rFonts w:hint="eastAsia" w:ascii="Times New Roman" w:hAnsi="Times New Roman" w:eastAsia="宋体" w:cs="Times New Roman"/>
          <w:color w:val="auto"/>
          <w:kern w:val="2"/>
          <w:sz w:val="30"/>
          <w:szCs w:val="30"/>
          <w:lang w:val="en-US" w:eastAsia="zh-CN" w:bidi="ar-SA"/>
        </w:rPr>
        <w:t>签订合同后至报告通过审核</w:t>
      </w:r>
    </w:p>
    <w:p w14:paraId="707DFCBD">
      <w:pPr>
        <w:ind w:firstLine="300" w:firstLineChars="100"/>
        <w:rPr>
          <w:color w:val="000000"/>
          <w:sz w:val="30"/>
          <w:szCs w:val="30"/>
        </w:rPr>
      </w:pPr>
      <w:r>
        <w:rPr>
          <w:rFonts w:hint="eastAsia"/>
          <w:color w:val="000000"/>
          <w:sz w:val="30"/>
          <w:szCs w:val="30"/>
        </w:rPr>
        <w:t>（二）咨询地点：</w:t>
      </w:r>
      <w:r>
        <w:rPr>
          <w:rFonts w:hint="eastAsia"/>
          <w:color w:val="000000"/>
          <w:sz w:val="30"/>
          <w:szCs w:val="30"/>
          <w:u w:val="single"/>
        </w:rPr>
        <w:t>重庆市渝北区新溉大道18号山顶道国宾城11幢13楼</w:t>
      </w:r>
      <w:r>
        <w:rPr>
          <w:rFonts w:hint="eastAsia"/>
          <w:color w:val="000000"/>
          <w:sz w:val="30"/>
          <w:szCs w:val="30"/>
        </w:rPr>
        <w:t>；</w:t>
      </w:r>
    </w:p>
    <w:p w14:paraId="28B40BED">
      <w:pPr>
        <w:ind w:firstLine="300" w:firstLineChars="100"/>
        <w:rPr>
          <w:rFonts w:hint="eastAsia"/>
          <w:color w:val="auto"/>
          <w:sz w:val="30"/>
          <w:szCs w:val="30"/>
        </w:rPr>
      </w:pPr>
      <w:r>
        <w:rPr>
          <w:rFonts w:hint="eastAsia"/>
          <w:color w:val="auto"/>
          <w:sz w:val="30"/>
          <w:szCs w:val="30"/>
        </w:rPr>
        <w:t>（三）进度要求：</w:t>
      </w:r>
      <w:r>
        <w:rPr>
          <w:rFonts w:hint="eastAsia"/>
          <w:color w:val="auto"/>
          <w:sz w:val="30"/>
          <w:szCs w:val="30"/>
          <w:u w:val="single"/>
        </w:rPr>
        <w:t>必须在截止期限前提交报告</w:t>
      </w:r>
      <w:r>
        <w:rPr>
          <w:rFonts w:hint="eastAsia"/>
          <w:color w:val="auto"/>
          <w:sz w:val="30"/>
          <w:szCs w:val="30"/>
        </w:rPr>
        <w:t>。</w:t>
      </w:r>
    </w:p>
    <w:p w14:paraId="0DFB539B">
      <w:pPr>
        <w:ind w:firstLine="600" w:firstLineChars="200"/>
        <w:rPr>
          <w:color w:val="auto"/>
          <w:sz w:val="30"/>
          <w:szCs w:val="30"/>
        </w:rPr>
      </w:pPr>
      <w:r>
        <w:rPr>
          <w:rFonts w:hint="eastAsia"/>
          <w:color w:val="auto"/>
          <w:sz w:val="30"/>
          <w:szCs w:val="30"/>
        </w:rPr>
        <w:t>委托方提供开展项目咨询所需的各项资料后，受托方</w:t>
      </w:r>
      <w:r>
        <w:rPr>
          <w:rFonts w:hint="eastAsia"/>
          <w:color w:val="auto"/>
          <w:sz w:val="30"/>
          <w:szCs w:val="30"/>
          <w:u w:val="single"/>
        </w:rPr>
        <w:t>两周内</w:t>
      </w:r>
      <w:r>
        <w:rPr>
          <w:rFonts w:hint="eastAsia"/>
          <w:color w:val="auto"/>
          <w:sz w:val="30"/>
          <w:szCs w:val="30"/>
        </w:rPr>
        <w:t>完成报告初稿编写；根据委托方修改意见，受托方</w:t>
      </w:r>
      <w:r>
        <w:rPr>
          <w:rFonts w:hint="eastAsia"/>
          <w:color w:val="auto"/>
          <w:sz w:val="30"/>
          <w:szCs w:val="30"/>
          <w:u w:val="single"/>
        </w:rPr>
        <w:t>两周内</w:t>
      </w:r>
      <w:r>
        <w:rPr>
          <w:rFonts w:hint="eastAsia"/>
          <w:color w:val="auto"/>
          <w:sz w:val="30"/>
          <w:szCs w:val="30"/>
        </w:rPr>
        <w:t>完成意见修改，并提交正式报告。以上时间不包括征求委托方意见及进行相关审批程序的时间。</w:t>
      </w:r>
    </w:p>
    <w:p w14:paraId="1F642DFD">
      <w:pPr>
        <w:ind w:firstLine="602" w:firstLineChars="200"/>
        <w:rPr>
          <w:b/>
          <w:color w:val="000000"/>
          <w:sz w:val="30"/>
          <w:szCs w:val="30"/>
        </w:rPr>
      </w:pPr>
      <w:r>
        <w:rPr>
          <w:rFonts w:hint="eastAsia"/>
          <w:b/>
          <w:color w:val="000000"/>
          <w:sz w:val="30"/>
          <w:szCs w:val="30"/>
        </w:rPr>
        <w:t>第四条 协作事项</w:t>
      </w:r>
    </w:p>
    <w:p w14:paraId="7835A703">
      <w:pPr>
        <w:ind w:firstLine="600" w:firstLineChars="200"/>
        <w:rPr>
          <w:color w:val="000000"/>
          <w:sz w:val="30"/>
          <w:szCs w:val="30"/>
        </w:rPr>
      </w:pPr>
      <w:r>
        <w:rPr>
          <w:rFonts w:hint="eastAsia"/>
          <w:color w:val="000000"/>
          <w:sz w:val="30"/>
          <w:szCs w:val="30"/>
        </w:rPr>
        <w:t>为保证受托方有效进行技术咨询工作，委托方应当向受托方提供下列协作事项：</w:t>
      </w:r>
    </w:p>
    <w:p w14:paraId="4A7A2380">
      <w:pPr>
        <w:ind w:firstLine="600" w:firstLineChars="200"/>
        <w:rPr>
          <w:color w:val="000000"/>
          <w:sz w:val="30"/>
          <w:szCs w:val="30"/>
        </w:rPr>
      </w:pPr>
      <w:r>
        <w:rPr>
          <w:rFonts w:hint="eastAsia"/>
          <w:color w:val="000000"/>
          <w:sz w:val="30"/>
          <w:szCs w:val="30"/>
        </w:rPr>
        <w:t>1、提供技术资料：</w:t>
      </w:r>
      <w:r>
        <w:rPr>
          <w:rFonts w:hint="eastAsia"/>
          <w:color w:val="000000"/>
          <w:sz w:val="30"/>
          <w:szCs w:val="30"/>
          <w:u w:val="single"/>
        </w:rPr>
        <w:t>如：</w:t>
      </w:r>
      <w:r>
        <w:rPr>
          <w:rFonts w:hint="eastAsia" w:ascii="宋体" w:hAnsi="宋体"/>
          <w:color w:val="000000"/>
          <w:sz w:val="30"/>
          <w:szCs w:val="30"/>
          <w:u w:val="single"/>
        </w:rPr>
        <w:t>■</w:t>
      </w:r>
      <w:r>
        <w:rPr>
          <w:rFonts w:hint="eastAsia"/>
          <w:color w:val="000000"/>
          <w:sz w:val="30"/>
          <w:szCs w:val="30"/>
          <w:u w:val="single"/>
        </w:rPr>
        <w:t>技术背景资料，</w:t>
      </w:r>
      <w:r>
        <w:rPr>
          <w:rFonts w:hint="eastAsia" w:ascii="宋体" w:hAnsi="宋体"/>
          <w:color w:val="000000"/>
          <w:sz w:val="30"/>
          <w:szCs w:val="30"/>
          <w:u w:val="single"/>
        </w:rPr>
        <w:t>■技术标准和规范，原始设计和工艺文件，■可行性论证报告，■技术评价报告，■其他与项目相关资料等</w:t>
      </w:r>
      <w:r>
        <w:rPr>
          <w:rFonts w:hint="eastAsia"/>
          <w:color w:val="000000"/>
          <w:sz w:val="30"/>
          <w:szCs w:val="30"/>
        </w:rPr>
        <w:t>。</w:t>
      </w:r>
    </w:p>
    <w:p w14:paraId="10781434">
      <w:pPr>
        <w:ind w:firstLine="600" w:firstLineChars="200"/>
        <w:rPr>
          <w:color w:val="000000"/>
          <w:sz w:val="30"/>
          <w:szCs w:val="30"/>
        </w:rPr>
      </w:pPr>
      <w:r>
        <w:rPr>
          <w:rFonts w:hint="eastAsia"/>
          <w:color w:val="000000"/>
          <w:sz w:val="30"/>
          <w:szCs w:val="30"/>
        </w:rPr>
        <w:t>2、提供工作条件：①</w:t>
      </w:r>
      <w:r>
        <w:rPr>
          <w:rFonts w:hint="eastAsia"/>
          <w:color w:val="000000"/>
          <w:sz w:val="30"/>
          <w:szCs w:val="30"/>
          <w:u w:val="single"/>
        </w:rPr>
        <w:t>有关项目的报批文件、各项往来批复文件；②有关项目的基础性资料、背景资料、统计数据、图件等；③项目调研、讨论等过程中给予协助；④报告编制期间需要的其他材料</w:t>
      </w:r>
      <w:r>
        <w:rPr>
          <w:rFonts w:hint="eastAsia"/>
          <w:color w:val="000000"/>
          <w:sz w:val="30"/>
          <w:szCs w:val="30"/>
        </w:rPr>
        <w:t>。</w:t>
      </w:r>
    </w:p>
    <w:p w14:paraId="38A1090B">
      <w:pPr>
        <w:ind w:firstLine="600" w:firstLineChars="200"/>
        <w:rPr>
          <w:color w:val="000000"/>
          <w:sz w:val="30"/>
          <w:szCs w:val="30"/>
        </w:rPr>
      </w:pPr>
      <w:r>
        <w:rPr>
          <w:rFonts w:hint="eastAsia"/>
          <w:color w:val="000000"/>
          <w:sz w:val="30"/>
          <w:szCs w:val="30"/>
        </w:rPr>
        <w:t>3、委托方提供上述协作事项的时间及方式：</w:t>
      </w:r>
      <w:r>
        <w:rPr>
          <w:rFonts w:hint="eastAsia"/>
          <w:color w:val="000000"/>
          <w:sz w:val="30"/>
          <w:szCs w:val="30"/>
          <w:u w:val="single"/>
        </w:rPr>
        <w:t>由委托方直接提供电子版和书面资料</w:t>
      </w:r>
      <w:r>
        <w:rPr>
          <w:rFonts w:hint="eastAsia"/>
          <w:color w:val="000000"/>
          <w:sz w:val="30"/>
          <w:szCs w:val="30"/>
        </w:rPr>
        <w:t>。</w:t>
      </w:r>
    </w:p>
    <w:p w14:paraId="6A6A59E2">
      <w:pPr>
        <w:ind w:firstLine="600" w:firstLineChars="200"/>
        <w:rPr>
          <w:color w:val="000000"/>
          <w:sz w:val="30"/>
          <w:szCs w:val="30"/>
        </w:rPr>
      </w:pPr>
      <w:r>
        <w:rPr>
          <w:rFonts w:hint="eastAsia"/>
          <w:color w:val="000000"/>
          <w:sz w:val="30"/>
          <w:szCs w:val="30"/>
        </w:rPr>
        <w:t>4、本合同履行完毕后，上述技术资料和条件按以下方式处理：</w:t>
      </w:r>
      <w:r>
        <w:rPr>
          <w:rFonts w:hint="eastAsia"/>
          <w:color w:val="000000"/>
          <w:sz w:val="30"/>
          <w:szCs w:val="30"/>
          <w:u w:val="single"/>
        </w:rPr>
        <w:t>与本合同有关的资料，不得向第三方泄漏。</w:t>
      </w:r>
    </w:p>
    <w:p w14:paraId="662A0160">
      <w:pPr>
        <w:ind w:firstLine="600" w:firstLineChars="200"/>
        <w:rPr>
          <w:color w:val="000000"/>
          <w:sz w:val="30"/>
          <w:szCs w:val="30"/>
        </w:rPr>
      </w:pPr>
      <w:r>
        <w:rPr>
          <w:rFonts w:hint="eastAsia"/>
          <w:color w:val="000000"/>
          <w:sz w:val="30"/>
          <w:szCs w:val="30"/>
        </w:rPr>
        <w:t>5、其它：</w:t>
      </w:r>
      <w:r>
        <w:rPr>
          <w:rFonts w:hint="eastAsia"/>
          <w:color w:val="000000"/>
          <w:sz w:val="30"/>
          <w:szCs w:val="30"/>
          <w:u w:val="single"/>
        </w:rPr>
        <w:t>报告编制期间需要的其他材料</w:t>
      </w:r>
      <w:r>
        <w:rPr>
          <w:rFonts w:hint="eastAsia"/>
          <w:color w:val="000000"/>
          <w:sz w:val="30"/>
          <w:szCs w:val="30"/>
        </w:rPr>
        <w:t>。</w:t>
      </w:r>
    </w:p>
    <w:p w14:paraId="3086BBDB">
      <w:pPr>
        <w:ind w:firstLine="602" w:firstLineChars="200"/>
        <w:rPr>
          <w:b/>
          <w:color w:val="000000"/>
          <w:sz w:val="30"/>
          <w:szCs w:val="30"/>
        </w:rPr>
      </w:pPr>
      <w:r>
        <w:rPr>
          <w:rFonts w:hint="eastAsia"/>
          <w:b/>
          <w:color w:val="000000"/>
          <w:sz w:val="30"/>
          <w:szCs w:val="30"/>
        </w:rPr>
        <w:t>第五条 委托方的权利和义务</w:t>
      </w:r>
    </w:p>
    <w:p w14:paraId="6BCCB02B">
      <w:pPr>
        <w:ind w:firstLine="600" w:firstLineChars="200"/>
        <w:rPr>
          <w:color w:val="000000"/>
          <w:sz w:val="30"/>
          <w:szCs w:val="30"/>
        </w:rPr>
      </w:pPr>
      <w:r>
        <w:rPr>
          <w:rFonts w:hint="eastAsia"/>
          <w:color w:val="000000"/>
          <w:sz w:val="30"/>
          <w:szCs w:val="30"/>
        </w:rPr>
        <w:t>（一）委托方应在合同约定的时间内提供编制本项目报告所需要的基础数据和技术资料，并协助受托方收集其他有关资料。</w:t>
      </w:r>
    </w:p>
    <w:p w14:paraId="7C495D0C">
      <w:pPr>
        <w:ind w:firstLine="600" w:firstLineChars="200"/>
        <w:rPr>
          <w:color w:val="000000"/>
          <w:sz w:val="30"/>
          <w:szCs w:val="30"/>
        </w:rPr>
      </w:pPr>
      <w:r>
        <w:rPr>
          <w:rFonts w:hint="eastAsia"/>
          <w:color w:val="000000"/>
          <w:sz w:val="30"/>
          <w:szCs w:val="30"/>
        </w:rPr>
        <w:t>（二）委托方按照约定及时向受托方支付本合同费用。</w:t>
      </w:r>
    </w:p>
    <w:p w14:paraId="46F151BF">
      <w:pPr>
        <w:ind w:firstLine="600" w:firstLineChars="200"/>
        <w:rPr>
          <w:color w:val="000000"/>
          <w:sz w:val="30"/>
          <w:szCs w:val="30"/>
        </w:rPr>
      </w:pPr>
      <w:r>
        <w:rPr>
          <w:rFonts w:hint="eastAsia"/>
          <w:color w:val="000000"/>
          <w:sz w:val="30"/>
          <w:szCs w:val="30"/>
        </w:rPr>
        <w:t>（三）委托方在合同期内项目发生变化时应及时通知受托方。</w:t>
      </w:r>
    </w:p>
    <w:p w14:paraId="1E93A126">
      <w:pPr>
        <w:ind w:firstLine="600" w:firstLineChars="200"/>
        <w:rPr>
          <w:color w:val="000000"/>
          <w:sz w:val="30"/>
          <w:szCs w:val="30"/>
        </w:rPr>
      </w:pPr>
      <w:r>
        <w:rPr>
          <w:rFonts w:hint="eastAsia"/>
          <w:color w:val="000000"/>
          <w:sz w:val="30"/>
          <w:szCs w:val="30"/>
        </w:rPr>
        <w:t>（四）因委托方责任造成报告重大修改，或返工重做，应另行增加费用，其数额由双方另行商定，同时，提交成果的时间相应调整，双方另行签订补充协议。在合同期内项目发生变化时应及时通知受托方。</w:t>
      </w:r>
    </w:p>
    <w:p w14:paraId="01E86891">
      <w:pPr>
        <w:ind w:firstLine="602" w:firstLineChars="200"/>
        <w:rPr>
          <w:b/>
          <w:color w:val="000000"/>
          <w:sz w:val="30"/>
          <w:szCs w:val="30"/>
        </w:rPr>
      </w:pPr>
      <w:r>
        <w:rPr>
          <w:rFonts w:hint="eastAsia"/>
          <w:b/>
          <w:color w:val="000000"/>
          <w:sz w:val="30"/>
          <w:szCs w:val="30"/>
        </w:rPr>
        <w:t>第六条 受托方的权利和义务</w:t>
      </w:r>
    </w:p>
    <w:p w14:paraId="27A4AA7E">
      <w:pPr>
        <w:ind w:firstLine="600" w:firstLineChars="200"/>
        <w:rPr>
          <w:color w:val="000000"/>
          <w:sz w:val="30"/>
          <w:szCs w:val="30"/>
        </w:rPr>
      </w:pPr>
      <w:r>
        <w:rPr>
          <w:rFonts w:hint="eastAsia"/>
          <w:color w:val="000000"/>
          <w:sz w:val="30"/>
          <w:szCs w:val="30"/>
        </w:rPr>
        <w:t>（一）受托方应在合同约定的时间内完成咨询报告，使本报告达到合同规定的要求。</w:t>
      </w:r>
    </w:p>
    <w:p w14:paraId="583BA537">
      <w:pPr>
        <w:ind w:firstLine="600" w:firstLineChars="200"/>
        <w:rPr>
          <w:color w:val="000000"/>
          <w:sz w:val="30"/>
          <w:szCs w:val="30"/>
        </w:rPr>
      </w:pPr>
      <w:r>
        <w:rPr>
          <w:rFonts w:hint="eastAsia"/>
          <w:color w:val="000000"/>
          <w:sz w:val="30"/>
          <w:szCs w:val="30"/>
        </w:rPr>
        <w:t>（二）受托方提供的咨询成果达不到合同规定要求的，受托方应无条件完善、修改。</w:t>
      </w:r>
    </w:p>
    <w:p w14:paraId="608AC225">
      <w:pPr>
        <w:ind w:firstLine="600" w:firstLineChars="200"/>
        <w:rPr>
          <w:color w:val="000000"/>
          <w:sz w:val="30"/>
          <w:szCs w:val="30"/>
        </w:rPr>
      </w:pPr>
      <w:r>
        <w:rPr>
          <w:rFonts w:hint="eastAsia"/>
          <w:color w:val="000000"/>
          <w:sz w:val="30"/>
          <w:szCs w:val="30"/>
        </w:rPr>
        <w:t>（三）受托方应对委托方提供的资料承担保密义务。</w:t>
      </w:r>
    </w:p>
    <w:p w14:paraId="26D24D62">
      <w:pPr>
        <w:ind w:firstLine="600" w:firstLineChars="200"/>
        <w:rPr>
          <w:color w:val="000000"/>
          <w:sz w:val="30"/>
          <w:szCs w:val="30"/>
        </w:rPr>
      </w:pPr>
      <w:r>
        <w:rPr>
          <w:rFonts w:hint="eastAsia"/>
          <w:color w:val="000000"/>
          <w:sz w:val="30"/>
          <w:szCs w:val="30"/>
        </w:rPr>
        <w:t>（四）未经委托方同意，受托方不得擅自将咨询成果提供给第三方使用，否则，由此发生的损失和法律责任由受托方承担。</w:t>
      </w:r>
    </w:p>
    <w:p w14:paraId="08A2A823">
      <w:pPr>
        <w:ind w:firstLine="600" w:firstLineChars="200"/>
        <w:rPr>
          <w:color w:val="000000"/>
          <w:sz w:val="30"/>
          <w:szCs w:val="30"/>
        </w:rPr>
      </w:pPr>
      <w:r>
        <w:rPr>
          <w:rFonts w:hint="eastAsia"/>
          <w:color w:val="000000"/>
          <w:sz w:val="30"/>
          <w:szCs w:val="30"/>
        </w:rPr>
        <w:t>（五）受托方应按合同约定向委托方提供咨询报告</w:t>
      </w:r>
      <w:r>
        <w:rPr>
          <w:rFonts w:hint="eastAsia"/>
          <w:color w:val="000000"/>
          <w:sz w:val="30"/>
          <w:szCs w:val="30"/>
          <w:u w:val="single"/>
        </w:rPr>
        <w:t xml:space="preserve"> </w:t>
      </w:r>
      <w:r>
        <w:rPr>
          <w:color w:val="000000"/>
          <w:sz w:val="30"/>
          <w:szCs w:val="30"/>
          <w:u w:val="single"/>
        </w:rPr>
        <w:t>6</w:t>
      </w:r>
      <w:r>
        <w:rPr>
          <w:rFonts w:hint="eastAsia"/>
          <w:color w:val="000000"/>
          <w:sz w:val="30"/>
          <w:szCs w:val="30"/>
        </w:rPr>
        <w:t>份。若委托方要求增加咨询报告份数，受托方将按本单位规定收取咨询报告的文印工本费。</w:t>
      </w:r>
    </w:p>
    <w:p w14:paraId="41111063">
      <w:pPr>
        <w:ind w:firstLine="602" w:firstLineChars="200"/>
        <w:rPr>
          <w:b/>
          <w:color w:val="000000"/>
          <w:sz w:val="30"/>
          <w:szCs w:val="30"/>
        </w:rPr>
      </w:pPr>
      <w:r>
        <w:rPr>
          <w:rFonts w:hint="eastAsia"/>
          <w:b/>
          <w:color w:val="000000"/>
          <w:sz w:val="30"/>
          <w:szCs w:val="30"/>
        </w:rPr>
        <w:t>第七条 合同金额与付款方式</w:t>
      </w:r>
    </w:p>
    <w:p w14:paraId="3E10EB8C">
      <w:pPr>
        <w:ind w:firstLine="600" w:firstLineChars="200"/>
        <w:rPr>
          <w:color w:val="000000"/>
          <w:sz w:val="30"/>
          <w:szCs w:val="30"/>
        </w:rPr>
      </w:pPr>
      <w:r>
        <w:rPr>
          <w:rFonts w:hint="eastAsia"/>
          <w:color w:val="000000"/>
          <w:sz w:val="30"/>
          <w:szCs w:val="30"/>
        </w:rPr>
        <w:t>（一）合同金额：</w:t>
      </w:r>
      <w:r>
        <w:rPr>
          <w:rFonts w:hint="eastAsia"/>
          <w:color w:val="000000"/>
          <w:sz w:val="30"/>
          <w:szCs w:val="30"/>
          <w:u w:val="single"/>
        </w:rPr>
        <w:t>495</w:t>
      </w:r>
      <w:r>
        <w:rPr>
          <w:color w:val="000000"/>
          <w:sz w:val="30"/>
          <w:szCs w:val="30"/>
          <w:u w:val="single"/>
        </w:rPr>
        <w:t>00</w:t>
      </w:r>
      <w:r>
        <w:rPr>
          <w:rFonts w:hint="eastAsia"/>
          <w:color w:val="000000"/>
          <w:sz w:val="30"/>
          <w:szCs w:val="30"/>
          <w:u w:val="single"/>
        </w:rPr>
        <w:t>元（大写:人民币肆万玖仟伍佰元整）</w:t>
      </w:r>
    </w:p>
    <w:p w14:paraId="0A872B2E">
      <w:pPr>
        <w:ind w:firstLine="600" w:firstLineChars="200"/>
        <w:rPr>
          <w:color w:val="000000"/>
          <w:sz w:val="30"/>
          <w:szCs w:val="30"/>
        </w:rPr>
      </w:pPr>
      <w:r>
        <w:rPr>
          <w:rFonts w:hint="eastAsia"/>
          <w:color w:val="000000"/>
          <w:sz w:val="30"/>
          <w:szCs w:val="30"/>
        </w:rPr>
        <w:t>（二）付款方式</w:t>
      </w:r>
    </w:p>
    <w:p w14:paraId="23C9D43F">
      <w:pPr>
        <w:ind w:firstLine="600" w:firstLineChars="200"/>
        <w:rPr>
          <w:color w:val="000000"/>
          <w:sz w:val="30"/>
          <w:szCs w:val="30"/>
          <w:u w:val="single"/>
        </w:rPr>
      </w:pPr>
      <w:r>
        <w:rPr>
          <w:rFonts w:hint="eastAsia"/>
          <w:color w:val="000000"/>
          <w:sz w:val="30"/>
          <w:szCs w:val="30"/>
          <w:u w:val="single"/>
        </w:rPr>
        <w:t>提交项目可行性研究性报告初稿后，支付合同价的50%；可行性研究性报告通过论证和审核后支付至合同价的100%。</w:t>
      </w:r>
    </w:p>
    <w:p w14:paraId="0A160CC7">
      <w:pPr>
        <w:ind w:firstLine="602" w:firstLineChars="200"/>
        <w:rPr>
          <w:b/>
          <w:color w:val="000000"/>
          <w:sz w:val="30"/>
          <w:szCs w:val="30"/>
        </w:rPr>
      </w:pPr>
      <w:r>
        <w:rPr>
          <w:rFonts w:hint="eastAsia"/>
          <w:b/>
          <w:color w:val="000000"/>
          <w:sz w:val="30"/>
          <w:szCs w:val="30"/>
        </w:rPr>
        <w:t>第八条 交付与验收</w:t>
      </w:r>
    </w:p>
    <w:p w14:paraId="1D10E9D0">
      <w:pPr>
        <w:ind w:firstLine="600" w:firstLineChars="200"/>
        <w:rPr>
          <w:color w:val="000000"/>
          <w:sz w:val="30"/>
          <w:szCs w:val="30"/>
        </w:rPr>
      </w:pPr>
      <w:r>
        <w:rPr>
          <w:rFonts w:hint="eastAsia"/>
          <w:color w:val="000000"/>
          <w:sz w:val="30"/>
          <w:szCs w:val="30"/>
        </w:rPr>
        <w:t>双方确定，按以下标准和方式对受托方提交的咨询成果进行验收：</w:t>
      </w:r>
    </w:p>
    <w:p w14:paraId="5352FEC7">
      <w:pPr>
        <w:ind w:firstLine="600" w:firstLineChars="200"/>
        <w:rPr>
          <w:color w:val="000000"/>
          <w:sz w:val="30"/>
          <w:szCs w:val="30"/>
        </w:rPr>
      </w:pPr>
      <w:r>
        <w:rPr>
          <w:rFonts w:hint="eastAsia"/>
          <w:color w:val="000000"/>
          <w:sz w:val="30"/>
          <w:szCs w:val="30"/>
        </w:rPr>
        <w:t>（一）交付内容</w:t>
      </w:r>
    </w:p>
    <w:p w14:paraId="12CB24E8">
      <w:pPr>
        <w:ind w:firstLine="600" w:firstLineChars="200"/>
        <w:rPr>
          <w:color w:val="000000"/>
          <w:sz w:val="30"/>
          <w:szCs w:val="30"/>
        </w:rPr>
      </w:pPr>
      <w:r>
        <w:rPr>
          <w:rFonts w:hint="eastAsia"/>
          <w:color w:val="000000"/>
          <w:sz w:val="30"/>
          <w:szCs w:val="30"/>
        </w:rPr>
        <w:t>受托方提交咨询成果的形式：</w:t>
      </w:r>
      <w:r>
        <w:rPr>
          <w:rFonts w:hint="eastAsia"/>
          <w:color w:val="000000"/>
          <w:sz w:val="30"/>
          <w:szCs w:val="30"/>
          <w:u w:val="single"/>
        </w:rPr>
        <w:t>在与甲方交换意见并得到甲方认可后，完成本报告，并将报告的电子版、纸质件（6份）交付甲方。</w:t>
      </w:r>
    </w:p>
    <w:p w14:paraId="788193AE">
      <w:pPr>
        <w:ind w:firstLine="600" w:firstLineChars="200"/>
        <w:rPr>
          <w:color w:val="000000"/>
          <w:sz w:val="30"/>
          <w:szCs w:val="30"/>
        </w:rPr>
      </w:pPr>
      <w:r>
        <w:rPr>
          <w:rFonts w:hint="eastAsia"/>
          <w:color w:val="000000"/>
          <w:sz w:val="30"/>
          <w:szCs w:val="30"/>
        </w:rPr>
        <w:t>（二）交付的形式、数量、时间及地点</w:t>
      </w:r>
    </w:p>
    <w:p w14:paraId="21BF967A">
      <w:pPr>
        <w:ind w:firstLine="600" w:firstLineChars="200"/>
        <w:rPr>
          <w:color w:val="000000"/>
          <w:sz w:val="30"/>
          <w:szCs w:val="30"/>
        </w:rPr>
      </w:pPr>
      <w:r>
        <w:rPr>
          <w:rFonts w:hint="eastAsia"/>
          <w:color w:val="000000"/>
          <w:sz w:val="30"/>
          <w:szCs w:val="30"/>
        </w:rPr>
        <w:t>以书面咨询报告作为咨询成果，则书面咨询成果的形式、数量、时间及地点为：</w:t>
      </w:r>
    </w:p>
    <w:p w14:paraId="78EF95D9">
      <w:pPr>
        <w:ind w:firstLine="600" w:firstLineChars="200"/>
        <w:rPr>
          <w:color w:val="000000"/>
          <w:sz w:val="30"/>
          <w:szCs w:val="30"/>
        </w:rPr>
      </w:pPr>
      <w:r>
        <w:rPr>
          <w:rFonts w:hint="eastAsia"/>
          <w:color w:val="000000"/>
          <w:sz w:val="30"/>
          <w:szCs w:val="30"/>
        </w:rPr>
        <w:t>书面咨询报告（一式</w:t>
      </w:r>
      <w:r>
        <w:rPr>
          <w:rFonts w:hint="eastAsia"/>
          <w:color w:val="000000"/>
          <w:sz w:val="30"/>
          <w:szCs w:val="30"/>
          <w:u w:val="single"/>
        </w:rPr>
        <w:t xml:space="preserve"> </w:t>
      </w:r>
      <w:r>
        <w:rPr>
          <w:color w:val="000000"/>
          <w:sz w:val="30"/>
          <w:szCs w:val="30"/>
          <w:u w:val="single"/>
        </w:rPr>
        <w:t>6</w:t>
      </w:r>
      <w:r>
        <w:rPr>
          <w:rFonts w:hint="eastAsia"/>
          <w:color w:val="000000"/>
          <w:sz w:val="30"/>
          <w:szCs w:val="30"/>
        </w:rPr>
        <w:t>份），电子资料</w:t>
      </w:r>
      <w:r>
        <w:rPr>
          <w:rFonts w:hint="eastAsia"/>
          <w:color w:val="000000"/>
          <w:sz w:val="30"/>
          <w:szCs w:val="30"/>
          <w:u w:val="single"/>
        </w:rPr>
        <w:t>1份</w:t>
      </w:r>
      <w:r>
        <w:rPr>
          <w:rFonts w:hint="eastAsia"/>
          <w:color w:val="000000"/>
          <w:sz w:val="30"/>
          <w:szCs w:val="30"/>
        </w:rPr>
        <w:t>。</w:t>
      </w:r>
    </w:p>
    <w:p w14:paraId="30F9CF2C">
      <w:pPr>
        <w:ind w:firstLine="600" w:firstLineChars="200"/>
        <w:rPr>
          <w:color w:val="000000"/>
          <w:sz w:val="30"/>
          <w:szCs w:val="30"/>
        </w:rPr>
      </w:pPr>
      <w:r>
        <w:rPr>
          <w:rFonts w:hint="eastAsia"/>
          <w:color w:val="000000"/>
          <w:sz w:val="30"/>
          <w:szCs w:val="30"/>
        </w:rPr>
        <w:t>时间：</w:t>
      </w:r>
      <w:r>
        <w:rPr>
          <w:rFonts w:hint="eastAsia"/>
          <w:color w:val="000000"/>
          <w:sz w:val="30"/>
          <w:szCs w:val="30"/>
          <w:u w:val="single"/>
        </w:rPr>
        <w:t>受托方提交正式报告后当日</w:t>
      </w:r>
    </w:p>
    <w:p w14:paraId="00840342">
      <w:pPr>
        <w:ind w:firstLine="600" w:firstLineChars="200"/>
        <w:rPr>
          <w:color w:val="000000"/>
          <w:sz w:val="30"/>
          <w:szCs w:val="30"/>
        </w:rPr>
      </w:pPr>
      <w:r>
        <w:rPr>
          <w:rFonts w:hint="eastAsia"/>
          <w:color w:val="000000"/>
          <w:sz w:val="30"/>
          <w:szCs w:val="30"/>
        </w:rPr>
        <w:t>地点：</w:t>
      </w:r>
      <w:r>
        <w:rPr>
          <w:rFonts w:hint="eastAsia"/>
          <w:color w:val="000000"/>
          <w:sz w:val="30"/>
          <w:szCs w:val="30"/>
          <w:u w:val="single"/>
        </w:rPr>
        <w:t>受托方提交正式报告后当日内在委托方所在地</w:t>
      </w:r>
    </w:p>
    <w:p w14:paraId="1D7F1E50">
      <w:pPr>
        <w:ind w:firstLine="600" w:firstLineChars="200"/>
        <w:rPr>
          <w:color w:val="000000"/>
          <w:sz w:val="30"/>
          <w:szCs w:val="30"/>
        </w:rPr>
      </w:pPr>
      <w:r>
        <w:rPr>
          <w:rFonts w:hint="eastAsia"/>
          <w:color w:val="000000"/>
          <w:sz w:val="30"/>
          <w:szCs w:val="30"/>
        </w:rPr>
        <w:t>（三）成果验收</w:t>
      </w:r>
    </w:p>
    <w:p w14:paraId="22A9F262">
      <w:pPr>
        <w:ind w:firstLine="600" w:firstLineChars="200"/>
        <w:rPr>
          <w:color w:val="000000"/>
          <w:sz w:val="30"/>
          <w:szCs w:val="30"/>
        </w:rPr>
      </w:pPr>
      <w:r>
        <w:rPr>
          <w:rFonts w:hint="eastAsia"/>
          <w:color w:val="000000"/>
          <w:sz w:val="30"/>
          <w:szCs w:val="30"/>
        </w:rPr>
        <w:t>委托方按方式（评审、审查或其他）对受托方完成的咨询成果进行验收，验收合格的，出具书面的咨询成果完成证明。</w:t>
      </w:r>
    </w:p>
    <w:p w14:paraId="34719047">
      <w:pPr>
        <w:ind w:firstLine="600" w:firstLineChars="200"/>
        <w:rPr>
          <w:color w:val="000000"/>
          <w:sz w:val="30"/>
          <w:szCs w:val="30"/>
        </w:rPr>
      </w:pPr>
      <w:r>
        <w:rPr>
          <w:rFonts w:hint="eastAsia"/>
          <w:color w:val="000000"/>
          <w:sz w:val="30"/>
          <w:szCs w:val="30"/>
        </w:rPr>
        <w:t>（1）咨询成果的验收标准：</w:t>
      </w:r>
      <w:r>
        <w:rPr>
          <w:rFonts w:hint="eastAsia"/>
          <w:color w:val="000000"/>
          <w:sz w:val="30"/>
          <w:szCs w:val="30"/>
          <w:u w:val="single"/>
        </w:rPr>
        <w:t>内容和深度符合国家、市发改委和九龙坡区的编制要求。</w:t>
      </w:r>
    </w:p>
    <w:p w14:paraId="1DAA13AE">
      <w:pPr>
        <w:ind w:firstLine="600" w:firstLineChars="200"/>
        <w:rPr>
          <w:rFonts w:hint="eastAsia" w:eastAsia="宋体"/>
          <w:color w:val="000000"/>
          <w:sz w:val="30"/>
          <w:szCs w:val="30"/>
          <w:u w:val="single"/>
          <w:lang w:eastAsia="zh-CN"/>
        </w:rPr>
      </w:pPr>
      <w:r>
        <w:rPr>
          <w:rFonts w:hint="eastAsia"/>
          <w:color w:val="000000"/>
          <w:sz w:val="30"/>
          <w:szCs w:val="30"/>
        </w:rPr>
        <w:t>（2）咨询成果的验收方法：</w:t>
      </w:r>
      <w:r>
        <w:rPr>
          <w:rFonts w:hint="eastAsia"/>
          <w:color w:val="000000"/>
          <w:sz w:val="30"/>
          <w:szCs w:val="30"/>
          <w:u w:val="single"/>
          <w:lang w:eastAsia="zh-CN"/>
        </w:rPr>
        <w:t>通过项目相关审批部门审核</w:t>
      </w:r>
    </w:p>
    <w:p w14:paraId="3AA2AF3E">
      <w:pPr>
        <w:ind w:firstLine="600" w:firstLineChars="200"/>
        <w:rPr>
          <w:color w:val="000000"/>
          <w:sz w:val="30"/>
          <w:szCs w:val="30"/>
        </w:rPr>
      </w:pPr>
      <w:r>
        <w:rPr>
          <w:rFonts w:hint="eastAsia"/>
          <w:color w:val="000000"/>
          <w:sz w:val="30"/>
          <w:szCs w:val="30"/>
        </w:rPr>
        <w:t>（3）验收的时间和地点：</w:t>
      </w:r>
      <w:r>
        <w:rPr>
          <w:rFonts w:hint="eastAsia"/>
          <w:color w:val="000000"/>
          <w:sz w:val="30"/>
          <w:szCs w:val="30"/>
          <w:u w:val="single"/>
        </w:rPr>
        <w:t>受托方提交正式报告后当日内在委托方所在地</w:t>
      </w:r>
      <w:r>
        <w:rPr>
          <w:rFonts w:hint="eastAsia"/>
          <w:color w:val="000000"/>
          <w:sz w:val="30"/>
          <w:szCs w:val="30"/>
        </w:rPr>
        <w:t>。</w:t>
      </w:r>
    </w:p>
    <w:p w14:paraId="1222B6DB">
      <w:pPr>
        <w:ind w:firstLine="600" w:firstLineChars="200"/>
        <w:rPr>
          <w:color w:val="000000"/>
          <w:sz w:val="30"/>
          <w:szCs w:val="30"/>
        </w:rPr>
      </w:pPr>
      <w:r>
        <w:rPr>
          <w:rFonts w:hint="eastAsia"/>
          <w:color w:val="000000"/>
          <w:sz w:val="30"/>
          <w:szCs w:val="30"/>
        </w:rPr>
        <w:t>（4）在合同约定的验收期内仍不具备验收条件的或验收不合格的，经委托方同意可以给予受托方</w:t>
      </w:r>
      <w:r>
        <w:rPr>
          <w:rFonts w:hint="eastAsia"/>
          <w:color w:val="000000"/>
          <w:sz w:val="30"/>
          <w:szCs w:val="30"/>
          <w:u w:val="single"/>
        </w:rPr>
        <w:t>15</w:t>
      </w:r>
      <w:r>
        <w:rPr>
          <w:rFonts w:hint="eastAsia"/>
          <w:color w:val="000000"/>
          <w:sz w:val="30"/>
          <w:szCs w:val="30"/>
        </w:rPr>
        <w:t>日的宽限期进行完善和修正。在宽限期内验收合格的，不视为违约；宽限期满仍不具备验收条件或验收不合格的，按第九条“违约则责任”处理。</w:t>
      </w:r>
    </w:p>
    <w:p w14:paraId="7E5BDC02">
      <w:pPr>
        <w:ind w:firstLine="602" w:firstLineChars="200"/>
        <w:rPr>
          <w:b/>
          <w:color w:val="000000"/>
          <w:sz w:val="30"/>
          <w:szCs w:val="30"/>
        </w:rPr>
      </w:pPr>
      <w:r>
        <w:rPr>
          <w:rFonts w:hint="eastAsia"/>
          <w:b/>
          <w:color w:val="000000"/>
          <w:sz w:val="30"/>
          <w:szCs w:val="30"/>
        </w:rPr>
        <w:t>第九条 违约责任</w:t>
      </w:r>
    </w:p>
    <w:p w14:paraId="07CEC493">
      <w:pPr>
        <w:ind w:firstLine="600" w:firstLineChars="200"/>
        <w:rPr>
          <w:rFonts w:hint="eastAsia"/>
          <w:color w:val="auto"/>
          <w:sz w:val="30"/>
          <w:szCs w:val="30"/>
        </w:rPr>
      </w:pPr>
      <w:r>
        <w:rPr>
          <w:rFonts w:hint="eastAsia"/>
          <w:color w:val="auto"/>
          <w:sz w:val="30"/>
          <w:szCs w:val="30"/>
        </w:rPr>
        <w:t>1、委托方应按时付款，否则需承担违约责任；委托方违反约定，不能按时提供技术资料或工作条件或提供技术资料不准确，导致受托方无法按期完成并提交咨询成果的，受托方有权按延误的时间予以顺延；造成咨询成果重大返工或修改时，委托方应按实际完成的工作量增付费用。</w:t>
      </w:r>
    </w:p>
    <w:p w14:paraId="2970174A">
      <w:pPr>
        <w:ind w:firstLine="600" w:firstLineChars="200"/>
        <w:rPr>
          <w:rFonts w:hint="eastAsia"/>
          <w:color w:val="000000"/>
          <w:sz w:val="30"/>
          <w:szCs w:val="30"/>
        </w:rPr>
      </w:pPr>
      <w:r>
        <w:rPr>
          <w:rFonts w:hint="eastAsia"/>
          <w:color w:val="000000"/>
          <w:sz w:val="30"/>
          <w:szCs w:val="30"/>
        </w:rPr>
        <w:t>2、委托方因故要求中途终止合同时，应及时书面通知受托方。受托方不退还委托方支付的定金。若受托方已开展工作，委托方应按受托方实际完成的工作量支付相应的咨询费。</w:t>
      </w:r>
    </w:p>
    <w:p w14:paraId="2463C62D">
      <w:pPr>
        <w:ind w:firstLine="600" w:firstLineChars="200"/>
        <w:rPr>
          <w:color w:val="FF0000"/>
          <w:sz w:val="30"/>
          <w:szCs w:val="30"/>
        </w:rPr>
      </w:pPr>
      <w:r>
        <w:rPr>
          <w:rFonts w:hint="eastAsia"/>
          <w:color w:val="auto"/>
          <w:sz w:val="30"/>
          <w:szCs w:val="30"/>
          <w:lang w:val="en-US" w:eastAsia="zh-CN"/>
        </w:rPr>
        <w:t>3</w:t>
      </w:r>
      <w:r>
        <w:rPr>
          <w:rFonts w:hint="eastAsia"/>
          <w:color w:val="auto"/>
          <w:sz w:val="30"/>
          <w:szCs w:val="30"/>
        </w:rPr>
        <w:t>、</w:t>
      </w:r>
      <w:r>
        <w:rPr>
          <w:rFonts w:hint="eastAsia"/>
          <w:color w:val="auto"/>
          <w:sz w:val="30"/>
          <w:szCs w:val="30"/>
          <w:lang w:eastAsia="zh-CN"/>
        </w:rPr>
        <w:t>受托方应按时完成委托方受托，</w:t>
      </w:r>
      <w:r>
        <w:rPr>
          <w:rFonts w:hint="eastAsia"/>
          <w:color w:val="auto"/>
          <w:sz w:val="30"/>
          <w:szCs w:val="30"/>
        </w:rPr>
        <w:t>否则需承担违约责任</w:t>
      </w:r>
      <w:r>
        <w:rPr>
          <w:rFonts w:hint="eastAsia"/>
          <w:color w:val="auto"/>
          <w:sz w:val="30"/>
          <w:szCs w:val="30"/>
          <w:lang w:eastAsia="zh-CN"/>
        </w:rPr>
        <w:t>。</w:t>
      </w:r>
      <w:r>
        <w:rPr>
          <w:rFonts w:hint="eastAsia"/>
          <w:color w:val="auto"/>
          <w:sz w:val="30"/>
          <w:szCs w:val="30"/>
        </w:rPr>
        <w:t>受托方故意或重大过失，提供错误或不合格信息而导致委托方损失的，受托方有责任采取补救措施，并按实际情况赔偿委托方因此而造成的直接损失，具体金额双方友好协商。</w:t>
      </w:r>
    </w:p>
    <w:p w14:paraId="7BC988F5">
      <w:pPr>
        <w:ind w:firstLine="600" w:firstLineChars="200"/>
        <w:rPr>
          <w:color w:val="auto"/>
          <w:sz w:val="30"/>
          <w:szCs w:val="30"/>
        </w:rPr>
      </w:pPr>
      <w:r>
        <w:rPr>
          <w:rFonts w:hint="eastAsia"/>
          <w:color w:val="auto"/>
          <w:sz w:val="30"/>
          <w:szCs w:val="30"/>
          <w:lang w:val="en-US" w:eastAsia="zh-CN"/>
        </w:rPr>
        <w:t>4</w:t>
      </w:r>
      <w:r>
        <w:rPr>
          <w:rFonts w:hint="eastAsia"/>
          <w:color w:val="auto"/>
          <w:sz w:val="30"/>
          <w:szCs w:val="30"/>
        </w:rPr>
        <w:t>、受托方恶意违反约定，未按合同约定提交咨询成果的，委托方有权解除合同，受托方应返还已收取的咨询费用，并另行支付违约金，具体金额双方友好协商。</w:t>
      </w:r>
    </w:p>
    <w:p w14:paraId="5A179835">
      <w:pPr>
        <w:ind w:firstLine="602" w:firstLineChars="200"/>
        <w:rPr>
          <w:b/>
          <w:color w:val="000000"/>
          <w:sz w:val="30"/>
          <w:szCs w:val="30"/>
        </w:rPr>
      </w:pPr>
      <w:r>
        <w:rPr>
          <w:rFonts w:hint="eastAsia"/>
          <w:b/>
          <w:color w:val="000000"/>
          <w:sz w:val="30"/>
          <w:szCs w:val="30"/>
        </w:rPr>
        <w:t>第十条 通知与送达</w:t>
      </w:r>
    </w:p>
    <w:p w14:paraId="48EF7F2D">
      <w:pPr>
        <w:ind w:firstLine="600" w:firstLineChars="200"/>
        <w:rPr>
          <w:color w:val="000000"/>
          <w:sz w:val="30"/>
          <w:szCs w:val="30"/>
        </w:rPr>
      </w:pPr>
      <w:r>
        <w:rPr>
          <w:rFonts w:hint="eastAsia"/>
          <w:color w:val="000000"/>
          <w:sz w:val="30"/>
          <w:szCs w:val="30"/>
        </w:rPr>
        <w:t>所有通知和通信都应是书面的（可用电子邮件预送达），并亲自送达或以传真、挂号邮寄、特快专递等方式至本合同所示的项目联系人。</w:t>
      </w:r>
    </w:p>
    <w:p w14:paraId="6968D808">
      <w:pPr>
        <w:ind w:firstLine="600" w:firstLineChars="200"/>
        <w:rPr>
          <w:color w:val="000000"/>
          <w:sz w:val="30"/>
          <w:szCs w:val="30"/>
        </w:rPr>
      </w:pPr>
      <w:r>
        <w:rPr>
          <w:rFonts w:hint="eastAsia"/>
          <w:color w:val="000000"/>
          <w:sz w:val="30"/>
          <w:szCs w:val="30"/>
        </w:rPr>
        <w:t>亲自送达或挂号邮寄、特快专递的通知送达时生效，传真发送后在收到对方确认函时生效。任何一方变更本合同所示的项目联系人及联系方式，应提前5日书面通知对方。</w:t>
      </w:r>
    </w:p>
    <w:p w14:paraId="59DA9DDD">
      <w:pPr>
        <w:ind w:firstLine="602" w:firstLineChars="200"/>
        <w:rPr>
          <w:b/>
          <w:color w:val="000000"/>
          <w:sz w:val="30"/>
          <w:szCs w:val="30"/>
        </w:rPr>
      </w:pPr>
      <w:r>
        <w:rPr>
          <w:rFonts w:hint="eastAsia"/>
          <w:b/>
          <w:color w:val="000000"/>
          <w:sz w:val="30"/>
          <w:szCs w:val="30"/>
        </w:rPr>
        <w:t>第十一条 不可抗力</w:t>
      </w:r>
    </w:p>
    <w:p w14:paraId="79463811">
      <w:pPr>
        <w:ind w:firstLine="600" w:firstLineChars="200"/>
        <w:rPr>
          <w:color w:val="000000"/>
          <w:sz w:val="30"/>
          <w:szCs w:val="30"/>
        </w:rPr>
      </w:pPr>
      <w:r>
        <w:rPr>
          <w:rFonts w:hint="eastAsia"/>
          <w:color w:val="000000"/>
          <w:sz w:val="30"/>
          <w:szCs w:val="30"/>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04176FC3">
      <w:pPr>
        <w:ind w:firstLine="600" w:firstLineChars="200"/>
        <w:rPr>
          <w:color w:val="000000"/>
          <w:sz w:val="30"/>
          <w:szCs w:val="30"/>
        </w:rPr>
      </w:pPr>
      <w:r>
        <w:rPr>
          <w:rFonts w:hint="eastAsia"/>
          <w:color w:val="000000"/>
          <w:sz w:val="30"/>
          <w:szCs w:val="30"/>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0251FACB">
      <w:pPr>
        <w:ind w:firstLine="600" w:firstLineChars="200"/>
        <w:rPr>
          <w:color w:val="000000"/>
          <w:sz w:val="30"/>
          <w:szCs w:val="30"/>
        </w:rPr>
      </w:pPr>
      <w:r>
        <w:rPr>
          <w:rFonts w:hint="eastAsia"/>
          <w:color w:val="000000"/>
          <w:sz w:val="30"/>
          <w:szCs w:val="30"/>
        </w:rPr>
        <w:t>发生不可抗力的，双方应立即进行磋商，寻求合理的解决方案，并且要尽一切合理努力将不可抗力造成的损失降低到最小程度。</w:t>
      </w:r>
    </w:p>
    <w:p w14:paraId="36B3F8E6">
      <w:pPr>
        <w:ind w:firstLine="602" w:firstLineChars="200"/>
        <w:rPr>
          <w:b/>
          <w:color w:val="000000"/>
          <w:sz w:val="30"/>
          <w:szCs w:val="30"/>
        </w:rPr>
      </w:pPr>
      <w:r>
        <w:rPr>
          <w:rFonts w:hint="eastAsia"/>
          <w:b/>
          <w:color w:val="000000"/>
          <w:sz w:val="30"/>
          <w:szCs w:val="30"/>
        </w:rPr>
        <w:t>第十二条 争议的解决</w:t>
      </w:r>
    </w:p>
    <w:p w14:paraId="563091CE">
      <w:pPr>
        <w:ind w:firstLine="600" w:firstLineChars="200"/>
        <w:rPr>
          <w:color w:val="000000"/>
          <w:sz w:val="30"/>
          <w:szCs w:val="30"/>
        </w:rPr>
      </w:pPr>
      <w:r>
        <w:rPr>
          <w:rFonts w:hint="eastAsia"/>
          <w:color w:val="000000"/>
          <w:sz w:val="30"/>
          <w:szCs w:val="30"/>
        </w:rPr>
        <w:t>双方因履行本合同而发生的争议，应协商、调解解决。协商、调解不成的，确定按下列第（二）种方式解决：</w:t>
      </w:r>
    </w:p>
    <w:p w14:paraId="5E913431">
      <w:pPr>
        <w:ind w:firstLine="600" w:firstLineChars="200"/>
        <w:rPr>
          <w:color w:val="000000"/>
          <w:sz w:val="30"/>
          <w:szCs w:val="30"/>
        </w:rPr>
      </w:pPr>
      <w:r>
        <w:rPr>
          <w:rFonts w:hint="eastAsia"/>
          <w:color w:val="000000"/>
          <w:sz w:val="30"/>
          <w:szCs w:val="30"/>
        </w:rPr>
        <w:t>（一）提交</w:t>
      </w:r>
      <w:r>
        <w:rPr>
          <w:rFonts w:hint="eastAsia"/>
          <w:color w:val="000000"/>
          <w:sz w:val="30"/>
          <w:szCs w:val="30"/>
          <w:u w:val="single"/>
        </w:rPr>
        <w:t>重庆市</w:t>
      </w:r>
      <w:r>
        <w:rPr>
          <w:rFonts w:hint="eastAsia"/>
          <w:color w:val="000000"/>
          <w:sz w:val="30"/>
          <w:szCs w:val="30"/>
        </w:rPr>
        <w:t>仲裁委员会仲裁；</w:t>
      </w:r>
    </w:p>
    <w:p w14:paraId="1F7A2DA3">
      <w:pPr>
        <w:ind w:firstLine="600" w:firstLineChars="200"/>
        <w:rPr>
          <w:color w:val="000000"/>
          <w:sz w:val="30"/>
          <w:szCs w:val="30"/>
        </w:rPr>
      </w:pPr>
      <w:r>
        <w:rPr>
          <w:rFonts w:hint="eastAsia"/>
          <w:color w:val="000000"/>
          <w:sz w:val="30"/>
          <w:szCs w:val="30"/>
        </w:rPr>
        <w:t>（二）向委托方所在地有管辖权的人民法院起诉；</w:t>
      </w:r>
    </w:p>
    <w:p w14:paraId="541F1278">
      <w:pPr>
        <w:ind w:firstLine="602" w:firstLineChars="200"/>
        <w:rPr>
          <w:b/>
          <w:color w:val="000000"/>
          <w:sz w:val="30"/>
          <w:szCs w:val="30"/>
        </w:rPr>
      </w:pPr>
      <w:r>
        <w:rPr>
          <w:rFonts w:hint="eastAsia"/>
          <w:b/>
          <w:color w:val="000000"/>
          <w:sz w:val="30"/>
          <w:szCs w:val="30"/>
        </w:rPr>
        <w:t>第十三条其他</w:t>
      </w:r>
    </w:p>
    <w:p w14:paraId="0CBC45ED">
      <w:pPr>
        <w:ind w:firstLine="600" w:firstLineChars="200"/>
        <w:rPr>
          <w:color w:val="000000"/>
          <w:sz w:val="30"/>
          <w:szCs w:val="30"/>
        </w:rPr>
      </w:pPr>
      <w:r>
        <w:rPr>
          <w:rFonts w:hint="eastAsia"/>
          <w:color w:val="000000"/>
          <w:sz w:val="30"/>
          <w:szCs w:val="30"/>
        </w:rPr>
        <w:t>（一）本合同一式</w:t>
      </w:r>
      <w:r>
        <w:rPr>
          <w:rFonts w:hint="eastAsia"/>
          <w:color w:val="000000"/>
          <w:sz w:val="30"/>
          <w:szCs w:val="30"/>
          <w:u w:val="single"/>
        </w:rPr>
        <w:t>6</w:t>
      </w:r>
      <w:r>
        <w:rPr>
          <w:rFonts w:hint="eastAsia"/>
          <w:color w:val="000000"/>
          <w:sz w:val="30"/>
          <w:szCs w:val="30"/>
        </w:rPr>
        <w:t>份，具有同等法律效力，委托方和受托方各执</w:t>
      </w:r>
      <w:r>
        <w:rPr>
          <w:rFonts w:hint="eastAsia"/>
          <w:color w:val="000000"/>
          <w:sz w:val="30"/>
          <w:szCs w:val="30"/>
          <w:u w:val="single"/>
        </w:rPr>
        <w:t>3</w:t>
      </w:r>
      <w:r>
        <w:rPr>
          <w:rFonts w:hint="eastAsia"/>
          <w:color w:val="000000"/>
          <w:sz w:val="30"/>
          <w:szCs w:val="30"/>
        </w:rPr>
        <w:t>份。</w:t>
      </w:r>
    </w:p>
    <w:p w14:paraId="6EA68DE7">
      <w:pPr>
        <w:ind w:firstLine="600" w:firstLineChars="200"/>
        <w:rPr>
          <w:color w:val="000000"/>
          <w:sz w:val="30"/>
          <w:szCs w:val="30"/>
        </w:rPr>
      </w:pPr>
      <w:r>
        <w:rPr>
          <w:rFonts w:hint="eastAsia"/>
          <w:color w:val="000000"/>
          <w:sz w:val="30"/>
          <w:szCs w:val="30"/>
        </w:rPr>
        <w:t>（二）本合同自双方法人代表或其授权代表签字、盖章之日起生效，自双方履行完合同约定的义务后自动终止。</w:t>
      </w:r>
    </w:p>
    <w:p w14:paraId="39F8DC8A">
      <w:pPr>
        <w:ind w:firstLine="600" w:firstLineChars="200"/>
        <w:rPr>
          <w:color w:val="000000"/>
          <w:sz w:val="30"/>
          <w:szCs w:val="30"/>
        </w:rPr>
      </w:pPr>
      <w:r>
        <w:rPr>
          <w:rFonts w:hint="eastAsia"/>
          <w:color w:val="000000"/>
          <w:sz w:val="30"/>
          <w:szCs w:val="30"/>
        </w:rPr>
        <w:t>（三）本合同未尽事宜，由委托方和受托方双方协商并签订补充协议，与本合同具有同等法律效力。</w:t>
      </w:r>
    </w:p>
    <w:p w14:paraId="7AEC2C88">
      <w:pPr>
        <w:ind w:firstLine="600" w:firstLineChars="200"/>
        <w:rPr>
          <w:color w:val="000000"/>
          <w:sz w:val="30"/>
          <w:szCs w:val="30"/>
        </w:rPr>
      </w:pPr>
      <w:r>
        <w:rPr>
          <w:rFonts w:hint="eastAsia"/>
          <w:color w:val="000000"/>
          <w:sz w:val="30"/>
          <w:szCs w:val="30"/>
        </w:rPr>
        <w:t>（四）合同附件是本合同不可分割的一部分，与合同具有同等法律效力。合同附件与合同正文冲突时，以合同正文条款为准。</w:t>
      </w:r>
    </w:p>
    <w:p w14:paraId="0299D071">
      <w:pPr>
        <w:ind w:firstLine="600" w:firstLineChars="200"/>
        <w:rPr>
          <w:color w:val="000000"/>
          <w:sz w:val="30"/>
          <w:szCs w:val="30"/>
        </w:rPr>
      </w:pPr>
    </w:p>
    <w:p w14:paraId="6334D20D">
      <w:pPr>
        <w:ind w:firstLine="600" w:firstLineChars="200"/>
        <w:rPr>
          <w:color w:val="000000"/>
          <w:sz w:val="30"/>
          <w:szCs w:val="30"/>
        </w:rPr>
        <w:sectPr>
          <w:footerReference r:id="rId3" w:type="default"/>
          <w:pgSz w:w="11906" w:h="16838"/>
          <w:pgMar w:top="1440" w:right="1800" w:bottom="1440" w:left="1800" w:header="851" w:footer="992" w:gutter="0"/>
          <w:pgNumType w:start="1"/>
          <w:cols w:space="425" w:num="1"/>
          <w:docGrid w:type="lines" w:linePitch="312" w:charSpace="0"/>
        </w:sectPr>
      </w:pPr>
    </w:p>
    <w:p w14:paraId="616C9045">
      <w:pPr>
        <w:ind w:firstLine="600" w:firstLineChars="200"/>
        <w:rPr>
          <w:color w:val="000000"/>
          <w:sz w:val="30"/>
          <w:szCs w:val="30"/>
        </w:rPr>
      </w:pPr>
    </w:p>
    <w:tbl>
      <w:tblPr>
        <w:tblStyle w:val="8"/>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1984"/>
        <w:gridCol w:w="1792"/>
        <w:gridCol w:w="1951"/>
      </w:tblGrid>
      <w:tr w14:paraId="25CA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802" w:type="dxa"/>
            <w:vAlign w:val="center"/>
          </w:tcPr>
          <w:p w14:paraId="7308B30E">
            <w:pPr>
              <w:spacing w:line="312" w:lineRule="auto"/>
              <w:rPr>
                <w:b/>
                <w:color w:val="000000"/>
                <w:sz w:val="24"/>
              </w:rPr>
            </w:pPr>
            <w:r>
              <w:rPr>
                <w:rFonts w:hint="eastAsia"/>
                <w:b/>
                <w:color w:val="000000"/>
                <w:sz w:val="24"/>
              </w:rPr>
              <w:t>委托方（盖章）：</w:t>
            </w:r>
          </w:p>
          <w:p w14:paraId="3863DDE9">
            <w:pPr>
              <w:spacing w:line="312" w:lineRule="auto"/>
              <w:rPr>
                <w:b/>
                <w:color w:val="000000"/>
                <w:sz w:val="24"/>
              </w:rPr>
            </w:pPr>
            <w:r>
              <w:rPr>
                <w:rFonts w:hint="eastAsia"/>
                <w:b/>
                <w:color w:val="000000"/>
                <w:sz w:val="24"/>
              </w:rPr>
              <w:t>重庆市奥林匹克体育中心</w:t>
            </w:r>
          </w:p>
        </w:tc>
        <w:tc>
          <w:tcPr>
            <w:tcW w:w="1984" w:type="dxa"/>
          </w:tcPr>
          <w:p w14:paraId="7B8D2E9B">
            <w:pPr>
              <w:spacing w:line="312" w:lineRule="auto"/>
              <w:rPr>
                <w:color w:val="000000"/>
              </w:rPr>
            </w:pPr>
          </w:p>
        </w:tc>
        <w:tc>
          <w:tcPr>
            <w:tcW w:w="3743" w:type="dxa"/>
            <w:gridSpan w:val="2"/>
            <w:vAlign w:val="center"/>
          </w:tcPr>
          <w:p w14:paraId="3CF6892C">
            <w:pPr>
              <w:spacing w:line="312" w:lineRule="auto"/>
              <w:rPr>
                <w:b/>
                <w:color w:val="000000"/>
                <w:sz w:val="24"/>
              </w:rPr>
            </w:pPr>
            <w:r>
              <w:rPr>
                <w:rFonts w:hint="eastAsia"/>
                <w:b/>
                <w:color w:val="000000"/>
                <w:sz w:val="24"/>
              </w:rPr>
              <w:t>受托方（盖章）：</w:t>
            </w:r>
          </w:p>
          <w:p w14:paraId="17485C04">
            <w:pPr>
              <w:spacing w:line="312" w:lineRule="auto"/>
              <w:rPr>
                <w:color w:val="000000"/>
              </w:rPr>
            </w:pPr>
            <w:r>
              <w:rPr>
                <w:rFonts w:hint="eastAsia"/>
                <w:b/>
                <w:color w:val="000000"/>
                <w:sz w:val="24"/>
              </w:rPr>
              <w:t>达华工程管理（集团）有限公司</w:t>
            </w:r>
          </w:p>
        </w:tc>
      </w:tr>
      <w:tr w14:paraId="5057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802" w:type="dxa"/>
            <w:vAlign w:val="center"/>
          </w:tcPr>
          <w:p w14:paraId="0A7F8531">
            <w:pPr>
              <w:spacing w:line="312" w:lineRule="auto"/>
              <w:rPr>
                <w:b/>
                <w:color w:val="000000"/>
                <w:sz w:val="24"/>
              </w:rPr>
            </w:pPr>
            <w:r>
              <w:rPr>
                <w:rFonts w:hint="eastAsia"/>
                <w:b/>
                <w:color w:val="000000"/>
                <w:sz w:val="24"/>
              </w:rPr>
              <w:t>法定代表人</w:t>
            </w:r>
          </w:p>
        </w:tc>
        <w:tc>
          <w:tcPr>
            <w:tcW w:w="1984" w:type="dxa"/>
          </w:tcPr>
          <w:p w14:paraId="1D6DF23F">
            <w:pPr>
              <w:spacing w:line="312" w:lineRule="auto"/>
              <w:rPr>
                <w:color w:val="000000"/>
              </w:rPr>
            </w:pPr>
          </w:p>
        </w:tc>
        <w:tc>
          <w:tcPr>
            <w:tcW w:w="3743" w:type="dxa"/>
            <w:gridSpan w:val="2"/>
            <w:vAlign w:val="center"/>
          </w:tcPr>
          <w:p w14:paraId="46B7BA6E">
            <w:pPr>
              <w:spacing w:line="312" w:lineRule="auto"/>
              <w:rPr>
                <w:color w:val="000000"/>
              </w:rPr>
            </w:pPr>
            <w:r>
              <w:rPr>
                <w:rFonts w:hint="eastAsia"/>
                <w:b/>
                <w:color w:val="000000"/>
                <w:sz w:val="24"/>
              </w:rPr>
              <w:t>法定代表人</w:t>
            </w:r>
          </w:p>
        </w:tc>
      </w:tr>
      <w:tr w14:paraId="4F8F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802" w:type="dxa"/>
            <w:vAlign w:val="center"/>
          </w:tcPr>
          <w:p w14:paraId="69390CF3">
            <w:pPr>
              <w:spacing w:line="312" w:lineRule="auto"/>
              <w:rPr>
                <w:b/>
                <w:color w:val="000000"/>
                <w:sz w:val="24"/>
              </w:rPr>
            </w:pPr>
            <w:r>
              <w:rPr>
                <w:rFonts w:hint="eastAsia"/>
                <w:b/>
                <w:color w:val="000000"/>
                <w:sz w:val="24"/>
              </w:rPr>
              <w:t>或委托代理人：</w:t>
            </w:r>
          </w:p>
        </w:tc>
        <w:tc>
          <w:tcPr>
            <w:tcW w:w="1984" w:type="dxa"/>
          </w:tcPr>
          <w:p w14:paraId="15A08281">
            <w:pPr>
              <w:spacing w:line="312" w:lineRule="auto"/>
              <w:rPr>
                <w:color w:val="000000"/>
              </w:rPr>
            </w:pPr>
          </w:p>
        </w:tc>
        <w:tc>
          <w:tcPr>
            <w:tcW w:w="1792" w:type="dxa"/>
            <w:vAlign w:val="center"/>
          </w:tcPr>
          <w:p w14:paraId="5436FCA2">
            <w:pPr>
              <w:spacing w:line="312" w:lineRule="auto"/>
              <w:rPr>
                <w:b/>
                <w:color w:val="000000"/>
                <w:sz w:val="24"/>
              </w:rPr>
            </w:pPr>
            <w:r>
              <w:rPr>
                <w:rFonts w:hint="eastAsia"/>
                <w:b/>
                <w:color w:val="000000"/>
                <w:sz w:val="24"/>
              </w:rPr>
              <w:t>或委托代理人：</w:t>
            </w:r>
          </w:p>
        </w:tc>
        <w:tc>
          <w:tcPr>
            <w:tcW w:w="1951" w:type="dxa"/>
            <w:vAlign w:val="center"/>
          </w:tcPr>
          <w:p w14:paraId="72FBECF7">
            <w:pPr>
              <w:spacing w:line="312" w:lineRule="auto"/>
              <w:rPr>
                <w:color w:val="000000"/>
              </w:rPr>
            </w:pPr>
          </w:p>
        </w:tc>
      </w:tr>
      <w:tr w14:paraId="3625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2802" w:type="dxa"/>
            <w:vAlign w:val="center"/>
          </w:tcPr>
          <w:p w14:paraId="5D4890A8">
            <w:pPr>
              <w:spacing w:line="312" w:lineRule="auto"/>
              <w:rPr>
                <w:b/>
                <w:color w:val="000000"/>
                <w:sz w:val="24"/>
              </w:rPr>
            </w:pPr>
            <w:r>
              <w:rPr>
                <w:rFonts w:hint="eastAsia"/>
                <w:b/>
                <w:color w:val="000000"/>
                <w:sz w:val="24"/>
              </w:rPr>
              <w:t>签字地点：</w:t>
            </w:r>
          </w:p>
        </w:tc>
        <w:tc>
          <w:tcPr>
            <w:tcW w:w="1984" w:type="dxa"/>
          </w:tcPr>
          <w:p w14:paraId="3FA77C87">
            <w:pPr>
              <w:spacing w:line="312" w:lineRule="auto"/>
              <w:rPr>
                <w:color w:val="000000"/>
              </w:rPr>
            </w:pPr>
          </w:p>
        </w:tc>
        <w:tc>
          <w:tcPr>
            <w:tcW w:w="1792" w:type="dxa"/>
            <w:vAlign w:val="center"/>
          </w:tcPr>
          <w:p w14:paraId="30C95941">
            <w:pPr>
              <w:spacing w:line="312" w:lineRule="auto"/>
              <w:rPr>
                <w:b/>
                <w:color w:val="000000"/>
                <w:sz w:val="24"/>
              </w:rPr>
            </w:pPr>
            <w:r>
              <w:rPr>
                <w:rFonts w:hint="eastAsia"/>
                <w:b/>
                <w:color w:val="000000"/>
                <w:sz w:val="24"/>
              </w:rPr>
              <w:t>签字地点：</w:t>
            </w:r>
          </w:p>
        </w:tc>
        <w:tc>
          <w:tcPr>
            <w:tcW w:w="1951" w:type="dxa"/>
          </w:tcPr>
          <w:p w14:paraId="233DD870">
            <w:pPr>
              <w:spacing w:line="312" w:lineRule="auto"/>
              <w:rPr>
                <w:color w:val="000000"/>
              </w:rPr>
            </w:pPr>
          </w:p>
        </w:tc>
      </w:tr>
      <w:tr w14:paraId="73CA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2802" w:type="dxa"/>
            <w:vAlign w:val="center"/>
          </w:tcPr>
          <w:p w14:paraId="35AC5C1D">
            <w:pPr>
              <w:spacing w:line="312" w:lineRule="auto"/>
              <w:rPr>
                <w:b/>
                <w:color w:val="000000"/>
                <w:sz w:val="24"/>
              </w:rPr>
            </w:pPr>
            <w:r>
              <w:rPr>
                <w:rFonts w:hint="eastAsia"/>
                <w:b/>
                <w:color w:val="000000"/>
                <w:sz w:val="24"/>
              </w:rPr>
              <w:t>经办人：</w:t>
            </w:r>
          </w:p>
        </w:tc>
        <w:tc>
          <w:tcPr>
            <w:tcW w:w="1984" w:type="dxa"/>
          </w:tcPr>
          <w:p w14:paraId="1FB170DC">
            <w:pPr>
              <w:spacing w:line="312" w:lineRule="auto"/>
              <w:rPr>
                <w:color w:val="000000"/>
              </w:rPr>
            </w:pPr>
          </w:p>
        </w:tc>
        <w:tc>
          <w:tcPr>
            <w:tcW w:w="1792" w:type="dxa"/>
            <w:vAlign w:val="center"/>
          </w:tcPr>
          <w:p w14:paraId="031B1C62">
            <w:pPr>
              <w:spacing w:line="312" w:lineRule="auto"/>
              <w:rPr>
                <w:b/>
                <w:color w:val="000000"/>
                <w:sz w:val="24"/>
              </w:rPr>
            </w:pPr>
            <w:r>
              <w:rPr>
                <w:rFonts w:hint="eastAsia"/>
                <w:b/>
                <w:color w:val="000000"/>
                <w:sz w:val="24"/>
              </w:rPr>
              <w:t>经办人：</w:t>
            </w:r>
          </w:p>
        </w:tc>
        <w:tc>
          <w:tcPr>
            <w:tcW w:w="1951" w:type="dxa"/>
          </w:tcPr>
          <w:p w14:paraId="1C244B69">
            <w:pPr>
              <w:spacing w:line="312" w:lineRule="auto"/>
              <w:rPr>
                <w:color w:val="000000"/>
              </w:rPr>
            </w:pPr>
          </w:p>
        </w:tc>
      </w:tr>
      <w:tr w14:paraId="3645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802" w:type="dxa"/>
            <w:vAlign w:val="center"/>
          </w:tcPr>
          <w:p w14:paraId="77DF3534">
            <w:pPr>
              <w:spacing w:line="312" w:lineRule="auto"/>
              <w:rPr>
                <w:b/>
                <w:color w:val="000000"/>
                <w:sz w:val="24"/>
              </w:rPr>
            </w:pPr>
            <w:r>
              <w:rPr>
                <w:rFonts w:hint="eastAsia"/>
                <w:b/>
                <w:color w:val="000000"/>
                <w:sz w:val="24"/>
              </w:rPr>
              <w:t>开户名：</w:t>
            </w:r>
          </w:p>
        </w:tc>
        <w:tc>
          <w:tcPr>
            <w:tcW w:w="1984" w:type="dxa"/>
          </w:tcPr>
          <w:p w14:paraId="1E445514">
            <w:pPr>
              <w:spacing w:line="312" w:lineRule="auto"/>
              <w:rPr>
                <w:color w:val="000000"/>
              </w:rPr>
            </w:pPr>
          </w:p>
        </w:tc>
        <w:tc>
          <w:tcPr>
            <w:tcW w:w="3743" w:type="dxa"/>
            <w:gridSpan w:val="2"/>
            <w:vAlign w:val="center"/>
          </w:tcPr>
          <w:p w14:paraId="490989C1">
            <w:pPr>
              <w:spacing w:line="312" w:lineRule="auto"/>
              <w:rPr>
                <w:b/>
                <w:color w:val="000000"/>
                <w:sz w:val="24"/>
              </w:rPr>
            </w:pPr>
            <w:r>
              <w:rPr>
                <w:rFonts w:hint="eastAsia"/>
                <w:b/>
                <w:color w:val="000000"/>
                <w:sz w:val="24"/>
              </w:rPr>
              <w:t>开户名：达华工程管理(集团)有限公司重庆项目管理分公司</w:t>
            </w:r>
          </w:p>
          <w:p w14:paraId="7B663125">
            <w:pPr>
              <w:spacing w:line="312" w:lineRule="auto"/>
              <w:rPr>
                <w:b/>
                <w:color w:val="000000"/>
                <w:sz w:val="24"/>
              </w:rPr>
            </w:pPr>
          </w:p>
        </w:tc>
      </w:tr>
      <w:tr w14:paraId="19EB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802" w:type="dxa"/>
            <w:vAlign w:val="center"/>
          </w:tcPr>
          <w:p w14:paraId="49425226">
            <w:pPr>
              <w:spacing w:line="312" w:lineRule="auto"/>
              <w:rPr>
                <w:b/>
                <w:color w:val="000000"/>
                <w:sz w:val="24"/>
              </w:rPr>
            </w:pPr>
            <w:r>
              <w:rPr>
                <w:rFonts w:hint="eastAsia"/>
                <w:b/>
                <w:color w:val="000000"/>
                <w:sz w:val="24"/>
              </w:rPr>
              <w:t>开户银行：</w:t>
            </w:r>
          </w:p>
        </w:tc>
        <w:tc>
          <w:tcPr>
            <w:tcW w:w="1984" w:type="dxa"/>
          </w:tcPr>
          <w:p w14:paraId="1E4B815C">
            <w:pPr>
              <w:spacing w:line="312" w:lineRule="auto"/>
              <w:rPr>
                <w:color w:val="000000"/>
              </w:rPr>
            </w:pPr>
          </w:p>
        </w:tc>
        <w:tc>
          <w:tcPr>
            <w:tcW w:w="3743" w:type="dxa"/>
            <w:gridSpan w:val="2"/>
            <w:vAlign w:val="center"/>
          </w:tcPr>
          <w:p w14:paraId="047E0ADD">
            <w:pPr>
              <w:spacing w:line="312" w:lineRule="auto"/>
              <w:rPr>
                <w:b/>
                <w:color w:val="000000"/>
                <w:sz w:val="24"/>
              </w:rPr>
            </w:pPr>
            <w:r>
              <w:rPr>
                <w:rFonts w:hint="eastAsia"/>
                <w:b/>
                <w:color w:val="000000"/>
                <w:sz w:val="24"/>
              </w:rPr>
              <w:t>开户银行：工行重庆市分行加州支行</w:t>
            </w:r>
          </w:p>
          <w:p w14:paraId="0D184068">
            <w:pPr>
              <w:spacing w:line="312" w:lineRule="auto"/>
              <w:rPr>
                <w:b/>
                <w:color w:val="000000"/>
                <w:sz w:val="24"/>
              </w:rPr>
            </w:pPr>
          </w:p>
        </w:tc>
      </w:tr>
      <w:tr w14:paraId="4386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802" w:type="dxa"/>
            <w:vAlign w:val="center"/>
          </w:tcPr>
          <w:p w14:paraId="7355F8DE">
            <w:pPr>
              <w:spacing w:line="312" w:lineRule="auto"/>
              <w:rPr>
                <w:b/>
                <w:color w:val="000000"/>
                <w:sz w:val="24"/>
              </w:rPr>
            </w:pPr>
            <w:r>
              <w:rPr>
                <w:rFonts w:hint="eastAsia"/>
                <w:b/>
                <w:color w:val="000000"/>
                <w:sz w:val="24"/>
              </w:rPr>
              <w:t>银行</w:t>
            </w:r>
            <w:r>
              <w:rPr>
                <w:rFonts w:hint="eastAsia"/>
                <w:b/>
                <w:color w:val="000000"/>
                <w:sz w:val="24"/>
                <w:lang w:val="en-US" w:eastAsia="zh-CN"/>
              </w:rPr>
              <w:t>账</w:t>
            </w:r>
            <w:r>
              <w:rPr>
                <w:rFonts w:hint="eastAsia"/>
                <w:b/>
                <w:color w:val="000000"/>
                <w:sz w:val="24"/>
              </w:rPr>
              <w:t>号：</w:t>
            </w:r>
          </w:p>
        </w:tc>
        <w:tc>
          <w:tcPr>
            <w:tcW w:w="1984" w:type="dxa"/>
          </w:tcPr>
          <w:p w14:paraId="46FC2FEF">
            <w:pPr>
              <w:spacing w:line="312" w:lineRule="auto"/>
              <w:rPr>
                <w:color w:val="000000"/>
              </w:rPr>
            </w:pPr>
          </w:p>
        </w:tc>
        <w:tc>
          <w:tcPr>
            <w:tcW w:w="3743" w:type="dxa"/>
            <w:gridSpan w:val="2"/>
          </w:tcPr>
          <w:p w14:paraId="666864E2">
            <w:pPr>
              <w:spacing w:line="312" w:lineRule="auto"/>
              <w:rPr>
                <w:b/>
                <w:color w:val="000000"/>
                <w:sz w:val="24"/>
              </w:rPr>
            </w:pPr>
            <w:r>
              <w:rPr>
                <w:rFonts w:hint="eastAsia"/>
                <w:b/>
                <w:color w:val="000000"/>
                <w:sz w:val="24"/>
              </w:rPr>
              <w:t>银行</w:t>
            </w:r>
            <w:r>
              <w:rPr>
                <w:rFonts w:hint="eastAsia"/>
                <w:b/>
                <w:color w:val="000000"/>
                <w:sz w:val="24"/>
                <w:lang w:val="en-US" w:eastAsia="zh-CN"/>
              </w:rPr>
              <w:t>账</w:t>
            </w:r>
            <w:bookmarkStart w:id="0" w:name="_GoBack"/>
            <w:bookmarkEnd w:id="0"/>
            <w:r>
              <w:rPr>
                <w:rFonts w:hint="eastAsia"/>
                <w:b/>
                <w:color w:val="000000"/>
                <w:sz w:val="24"/>
              </w:rPr>
              <w:t>号：</w:t>
            </w:r>
            <w:r>
              <w:rPr>
                <w:b/>
                <w:color w:val="000000"/>
                <w:sz w:val="24"/>
              </w:rPr>
              <w:t>3100023309024543268</w:t>
            </w:r>
          </w:p>
          <w:p w14:paraId="6CAF917E">
            <w:pPr>
              <w:spacing w:line="312" w:lineRule="auto"/>
              <w:rPr>
                <w:b/>
                <w:color w:val="000000"/>
                <w:sz w:val="24"/>
              </w:rPr>
            </w:pPr>
          </w:p>
        </w:tc>
      </w:tr>
      <w:tr w14:paraId="76DE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4786" w:type="dxa"/>
            <w:gridSpan w:val="2"/>
            <w:vAlign w:val="center"/>
          </w:tcPr>
          <w:p w14:paraId="05772353">
            <w:pPr>
              <w:spacing w:line="312" w:lineRule="auto"/>
              <w:rPr>
                <w:color w:val="000000"/>
                <w:sz w:val="24"/>
              </w:rPr>
            </w:pPr>
            <w:r>
              <w:rPr>
                <w:rFonts w:hint="eastAsia"/>
                <w:b/>
                <w:color w:val="000000"/>
                <w:sz w:val="24"/>
              </w:rPr>
              <w:t>日期： 2019</w:t>
            </w:r>
            <w:r>
              <w:rPr>
                <w:rFonts w:hint="eastAsia"/>
                <w:color w:val="000000"/>
                <w:sz w:val="24"/>
              </w:rPr>
              <w:t>年 05 月    日</w:t>
            </w:r>
          </w:p>
        </w:tc>
        <w:tc>
          <w:tcPr>
            <w:tcW w:w="3743" w:type="dxa"/>
            <w:gridSpan w:val="2"/>
            <w:vAlign w:val="center"/>
          </w:tcPr>
          <w:p w14:paraId="25F9CE4E">
            <w:pPr>
              <w:spacing w:line="312" w:lineRule="auto"/>
              <w:rPr>
                <w:color w:val="000000"/>
                <w:sz w:val="24"/>
              </w:rPr>
            </w:pPr>
            <w:r>
              <w:rPr>
                <w:rFonts w:hint="eastAsia"/>
                <w:b/>
                <w:color w:val="000000"/>
                <w:sz w:val="24"/>
              </w:rPr>
              <w:t xml:space="preserve">日期：  2019 </w:t>
            </w:r>
            <w:r>
              <w:rPr>
                <w:rFonts w:hint="eastAsia"/>
                <w:color w:val="000000"/>
                <w:sz w:val="24"/>
              </w:rPr>
              <w:t>年 05月    日</w:t>
            </w:r>
          </w:p>
        </w:tc>
      </w:tr>
    </w:tbl>
    <w:p w14:paraId="7E18EE6F">
      <w:pPr>
        <w:rPr>
          <w:color w:val="000000"/>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76D9">
    <w:pPr>
      <w:pStyle w:val="5"/>
      <w:framePr w:wrap="around" w:vAnchor="text" w:hAnchor="margin" w:xAlign="center" w:y="1"/>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w:t>
    </w:r>
  </w:p>
  <w:p w14:paraId="6119E2F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F7CCE"/>
    <w:rsid w:val="00002D28"/>
    <w:rsid w:val="00025E3F"/>
    <w:rsid w:val="00041DDF"/>
    <w:rsid w:val="00097220"/>
    <w:rsid w:val="0009737D"/>
    <w:rsid w:val="000A742D"/>
    <w:rsid w:val="000B6B2E"/>
    <w:rsid w:val="000C3446"/>
    <w:rsid w:val="000D21CF"/>
    <w:rsid w:val="000D4AD6"/>
    <w:rsid w:val="000D5F5F"/>
    <w:rsid w:val="000D6B2A"/>
    <w:rsid w:val="000E50DE"/>
    <w:rsid w:val="000F2249"/>
    <w:rsid w:val="000F7D08"/>
    <w:rsid w:val="00106B46"/>
    <w:rsid w:val="0012306F"/>
    <w:rsid w:val="0014130F"/>
    <w:rsid w:val="0014193F"/>
    <w:rsid w:val="00145B92"/>
    <w:rsid w:val="00150680"/>
    <w:rsid w:val="00193FCB"/>
    <w:rsid w:val="001A359C"/>
    <w:rsid w:val="001A3AA8"/>
    <w:rsid w:val="001A3ACD"/>
    <w:rsid w:val="001A6395"/>
    <w:rsid w:val="001B31EA"/>
    <w:rsid w:val="001B4B5A"/>
    <w:rsid w:val="001D74C8"/>
    <w:rsid w:val="001F1061"/>
    <w:rsid w:val="001F46C1"/>
    <w:rsid w:val="00202030"/>
    <w:rsid w:val="0022701F"/>
    <w:rsid w:val="00227138"/>
    <w:rsid w:val="0023509C"/>
    <w:rsid w:val="0024712A"/>
    <w:rsid w:val="0025773A"/>
    <w:rsid w:val="002642E6"/>
    <w:rsid w:val="0027422B"/>
    <w:rsid w:val="00280AED"/>
    <w:rsid w:val="002824EA"/>
    <w:rsid w:val="00286778"/>
    <w:rsid w:val="00287657"/>
    <w:rsid w:val="00290024"/>
    <w:rsid w:val="002942C5"/>
    <w:rsid w:val="002A0A5A"/>
    <w:rsid w:val="002B1934"/>
    <w:rsid w:val="002B2AAF"/>
    <w:rsid w:val="002B2CDB"/>
    <w:rsid w:val="002D1468"/>
    <w:rsid w:val="002D70EA"/>
    <w:rsid w:val="002E0BB0"/>
    <w:rsid w:val="002F6486"/>
    <w:rsid w:val="00313E26"/>
    <w:rsid w:val="00315B1E"/>
    <w:rsid w:val="00323BF9"/>
    <w:rsid w:val="00351C1C"/>
    <w:rsid w:val="00386757"/>
    <w:rsid w:val="003A236D"/>
    <w:rsid w:val="003B1D93"/>
    <w:rsid w:val="003B62FA"/>
    <w:rsid w:val="003C4BA1"/>
    <w:rsid w:val="003D0081"/>
    <w:rsid w:val="003D6F36"/>
    <w:rsid w:val="003E39F4"/>
    <w:rsid w:val="003E7361"/>
    <w:rsid w:val="00402619"/>
    <w:rsid w:val="00403A78"/>
    <w:rsid w:val="00406923"/>
    <w:rsid w:val="00414F82"/>
    <w:rsid w:val="004157BE"/>
    <w:rsid w:val="0041788C"/>
    <w:rsid w:val="00425D97"/>
    <w:rsid w:val="0043250C"/>
    <w:rsid w:val="00461E18"/>
    <w:rsid w:val="0046489D"/>
    <w:rsid w:val="004676B3"/>
    <w:rsid w:val="0046792C"/>
    <w:rsid w:val="00467C8F"/>
    <w:rsid w:val="004704C1"/>
    <w:rsid w:val="004726E4"/>
    <w:rsid w:val="0048469C"/>
    <w:rsid w:val="004926BE"/>
    <w:rsid w:val="00496382"/>
    <w:rsid w:val="004A2582"/>
    <w:rsid w:val="004A562E"/>
    <w:rsid w:val="004C1CA0"/>
    <w:rsid w:val="004D009C"/>
    <w:rsid w:val="004D3B94"/>
    <w:rsid w:val="004F230D"/>
    <w:rsid w:val="004F336A"/>
    <w:rsid w:val="00501C84"/>
    <w:rsid w:val="00501D5C"/>
    <w:rsid w:val="00516714"/>
    <w:rsid w:val="00532F5C"/>
    <w:rsid w:val="0053325C"/>
    <w:rsid w:val="00535EC9"/>
    <w:rsid w:val="005365A2"/>
    <w:rsid w:val="00543092"/>
    <w:rsid w:val="00556971"/>
    <w:rsid w:val="0056390C"/>
    <w:rsid w:val="0058028B"/>
    <w:rsid w:val="00586006"/>
    <w:rsid w:val="00590A6A"/>
    <w:rsid w:val="0059567D"/>
    <w:rsid w:val="005B1413"/>
    <w:rsid w:val="005C135E"/>
    <w:rsid w:val="005C6276"/>
    <w:rsid w:val="005D0EFF"/>
    <w:rsid w:val="005D273B"/>
    <w:rsid w:val="005D4A35"/>
    <w:rsid w:val="005E47E4"/>
    <w:rsid w:val="005E5719"/>
    <w:rsid w:val="005F431A"/>
    <w:rsid w:val="006121D2"/>
    <w:rsid w:val="00617118"/>
    <w:rsid w:val="00626393"/>
    <w:rsid w:val="00630EE1"/>
    <w:rsid w:val="006431FC"/>
    <w:rsid w:val="006461F9"/>
    <w:rsid w:val="00656525"/>
    <w:rsid w:val="00674E95"/>
    <w:rsid w:val="00684242"/>
    <w:rsid w:val="006B0E52"/>
    <w:rsid w:val="006C742E"/>
    <w:rsid w:val="006D72B6"/>
    <w:rsid w:val="006E1838"/>
    <w:rsid w:val="006F3CF0"/>
    <w:rsid w:val="006F584F"/>
    <w:rsid w:val="006F705A"/>
    <w:rsid w:val="007026C5"/>
    <w:rsid w:val="0073174A"/>
    <w:rsid w:val="00742C37"/>
    <w:rsid w:val="00751ADA"/>
    <w:rsid w:val="007748FE"/>
    <w:rsid w:val="00777513"/>
    <w:rsid w:val="007A44B4"/>
    <w:rsid w:val="007B7E9A"/>
    <w:rsid w:val="007C147A"/>
    <w:rsid w:val="007E5354"/>
    <w:rsid w:val="007E6098"/>
    <w:rsid w:val="007E7610"/>
    <w:rsid w:val="008022FA"/>
    <w:rsid w:val="0080455A"/>
    <w:rsid w:val="008120ED"/>
    <w:rsid w:val="00844DC5"/>
    <w:rsid w:val="008458C3"/>
    <w:rsid w:val="00853B45"/>
    <w:rsid w:val="00860506"/>
    <w:rsid w:val="00871A7F"/>
    <w:rsid w:val="00872376"/>
    <w:rsid w:val="00883465"/>
    <w:rsid w:val="008A4702"/>
    <w:rsid w:val="008C2F7F"/>
    <w:rsid w:val="008D13C4"/>
    <w:rsid w:val="008F3AE1"/>
    <w:rsid w:val="008F4121"/>
    <w:rsid w:val="008F423E"/>
    <w:rsid w:val="008F5385"/>
    <w:rsid w:val="008F5C34"/>
    <w:rsid w:val="009013B3"/>
    <w:rsid w:val="009052E3"/>
    <w:rsid w:val="009067A4"/>
    <w:rsid w:val="00912CE2"/>
    <w:rsid w:val="00913BB5"/>
    <w:rsid w:val="00924048"/>
    <w:rsid w:val="0092760E"/>
    <w:rsid w:val="009323D1"/>
    <w:rsid w:val="00943087"/>
    <w:rsid w:val="00957135"/>
    <w:rsid w:val="009673C0"/>
    <w:rsid w:val="0099021C"/>
    <w:rsid w:val="009A18F5"/>
    <w:rsid w:val="009A44FE"/>
    <w:rsid w:val="009B19D9"/>
    <w:rsid w:val="009B22C7"/>
    <w:rsid w:val="009C006A"/>
    <w:rsid w:val="009C2602"/>
    <w:rsid w:val="009D251C"/>
    <w:rsid w:val="00A00164"/>
    <w:rsid w:val="00A002E8"/>
    <w:rsid w:val="00A030FE"/>
    <w:rsid w:val="00A03FAE"/>
    <w:rsid w:val="00A04F66"/>
    <w:rsid w:val="00A122A0"/>
    <w:rsid w:val="00A13EE1"/>
    <w:rsid w:val="00A425BE"/>
    <w:rsid w:val="00A44D7B"/>
    <w:rsid w:val="00A52AC6"/>
    <w:rsid w:val="00A7480C"/>
    <w:rsid w:val="00A8005F"/>
    <w:rsid w:val="00A811BB"/>
    <w:rsid w:val="00A951C1"/>
    <w:rsid w:val="00AE3CE7"/>
    <w:rsid w:val="00AF0192"/>
    <w:rsid w:val="00B07CF6"/>
    <w:rsid w:val="00B151C7"/>
    <w:rsid w:val="00B23853"/>
    <w:rsid w:val="00B271CF"/>
    <w:rsid w:val="00B30FC2"/>
    <w:rsid w:val="00B60EB1"/>
    <w:rsid w:val="00B81BF6"/>
    <w:rsid w:val="00BA628E"/>
    <w:rsid w:val="00BA7A37"/>
    <w:rsid w:val="00BC7E19"/>
    <w:rsid w:val="00BD589F"/>
    <w:rsid w:val="00BE4BB9"/>
    <w:rsid w:val="00BE4DE2"/>
    <w:rsid w:val="00BF526D"/>
    <w:rsid w:val="00C15ED4"/>
    <w:rsid w:val="00C237E2"/>
    <w:rsid w:val="00C27D1B"/>
    <w:rsid w:val="00C321CA"/>
    <w:rsid w:val="00C6175A"/>
    <w:rsid w:val="00C64D66"/>
    <w:rsid w:val="00C671F0"/>
    <w:rsid w:val="00C67246"/>
    <w:rsid w:val="00C71D1D"/>
    <w:rsid w:val="00C80AA9"/>
    <w:rsid w:val="00C944EB"/>
    <w:rsid w:val="00CB54E4"/>
    <w:rsid w:val="00CB7D12"/>
    <w:rsid w:val="00CC52FD"/>
    <w:rsid w:val="00CC7A32"/>
    <w:rsid w:val="00D017F8"/>
    <w:rsid w:val="00D07A91"/>
    <w:rsid w:val="00D2132E"/>
    <w:rsid w:val="00D33D46"/>
    <w:rsid w:val="00D44E7D"/>
    <w:rsid w:val="00D66D20"/>
    <w:rsid w:val="00D85631"/>
    <w:rsid w:val="00D869EF"/>
    <w:rsid w:val="00D934AA"/>
    <w:rsid w:val="00DA1B4A"/>
    <w:rsid w:val="00DA4E5E"/>
    <w:rsid w:val="00DB55A9"/>
    <w:rsid w:val="00DB78C4"/>
    <w:rsid w:val="00DC31EF"/>
    <w:rsid w:val="00DC396D"/>
    <w:rsid w:val="00DC3F05"/>
    <w:rsid w:val="00DC7526"/>
    <w:rsid w:val="00DD15EE"/>
    <w:rsid w:val="00DF186F"/>
    <w:rsid w:val="00DF206D"/>
    <w:rsid w:val="00E06ECE"/>
    <w:rsid w:val="00E14BF6"/>
    <w:rsid w:val="00E15BC1"/>
    <w:rsid w:val="00E26FD4"/>
    <w:rsid w:val="00E274CF"/>
    <w:rsid w:val="00E648EE"/>
    <w:rsid w:val="00E82CDC"/>
    <w:rsid w:val="00E84C9C"/>
    <w:rsid w:val="00E8593D"/>
    <w:rsid w:val="00E93F7E"/>
    <w:rsid w:val="00E94501"/>
    <w:rsid w:val="00EA1414"/>
    <w:rsid w:val="00EA191A"/>
    <w:rsid w:val="00EA411F"/>
    <w:rsid w:val="00EA5EED"/>
    <w:rsid w:val="00EC29F0"/>
    <w:rsid w:val="00EC6064"/>
    <w:rsid w:val="00ED09E1"/>
    <w:rsid w:val="00ED0E67"/>
    <w:rsid w:val="00ED3525"/>
    <w:rsid w:val="00EE5137"/>
    <w:rsid w:val="00EF7CCE"/>
    <w:rsid w:val="00F02899"/>
    <w:rsid w:val="00F160AA"/>
    <w:rsid w:val="00F22F5F"/>
    <w:rsid w:val="00F25925"/>
    <w:rsid w:val="00F27BC3"/>
    <w:rsid w:val="00F31FA2"/>
    <w:rsid w:val="00F330CA"/>
    <w:rsid w:val="00F424DB"/>
    <w:rsid w:val="00F44770"/>
    <w:rsid w:val="00F65D2A"/>
    <w:rsid w:val="00F66FBE"/>
    <w:rsid w:val="00F67EFF"/>
    <w:rsid w:val="00FA181F"/>
    <w:rsid w:val="00FB2831"/>
    <w:rsid w:val="00FC24BB"/>
    <w:rsid w:val="00FC64C3"/>
    <w:rsid w:val="00FE49B3"/>
    <w:rsid w:val="011E0C86"/>
    <w:rsid w:val="01BD1615"/>
    <w:rsid w:val="06610384"/>
    <w:rsid w:val="0756508B"/>
    <w:rsid w:val="0C015D50"/>
    <w:rsid w:val="105B60A4"/>
    <w:rsid w:val="21D93229"/>
    <w:rsid w:val="258D79DE"/>
    <w:rsid w:val="25CF3491"/>
    <w:rsid w:val="26C15703"/>
    <w:rsid w:val="3178790C"/>
    <w:rsid w:val="31C66735"/>
    <w:rsid w:val="33030533"/>
    <w:rsid w:val="382F725C"/>
    <w:rsid w:val="4ED15F92"/>
    <w:rsid w:val="500520EF"/>
    <w:rsid w:val="50A406FF"/>
    <w:rsid w:val="54A25ADA"/>
    <w:rsid w:val="58F70E86"/>
    <w:rsid w:val="5B6725C6"/>
    <w:rsid w:val="5BE33BCE"/>
    <w:rsid w:val="65CA0505"/>
    <w:rsid w:val="66AE6B26"/>
    <w:rsid w:val="690E60E5"/>
    <w:rsid w:val="6C1E078E"/>
    <w:rsid w:val="71160216"/>
    <w:rsid w:val="71DA7CF6"/>
    <w:rsid w:val="727700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sz w:val="18"/>
      <w:szCs w:val="18"/>
    </w:rPr>
  </w:style>
  <w:style w:type="paragraph" w:styleId="3">
    <w:name w:val="annotation text"/>
    <w:basedOn w:val="1"/>
    <w:semiHidden/>
    <w:unhideWhenUsed/>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semiHidden/>
    <w:unhideWhenUsed/>
    <w:uiPriority w:val="0"/>
    <w:rPr>
      <w:sz w:val="21"/>
      <w:szCs w:val="21"/>
    </w:rPr>
  </w:style>
  <w:style w:type="paragraph" w:customStyle="1" w:styleId="12">
    <w:name w:val="Char Char Char Char Char Char Char"/>
    <w:basedOn w:val="1"/>
    <w:qFormat/>
    <w:uiPriority w:val="0"/>
    <w:pPr>
      <w:widowControl/>
      <w:spacing w:after="160" w:line="240" w:lineRule="exact"/>
      <w:jc w:val="left"/>
    </w:pPr>
    <w:rPr>
      <w:rFonts w:ascii="Arial" w:hAnsi="Arial" w:eastAsia="Times New Roman" w:cs="Verdana"/>
      <w:b/>
      <w:spacing w:val="20"/>
      <w:kern w:val="0"/>
      <w:sz w:val="24"/>
      <w:lang w:eastAsia="en-US"/>
    </w:rPr>
  </w:style>
  <w:style w:type="paragraph" w:styleId="13">
    <w:name w:val="List Paragraph"/>
    <w:basedOn w:val="1"/>
    <w:qFormat/>
    <w:uiPriority w:val="34"/>
    <w:pPr>
      <w:ind w:firstLine="420" w:firstLineChars="200"/>
    </w:pPr>
  </w:style>
  <w:style w:type="character" w:customStyle="1" w:styleId="14">
    <w:name w:val="文档结构图 Char"/>
    <w:basedOn w:val="9"/>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ZZX</Company>
  <Pages>9</Pages>
  <Words>3329</Words>
  <Characters>3461</Characters>
  <Lines>27</Lines>
  <Paragraphs>7</Paragraphs>
  <TotalTime>0</TotalTime>
  <ScaleCrop>false</ScaleCrop>
  <LinksUpToDate>false</LinksUpToDate>
  <CharactersWithSpaces>3588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2016-01-18T06:37:00Z</dcterms:created>
  <dc:creator>CJ</dc:creator>
  <cp:lastModifiedBy>三三</cp:lastModifiedBy>
  <cp:lastPrinted>2019-05-23T03:40:00Z</cp:lastPrinted>
  <dcterms:modified xsi:type="dcterms:W3CDTF">2025-05-06T02:13:38Z</dcterms:modified>
  <dc:title>服务范围：</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eyJoZGlkIjoiOWQ2MzMxZjg5YzFhOTc3NGM2MDM0ODlkOWU0ZmZhYzMiLCJ1c2VySWQiOiI3ODM3NTQ3OTYifQ==</vt:lpwstr>
  </property>
  <property fmtid="{D5CDD505-2E9C-101B-9397-08002B2CF9AE}" pid="4" name="ICV">
    <vt:lpwstr>B18A6E2B20DC46029B6D528A06AF8910_12</vt:lpwstr>
  </property>
</Properties>
</file>