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400A0">
      <w:pPr>
        <w:spacing w:line="360" w:lineRule="auto"/>
        <w:jc w:val="center"/>
        <w:rPr>
          <w:rFonts w:ascii="宋体" w:hAnsi="宋体" w:cs="宋体"/>
          <w:b/>
          <w:sz w:val="36"/>
          <w:szCs w:val="36"/>
        </w:rPr>
      </w:pPr>
      <w:r>
        <w:rPr>
          <w:rFonts w:hint="eastAsia" w:ascii="宋体" w:hAnsi="宋体" w:cs="宋体"/>
          <w:b/>
          <w:sz w:val="36"/>
          <w:szCs w:val="36"/>
        </w:rPr>
        <w:t>“书香机关”建设服务协议</w:t>
      </w:r>
    </w:p>
    <w:p w14:paraId="69D841BB">
      <w:pPr>
        <w:spacing w:line="360" w:lineRule="auto"/>
        <w:jc w:val="center"/>
        <w:rPr>
          <w:rFonts w:ascii="宋体" w:hAnsi="宋体" w:cs="宋体"/>
          <w:b/>
          <w:sz w:val="36"/>
          <w:szCs w:val="36"/>
        </w:rPr>
      </w:pPr>
    </w:p>
    <w:p w14:paraId="4CEBF8FD">
      <w:pPr>
        <w:spacing w:line="360" w:lineRule="auto"/>
        <w:rPr>
          <w:rFonts w:ascii="宋体" w:hAnsi="宋体" w:cs="宋体"/>
          <w:sz w:val="28"/>
          <w:szCs w:val="28"/>
        </w:rPr>
      </w:pPr>
      <w:r>
        <w:rPr>
          <w:rFonts w:hint="eastAsia" w:ascii="宋体" w:hAnsi="宋体" w:cs="宋体"/>
          <w:sz w:val="28"/>
          <w:szCs w:val="28"/>
        </w:rPr>
        <w:t>甲方：重庆市体育局</w:t>
      </w:r>
    </w:p>
    <w:p w14:paraId="2290665F">
      <w:pPr>
        <w:spacing w:line="360" w:lineRule="auto"/>
        <w:rPr>
          <w:rFonts w:ascii="宋体" w:hAnsi="宋体" w:cs="宋体"/>
          <w:sz w:val="28"/>
          <w:szCs w:val="28"/>
        </w:rPr>
      </w:pPr>
      <w:r>
        <w:rPr>
          <w:rFonts w:hint="eastAsia" w:ascii="宋体" w:hAnsi="宋体" w:cs="宋体"/>
          <w:sz w:val="28"/>
          <w:szCs w:val="28"/>
        </w:rPr>
        <w:t>乙方：重庆源洲教育科技发展有限公司</w:t>
      </w:r>
    </w:p>
    <w:p w14:paraId="1D8299E0">
      <w:pPr>
        <w:spacing w:line="360" w:lineRule="auto"/>
        <w:ind w:firstLine="560" w:firstLineChars="200"/>
        <w:rPr>
          <w:rFonts w:ascii="宋体" w:hAnsi="宋体" w:cs="宋体"/>
          <w:sz w:val="28"/>
          <w:szCs w:val="28"/>
        </w:rPr>
      </w:pPr>
      <w:r>
        <w:rPr>
          <w:rFonts w:hint="eastAsia" w:ascii="宋体" w:hAnsi="宋体" w:cs="宋体"/>
          <w:sz w:val="28"/>
          <w:szCs w:val="28"/>
        </w:rPr>
        <w:t>为响应党的十九大精神，落实贯彻《国家全民阅读</w:t>
      </w:r>
      <w:r>
        <w:rPr>
          <w:rFonts w:hint="eastAsia" w:ascii="宋体" w:hAnsi="宋体" w:cs="宋体"/>
          <w:sz w:val="28"/>
          <w:szCs w:val="28"/>
          <w:lang w:eastAsia="zh-CN"/>
        </w:rPr>
        <w:t>“</w:t>
      </w:r>
      <w:r>
        <w:rPr>
          <w:rFonts w:hint="eastAsia" w:ascii="宋体" w:hAnsi="宋体" w:cs="宋体"/>
          <w:sz w:val="28"/>
          <w:szCs w:val="28"/>
        </w:rPr>
        <w:t>十三五</w:t>
      </w:r>
      <w:r>
        <w:rPr>
          <w:rFonts w:hint="eastAsia" w:ascii="宋体" w:hAnsi="宋体" w:cs="宋体"/>
          <w:sz w:val="28"/>
          <w:szCs w:val="28"/>
          <w:lang w:eastAsia="zh-CN"/>
        </w:rPr>
        <w:t>”</w:t>
      </w:r>
      <w:r>
        <w:rPr>
          <w:rFonts w:hint="eastAsia" w:ascii="宋体" w:hAnsi="宋体" w:cs="宋体"/>
          <w:sz w:val="28"/>
          <w:szCs w:val="28"/>
        </w:rPr>
        <w:t>规划》中要求的“全民阅读进机关，倡导党员干部带头读书”，践行市委市政府工作报告提出的在未来五年“建设书香重庆，建成文化强市”。现重庆出版集团配合</w:t>
      </w:r>
      <w:r>
        <w:rPr>
          <w:rFonts w:hint="eastAsia" w:ascii="宋体" w:hAnsi="宋体" w:cs="宋体"/>
          <w:sz w:val="28"/>
          <w:szCs w:val="28"/>
          <w:u w:val="single"/>
        </w:rPr>
        <w:t xml:space="preserve"> 重庆市体育局 </w:t>
      </w:r>
      <w:r>
        <w:rPr>
          <w:rFonts w:hint="eastAsia" w:ascii="宋体" w:hAnsi="宋体" w:cs="宋体"/>
          <w:sz w:val="28"/>
          <w:szCs w:val="28"/>
        </w:rPr>
        <w:t>全力打造“书香机关”，借助时下最前沿的物联网智能化阅读设备，凭借重庆出版集团自身得天独厚的图书资源运作能力及服务能力，努力为广大机关干部、人员提供更加丰富的精神文化生活，扩展阅读资源，提供整套的专业化服务。</w:t>
      </w:r>
    </w:p>
    <w:p w14:paraId="3195F172">
      <w:pPr>
        <w:spacing w:line="360" w:lineRule="auto"/>
        <w:ind w:firstLine="560" w:firstLineChars="200"/>
        <w:rPr>
          <w:rFonts w:ascii="宋体" w:hAnsi="宋体" w:cs="宋体"/>
          <w:sz w:val="28"/>
          <w:szCs w:val="28"/>
        </w:rPr>
      </w:pPr>
      <w:r>
        <w:rPr>
          <w:rFonts w:hint="eastAsia" w:ascii="宋体" w:hAnsi="宋体" w:cs="宋体"/>
          <w:sz w:val="28"/>
          <w:szCs w:val="28"/>
        </w:rPr>
        <w:t>本项目由重庆出版集团旗下全资子公司重庆源洲教育科技发展有限公司为具体承办单位，项目实施具体事项、图书编目加工、物流配送及图书上架、设备维护等工作由承办单位全权负责。</w:t>
      </w:r>
    </w:p>
    <w:p w14:paraId="161C0372">
      <w:pPr>
        <w:spacing w:line="360" w:lineRule="auto"/>
        <w:ind w:firstLine="560" w:firstLineChars="200"/>
        <w:rPr>
          <w:rFonts w:ascii="宋体" w:hAnsi="宋体" w:cs="宋体"/>
          <w:sz w:val="28"/>
          <w:szCs w:val="28"/>
        </w:rPr>
      </w:pPr>
      <w:r>
        <w:rPr>
          <w:rFonts w:hint="eastAsia" w:ascii="宋体" w:hAnsi="宋体" w:cs="宋体"/>
          <w:sz w:val="28"/>
          <w:szCs w:val="28"/>
        </w:rPr>
        <w:t>本协议系由以下双方共同订立</w:t>
      </w:r>
      <w:r>
        <w:rPr>
          <w:rFonts w:hint="eastAsia" w:ascii="宋体" w:hAnsi="宋体" w:cs="宋体"/>
          <w:sz w:val="28"/>
          <w:szCs w:val="28"/>
          <w:u w:val="single"/>
        </w:rPr>
        <w:t xml:space="preserve">  重庆市体育局  </w:t>
      </w:r>
      <w:r>
        <w:rPr>
          <w:rFonts w:hint="eastAsia" w:ascii="宋体" w:hAnsi="宋体" w:cs="宋体"/>
          <w:sz w:val="28"/>
          <w:szCs w:val="28"/>
        </w:rPr>
        <w:t>（以下称为“甲方”）为“书香机关”建设方，重庆出版集团旗下全资子公司重庆源洲教育科技发展有限公司（以下称为“乙方”）为设备及服务提供方。</w:t>
      </w:r>
    </w:p>
    <w:p w14:paraId="43E933EB">
      <w:pPr>
        <w:spacing w:line="360" w:lineRule="auto"/>
        <w:ind w:firstLine="560" w:firstLineChars="200"/>
        <w:rPr>
          <w:rFonts w:ascii="宋体" w:hAnsi="宋体" w:cs="宋体"/>
          <w:sz w:val="28"/>
          <w:szCs w:val="28"/>
        </w:rPr>
      </w:pPr>
      <w:r>
        <w:rPr>
          <w:rFonts w:hint="eastAsia" w:ascii="宋体" w:hAnsi="宋体" w:cs="宋体"/>
          <w:sz w:val="28"/>
          <w:szCs w:val="28"/>
        </w:rPr>
        <w:t>协议双方根据《中华人民共和国合同法》等法律法规的规定，遵循平等、自愿和诚实信用的原则，经过友好协商，就乙方配合甲方建设“书香机关”相关事宜达成一致意见并签定本服务协议：</w:t>
      </w:r>
    </w:p>
    <w:p w14:paraId="59769C45">
      <w:pPr>
        <w:spacing w:line="360" w:lineRule="auto"/>
        <w:ind w:firstLine="560" w:firstLineChars="200"/>
        <w:rPr>
          <w:rFonts w:ascii="宋体" w:hAnsi="宋体" w:cs="宋体"/>
          <w:sz w:val="28"/>
          <w:szCs w:val="28"/>
        </w:rPr>
      </w:pPr>
    </w:p>
    <w:p w14:paraId="636758F9">
      <w:pPr>
        <w:spacing w:before="312" w:beforeLines="100" w:line="360" w:lineRule="auto"/>
        <w:rPr>
          <w:rFonts w:ascii="宋体" w:hAnsi="宋体" w:cs="宋体"/>
          <w:b/>
          <w:sz w:val="30"/>
          <w:szCs w:val="30"/>
        </w:rPr>
      </w:pPr>
      <w:r>
        <w:rPr>
          <w:rFonts w:hint="eastAsia" w:ascii="宋体" w:hAnsi="宋体" w:cs="宋体"/>
          <w:b/>
          <w:sz w:val="30"/>
          <w:szCs w:val="30"/>
        </w:rPr>
        <w:t xml:space="preserve">第一条：协议内容及服务项  </w:t>
      </w:r>
    </w:p>
    <w:p w14:paraId="1D4E3634">
      <w:pPr>
        <w:spacing w:line="360" w:lineRule="auto"/>
        <w:ind w:firstLine="560" w:firstLineChars="200"/>
        <w:rPr>
          <w:rFonts w:ascii="宋体" w:hAnsi="宋体" w:cs="宋体"/>
          <w:sz w:val="28"/>
          <w:szCs w:val="28"/>
        </w:rPr>
      </w:pPr>
      <w:r>
        <w:rPr>
          <w:rFonts w:hint="eastAsia" w:ascii="宋体" w:hAnsi="宋体" w:cs="宋体"/>
          <w:sz w:val="28"/>
          <w:szCs w:val="28"/>
        </w:rPr>
        <w:t>乙方向甲方免费提供自助流动书柜、图书，并按双方协商的服务内容项进行服务，提供项目实施具体服务事项如下：</w:t>
      </w:r>
    </w:p>
    <w:p w14:paraId="4998FE30">
      <w:pPr>
        <w:pStyle w:val="4"/>
        <w:spacing w:line="360" w:lineRule="auto"/>
        <w:rPr>
          <w:rFonts w:ascii="宋体" w:hAnsi="宋体" w:cs="宋体"/>
          <w:sz w:val="28"/>
          <w:szCs w:val="28"/>
        </w:rPr>
      </w:pPr>
      <w:r>
        <w:rPr>
          <w:rFonts w:hint="eastAsia" w:ascii="宋体" w:hAnsi="宋体" w:cs="宋体"/>
          <w:sz w:val="28"/>
          <w:szCs w:val="28"/>
        </w:rPr>
        <w:t>一、硬件完善</w:t>
      </w:r>
    </w:p>
    <w:p w14:paraId="1067406E">
      <w:pPr>
        <w:spacing w:line="360" w:lineRule="auto"/>
        <w:ind w:firstLine="562" w:firstLineChars="200"/>
        <w:rPr>
          <w:rFonts w:ascii="宋体" w:hAnsi="宋体" w:cs="宋体"/>
          <w:b/>
          <w:sz w:val="28"/>
          <w:szCs w:val="28"/>
        </w:rPr>
      </w:pPr>
      <w:r>
        <w:rPr>
          <w:rFonts w:hint="eastAsia" w:ascii="宋体" w:hAnsi="宋体" w:cs="宋体"/>
          <w:b/>
          <w:sz w:val="28"/>
          <w:szCs w:val="28"/>
        </w:rPr>
        <w:t>1自助流动书柜：</w:t>
      </w:r>
    </w:p>
    <w:p w14:paraId="0AADC622">
      <w:pPr>
        <w:spacing w:line="360" w:lineRule="auto"/>
        <w:ind w:firstLine="560" w:firstLineChars="200"/>
        <w:rPr>
          <w:rFonts w:ascii="宋体" w:hAnsi="宋体" w:cs="宋体"/>
          <w:sz w:val="28"/>
          <w:szCs w:val="28"/>
        </w:rPr>
      </w:pPr>
      <w:r>
        <w:rPr>
          <w:rFonts w:hint="eastAsia" w:ascii="宋体" w:hAnsi="宋体" w:cs="宋体"/>
          <w:sz w:val="28"/>
          <w:szCs w:val="28"/>
        </w:rPr>
        <w:t>乙方向甲方提供自助流动书柜</w:t>
      </w:r>
      <w:r>
        <w:rPr>
          <w:rFonts w:hint="eastAsia" w:ascii="宋体" w:hAnsi="宋体" w:cs="宋体"/>
          <w:sz w:val="28"/>
          <w:szCs w:val="28"/>
          <w:u w:val="single"/>
        </w:rPr>
        <w:t xml:space="preserve"> 1  </w:t>
      </w:r>
      <w:r>
        <w:rPr>
          <w:rFonts w:hint="eastAsia" w:ascii="宋体" w:hAnsi="宋体" w:cs="宋体"/>
          <w:sz w:val="28"/>
          <w:szCs w:val="28"/>
        </w:rPr>
        <w:t>台，自助流动书柜藏书量为</w:t>
      </w:r>
      <w:r>
        <w:rPr>
          <w:rFonts w:hint="eastAsia" w:ascii="宋体" w:hAnsi="宋体" w:cs="宋体"/>
          <w:sz w:val="28"/>
          <w:szCs w:val="28"/>
          <w:u w:val="single"/>
        </w:rPr>
        <w:t xml:space="preserve"> 216   </w:t>
      </w:r>
      <w:r>
        <w:rPr>
          <w:rFonts w:hint="eastAsia" w:ascii="宋体" w:hAnsi="宋体" w:cs="宋体"/>
          <w:sz w:val="28"/>
          <w:szCs w:val="28"/>
        </w:rPr>
        <w:t>册（单书单格），具备自助借还书、自助查询、网络预约、借书信息精准推送通知、自助取书、借阅历史数据统计等多种功能，可提供智能化、精准化、便捷化的全民阅读服务。（产品</w:t>
      </w:r>
      <w:bookmarkStart w:id="0" w:name="_GoBack"/>
      <w:bookmarkEnd w:id="0"/>
      <w:r>
        <w:rPr>
          <w:rFonts w:hint="eastAsia" w:ascii="宋体" w:hAnsi="宋体" w:cs="宋体"/>
          <w:sz w:val="28"/>
          <w:szCs w:val="28"/>
        </w:rPr>
        <w:t>具体参数及图片详见附件）</w:t>
      </w:r>
    </w:p>
    <w:p w14:paraId="4248A210">
      <w:pPr>
        <w:spacing w:line="360" w:lineRule="auto"/>
        <w:ind w:firstLine="562" w:firstLineChars="200"/>
        <w:rPr>
          <w:rFonts w:ascii="宋体" w:hAnsi="宋体" w:cs="宋体"/>
          <w:b/>
          <w:sz w:val="28"/>
          <w:szCs w:val="28"/>
        </w:rPr>
      </w:pPr>
      <w:r>
        <w:rPr>
          <w:rFonts w:hint="eastAsia" w:ascii="宋体" w:hAnsi="宋体" w:cs="宋体"/>
          <w:b/>
          <w:sz w:val="28"/>
          <w:szCs w:val="28"/>
        </w:rPr>
        <w:t>2图书：</w:t>
      </w:r>
    </w:p>
    <w:p w14:paraId="3287F978">
      <w:pPr>
        <w:spacing w:line="360" w:lineRule="auto"/>
        <w:ind w:firstLine="560" w:firstLineChars="200"/>
        <w:rPr>
          <w:rFonts w:ascii="宋体" w:hAnsi="宋体" w:cs="宋体"/>
          <w:sz w:val="28"/>
          <w:szCs w:val="28"/>
        </w:rPr>
      </w:pPr>
      <w:r>
        <w:rPr>
          <w:rFonts w:hint="eastAsia" w:ascii="宋体" w:hAnsi="宋体" w:cs="宋体"/>
          <w:sz w:val="28"/>
          <w:szCs w:val="28"/>
        </w:rPr>
        <w:t>1）乙方每月提供图书更新,全年图书更新不低于1000册，为</w:t>
      </w:r>
      <w:r>
        <w:rPr>
          <w:rFonts w:hint="eastAsia" w:ascii="宋体" w:hAnsi="宋体" w:cs="宋体"/>
          <w:sz w:val="28"/>
          <w:szCs w:val="28"/>
          <w:lang w:eastAsia="zh-CN"/>
        </w:rPr>
        <w:t>甲方</w:t>
      </w:r>
      <w:r>
        <w:rPr>
          <w:rFonts w:hint="eastAsia" w:ascii="宋体" w:hAnsi="宋体" w:cs="宋体"/>
          <w:sz w:val="28"/>
          <w:szCs w:val="28"/>
        </w:rPr>
        <w:t>免费阅读提供更丰富的书籍。</w:t>
      </w:r>
    </w:p>
    <w:p w14:paraId="20121B78">
      <w:pPr>
        <w:spacing w:line="360" w:lineRule="auto"/>
        <w:ind w:firstLine="560" w:firstLineChars="200"/>
        <w:rPr>
          <w:rFonts w:ascii="宋体" w:hAnsi="宋体" w:cs="宋体"/>
          <w:sz w:val="28"/>
          <w:szCs w:val="28"/>
        </w:rPr>
      </w:pPr>
      <w:r>
        <w:rPr>
          <w:rFonts w:hint="eastAsia" w:ascii="宋体" w:hAnsi="宋体" w:cs="宋体"/>
          <w:sz w:val="28"/>
          <w:szCs w:val="28"/>
        </w:rPr>
        <w:t>2）乙方按照甲方图书需求类别提供备选书目，参照甲方筛选的图书进行图书提供。</w:t>
      </w:r>
    </w:p>
    <w:p w14:paraId="6FF92863">
      <w:pPr>
        <w:pStyle w:val="4"/>
        <w:spacing w:line="360" w:lineRule="auto"/>
        <w:rPr>
          <w:rFonts w:ascii="宋体" w:hAnsi="宋体" w:cs="宋体"/>
          <w:sz w:val="28"/>
          <w:szCs w:val="28"/>
        </w:rPr>
      </w:pPr>
      <w:r>
        <w:rPr>
          <w:rFonts w:hint="eastAsia" w:ascii="宋体" w:hAnsi="宋体" w:cs="宋体"/>
          <w:sz w:val="28"/>
          <w:szCs w:val="28"/>
        </w:rPr>
        <w:t>二、配套服务</w:t>
      </w:r>
    </w:p>
    <w:p w14:paraId="758B5D6C">
      <w:pPr>
        <w:spacing w:line="360" w:lineRule="auto"/>
        <w:ind w:firstLine="562" w:firstLineChars="200"/>
        <w:rPr>
          <w:rFonts w:ascii="宋体" w:hAnsi="宋体" w:cs="宋体"/>
          <w:b/>
          <w:sz w:val="28"/>
          <w:szCs w:val="28"/>
        </w:rPr>
      </w:pPr>
      <w:r>
        <w:rPr>
          <w:rFonts w:hint="eastAsia" w:ascii="宋体" w:hAnsi="宋体" w:cs="宋体"/>
          <w:b/>
          <w:sz w:val="28"/>
          <w:szCs w:val="28"/>
        </w:rPr>
        <w:t>1专人对接：</w:t>
      </w:r>
    </w:p>
    <w:p w14:paraId="5F43FD54">
      <w:pPr>
        <w:spacing w:line="360" w:lineRule="auto"/>
        <w:ind w:firstLine="560" w:firstLineChars="200"/>
        <w:rPr>
          <w:rFonts w:ascii="宋体" w:hAnsi="宋体" w:cs="宋体"/>
          <w:sz w:val="28"/>
          <w:szCs w:val="28"/>
        </w:rPr>
      </w:pPr>
      <w:r>
        <w:rPr>
          <w:rFonts w:hint="eastAsia" w:ascii="宋体" w:hAnsi="宋体" w:cs="宋体"/>
          <w:sz w:val="28"/>
          <w:szCs w:val="28"/>
        </w:rPr>
        <w:t>乙方拥有专业服务团队涵盖了平台维护人员、编目加工人员、图书发行员，服务团队将指定专人同建设单位进行对接，确保服务无忧。</w:t>
      </w:r>
    </w:p>
    <w:p w14:paraId="3D740C07">
      <w:pPr>
        <w:spacing w:line="360" w:lineRule="auto"/>
        <w:ind w:firstLine="562" w:firstLineChars="200"/>
        <w:rPr>
          <w:rFonts w:ascii="宋体" w:hAnsi="宋体" w:cs="宋体"/>
          <w:b/>
          <w:sz w:val="28"/>
          <w:szCs w:val="28"/>
        </w:rPr>
      </w:pPr>
      <w:r>
        <w:rPr>
          <w:rFonts w:hint="eastAsia" w:ascii="宋体" w:hAnsi="宋体" w:cs="宋体"/>
          <w:b/>
          <w:sz w:val="28"/>
          <w:szCs w:val="28"/>
        </w:rPr>
        <w:t>2图书更新：</w:t>
      </w:r>
    </w:p>
    <w:p w14:paraId="64BF0E56">
      <w:pPr>
        <w:spacing w:line="360" w:lineRule="auto"/>
        <w:ind w:firstLine="560" w:firstLineChars="200"/>
        <w:rPr>
          <w:rFonts w:ascii="宋体" w:hAnsi="宋体" w:cs="宋体"/>
          <w:sz w:val="28"/>
          <w:szCs w:val="28"/>
        </w:rPr>
      </w:pPr>
      <w:r>
        <w:rPr>
          <w:rFonts w:hint="eastAsia" w:ascii="宋体" w:hAnsi="宋体" w:cs="宋体"/>
          <w:sz w:val="28"/>
          <w:szCs w:val="28"/>
        </w:rPr>
        <w:t>每月定时进行图书的更新，更新率不低于30%；每个流动图书服务站的图书更新用时控制在3小时内，不影响机关单位的正常使用。</w:t>
      </w:r>
    </w:p>
    <w:p w14:paraId="7D72B238">
      <w:pPr>
        <w:spacing w:line="360" w:lineRule="auto"/>
        <w:ind w:firstLine="562" w:firstLineChars="200"/>
        <w:rPr>
          <w:rFonts w:ascii="宋体" w:hAnsi="宋体" w:cs="宋体"/>
          <w:b/>
          <w:sz w:val="28"/>
          <w:szCs w:val="28"/>
        </w:rPr>
      </w:pPr>
      <w:r>
        <w:rPr>
          <w:rFonts w:hint="eastAsia" w:ascii="宋体" w:hAnsi="宋体" w:cs="宋体"/>
          <w:b/>
          <w:sz w:val="28"/>
          <w:szCs w:val="28"/>
        </w:rPr>
        <w:t>3图书加工：</w:t>
      </w:r>
    </w:p>
    <w:p w14:paraId="183A896A">
      <w:pPr>
        <w:spacing w:line="360" w:lineRule="auto"/>
        <w:ind w:firstLine="560" w:firstLineChars="200"/>
        <w:rPr>
          <w:rFonts w:ascii="宋体" w:hAnsi="宋体" w:cs="宋体"/>
          <w:sz w:val="28"/>
          <w:szCs w:val="28"/>
        </w:rPr>
      </w:pPr>
      <w:r>
        <w:rPr>
          <w:rFonts w:hint="eastAsia" w:ascii="宋体" w:hAnsi="宋体" w:cs="宋体"/>
          <w:sz w:val="28"/>
          <w:szCs w:val="28"/>
        </w:rPr>
        <w:t>负责图书自助管理所必须的编目加工以及材料。</w:t>
      </w:r>
    </w:p>
    <w:p w14:paraId="01CFEC49">
      <w:pPr>
        <w:spacing w:line="360" w:lineRule="auto"/>
        <w:ind w:firstLine="562" w:firstLineChars="200"/>
        <w:rPr>
          <w:rFonts w:ascii="宋体" w:hAnsi="宋体" w:cs="宋体"/>
          <w:b/>
          <w:sz w:val="28"/>
          <w:szCs w:val="28"/>
        </w:rPr>
      </w:pPr>
      <w:r>
        <w:rPr>
          <w:rFonts w:hint="eastAsia" w:ascii="宋体" w:hAnsi="宋体" w:cs="宋体"/>
          <w:b/>
          <w:sz w:val="28"/>
          <w:szCs w:val="28"/>
        </w:rPr>
        <w:t>4图书配送：</w:t>
      </w:r>
    </w:p>
    <w:p w14:paraId="4F4D4A37">
      <w:pPr>
        <w:spacing w:line="360" w:lineRule="auto"/>
        <w:ind w:firstLine="560" w:firstLineChars="200"/>
        <w:rPr>
          <w:rFonts w:ascii="宋体" w:hAnsi="宋体" w:cs="宋体"/>
          <w:sz w:val="28"/>
          <w:szCs w:val="28"/>
        </w:rPr>
      </w:pPr>
      <w:r>
        <w:rPr>
          <w:rFonts w:hint="eastAsia" w:ascii="宋体" w:hAnsi="宋体" w:cs="宋体"/>
          <w:sz w:val="28"/>
          <w:szCs w:val="28"/>
        </w:rPr>
        <w:t>负责图书的配送、分发工作。</w:t>
      </w:r>
    </w:p>
    <w:p w14:paraId="365E8A05">
      <w:pPr>
        <w:spacing w:line="360" w:lineRule="auto"/>
        <w:ind w:firstLine="562" w:firstLineChars="200"/>
        <w:rPr>
          <w:rFonts w:ascii="宋体" w:hAnsi="宋体" w:cs="宋体"/>
          <w:b/>
          <w:sz w:val="28"/>
          <w:szCs w:val="28"/>
        </w:rPr>
      </w:pPr>
      <w:r>
        <w:rPr>
          <w:rFonts w:hint="eastAsia" w:ascii="宋体" w:hAnsi="宋体" w:cs="宋体"/>
          <w:b/>
          <w:sz w:val="28"/>
          <w:szCs w:val="28"/>
        </w:rPr>
        <w:t>5定制需求：</w:t>
      </w:r>
    </w:p>
    <w:p w14:paraId="67FA061A">
      <w:pPr>
        <w:spacing w:line="360" w:lineRule="auto"/>
        <w:ind w:firstLine="560" w:firstLineChars="200"/>
        <w:rPr>
          <w:rFonts w:ascii="宋体" w:hAnsi="宋体" w:cs="宋体"/>
          <w:sz w:val="28"/>
          <w:szCs w:val="28"/>
        </w:rPr>
      </w:pPr>
      <w:r>
        <w:rPr>
          <w:rFonts w:hint="eastAsia" w:ascii="宋体" w:hAnsi="宋体" w:cs="宋体"/>
          <w:sz w:val="28"/>
          <w:szCs w:val="28"/>
        </w:rPr>
        <w:t>根据机关单位建设需求不定时地进行党政类等专题图书的更新、补充并提供购买通路；满足机关干部多元化阅读需求。</w:t>
      </w:r>
    </w:p>
    <w:p w14:paraId="50E51898">
      <w:pPr>
        <w:spacing w:line="360" w:lineRule="auto"/>
        <w:ind w:firstLine="562" w:firstLineChars="200"/>
        <w:rPr>
          <w:rFonts w:ascii="宋体" w:hAnsi="宋体" w:cs="宋体"/>
          <w:b/>
          <w:sz w:val="28"/>
          <w:szCs w:val="28"/>
        </w:rPr>
      </w:pPr>
      <w:r>
        <w:rPr>
          <w:rFonts w:hint="eastAsia" w:ascii="宋体" w:hAnsi="宋体" w:cs="宋体"/>
          <w:b/>
          <w:sz w:val="28"/>
          <w:szCs w:val="28"/>
        </w:rPr>
        <w:t>6广告宣传：</w:t>
      </w:r>
    </w:p>
    <w:p w14:paraId="03F1A0D3">
      <w:pPr>
        <w:spacing w:line="360" w:lineRule="auto"/>
        <w:ind w:firstLine="560" w:firstLineChars="200"/>
        <w:rPr>
          <w:rFonts w:ascii="宋体" w:hAnsi="宋体" w:cs="宋体"/>
          <w:sz w:val="28"/>
          <w:szCs w:val="28"/>
        </w:rPr>
      </w:pPr>
      <w:r>
        <w:rPr>
          <w:rFonts w:hint="eastAsia" w:ascii="宋体" w:hAnsi="宋体" w:cs="宋体"/>
          <w:sz w:val="28"/>
          <w:szCs w:val="28"/>
        </w:rPr>
        <w:t>自助流动书柜灯箱、操作屏均可以显示宣传语标识，可按照机关单位要求进行宣传推广，内容由机关单位进行提供。甲方应</w:t>
      </w:r>
      <w:r>
        <w:rPr>
          <w:rFonts w:ascii="宋体" w:hAnsi="宋体" w:cs="宋体"/>
          <w:sz w:val="28"/>
          <w:szCs w:val="28"/>
        </w:rPr>
        <w:t>对提供的内容负责</w:t>
      </w:r>
      <w:r>
        <w:rPr>
          <w:rFonts w:hint="eastAsia" w:ascii="宋体" w:hAnsi="宋体" w:cs="宋体"/>
          <w:sz w:val="28"/>
          <w:szCs w:val="28"/>
        </w:rPr>
        <w:t>，</w:t>
      </w:r>
      <w:r>
        <w:rPr>
          <w:rFonts w:ascii="宋体" w:hAnsi="宋体" w:cs="宋体"/>
          <w:sz w:val="28"/>
          <w:szCs w:val="28"/>
        </w:rPr>
        <w:t>不得</w:t>
      </w:r>
      <w:r>
        <w:rPr>
          <w:rFonts w:hint="eastAsia" w:ascii="宋体" w:hAnsi="宋体" w:cs="宋体"/>
          <w:sz w:val="28"/>
          <w:szCs w:val="28"/>
        </w:rPr>
        <w:t>含有</w:t>
      </w:r>
      <w:r>
        <w:rPr>
          <w:rFonts w:ascii="宋体" w:hAnsi="宋体" w:cs="宋体"/>
          <w:sz w:val="28"/>
          <w:szCs w:val="28"/>
        </w:rPr>
        <w:t>有违反国家法律法规和侵犯第三人</w:t>
      </w:r>
      <w:r>
        <w:rPr>
          <w:rFonts w:hint="eastAsia" w:ascii="宋体" w:hAnsi="宋体" w:cs="宋体"/>
          <w:sz w:val="28"/>
          <w:szCs w:val="28"/>
        </w:rPr>
        <w:t>合法</w:t>
      </w:r>
      <w:r>
        <w:rPr>
          <w:rFonts w:ascii="宋体" w:hAnsi="宋体" w:cs="宋体"/>
          <w:sz w:val="28"/>
          <w:szCs w:val="28"/>
        </w:rPr>
        <w:t>权利的</w:t>
      </w:r>
      <w:r>
        <w:rPr>
          <w:rFonts w:hint="eastAsia" w:ascii="宋体" w:hAnsi="宋体" w:cs="宋体"/>
          <w:sz w:val="28"/>
          <w:szCs w:val="28"/>
        </w:rPr>
        <w:t>内容</w:t>
      </w:r>
      <w:r>
        <w:rPr>
          <w:rFonts w:ascii="宋体" w:hAnsi="宋体" w:cs="宋体"/>
          <w:sz w:val="28"/>
          <w:szCs w:val="28"/>
        </w:rPr>
        <w:t>。</w:t>
      </w:r>
    </w:p>
    <w:p w14:paraId="03FB9087">
      <w:pPr>
        <w:spacing w:line="360" w:lineRule="auto"/>
        <w:ind w:firstLine="562" w:firstLineChars="200"/>
        <w:rPr>
          <w:rFonts w:ascii="宋体" w:hAnsi="宋体" w:cs="宋体"/>
          <w:b/>
          <w:sz w:val="28"/>
          <w:szCs w:val="28"/>
        </w:rPr>
      </w:pPr>
      <w:r>
        <w:rPr>
          <w:rFonts w:hint="eastAsia" w:ascii="宋体" w:hAnsi="宋体" w:cs="宋体"/>
          <w:b/>
          <w:sz w:val="28"/>
          <w:szCs w:val="28"/>
        </w:rPr>
        <w:t>7平台管理：</w:t>
      </w:r>
    </w:p>
    <w:p w14:paraId="671C3D90">
      <w:pPr>
        <w:spacing w:line="360" w:lineRule="auto"/>
        <w:ind w:firstLine="560" w:firstLineChars="200"/>
        <w:rPr>
          <w:rFonts w:ascii="宋体" w:hAnsi="宋体" w:cs="宋体"/>
          <w:sz w:val="28"/>
          <w:szCs w:val="28"/>
        </w:rPr>
      </w:pPr>
      <w:r>
        <w:rPr>
          <w:rFonts w:hint="eastAsia" w:ascii="宋体" w:hAnsi="宋体" w:cs="宋体"/>
          <w:sz w:val="28"/>
          <w:szCs w:val="28"/>
        </w:rPr>
        <w:t>将开放管理账号给机关单位，方便进行阅读管理；并负责平台维护和升级。</w:t>
      </w:r>
    </w:p>
    <w:p w14:paraId="3DA132E9">
      <w:pPr>
        <w:spacing w:line="360" w:lineRule="auto"/>
        <w:ind w:firstLine="562" w:firstLineChars="200"/>
        <w:rPr>
          <w:rFonts w:ascii="宋体" w:hAnsi="宋体" w:cs="宋体"/>
          <w:b/>
          <w:sz w:val="28"/>
          <w:szCs w:val="28"/>
        </w:rPr>
      </w:pPr>
      <w:r>
        <w:rPr>
          <w:rFonts w:hint="eastAsia" w:ascii="宋体" w:hAnsi="宋体" w:cs="宋体"/>
          <w:b/>
          <w:sz w:val="28"/>
          <w:szCs w:val="28"/>
        </w:rPr>
        <w:t>8阅读数据分析报告：</w:t>
      </w:r>
    </w:p>
    <w:p w14:paraId="64D6DC4F">
      <w:pPr>
        <w:spacing w:line="360" w:lineRule="auto"/>
        <w:ind w:firstLine="560" w:firstLineChars="200"/>
        <w:rPr>
          <w:rFonts w:ascii="宋体" w:hAnsi="宋体" w:cs="宋体"/>
          <w:sz w:val="28"/>
          <w:szCs w:val="28"/>
        </w:rPr>
      </w:pPr>
      <w:r>
        <w:rPr>
          <w:rFonts w:hint="eastAsia" w:ascii="宋体" w:hAnsi="宋体" w:cs="宋体"/>
          <w:sz w:val="28"/>
          <w:szCs w:val="28"/>
        </w:rPr>
        <w:t>提供月度、季度、半年、年度的阅读数据报告以及分析报告。</w:t>
      </w:r>
    </w:p>
    <w:p w14:paraId="04510AF8">
      <w:pPr>
        <w:spacing w:line="360" w:lineRule="auto"/>
        <w:ind w:firstLine="562" w:firstLineChars="200"/>
        <w:rPr>
          <w:rFonts w:ascii="宋体" w:hAnsi="宋体" w:cs="宋体"/>
          <w:b/>
          <w:sz w:val="28"/>
          <w:szCs w:val="28"/>
        </w:rPr>
      </w:pPr>
      <w:r>
        <w:rPr>
          <w:rFonts w:hint="eastAsia" w:ascii="宋体" w:hAnsi="宋体" w:cs="宋体"/>
          <w:b/>
          <w:sz w:val="28"/>
          <w:szCs w:val="28"/>
        </w:rPr>
        <w:t>9服务响应：</w:t>
      </w:r>
    </w:p>
    <w:p w14:paraId="3FA52132">
      <w:pPr>
        <w:spacing w:line="360" w:lineRule="auto"/>
        <w:ind w:firstLine="560" w:firstLineChars="200"/>
        <w:rPr>
          <w:rFonts w:ascii="宋体" w:hAnsi="宋体" w:cs="宋体"/>
          <w:sz w:val="28"/>
          <w:szCs w:val="28"/>
        </w:rPr>
      </w:pPr>
      <w:r>
        <w:rPr>
          <w:rFonts w:hint="eastAsia" w:ascii="宋体" w:hAnsi="宋体" w:cs="宋体"/>
          <w:sz w:val="28"/>
          <w:szCs w:val="28"/>
        </w:rPr>
        <w:t>提供24小时服务热线；24小时内响应故障问题。</w:t>
      </w:r>
    </w:p>
    <w:p w14:paraId="4CEE37C5">
      <w:pPr>
        <w:spacing w:after="156" w:afterLines="50" w:line="360" w:lineRule="auto"/>
        <w:rPr>
          <w:rFonts w:ascii="宋体" w:hAnsi="宋体" w:cs="宋体"/>
          <w:b/>
          <w:sz w:val="28"/>
          <w:szCs w:val="28"/>
        </w:rPr>
      </w:pPr>
      <w:r>
        <w:rPr>
          <w:rFonts w:hint="eastAsia" w:ascii="宋体" w:hAnsi="宋体" w:cs="宋体"/>
          <w:b/>
          <w:sz w:val="28"/>
          <w:szCs w:val="28"/>
        </w:rPr>
        <w:t>第二条：费用及付款方式</w:t>
      </w:r>
    </w:p>
    <w:p w14:paraId="5FC2A1B9">
      <w:pPr>
        <w:spacing w:line="360" w:lineRule="auto"/>
        <w:ind w:firstLine="560" w:firstLineChars="200"/>
        <w:rPr>
          <w:rFonts w:ascii="宋体" w:hAnsi="宋体" w:cs="宋体"/>
          <w:sz w:val="28"/>
          <w:szCs w:val="28"/>
        </w:rPr>
      </w:pPr>
      <w:r>
        <w:rPr>
          <w:rFonts w:hint="eastAsia" w:ascii="宋体" w:hAnsi="宋体" w:cs="宋体"/>
          <w:sz w:val="28"/>
          <w:szCs w:val="28"/>
        </w:rPr>
        <w:t>1、项目服务费为</w:t>
      </w:r>
      <w:r>
        <w:rPr>
          <w:rFonts w:hint="eastAsia" w:ascii="宋体" w:hAnsi="宋体" w:cs="宋体"/>
          <w:sz w:val="28"/>
          <w:szCs w:val="28"/>
          <w:u w:val="single"/>
        </w:rPr>
        <w:t xml:space="preserve"> 19600 </w:t>
      </w:r>
      <w:r>
        <w:rPr>
          <w:rFonts w:hint="eastAsia" w:ascii="宋体" w:hAnsi="宋体" w:cs="宋体"/>
          <w:sz w:val="28"/>
          <w:szCs w:val="28"/>
        </w:rPr>
        <w:t>元/年/台，服务时间从</w:t>
      </w:r>
      <w:r>
        <w:rPr>
          <w:rFonts w:hint="eastAsia" w:ascii="宋体" w:hAnsi="宋体" w:cs="宋体"/>
          <w:sz w:val="28"/>
          <w:szCs w:val="28"/>
          <w:u w:val="single"/>
        </w:rPr>
        <w:t xml:space="preserve"> 2019 </w:t>
      </w:r>
      <w:r>
        <w:rPr>
          <w:rFonts w:hint="eastAsia" w:ascii="宋体" w:hAnsi="宋体" w:cs="宋体"/>
          <w:sz w:val="28"/>
          <w:szCs w:val="28"/>
        </w:rPr>
        <w:t>年</w:t>
      </w:r>
      <w:r>
        <w:rPr>
          <w:rFonts w:hint="eastAsia" w:ascii="宋体" w:hAnsi="宋体" w:cs="宋体"/>
          <w:sz w:val="28"/>
          <w:szCs w:val="28"/>
          <w:u w:val="single"/>
        </w:rPr>
        <w:t xml:space="preserve"> 6  </w:t>
      </w:r>
      <w:r>
        <w:rPr>
          <w:rFonts w:hint="eastAsia" w:ascii="宋体" w:hAnsi="宋体" w:cs="宋体"/>
          <w:sz w:val="28"/>
          <w:szCs w:val="28"/>
        </w:rPr>
        <w:t>月</w:t>
      </w:r>
      <w:r>
        <w:rPr>
          <w:rFonts w:hint="eastAsia" w:ascii="宋体" w:hAnsi="宋体" w:cs="宋体"/>
          <w:sz w:val="28"/>
          <w:szCs w:val="28"/>
          <w:u w:val="single"/>
        </w:rPr>
        <w:t xml:space="preserve"> 1 </w:t>
      </w:r>
      <w:r>
        <w:rPr>
          <w:rFonts w:hint="eastAsia" w:ascii="宋体" w:hAnsi="宋体" w:cs="宋体"/>
          <w:sz w:val="28"/>
          <w:szCs w:val="28"/>
        </w:rPr>
        <w:t>日至</w:t>
      </w:r>
      <w:r>
        <w:rPr>
          <w:rFonts w:hint="eastAsia" w:ascii="宋体" w:hAnsi="宋体" w:cs="宋体"/>
          <w:sz w:val="28"/>
          <w:szCs w:val="28"/>
          <w:u w:val="single"/>
        </w:rPr>
        <w:t xml:space="preserve"> 2020 </w:t>
      </w:r>
      <w:r>
        <w:rPr>
          <w:rFonts w:hint="eastAsia" w:ascii="宋体" w:hAnsi="宋体" w:cs="宋体"/>
          <w:sz w:val="28"/>
          <w:szCs w:val="28"/>
        </w:rPr>
        <w:t>年</w:t>
      </w:r>
      <w:r>
        <w:rPr>
          <w:rFonts w:hint="eastAsia" w:ascii="宋体" w:hAnsi="宋体" w:cs="宋体"/>
          <w:sz w:val="28"/>
          <w:szCs w:val="28"/>
          <w:u w:val="single"/>
        </w:rPr>
        <w:t xml:space="preserve"> 5 </w:t>
      </w:r>
      <w:r>
        <w:rPr>
          <w:rFonts w:hint="eastAsia" w:ascii="宋体" w:hAnsi="宋体" w:cs="宋体"/>
          <w:sz w:val="28"/>
          <w:szCs w:val="28"/>
        </w:rPr>
        <w:t>月</w:t>
      </w:r>
      <w:r>
        <w:rPr>
          <w:rFonts w:hint="eastAsia" w:ascii="宋体" w:hAnsi="宋体" w:cs="宋体"/>
          <w:sz w:val="28"/>
          <w:szCs w:val="28"/>
          <w:u w:val="single"/>
        </w:rPr>
        <w:t xml:space="preserve"> 31 </w:t>
      </w:r>
      <w:r>
        <w:rPr>
          <w:rFonts w:hint="eastAsia" w:ascii="宋体" w:hAnsi="宋体" w:cs="宋体"/>
          <w:sz w:val="28"/>
          <w:szCs w:val="28"/>
        </w:rPr>
        <w:t>日，为体现服务延续性，如双方无异议服务协议自动续签，乙方享有优先续签权。</w:t>
      </w:r>
    </w:p>
    <w:p w14:paraId="1F208E8B">
      <w:pPr>
        <w:spacing w:line="360" w:lineRule="auto"/>
        <w:ind w:firstLine="560" w:firstLineChars="200"/>
        <w:rPr>
          <w:rFonts w:ascii="宋体" w:hAnsi="宋体" w:cs="宋体"/>
          <w:sz w:val="28"/>
          <w:szCs w:val="28"/>
        </w:rPr>
      </w:pPr>
      <w:r>
        <w:rPr>
          <w:rFonts w:hint="eastAsia" w:ascii="宋体" w:hAnsi="宋体" w:cs="宋体"/>
          <w:sz w:val="28"/>
          <w:szCs w:val="28"/>
        </w:rPr>
        <w:t>2、付款方式：每年付款一次，在甲乙双方签订协议且乙方完成基础硬件安装后，由乙方向甲方开具当年相应服务</w:t>
      </w:r>
      <w:r>
        <w:rPr>
          <w:rFonts w:hint="eastAsia" w:ascii="宋体" w:hAnsi="宋体" w:cs="宋体"/>
          <w:sz w:val="28"/>
          <w:szCs w:val="28"/>
          <w:lang w:eastAsia="zh-CN"/>
        </w:rPr>
        <w:t>费增值税普通</w:t>
      </w:r>
      <w:r>
        <w:rPr>
          <w:rFonts w:hint="eastAsia" w:ascii="宋体" w:hAnsi="宋体" w:cs="宋体"/>
          <w:sz w:val="28"/>
          <w:szCs w:val="28"/>
        </w:rPr>
        <w:t>发票，甲方在收到乙方发票之日起</w:t>
      </w:r>
      <w:r>
        <w:rPr>
          <w:rFonts w:hint="eastAsia" w:ascii="宋体" w:hAnsi="宋体" w:cs="宋体"/>
          <w:sz w:val="28"/>
          <w:szCs w:val="28"/>
          <w:lang w:val="en-US" w:eastAsia="zh-CN"/>
        </w:rPr>
        <w:t>2</w:t>
      </w:r>
      <w:r>
        <w:rPr>
          <w:rFonts w:hint="eastAsia" w:ascii="宋体" w:hAnsi="宋体" w:cs="宋体"/>
          <w:sz w:val="28"/>
          <w:szCs w:val="28"/>
        </w:rPr>
        <w:t>0</w:t>
      </w:r>
      <w:r>
        <w:rPr>
          <w:rFonts w:hint="eastAsia" w:ascii="宋体" w:hAnsi="宋体" w:cs="宋体"/>
          <w:sz w:val="28"/>
          <w:szCs w:val="28"/>
          <w:lang w:eastAsia="zh-CN"/>
        </w:rPr>
        <w:t>天</w:t>
      </w:r>
      <w:r>
        <w:rPr>
          <w:rFonts w:hint="eastAsia" w:ascii="宋体" w:hAnsi="宋体" w:cs="宋体"/>
          <w:sz w:val="28"/>
          <w:szCs w:val="28"/>
        </w:rPr>
        <w:t>内支付乙方全年服务费</w:t>
      </w:r>
      <w:r>
        <w:rPr>
          <w:rFonts w:hint="eastAsia" w:ascii="宋体" w:hAnsi="宋体" w:cs="宋体"/>
          <w:sz w:val="28"/>
          <w:szCs w:val="28"/>
          <w:u w:val="single"/>
        </w:rPr>
        <w:t xml:space="preserve"> 19600 </w:t>
      </w:r>
      <w:r>
        <w:rPr>
          <w:rFonts w:hint="eastAsia" w:ascii="宋体" w:hAnsi="宋体" w:cs="宋体"/>
          <w:sz w:val="28"/>
          <w:szCs w:val="28"/>
        </w:rPr>
        <w:t>元，之后每年续签合同时乙方向甲方开具当年相应服务</w:t>
      </w:r>
      <w:r>
        <w:rPr>
          <w:rFonts w:hint="eastAsia" w:ascii="宋体" w:hAnsi="宋体" w:cs="宋体"/>
          <w:sz w:val="28"/>
          <w:szCs w:val="28"/>
          <w:lang w:eastAsia="zh-CN"/>
        </w:rPr>
        <w:t>费增值税普通</w:t>
      </w:r>
      <w:r>
        <w:rPr>
          <w:rFonts w:hint="eastAsia" w:ascii="宋体" w:hAnsi="宋体" w:cs="宋体"/>
          <w:sz w:val="28"/>
          <w:szCs w:val="28"/>
        </w:rPr>
        <w:t>发票，甲方在收到乙方发票之日起</w:t>
      </w:r>
      <w:r>
        <w:rPr>
          <w:rFonts w:hint="eastAsia" w:ascii="宋体" w:hAnsi="宋体" w:cs="宋体"/>
          <w:sz w:val="28"/>
          <w:szCs w:val="28"/>
          <w:lang w:val="en-US" w:eastAsia="zh-CN"/>
        </w:rPr>
        <w:t>20</w:t>
      </w:r>
      <w:r>
        <w:rPr>
          <w:rFonts w:hint="eastAsia" w:ascii="宋体" w:hAnsi="宋体" w:cs="宋体"/>
          <w:sz w:val="28"/>
          <w:szCs w:val="28"/>
          <w:lang w:eastAsia="zh-CN"/>
        </w:rPr>
        <w:t>天</w:t>
      </w:r>
      <w:r>
        <w:rPr>
          <w:rFonts w:hint="eastAsia" w:ascii="宋体" w:hAnsi="宋体" w:cs="宋体"/>
          <w:sz w:val="28"/>
          <w:szCs w:val="28"/>
        </w:rPr>
        <w:t>内支付乙方全年服务费</w:t>
      </w:r>
      <w:r>
        <w:rPr>
          <w:rFonts w:hint="eastAsia" w:ascii="宋体" w:hAnsi="宋体" w:cs="宋体"/>
          <w:sz w:val="28"/>
          <w:szCs w:val="28"/>
          <w:u w:val="single"/>
        </w:rPr>
        <w:t xml:space="preserve"> 19600 </w:t>
      </w:r>
      <w:r>
        <w:rPr>
          <w:rFonts w:hint="eastAsia" w:ascii="宋体" w:hAnsi="宋体" w:cs="宋体"/>
          <w:sz w:val="28"/>
          <w:szCs w:val="28"/>
        </w:rPr>
        <w:t>元。</w:t>
      </w:r>
    </w:p>
    <w:p w14:paraId="49A9FD97">
      <w:pPr>
        <w:spacing w:line="360" w:lineRule="auto"/>
        <w:ind w:firstLine="560" w:firstLineChars="200"/>
        <w:rPr>
          <w:rFonts w:hint="eastAsia" w:ascii="宋体" w:hAnsi="宋体" w:cs="宋体"/>
          <w:sz w:val="28"/>
          <w:szCs w:val="28"/>
          <w:lang w:eastAsia="zh-CN"/>
        </w:rPr>
      </w:pPr>
      <w:r>
        <w:rPr>
          <w:rFonts w:hint="eastAsia" w:ascii="宋体" w:hAnsi="宋体" w:cs="宋体"/>
          <w:sz w:val="28"/>
          <w:szCs w:val="28"/>
        </w:rPr>
        <w:t>3、</w:t>
      </w:r>
      <w:r>
        <w:rPr>
          <w:rFonts w:hint="eastAsia" w:ascii="宋体" w:hAnsi="宋体" w:cs="宋体"/>
          <w:sz w:val="28"/>
          <w:szCs w:val="28"/>
          <w:lang w:eastAsia="zh-CN"/>
        </w:rPr>
        <w:t>双方账户信息</w:t>
      </w:r>
    </w:p>
    <w:p w14:paraId="7939C0CF">
      <w:pPr>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甲方开票资料：</w:t>
      </w:r>
    </w:p>
    <w:p w14:paraId="6BCDA2CF">
      <w:pPr>
        <w:spacing w:line="360" w:lineRule="auto"/>
        <w:ind w:firstLine="560" w:firstLineChars="200"/>
        <w:rPr>
          <w:rFonts w:hint="eastAsia" w:ascii="宋体" w:hAnsi="宋体" w:cs="宋体"/>
          <w:sz w:val="28"/>
          <w:szCs w:val="28"/>
          <w:lang w:val="en-US" w:eastAsia="zh-CN"/>
        </w:rPr>
      </w:pPr>
      <w:r>
        <w:rPr>
          <w:rFonts w:hint="eastAsia" w:ascii="宋体" w:hAnsi="宋体" w:cs="宋体"/>
          <w:sz w:val="28"/>
          <w:szCs w:val="28"/>
          <w:lang w:eastAsia="zh-CN"/>
        </w:rPr>
        <w:t>户</w:t>
      </w:r>
      <w:r>
        <w:rPr>
          <w:rFonts w:hint="eastAsia" w:ascii="宋体" w:hAnsi="宋体" w:cs="宋体"/>
          <w:sz w:val="28"/>
          <w:szCs w:val="28"/>
          <w:lang w:val="en-US" w:eastAsia="zh-CN"/>
        </w:rPr>
        <w:t xml:space="preserve">  </w:t>
      </w:r>
      <w:r>
        <w:rPr>
          <w:rFonts w:hint="eastAsia" w:ascii="宋体" w:hAnsi="宋体" w:cs="宋体"/>
          <w:sz w:val="28"/>
          <w:szCs w:val="28"/>
          <w:lang w:eastAsia="zh-CN"/>
        </w:rPr>
        <w:t>名：重庆市体育局工会委员会</w:t>
      </w:r>
    </w:p>
    <w:p w14:paraId="147BD8A3">
      <w:pPr>
        <w:spacing w:line="360" w:lineRule="auto"/>
        <w:ind w:firstLine="560" w:firstLineChars="200"/>
        <w:rPr>
          <w:rFonts w:ascii="宋体" w:hAnsi="宋体" w:cs="宋体"/>
          <w:sz w:val="28"/>
          <w:szCs w:val="28"/>
        </w:rPr>
      </w:pPr>
      <w:r>
        <w:rPr>
          <w:rFonts w:hint="eastAsia" w:ascii="宋体" w:hAnsi="宋体" w:cs="宋体"/>
          <w:sz w:val="28"/>
          <w:szCs w:val="28"/>
        </w:rPr>
        <w:t>乙方账户资料：</w:t>
      </w:r>
    </w:p>
    <w:p w14:paraId="2A4A545E">
      <w:pPr>
        <w:spacing w:line="360" w:lineRule="auto"/>
        <w:ind w:firstLine="560" w:firstLineChars="200"/>
        <w:rPr>
          <w:rFonts w:ascii="宋体" w:hAnsi="宋体" w:cs="宋体"/>
          <w:sz w:val="28"/>
          <w:szCs w:val="28"/>
        </w:rPr>
      </w:pPr>
      <w:r>
        <w:rPr>
          <w:rFonts w:hint="eastAsia" w:ascii="宋体" w:hAnsi="宋体" w:cs="宋体"/>
          <w:sz w:val="28"/>
          <w:szCs w:val="28"/>
        </w:rPr>
        <w:t>户  名：重庆源洲教育科技发展有限公司</w:t>
      </w:r>
    </w:p>
    <w:p w14:paraId="32998FB5">
      <w:pPr>
        <w:spacing w:line="360" w:lineRule="auto"/>
        <w:ind w:firstLine="560" w:firstLineChars="200"/>
        <w:rPr>
          <w:rFonts w:ascii="宋体" w:hAnsi="宋体" w:cs="宋体"/>
          <w:sz w:val="28"/>
          <w:szCs w:val="28"/>
        </w:rPr>
      </w:pPr>
      <w:r>
        <w:rPr>
          <w:rFonts w:hint="eastAsia" w:ascii="宋体" w:hAnsi="宋体" w:cs="宋体"/>
          <w:sz w:val="28"/>
          <w:szCs w:val="28"/>
        </w:rPr>
        <w:t>开户行：华夏银行重庆大石坝支行</w:t>
      </w:r>
    </w:p>
    <w:p w14:paraId="1AAB1AA1">
      <w:pPr>
        <w:spacing w:line="360" w:lineRule="auto"/>
        <w:ind w:firstLine="560" w:firstLineChars="200"/>
        <w:rPr>
          <w:rFonts w:ascii="宋体" w:hAnsi="宋体" w:cs="宋体"/>
          <w:sz w:val="28"/>
          <w:szCs w:val="28"/>
        </w:rPr>
      </w:pPr>
      <w:r>
        <w:rPr>
          <w:rFonts w:hint="eastAsia" w:ascii="宋体" w:hAnsi="宋体" w:cs="宋体"/>
          <w:sz w:val="28"/>
          <w:szCs w:val="28"/>
        </w:rPr>
        <w:t>帐  号：11265000000023654</w:t>
      </w:r>
    </w:p>
    <w:p w14:paraId="07623216">
      <w:pPr>
        <w:spacing w:line="360" w:lineRule="auto"/>
        <w:ind w:firstLine="560" w:firstLineChars="200"/>
        <w:rPr>
          <w:rFonts w:ascii="宋体" w:hAnsi="宋体" w:cs="宋体"/>
          <w:b/>
          <w:sz w:val="28"/>
          <w:szCs w:val="28"/>
        </w:rPr>
      </w:pPr>
      <w:r>
        <w:rPr>
          <w:rFonts w:hint="eastAsia" w:ascii="宋体" w:hAnsi="宋体" w:cs="宋体"/>
          <w:sz w:val="28"/>
          <w:szCs w:val="28"/>
        </w:rPr>
        <w:t>税  号：915001080532262496</w:t>
      </w:r>
    </w:p>
    <w:p w14:paraId="5A92C297">
      <w:pPr>
        <w:spacing w:after="156" w:afterLines="50" w:line="360" w:lineRule="auto"/>
        <w:rPr>
          <w:rFonts w:ascii="宋体" w:hAnsi="宋体" w:cs="宋体"/>
          <w:b/>
          <w:sz w:val="28"/>
          <w:szCs w:val="28"/>
        </w:rPr>
      </w:pPr>
      <w:r>
        <w:rPr>
          <w:rFonts w:hint="eastAsia" w:ascii="宋体" w:hAnsi="宋体" w:cs="宋体"/>
          <w:b/>
          <w:sz w:val="28"/>
          <w:szCs w:val="28"/>
        </w:rPr>
        <w:t>第三条：交付</w:t>
      </w:r>
    </w:p>
    <w:p w14:paraId="51CC35A6">
      <w:pPr>
        <w:spacing w:line="360" w:lineRule="auto"/>
        <w:ind w:firstLine="560" w:firstLineChars="200"/>
        <w:rPr>
          <w:rFonts w:ascii="宋体" w:hAnsi="宋体" w:cs="宋体"/>
          <w:sz w:val="28"/>
          <w:szCs w:val="28"/>
        </w:rPr>
      </w:pPr>
      <w:r>
        <w:rPr>
          <w:rFonts w:hint="eastAsia" w:ascii="宋体" w:hAnsi="宋体" w:cs="宋体"/>
          <w:sz w:val="28"/>
          <w:szCs w:val="28"/>
        </w:rPr>
        <w:t>1、交付时间：甲乙双方签订服务协议后参照双方协商时间及时送到甲方要求地点并完善配套服务。</w:t>
      </w:r>
    </w:p>
    <w:p w14:paraId="6D778814">
      <w:pPr>
        <w:spacing w:line="360" w:lineRule="auto"/>
        <w:ind w:firstLine="560" w:firstLineChars="200"/>
        <w:rPr>
          <w:rFonts w:ascii="宋体" w:hAnsi="宋体" w:cs="宋体"/>
          <w:sz w:val="28"/>
          <w:szCs w:val="28"/>
        </w:rPr>
      </w:pPr>
      <w:r>
        <w:rPr>
          <w:rFonts w:hint="eastAsia" w:ascii="宋体" w:hAnsi="宋体" w:cs="宋体"/>
          <w:sz w:val="28"/>
          <w:szCs w:val="28"/>
        </w:rPr>
        <w:t>2、最终交货地点：以甲方指定地点为准。</w:t>
      </w:r>
    </w:p>
    <w:p w14:paraId="5B4107DE">
      <w:pPr>
        <w:spacing w:line="360" w:lineRule="auto"/>
        <w:ind w:firstLine="560" w:firstLineChars="200"/>
        <w:rPr>
          <w:rFonts w:ascii="宋体" w:hAnsi="宋体" w:cs="宋体"/>
          <w:sz w:val="28"/>
          <w:szCs w:val="28"/>
        </w:rPr>
      </w:pPr>
      <w:r>
        <w:rPr>
          <w:rFonts w:hint="eastAsia" w:ascii="宋体" w:hAnsi="宋体" w:cs="宋体"/>
          <w:sz w:val="28"/>
          <w:szCs w:val="28"/>
        </w:rPr>
        <w:t>3、乙方应安排运输和保险至最近甲方指定地点，并承担相应费用。</w:t>
      </w:r>
    </w:p>
    <w:p w14:paraId="656BDADC">
      <w:pPr>
        <w:spacing w:after="156" w:afterLines="50" w:line="360" w:lineRule="auto"/>
        <w:rPr>
          <w:rFonts w:ascii="宋体" w:hAnsi="宋体" w:cs="宋体"/>
          <w:b/>
          <w:sz w:val="28"/>
          <w:szCs w:val="28"/>
        </w:rPr>
      </w:pPr>
      <w:r>
        <w:rPr>
          <w:rFonts w:hint="eastAsia" w:ascii="宋体" w:hAnsi="宋体" w:cs="宋体"/>
          <w:b/>
          <w:sz w:val="28"/>
          <w:szCs w:val="28"/>
        </w:rPr>
        <w:t>第四条：安装调试与设备维护</w:t>
      </w:r>
    </w:p>
    <w:p w14:paraId="2B504393">
      <w:pPr>
        <w:spacing w:line="360" w:lineRule="auto"/>
        <w:ind w:firstLine="560" w:firstLineChars="200"/>
        <w:rPr>
          <w:rFonts w:ascii="宋体" w:hAnsi="宋体" w:cs="宋体"/>
          <w:sz w:val="28"/>
          <w:szCs w:val="28"/>
        </w:rPr>
      </w:pPr>
      <w:r>
        <w:rPr>
          <w:rFonts w:hint="eastAsia" w:ascii="宋体" w:hAnsi="宋体" w:cs="宋体"/>
          <w:sz w:val="28"/>
          <w:szCs w:val="28"/>
        </w:rPr>
        <w:t>1、甲方需提供必要的安装和使用环境，主要包括：牢固且水平的室内地面；足够的安装空间；提供有线网络接口；提供安全、可靠接地的220V电源插座至安装点。</w:t>
      </w:r>
    </w:p>
    <w:p w14:paraId="5FF4F2AD">
      <w:pPr>
        <w:spacing w:line="360" w:lineRule="auto"/>
        <w:ind w:firstLine="560" w:firstLineChars="200"/>
        <w:rPr>
          <w:rFonts w:ascii="宋体" w:hAnsi="宋体" w:cs="宋体"/>
          <w:sz w:val="28"/>
          <w:szCs w:val="28"/>
        </w:rPr>
      </w:pPr>
      <w:r>
        <w:rPr>
          <w:rFonts w:hint="eastAsia" w:ascii="宋体" w:hAnsi="宋体" w:cs="宋体"/>
          <w:sz w:val="28"/>
          <w:szCs w:val="28"/>
        </w:rPr>
        <w:t>2、乙方负责产品的安装运输事宜。</w:t>
      </w:r>
    </w:p>
    <w:p w14:paraId="7779DF7E">
      <w:pPr>
        <w:spacing w:line="360" w:lineRule="auto"/>
        <w:ind w:firstLine="560" w:firstLineChars="200"/>
        <w:rPr>
          <w:rFonts w:ascii="宋体" w:hAnsi="宋体" w:cs="宋体"/>
          <w:sz w:val="28"/>
          <w:szCs w:val="28"/>
        </w:rPr>
      </w:pPr>
      <w:r>
        <w:rPr>
          <w:rFonts w:hint="eastAsia" w:ascii="宋体" w:hAnsi="宋体" w:cs="宋体"/>
          <w:sz w:val="28"/>
          <w:szCs w:val="28"/>
        </w:rPr>
        <w:t>3、乙方保证所提供的协议设备（含配件）是符合国家检验标准的合格产品，并负责产品的升级服务等相关事宜。</w:t>
      </w:r>
    </w:p>
    <w:p w14:paraId="066809BA">
      <w:pPr>
        <w:spacing w:line="360" w:lineRule="auto"/>
        <w:ind w:firstLine="560" w:firstLineChars="200"/>
        <w:rPr>
          <w:rFonts w:ascii="宋体" w:hAnsi="宋体" w:cs="宋体"/>
          <w:sz w:val="28"/>
          <w:szCs w:val="28"/>
        </w:rPr>
      </w:pPr>
      <w:r>
        <w:rPr>
          <w:rFonts w:hint="eastAsia" w:ascii="宋体" w:hAnsi="宋体" w:cs="宋体"/>
          <w:sz w:val="28"/>
          <w:szCs w:val="28"/>
        </w:rPr>
        <w:t>4、甲乙双方一致同意，在设备交付并完成安装后，甲方应确实履行设备的管理责任，非因设备质量或安装原因导致的任何人身损害、财产损失（包括</w:t>
      </w:r>
      <w:r>
        <w:rPr>
          <w:rFonts w:ascii="宋体" w:hAnsi="宋体" w:cs="宋体"/>
          <w:sz w:val="28"/>
          <w:szCs w:val="28"/>
        </w:rPr>
        <w:t>设备</w:t>
      </w:r>
      <w:r>
        <w:rPr>
          <w:rFonts w:hint="eastAsia" w:ascii="宋体" w:hAnsi="宋体" w:cs="宋体"/>
          <w:sz w:val="28"/>
          <w:szCs w:val="28"/>
        </w:rPr>
        <w:t>）等责任由甲方承担全部责</w:t>
      </w:r>
      <w:r>
        <w:rPr>
          <w:rFonts w:ascii="宋体" w:hAnsi="宋体" w:cs="宋体"/>
          <w:sz w:val="28"/>
          <w:szCs w:val="28"/>
        </w:rPr>
        <w:t>任。</w:t>
      </w:r>
      <w:r>
        <w:rPr>
          <w:rFonts w:hint="eastAsia" w:ascii="宋体" w:hAnsi="宋体" w:cs="宋体"/>
          <w:sz w:val="28"/>
          <w:szCs w:val="28"/>
        </w:rPr>
        <w:t>在</w:t>
      </w:r>
      <w:r>
        <w:rPr>
          <w:rFonts w:ascii="宋体" w:hAnsi="宋体" w:cs="宋体"/>
          <w:sz w:val="28"/>
          <w:szCs w:val="28"/>
        </w:rPr>
        <w:t>合同期内，甲方应</w:t>
      </w:r>
      <w:r>
        <w:rPr>
          <w:rFonts w:hint="eastAsia" w:ascii="宋体" w:hAnsi="宋体" w:cs="宋体"/>
          <w:sz w:val="28"/>
          <w:szCs w:val="28"/>
        </w:rPr>
        <w:t>保证</w:t>
      </w:r>
      <w:r>
        <w:rPr>
          <w:rFonts w:ascii="宋体" w:hAnsi="宋体" w:cs="宋体"/>
          <w:sz w:val="28"/>
          <w:szCs w:val="28"/>
        </w:rPr>
        <w:t>按照</w:t>
      </w:r>
      <w:r>
        <w:rPr>
          <w:rFonts w:hint="eastAsia" w:ascii="宋体" w:hAnsi="宋体" w:cs="宋体"/>
          <w:sz w:val="28"/>
          <w:szCs w:val="28"/>
        </w:rPr>
        <w:t>乙方</w:t>
      </w:r>
      <w:r>
        <w:rPr>
          <w:rFonts w:ascii="宋体" w:hAnsi="宋体" w:cs="宋体"/>
          <w:sz w:val="28"/>
          <w:szCs w:val="28"/>
        </w:rPr>
        <w:t>要求</w:t>
      </w:r>
      <w:r>
        <w:rPr>
          <w:rFonts w:hint="eastAsia" w:ascii="宋体" w:hAnsi="宋体" w:cs="宋体"/>
          <w:sz w:val="28"/>
          <w:szCs w:val="28"/>
        </w:rPr>
        <w:t>安全</w:t>
      </w:r>
      <w:r>
        <w:rPr>
          <w:rFonts w:ascii="宋体" w:hAnsi="宋体" w:cs="宋体"/>
          <w:sz w:val="28"/>
          <w:szCs w:val="28"/>
        </w:rPr>
        <w:t>合理</w:t>
      </w:r>
      <w:r>
        <w:rPr>
          <w:rFonts w:hint="eastAsia" w:ascii="宋体" w:hAnsi="宋体" w:cs="宋体"/>
          <w:sz w:val="28"/>
          <w:szCs w:val="28"/>
        </w:rPr>
        <w:t>地</w:t>
      </w:r>
      <w:r>
        <w:rPr>
          <w:rFonts w:ascii="宋体" w:hAnsi="宋体" w:cs="宋体"/>
          <w:sz w:val="28"/>
          <w:szCs w:val="28"/>
        </w:rPr>
        <w:t>使用设备，</w:t>
      </w:r>
      <w:r>
        <w:rPr>
          <w:rFonts w:hint="eastAsia" w:ascii="宋体" w:hAnsi="宋体" w:cs="宋体"/>
          <w:sz w:val="28"/>
          <w:szCs w:val="28"/>
        </w:rPr>
        <w:t>该</w:t>
      </w:r>
      <w:r>
        <w:rPr>
          <w:rFonts w:ascii="宋体" w:hAnsi="宋体" w:cs="宋体"/>
          <w:sz w:val="28"/>
          <w:szCs w:val="28"/>
        </w:rPr>
        <w:t>设备</w:t>
      </w:r>
      <w:r>
        <w:rPr>
          <w:rFonts w:hint="eastAsia" w:ascii="宋体" w:hAnsi="宋体" w:cs="宋体"/>
          <w:sz w:val="28"/>
          <w:szCs w:val="28"/>
        </w:rPr>
        <w:t>非</w:t>
      </w:r>
      <w:r>
        <w:rPr>
          <w:rFonts w:ascii="宋体" w:hAnsi="宋体" w:cs="宋体"/>
          <w:sz w:val="28"/>
          <w:szCs w:val="28"/>
        </w:rPr>
        <w:t>因质量问题</w:t>
      </w:r>
      <w:r>
        <w:rPr>
          <w:rFonts w:hint="eastAsia" w:ascii="宋体" w:hAnsi="宋体" w:cs="宋体"/>
          <w:sz w:val="28"/>
          <w:szCs w:val="28"/>
        </w:rPr>
        <w:t>而</w:t>
      </w:r>
      <w:r>
        <w:rPr>
          <w:rFonts w:ascii="宋体" w:hAnsi="宋体" w:cs="宋体"/>
          <w:sz w:val="28"/>
          <w:szCs w:val="28"/>
        </w:rPr>
        <w:t>受到损害的，甲方应承担</w:t>
      </w:r>
      <w:r>
        <w:rPr>
          <w:rFonts w:hint="eastAsia" w:ascii="宋体" w:hAnsi="宋体" w:cs="宋体"/>
          <w:sz w:val="28"/>
          <w:szCs w:val="28"/>
        </w:rPr>
        <w:t>全部</w:t>
      </w:r>
      <w:r>
        <w:rPr>
          <w:rFonts w:ascii="宋体" w:hAnsi="宋体" w:cs="宋体"/>
          <w:sz w:val="28"/>
          <w:szCs w:val="28"/>
        </w:rPr>
        <w:t>责任。</w:t>
      </w:r>
    </w:p>
    <w:p w14:paraId="0F79D047">
      <w:pPr>
        <w:spacing w:after="156" w:afterLines="50" w:line="360" w:lineRule="auto"/>
        <w:rPr>
          <w:rFonts w:ascii="宋体" w:hAnsi="宋体" w:cs="宋体"/>
          <w:b/>
          <w:sz w:val="28"/>
          <w:szCs w:val="28"/>
        </w:rPr>
      </w:pPr>
      <w:r>
        <w:rPr>
          <w:rFonts w:hint="eastAsia" w:ascii="宋体" w:hAnsi="宋体" w:cs="宋体"/>
          <w:b/>
          <w:sz w:val="28"/>
          <w:szCs w:val="28"/>
        </w:rPr>
        <w:t>第五条：纠纷解决</w:t>
      </w:r>
    </w:p>
    <w:p w14:paraId="14D1FF21">
      <w:pPr>
        <w:numPr>
          <w:ilvl w:val="0"/>
          <w:numId w:val="1"/>
        </w:numPr>
        <w:spacing w:line="360" w:lineRule="auto"/>
        <w:ind w:firstLine="560" w:firstLineChars="200"/>
        <w:rPr>
          <w:rFonts w:ascii="宋体" w:hAnsi="宋体" w:cs="宋体"/>
          <w:sz w:val="28"/>
          <w:szCs w:val="28"/>
        </w:rPr>
      </w:pPr>
      <w:r>
        <w:rPr>
          <w:rFonts w:hint="eastAsia" w:ascii="宋体" w:hAnsi="宋体" w:cs="宋体"/>
          <w:sz w:val="28"/>
          <w:szCs w:val="28"/>
        </w:rPr>
        <w:t>协议双方在履行协议过程中如发生争议或纠纷，应当协商解决；协商不成，任何一方均可向其所在地人民法院提起诉讼。本协议未尽事宜均按《中华人民共和国合同法》及有关法律法规的规定办理；在执行过程中，如与国家所颁发的有关法律法规的强制性规定相抵触时，按相关规定执行。</w:t>
      </w:r>
    </w:p>
    <w:p w14:paraId="08861894">
      <w:pPr>
        <w:numPr>
          <w:ilvl w:val="0"/>
          <w:numId w:val="1"/>
        </w:numPr>
        <w:spacing w:line="360" w:lineRule="auto"/>
        <w:ind w:firstLine="560" w:firstLineChars="200"/>
        <w:rPr>
          <w:rFonts w:ascii="宋体" w:hAnsi="宋体" w:cs="宋体"/>
          <w:sz w:val="28"/>
          <w:szCs w:val="28"/>
        </w:rPr>
      </w:pPr>
      <w:r>
        <w:rPr>
          <w:rFonts w:hint="eastAsia" w:ascii="宋体" w:hAnsi="宋体" w:cs="宋体"/>
          <w:sz w:val="28"/>
          <w:szCs w:val="28"/>
        </w:rPr>
        <w:t>在使用过程中若因借阅者造成的图书破损且无法修复和继续使用的，由借阅者按照图书定价的70%进行赔偿。</w:t>
      </w:r>
    </w:p>
    <w:p w14:paraId="673A179D">
      <w:pPr>
        <w:spacing w:after="156" w:afterLines="50" w:line="360" w:lineRule="auto"/>
        <w:rPr>
          <w:rFonts w:ascii="宋体" w:hAnsi="宋体" w:cs="宋体"/>
          <w:b/>
          <w:sz w:val="28"/>
          <w:szCs w:val="28"/>
        </w:rPr>
      </w:pPr>
      <w:r>
        <w:rPr>
          <w:rFonts w:hint="eastAsia" w:ascii="宋体" w:hAnsi="宋体" w:cs="宋体"/>
          <w:b/>
          <w:sz w:val="28"/>
          <w:szCs w:val="28"/>
        </w:rPr>
        <w:t>第六条：协议生效及其它</w:t>
      </w:r>
    </w:p>
    <w:p w14:paraId="0DBF3BD8">
      <w:pPr>
        <w:spacing w:line="360" w:lineRule="auto"/>
        <w:ind w:firstLine="560" w:firstLineChars="200"/>
        <w:rPr>
          <w:rFonts w:ascii="宋体" w:hAnsi="宋体" w:cs="宋体"/>
          <w:sz w:val="28"/>
          <w:szCs w:val="28"/>
        </w:rPr>
      </w:pPr>
      <w:r>
        <w:rPr>
          <w:rFonts w:hint="eastAsia" w:ascii="宋体" w:hAnsi="宋体" w:cs="宋体"/>
          <w:sz w:val="28"/>
          <w:szCs w:val="28"/>
        </w:rPr>
        <w:t>1、本协议经甲乙双方法定代表人（负责人）或授权代表签字并加盖单位协议章或公章后后生效。附件是本协议的重要组成部分，与本协议具有同等的法律效力。</w:t>
      </w:r>
    </w:p>
    <w:p w14:paraId="7979FD1D">
      <w:pPr>
        <w:spacing w:line="360" w:lineRule="auto"/>
        <w:ind w:firstLine="560" w:firstLineChars="200"/>
        <w:rPr>
          <w:rFonts w:ascii="宋体" w:hAnsi="宋体" w:cs="宋体"/>
          <w:sz w:val="28"/>
          <w:szCs w:val="28"/>
        </w:rPr>
      </w:pPr>
      <w:r>
        <w:rPr>
          <w:rFonts w:hint="eastAsia" w:ascii="宋体" w:hAnsi="宋体" w:cs="宋体"/>
          <w:sz w:val="28"/>
          <w:szCs w:val="28"/>
        </w:rPr>
        <w:t>2、本协议一式肆份，甲乙双方各执贰份。具有同等法律效力。</w:t>
      </w:r>
    </w:p>
    <w:p w14:paraId="6FFC0F58">
      <w:pPr>
        <w:widowControl/>
        <w:spacing w:line="360" w:lineRule="auto"/>
        <w:ind w:left="7000" w:hanging="7000" w:hangingChars="2500"/>
        <w:jc w:val="left"/>
        <w:rPr>
          <w:rFonts w:ascii="宋体" w:hAnsi="宋体" w:cs="宋体"/>
          <w:kern w:val="0"/>
          <w:sz w:val="28"/>
          <w:szCs w:val="28"/>
        </w:rPr>
      </w:pPr>
      <w:r>
        <w:rPr>
          <w:rFonts w:hint="eastAsia" w:ascii="宋体" w:hAnsi="宋体" w:cs="宋体"/>
          <w:kern w:val="0"/>
          <w:sz w:val="28"/>
          <w:szCs w:val="28"/>
        </w:rPr>
        <w:t>甲方(公章)：</w:t>
      </w:r>
      <w:r>
        <w:rPr>
          <w:rFonts w:hint="eastAsia" w:ascii="宋体" w:hAnsi="宋体" w:cs="宋体"/>
          <w:sz w:val="28"/>
          <w:szCs w:val="28"/>
        </w:rPr>
        <w:t xml:space="preserve"> 重庆市体育局 </w:t>
      </w:r>
      <w:r>
        <w:rPr>
          <w:rFonts w:hint="eastAsia" w:ascii="宋体" w:hAnsi="宋体" w:cs="宋体"/>
          <w:kern w:val="0"/>
          <w:sz w:val="28"/>
          <w:szCs w:val="28"/>
        </w:rPr>
        <w:t xml:space="preserve">        乙方(公章)：重庆源洲教育科技</w:t>
      </w:r>
    </w:p>
    <w:p w14:paraId="71F4FE46">
      <w:pPr>
        <w:widowControl/>
        <w:spacing w:line="360" w:lineRule="auto"/>
        <w:ind w:left="7000" w:hanging="7000" w:hangingChars="2500"/>
        <w:jc w:val="left"/>
        <w:rPr>
          <w:rFonts w:ascii="宋体" w:hAnsi="宋体" w:cs="宋体"/>
          <w:kern w:val="0"/>
          <w:sz w:val="28"/>
          <w:szCs w:val="28"/>
        </w:rPr>
      </w:pPr>
      <w:r>
        <w:rPr>
          <w:rFonts w:hint="eastAsia" w:ascii="宋体" w:hAnsi="宋体" w:cs="宋体"/>
          <w:kern w:val="0"/>
          <w:sz w:val="28"/>
          <w:szCs w:val="28"/>
        </w:rPr>
        <w:t xml:space="preserve">                                               发展有限公司  </w:t>
      </w:r>
    </w:p>
    <w:p w14:paraId="690A64C4">
      <w:pPr>
        <w:widowControl/>
        <w:spacing w:line="360" w:lineRule="auto"/>
        <w:jc w:val="left"/>
        <w:rPr>
          <w:rFonts w:ascii="宋体" w:hAnsi="宋体" w:cs="宋体"/>
          <w:kern w:val="0"/>
          <w:sz w:val="28"/>
          <w:szCs w:val="28"/>
        </w:rPr>
      </w:pPr>
      <w:r>
        <w:rPr>
          <w:rFonts w:hint="eastAsia" w:ascii="宋体" w:hAnsi="宋体" w:cs="宋体"/>
          <w:kern w:val="0"/>
          <w:sz w:val="28"/>
          <w:szCs w:val="28"/>
        </w:rPr>
        <w:t xml:space="preserve">甲方代表：                         乙方代表：      </w:t>
      </w:r>
    </w:p>
    <w:p w14:paraId="7BE0199B">
      <w:pPr>
        <w:widowControl/>
        <w:spacing w:line="360" w:lineRule="auto"/>
        <w:jc w:val="left"/>
        <w:rPr>
          <w:rFonts w:ascii="宋体" w:hAnsi="宋体" w:cs="宋体"/>
          <w:sz w:val="28"/>
          <w:szCs w:val="28"/>
        </w:rPr>
      </w:pPr>
      <w:r>
        <w:rPr>
          <w:rFonts w:hint="eastAsia" w:ascii="宋体" w:hAnsi="宋体" w:cs="宋体"/>
          <w:kern w:val="0"/>
          <w:sz w:val="28"/>
          <w:szCs w:val="28"/>
        </w:rPr>
        <w:t>日  期：                           日 期：</w:t>
      </w:r>
    </w:p>
    <w:p w14:paraId="134940A2">
      <w:pPr>
        <w:pStyle w:val="2"/>
        <w:spacing w:line="360" w:lineRule="auto"/>
        <w:rPr>
          <w:rFonts w:ascii="宋体" w:hAnsi="宋体" w:cs="宋体"/>
          <w:sz w:val="28"/>
          <w:szCs w:val="28"/>
        </w:rPr>
      </w:pPr>
      <w:r>
        <w:rPr>
          <w:rFonts w:hint="eastAsia" w:ascii="宋体" w:hAnsi="宋体" w:cs="宋体"/>
          <w:sz w:val="28"/>
          <w:szCs w:val="28"/>
        </w:rPr>
        <w:t>附件：自动流动书柜图片及参数</w:t>
      </w:r>
    </w:p>
    <w:p w14:paraId="3645C9A6">
      <w:pPr>
        <w:spacing w:line="360" w:lineRule="auto"/>
        <w:rPr>
          <w:rFonts w:ascii="宋体" w:hAnsi="宋体" w:cs="宋体"/>
          <w:sz w:val="28"/>
          <w:szCs w:val="28"/>
        </w:rPr>
      </w:pPr>
    </w:p>
    <w:p w14:paraId="4FE63A1C">
      <w:pPr>
        <w:spacing w:line="360" w:lineRule="auto"/>
        <w:rPr>
          <w:rFonts w:ascii="宋体" w:hAnsi="宋体" w:cs="宋体"/>
          <w:sz w:val="28"/>
          <w:szCs w:val="28"/>
        </w:rPr>
      </w:pPr>
      <w:r>
        <w:rPr>
          <w:rFonts w:hint="eastAsia" w:ascii="宋体" w:hAnsi="宋体" w:cs="宋体"/>
          <w:sz w:val="28"/>
          <w:szCs w:val="28"/>
        </w:rPr>
        <w:t xml:space="preserve">                                          </w:t>
      </w:r>
    </w:p>
    <w:tbl>
      <w:tblPr>
        <w:tblStyle w:val="12"/>
        <w:tblpPr w:leftFromText="180" w:rightFromText="180" w:vertAnchor="text" w:horzAnchor="page" w:tblpX="7667" w:tblpY="787"/>
        <w:tblOverlap w:val="never"/>
        <w:tblW w:w="3877" w:type="dxa"/>
        <w:tblCellSpacing w:w="0" w:type="dxa"/>
        <w:tblInd w:w="0" w:type="dxa"/>
        <w:tblLayout w:type="fixed"/>
        <w:tblCellMar>
          <w:top w:w="0" w:type="dxa"/>
          <w:left w:w="0" w:type="dxa"/>
          <w:bottom w:w="0" w:type="dxa"/>
          <w:right w:w="0" w:type="dxa"/>
        </w:tblCellMar>
      </w:tblPr>
      <w:tblGrid>
        <w:gridCol w:w="959"/>
        <w:gridCol w:w="2918"/>
      </w:tblGrid>
      <w:tr w14:paraId="631F0B8D">
        <w:tblPrEx>
          <w:tblCellMar>
            <w:top w:w="0" w:type="dxa"/>
            <w:left w:w="0" w:type="dxa"/>
            <w:bottom w:w="0" w:type="dxa"/>
            <w:right w:w="0" w:type="dxa"/>
          </w:tblCellMar>
        </w:tblPrEx>
        <w:trPr>
          <w:trHeight w:val="494"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FDEADA"/>
            <w:vAlign w:val="center"/>
          </w:tcPr>
          <w:p w14:paraId="160F34BF">
            <w:pPr>
              <w:jc w:val="center"/>
              <w:rPr>
                <w:rFonts w:ascii="宋体" w:hAnsi="宋体" w:cs="宋体"/>
                <w:b/>
                <w:bCs/>
                <w:sz w:val="24"/>
              </w:rPr>
            </w:pPr>
            <w:r>
              <w:rPr>
                <w:rFonts w:hint="eastAsia" w:ascii="宋体" w:hAnsi="宋体" w:cs="宋体"/>
                <w:b/>
                <w:bCs/>
                <w:sz w:val="24"/>
              </w:rPr>
              <w:t>产品名称</w:t>
            </w:r>
          </w:p>
        </w:tc>
        <w:tc>
          <w:tcPr>
            <w:tcW w:w="2918" w:type="dxa"/>
            <w:tcBorders>
              <w:top w:val="single" w:color="000000" w:sz="6" w:space="0"/>
              <w:left w:val="single" w:color="000000" w:sz="6" w:space="0"/>
              <w:bottom w:val="single" w:color="000000" w:sz="6" w:space="0"/>
              <w:right w:val="single" w:color="000000" w:sz="6" w:space="0"/>
            </w:tcBorders>
            <w:shd w:val="clear" w:color="auto" w:fill="FDEADA"/>
            <w:vAlign w:val="center"/>
          </w:tcPr>
          <w:p w14:paraId="4629E8D0">
            <w:pPr>
              <w:rPr>
                <w:rFonts w:ascii="宋体" w:hAnsi="宋体" w:cs="宋体"/>
                <w:sz w:val="24"/>
              </w:rPr>
            </w:pPr>
            <w:r>
              <w:rPr>
                <w:rFonts w:hint="eastAsia" w:ascii="宋体" w:hAnsi="宋体" w:cs="宋体"/>
                <w:sz w:val="24"/>
              </w:rPr>
              <w:t>自助流动书柜</w:t>
            </w:r>
          </w:p>
        </w:tc>
      </w:tr>
      <w:tr w14:paraId="133E55D6">
        <w:tblPrEx>
          <w:tblCellMar>
            <w:top w:w="0" w:type="dxa"/>
            <w:left w:w="0" w:type="dxa"/>
            <w:bottom w:w="0" w:type="dxa"/>
            <w:right w:w="0" w:type="dxa"/>
          </w:tblCellMar>
        </w:tblPrEx>
        <w:trPr>
          <w:trHeight w:val="462"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FDEADA"/>
            <w:vAlign w:val="center"/>
          </w:tcPr>
          <w:p w14:paraId="16C76183">
            <w:pPr>
              <w:jc w:val="center"/>
              <w:rPr>
                <w:rFonts w:ascii="宋体" w:hAnsi="宋体" w:cs="宋体"/>
                <w:b/>
                <w:bCs/>
                <w:sz w:val="24"/>
              </w:rPr>
            </w:pPr>
            <w:r>
              <w:rPr>
                <w:rFonts w:hint="eastAsia" w:ascii="宋体" w:hAnsi="宋体" w:cs="宋体"/>
                <w:b/>
                <w:bCs/>
                <w:sz w:val="24"/>
              </w:rPr>
              <w:t>产品尺寸</w:t>
            </w:r>
          </w:p>
        </w:tc>
        <w:tc>
          <w:tcPr>
            <w:tcW w:w="2918" w:type="dxa"/>
            <w:tcBorders>
              <w:top w:val="single" w:color="000000" w:sz="6" w:space="0"/>
              <w:left w:val="single" w:color="000000" w:sz="6" w:space="0"/>
              <w:bottom w:val="single" w:color="000000" w:sz="6" w:space="0"/>
              <w:right w:val="single" w:color="000000" w:sz="6" w:space="0"/>
            </w:tcBorders>
            <w:shd w:val="clear" w:color="auto" w:fill="FDEADA"/>
            <w:vAlign w:val="center"/>
          </w:tcPr>
          <w:p w14:paraId="0F2DB674">
            <w:pPr>
              <w:rPr>
                <w:rFonts w:ascii="宋体" w:hAnsi="宋体" w:cs="宋体"/>
                <w:sz w:val="24"/>
              </w:rPr>
            </w:pPr>
            <w:r>
              <w:rPr>
                <w:rFonts w:hint="eastAsia" w:ascii="宋体" w:hAnsi="宋体" w:cs="宋体"/>
                <w:sz w:val="24"/>
              </w:rPr>
              <w:t>1858.8高*2340宽*350深（mm）</w:t>
            </w:r>
          </w:p>
        </w:tc>
      </w:tr>
      <w:tr w14:paraId="78B8C841">
        <w:tblPrEx>
          <w:tblCellMar>
            <w:top w:w="0" w:type="dxa"/>
            <w:left w:w="0" w:type="dxa"/>
            <w:bottom w:w="0" w:type="dxa"/>
            <w:right w:w="0" w:type="dxa"/>
          </w:tblCellMar>
        </w:tblPrEx>
        <w:trPr>
          <w:trHeight w:val="475" w:hRule="atLeast"/>
          <w:tblCellSpacing w:w="0" w:type="dxa"/>
        </w:trPr>
        <w:tc>
          <w:tcPr>
            <w:tcW w:w="959" w:type="dxa"/>
            <w:vMerge w:val="restart"/>
            <w:tcBorders>
              <w:top w:val="single" w:color="000000" w:sz="6" w:space="0"/>
              <w:left w:val="single" w:color="000000" w:sz="6" w:space="0"/>
              <w:bottom w:val="single" w:color="000000" w:sz="6" w:space="0"/>
              <w:right w:val="single" w:color="000000" w:sz="6" w:space="0"/>
            </w:tcBorders>
            <w:shd w:val="clear" w:color="auto" w:fill="EEECE1"/>
            <w:vAlign w:val="center"/>
          </w:tcPr>
          <w:p w14:paraId="50514014">
            <w:pPr>
              <w:jc w:val="center"/>
              <w:rPr>
                <w:rFonts w:ascii="宋体" w:hAnsi="宋体" w:cs="宋体"/>
                <w:b/>
                <w:bCs/>
                <w:sz w:val="24"/>
              </w:rPr>
            </w:pPr>
            <w:r>
              <w:rPr>
                <w:rFonts w:hint="eastAsia" w:ascii="宋体" w:hAnsi="宋体" w:cs="宋体"/>
                <w:b/>
                <w:bCs/>
                <w:sz w:val="24"/>
              </w:rPr>
              <w:t>单仓尺寸</w:t>
            </w: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650F3871">
            <w:pPr>
              <w:rPr>
                <w:rFonts w:ascii="宋体" w:hAnsi="宋体" w:cs="宋体"/>
                <w:sz w:val="24"/>
              </w:rPr>
            </w:pPr>
            <w:r>
              <w:rPr>
                <w:rFonts w:hint="eastAsia" w:ascii="宋体" w:hAnsi="宋体" w:cs="宋体"/>
                <w:sz w:val="24"/>
              </w:rPr>
              <w:t>大285高*45宽*235深（mm）</w:t>
            </w:r>
          </w:p>
        </w:tc>
      </w:tr>
      <w:tr w14:paraId="72406FD4">
        <w:tblPrEx>
          <w:tblCellMar>
            <w:top w:w="0" w:type="dxa"/>
            <w:left w:w="0" w:type="dxa"/>
            <w:bottom w:w="0" w:type="dxa"/>
            <w:right w:w="0" w:type="dxa"/>
          </w:tblCellMar>
        </w:tblPrEx>
        <w:trPr>
          <w:trHeight w:val="505" w:hRule="atLeast"/>
          <w:tblCellSpacing w:w="0" w:type="dxa"/>
        </w:trPr>
        <w:tc>
          <w:tcPr>
            <w:tcW w:w="959" w:type="dxa"/>
            <w:vMerge w:val="continue"/>
            <w:tcBorders>
              <w:top w:val="single" w:color="000000" w:sz="6" w:space="0"/>
              <w:left w:val="single" w:color="000000" w:sz="6" w:space="0"/>
              <w:bottom w:val="single" w:color="000000" w:sz="6" w:space="0"/>
              <w:right w:val="single" w:color="000000" w:sz="6" w:space="0"/>
            </w:tcBorders>
            <w:shd w:val="clear" w:color="auto" w:fill="EEECE1"/>
            <w:vAlign w:val="center"/>
          </w:tcPr>
          <w:p w14:paraId="52ADA425">
            <w:pPr>
              <w:jc w:val="center"/>
              <w:rPr>
                <w:rFonts w:ascii="宋体" w:hAnsi="宋体" w:cs="宋体"/>
                <w:b/>
                <w:bCs/>
                <w:sz w:val="24"/>
              </w:rPr>
            </w:pP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260A8B8E">
            <w:pPr>
              <w:rPr>
                <w:rFonts w:ascii="宋体" w:hAnsi="宋体" w:cs="宋体"/>
                <w:sz w:val="24"/>
              </w:rPr>
            </w:pPr>
            <w:r>
              <w:rPr>
                <w:rFonts w:hint="eastAsia" w:ascii="宋体" w:hAnsi="宋体" w:cs="宋体"/>
                <w:sz w:val="24"/>
              </w:rPr>
              <w:t>中245高*45宽*235深（mm）</w:t>
            </w:r>
          </w:p>
        </w:tc>
      </w:tr>
      <w:tr w14:paraId="3AA62F07">
        <w:tblPrEx>
          <w:tblCellMar>
            <w:top w:w="0" w:type="dxa"/>
            <w:left w:w="0" w:type="dxa"/>
            <w:bottom w:w="0" w:type="dxa"/>
            <w:right w:w="0" w:type="dxa"/>
          </w:tblCellMar>
        </w:tblPrEx>
        <w:trPr>
          <w:trHeight w:val="460" w:hRule="atLeast"/>
          <w:tblCellSpacing w:w="0" w:type="dxa"/>
        </w:trPr>
        <w:tc>
          <w:tcPr>
            <w:tcW w:w="959" w:type="dxa"/>
            <w:vMerge w:val="continue"/>
            <w:tcBorders>
              <w:top w:val="single" w:color="000000" w:sz="6" w:space="0"/>
              <w:left w:val="single" w:color="000000" w:sz="6" w:space="0"/>
              <w:bottom w:val="single" w:color="000000" w:sz="6" w:space="0"/>
              <w:right w:val="single" w:color="000000" w:sz="6" w:space="0"/>
            </w:tcBorders>
            <w:shd w:val="clear" w:color="auto" w:fill="EEECE1"/>
            <w:vAlign w:val="center"/>
          </w:tcPr>
          <w:p w14:paraId="51CBF2BD">
            <w:pPr>
              <w:jc w:val="center"/>
              <w:rPr>
                <w:rFonts w:ascii="宋体" w:hAnsi="宋体" w:cs="宋体"/>
                <w:b/>
                <w:bCs/>
                <w:sz w:val="24"/>
              </w:rPr>
            </w:pP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26662333">
            <w:pPr>
              <w:rPr>
                <w:rFonts w:ascii="宋体" w:hAnsi="宋体" w:cs="宋体"/>
                <w:sz w:val="24"/>
              </w:rPr>
            </w:pPr>
            <w:r>
              <w:rPr>
                <w:rFonts w:hint="eastAsia" w:ascii="宋体" w:hAnsi="宋体" w:cs="宋体"/>
                <w:sz w:val="24"/>
              </w:rPr>
              <w:t>小215高*45宽*235深（mm）</w:t>
            </w:r>
          </w:p>
        </w:tc>
      </w:tr>
      <w:tr w14:paraId="6190BFED">
        <w:tblPrEx>
          <w:tblCellMar>
            <w:top w:w="0" w:type="dxa"/>
            <w:left w:w="0" w:type="dxa"/>
            <w:bottom w:w="0" w:type="dxa"/>
            <w:right w:w="0" w:type="dxa"/>
          </w:tblCellMar>
        </w:tblPrEx>
        <w:trPr>
          <w:trHeight w:val="475"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FDEADA"/>
            <w:vAlign w:val="center"/>
          </w:tcPr>
          <w:p w14:paraId="2E59E846">
            <w:pPr>
              <w:jc w:val="center"/>
              <w:rPr>
                <w:rFonts w:ascii="宋体" w:hAnsi="宋体" w:cs="宋体"/>
                <w:b/>
                <w:bCs/>
                <w:sz w:val="24"/>
              </w:rPr>
            </w:pPr>
            <w:r>
              <w:rPr>
                <w:rFonts w:hint="eastAsia" w:ascii="宋体" w:hAnsi="宋体" w:cs="宋体"/>
                <w:b/>
                <w:bCs/>
                <w:sz w:val="24"/>
              </w:rPr>
              <w:t>控制屏</w:t>
            </w:r>
          </w:p>
        </w:tc>
        <w:tc>
          <w:tcPr>
            <w:tcW w:w="2918" w:type="dxa"/>
            <w:tcBorders>
              <w:top w:val="single" w:color="000000" w:sz="6" w:space="0"/>
              <w:left w:val="single" w:color="000000" w:sz="6" w:space="0"/>
              <w:bottom w:val="single" w:color="000000" w:sz="6" w:space="0"/>
              <w:right w:val="single" w:color="000000" w:sz="6" w:space="0"/>
            </w:tcBorders>
            <w:shd w:val="clear" w:color="auto" w:fill="FDEADA"/>
            <w:vAlign w:val="center"/>
          </w:tcPr>
          <w:p w14:paraId="0A549DCC">
            <w:pPr>
              <w:rPr>
                <w:rFonts w:ascii="宋体" w:hAnsi="宋体" w:cs="宋体"/>
                <w:sz w:val="24"/>
              </w:rPr>
            </w:pPr>
            <w:r>
              <w:rPr>
                <w:rFonts w:hint="eastAsia" w:ascii="宋体" w:hAnsi="宋体" w:cs="宋体"/>
                <w:sz w:val="24"/>
              </w:rPr>
              <w:t>17寸高清LED（离地高度12600mm）</w:t>
            </w:r>
          </w:p>
        </w:tc>
      </w:tr>
      <w:tr w14:paraId="535C5DEB">
        <w:tblPrEx>
          <w:tblCellMar>
            <w:top w:w="0" w:type="dxa"/>
            <w:left w:w="0" w:type="dxa"/>
            <w:bottom w:w="0" w:type="dxa"/>
            <w:right w:w="0" w:type="dxa"/>
          </w:tblCellMar>
        </w:tblPrEx>
        <w:trPr>
          <w:trHeight w:val="539"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7094DF53">
            <w:pPr>
              <w:jc w:val="center"/>
              <w:rPr>
                <w:rFonts w:ascii="宋体" w:hAnsi="宋体" w:cs="宋体"/>
                <w:b/>
                <w:bCs/>
                <w:sz w:val="24"/>
              </w:rPr>
            </w:pPr>
            <w:r>
              <w:rPr>
                <w:rFonts w:hint="eastAsia" w:ascii="宋体" w:hAnsi="宋体" w:cs="宋体"/>
                <w:b/>
                <w:bCs/>
                <w:sz w:val="24"/>
              </w:rPr>
              <w:t>APP平台</w:t>
            </w: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69BDDC86">
            <w:pPr>
              <w:rPr>
                <w:rFonts w:ascii="宋体" w:hAnsi="宋体" w:cs="宋体"/>
                <w:sz w:val="24"/>
              </w:rPr>
            </w:pPr>
            <w:r>
              <w:rPr>
                <w:rFonts w:hint="eastAsia" w:ascii="宋体" w:hAnsi="宋体" w:cs="宋体"/>
                <w:sz w:val="24"/>
              </w:rPr>
              <w:t>IOS/Android</w:t>
            </w:r>
          </w:p>
        </w:tc>
      </w:tr>
      <w:tr w14:paraId="733C64B7">
        <w:tblPrEx>
          <w:tblCellMar>
            <w:top w:w="0" w:type="dxa"/>
            <w:left w:w="0" w:type="dxa"/>
            <w:bottom w:w="0" w:type="dxa"/>
            <w:right w:w="0" w:type="dxa"/>
          </w:tblCellMar>
        </w:tblPrEx>
        <w:trPr>
          <w:trHeight w:val="417"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FDEADA"/>
            <w:vAlign w:val="center"/>
          </w:tcPr>
          <w:p w14:paraId="37FEA470">
            <w:pPr>
              <w:jc w:val="center"/>
              <w:rPr>
                <w:rFonts w:ascii="宋体" w:hAnsi="宋体" w:cs="宋体"/>
                <w:b/>
                <w:bCs/>
                <w:sz w:val="24"/>
              </w:rPr>
            </w:pPr>
            <w:r>
              <w:rPr>
                <w:rFonts w:hint="eastAsia" w:ascii="宋体" w:hAnsi="宋体" w:cs="宋体"/>
                <w:b/>
                <w:bCs/>
                <w:sz w:val="24"/>
              </w:rPr>
              <w:t>颜色</w:t>
            </w:r>
          </w:p>
        </w:tc>
        <w:tc>
          <w:tcPr>
            <w:tcW w:w="2918" w:type="dxa"/>
            <w:tcBorders>
              <w:top w:val="single" w:color="000000" w:sz="6" w:space="0"/>
              <w:left w:val="single" w:color="000000" w:sz="6" w:space="0"/>
              <w:bottom w:val="single" w:color="000000" w:sz="6" w:space="0"/>
              <w:right w:val="single" w:color="000000" w:sz="6" w:space="0"/>
            </w:tcBorders>
            <w:shd w:val="clear" w:color="auto" w:fill="FDEADA"/>
            <w:vAlign w:val="center"/>
          </w:tcPr>
          <w:p w14:paraId="164165F7">
            <w:pPr>
              <w:rPr>
                <w:rFonts w:ascii="宋体" w:hAnsi="宋体" w:cs="宋体"/>
                <w:sz w:val="24"/>
              </w:rPr>
            </w:pPr>
            <w:r>
              <w:rPr>
                <w:rFonts w:hint="eastAsia" w:ascii="宋体" w:hAnsi="宋体" w:cs="宋体"/>
                <w:sz w:val="24"/>
              </w:rPr>
              <w:t>金色</w:t>
            </w:r>
          </w:p>
        </w:tc>
      </w:tr>
      <w:tr w14:paraId="041D49CA">
        <w:tblPrEx>
          <w:tblCellMar>
            <w:top w:w="0" w:type="dxa"/>
            <w:left w:w="0" w:type="dxa"/>
            <w:bottom w:w="0" w:type="dxa"/>
            <w:right w:w="0" w:type="dxa"/>
          </w:tblCellMar>
        </w:tblPrEx>
        <w:trPr>
          <w:trHeight w:val="494"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511602E2">
            <w:pPr>
              <w:jc w:val="center"/>
              <w:rPr>
                <w:rFonts w:ascii="宋体" w:hAnsi="宋体" w:cs="宋体"/>
                <w:b/>
                <w:bCs/>
                <w:sz w:val="24"/>
              </w:rPr>
            </w:pPr>
            <w:r>
              <w:rPr>
                <w:rFonts w:hint="eastAsia" w:ascii="宋体" w:hAnsi="宋体" w:cs="宋体"/>
                <w:b/>
                <w:bCs/>
                <w:sz w:val="24"/>
              </w:rPr>
              <w:t>重量</w:t>
            </w: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1E9BB95F">
            <w:pPr>
              <w:rPr>
                <w:rFonts w:ascii="宋体" w:hAnsi="宋体" w:cs="宋体"/>
                <w:sz w:val="24"/>
              </w:rPr>
            </w:pPr>
            <w:r>
              <w:rPr>
                <w:rFonts w:hint="eastAsia" w:ascii="宋体" w:hAnsi="宋体" w:cs="宋体"/>
                <w:sz w:val="24"/>
              </w:rPr>
              <w:t>450KG（主、副柜）</w:t>
            </w:r>
          </w:p>
        </w:tc>
      </w:tr>
      <w:tr w14:paraId="2CAF8452">
        <w:tblPrEx>
          <w:tblCellMar>
            <w:top w:w="0" w:type="dxa"/>
            <w:left w:w="0" w:type="dxa"/>
            <w:bottom w:w="0" w:type="dxa"/>
            <w:right w:w="0" w:type="dxa"/>
          </w:tblCellMar>
        </w:tblPrEx>
        <w:trPr>
          <w:trHeight w:val="539"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11B8CD99">
            <w:pPr>
              <w:jc w:val="center"/>
              <w:rPr>
                <w:rFonts w:ascii="宋体" w:hAnsi="宋体" w:cs="宋体"/>
                <w:b/>
                <w:bCs/>
                <w:sz w:val="24"/>
              </w:rPr>
            </w:pPr>
            <w:r>
              <w:rPr>
                <w:rFonts w:hint="eastAsia" w:ascii="宋体" w:hAnsi="宋体" w:cs="宋体"/>
                <w:b/>
                <w:bCs/>
                <w:sz w:val="24"/>
              </w:rPr>
              <w:t>电源</w:t>
            </w: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14:paraId="342A31B1">
            <w:pPr>
              <w:rPr>
                <w:rFonts w:ascii="宋体" w:hAnsi="宋体" w:cs="宋体"/>
                <w:sz w:val="24"/>
              </w:rPr>
            </w:pPr>
            <w:r>
              <w:rPr>
                <w:rFonts w:hint="eastAsia" w:ascii="宋体" w:hAnsi="宋体" w:cs="宋体"/>
                <w:sz w:val="24"/>
              </w:rPr>
              <w:t>220V±10%，50HZ，135W</w:t>
            </w:r>
          </w:p>
        </w:tc>
      </w:tr>
    </w:tbl>
    <w:p w14:paraId="0805F345">
      <w:pPr>
        <w:spacing w:line="360" w:lineRule="auto"/>
        <w:rPr>
          <w:rFonts w:ascii="宋体" w:hAnsi="宋体" w:cs="宋体"/>
          <w:sz w:val="28"/>
          <w:szCs w:val="28"/>
        </w:rPr>
      </w:pPr>
      <w:r>
        <w:rPr>
          <w:rFonts w:hint="eastAsia" w:ascii="宋体" w:hAnsi="宋体" w:cs="宋体"/>
          <w:sz w:val="28"/>
          <w:szCs w:val="28"/>
        </w:rPr>
        <w:drawing>
          <wp:anchor distT="0" distB="0" distL="114300" distR="114300" simplePos="0" relativeHeight="251659264" behindDoc="1" locked="0" layoutInCell="1" allowOverlap="1">
            <wp:simplePos x="0" y="0"/>
            <wp:positionH relativeFrom="column">
              <wp:posOffset>-339725</wp:posOffset>
            </wp:positionH>
            <wp:positionV relativeFrom="paragraph">
              <wp:posOffset>394335</wp:posOffset>
            </wp:positionV>
            <wp:extent cx="4106545" cy="4185285"/>
            <wp:effectExtent l="304800" t="266700" r="313055" b="291465"/>
            <wp:wrapNone/>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6" cstate="print"/>
                    <a:stretch>
                      <a:fillRect/>
                    </a:stretch>
                  </pic:blipFill>
                  <pic:spPr>
                    <a:xfrm>
                      <a:off x="0" y="0"/>
                      <a:ext cx="4106545" cy="4185285"/>
                    </a:xfrm>
                    <a:prstGeom prst="rect">
                      <a:avLst/>
                    </a:prstGeom>
                    <a:noFill/>
                    <a:ln w="9525">
                      <a:noFill/>
                    </a:ln>
                    <a:effectLst>
                      <a:glow rad="381000">
                        <a:srgbClr val="D9D9D9">
                          <a:lumMod val="85000"/>
                          <a:alpha val="40000"/>
                        </a:srgbClr>
                      </a:glow>
                    </a:effectLst>
                  </pic:spPr>
                </pic:pic>
              </a:graphicData>
            </a:graphic>
          </wp:anchor>
        </w:drawing>
      </w:r>
    </w:p>
    <w:p w14:paraId="20DC0507">
      <w:pPr>
        <w:spacing w:line="360" w:lineRule="auto"/>
        <w:rPr>
          <w:rFonts w:ascii="宋体" w:hAnsi="宋体" w:cs="宋体"/>
          <w:sz w:val="28"/>
          <w:szCs w:val="28"/>
        </w:rPr>
      </w:pPr>
    </w:p>
    <w:p w14:paraId="5010F9F5">
      <w:pPr>
        <w:spacing w:line="360" w:lineRule="auto"/>
        <w:rPr>
          <w:rFonts w:ascii="宋体" w:hAnsi="宋体" w:cs="宋体"/>
          <w:sz w:val="28"/>
          <w:szCs w:val="28"/>
        </w:rPr>
      </w:pPr>
    </w:p>
    <w:p w14:paraId="304695F3">
      <w:pPr>
        <w:spacing w:line="360" w:lineRule="auto"/>
        <w:rPr>
          <w:rFonts w:ascii="宋体" w:hAnsi="宋体" w:cs="宋体"/>
          <w:sz w:val="28"/>
          <w:szCs w:val="28"/>
        </w:rPr>
      </w:pPr>
    </w:p>
    <w:p w14:paraId="6957A506">
      <w:pPr>
        <w:spacing w:line="360" w:lineRule="auto"/>
        <w:rPr>
          <w:rFonts w:ascii="宋体" w:hAnsi="宋体" w:cs="宋体"/>
          <w:sz w:val="28"/>
          <w:szCs w:val="28"/>
        </w:rPr>
      </w:pPr>
    </w:p>
    <w:p w14:paraId="61486032">
      <w:pPr>
        <w:spacing w:line="360" w:lineRule="auto"/>
        <w:rPr>
          <w:rFonts w:ascii="宋体" w:hAnsi="宋体" w:cs="宋体"/>
          <w:sz w:val="28"/>
          <w:szCs w:val="28"/>
        </w:rPr>
      </w:pPr>
    </w:p>
    <w:p w14:paraId="0199133D">
      <w:pPr>
        <w:spacing w:line="360" w:lineRule="auto"/>
        <w:rPr>
          <w:rFonts w:ascii="宋体" w:hAnsi="宋体" w:cs="宋体"/>
          <w:sz w:val="28"/>
          <w:szCs w:val="28"/>
        </w:rPr>
      </w:pPr>
    </w:p>
    <w:p w14:paraId="3FF99C13">
      <w:pPr>
        <w:spacing w:line="360" w:lineRule="auto"/>
        <w:rPr>
          <w:rFonts w:ascii="宋体" w:hAnsi="宋体" w:cs="宋体"/>
          <w:sz w:val="28"/>
          <w:szCs w:val="28"/>
        </w:rPr>
      </w:pPr>
    </w:p>
    <w:p w14:paraId="070FF7FF">
      <w:pPr>
        <w:spacing w:line="360" w:lineRule="auto"/>
        <w:rPr>
          <w:rFonts w:ascii="宋体" w:hAnsi="宋体" w:cs="宋体"/>
          <w:sz w:val="28"/>
          <w:szCs w:val="28"/>
        </w:rPr>
      </w:pPr>
    </w:p>
    <w:p w14:paraId="013887AD">
      <w:pPr>
        <w:spacing w:line="360" w:lineRule="auto"/>
        <w:rPr>
          <w:rFonts w:ascii="宋体" w:hAnsi="宋体" w:cs="宋体"/>
          <w:sz w:val="28"/>
          <w:szCs w:val="28"/>
        </w:rPr>
      </w:pPr>
    </w:p>
    <w:p w14:paraId="49F28127">
      <w:pPr>
        <w:spacing w:line="360" w:lineRule="auto"/>
        <w:rPr>
          <w:rFonts w:ascii="宋体" w:hAnsi="宋体" w:cs="宋体"/>
          <w:sz w:val="28"/>
          <w:szCs w:val="28"/>
        </w:rPr>
      </w:pPr>
    </w:p>
    <w:p w14:paraId="18ED4507">
      <w:pPr>
        <w:spacing w:line="360" w:lineRule="auto"/>
        <w:rPr>
          <w:rFonts w:ascii="宋体" w:hAnsi="宋体" w:cs="宋体"/>
          <w:sz w:val="28"/>
          <w:szCs w:val="28"/>
        </w:rPr>
      </w:pPr>
    </w:p>
    <w:p w14:paraId="0ABA93F3">
      <w:pPr>
        <w:spacing w:line="360" w:lineRule="auto"/>
        <w:rPr>
          <w:rFonts w:ascii="宋体" w:hAnsi="宋体" w:cs="宋体"/>
          <w:sz w:val="28"/>
          <w:szCs w:val="28"/>
        </w:rPr>
      </w:pPr>
    </w:p>
    <w:p w14:paraId="27410F68">
      <w:pPr>
        <w:spacing w:line="360" w:lineRule="auto"/>
        <w:ind w:firstLine="560" w:firstLineChars="200"/>
        <w:rPr>
          <w:rFonts w:ascii="宋体" w:hAnsi="宋体" w:cs="宋体"/>
          <w:sz w:val="28"/>
          <w:szCs w:val="28"/>
        </w:rPr>
      </w:pPr>
    </w:p>
    <w:p w14:paraId="2AA0092F">
      <w:pPr>
        <w:spacing w:line="360" w:lineRule="auto"/>
        <w:ind w:firstLine="560" w:firstLineChars="200"/>
        <w:rPr>
          <w:rFonts w:ascii="宋体" w:hAnsi="宋体" w:cs="宋体"/>
          <w:sz w:val="28"/>
          <w:szCs w:val="28"/>
        </w:rPr>
      </w:pPr>
    </w:p>
    <w:p w14:paraId="2D387D25">
      <w:pPr>
        <w:spacing w:line="360" w:lineRule="auto"/>
        <w:ind w:firstLine="560" w:firstLineChars="200"/>
        <w:rPr>
          <w:rFonts w:ascii="宋体" w:hAnsi="宋体" w:cs="宋体"/>
          <w:sz w:val="28"/>
          <w:szCs w:val="28"/>
        </w:rPr>
      </w:pPr>
      <w:r>
        <w:rPr>
          <w:rFonts w:hint="eastAsia" w:ascii="宋体" w:hAnsi="宋体" w:cs="宋体"/>
          <w:sz w:val="28"/>
          <w:szCs w:val="28"/>
        </w:rPr>
        <w:t>单书单格自助流动书柜（主柜）适用于图书角、楼道等，可合理利用位置不影响整体布局；藏书量为216册，单书单格图书借阅、归还简便。</w:t>
      </w:r>
    </w:p>
    <w:sectPr>
      <w:headerReference r:id="rId3" w:type="default"/>
      <w:footerReference r:id="rId4" w:type="default"/>
      <w:pgSz w:w="11906" w:h="16838"/>
      <w:pgMar w:top="1417" w:right="1417" w:bottom="1417" w:left="1417"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1C91C">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59155" cy="147955"/>
              <wp:effectExtent l="0" t="0" r="10795" b="0"/>
              <wp:wrapNone/>
              <wp:docPr id="2" name="文本框 2"/>
              <wp:cNvGraphicFramePr/>
              <a:graphic xmlns:a="http://schemas.openxmlformats.org/drawingml/2006/main">
                <a:graphicData uri="http://schemas.microsoft.com/office/word/2010/wordprocessingShape">
                  <wps:wsp>
                    <wps:cNvSpPr txBox="1"/>
                    <wps:spPr>
                      <a:xfrm>
                        <a:off x="0" y="0"/>
                        <a:ext cx="859155" cy="147955"/>
                      </a:xfrm>
                      <a:prstGeom prst="rect">
                        <a:avLst/>
                      </a:prstGeom>
                      <a:noFill/>
                      <a:ln w="6350">
                        <a:noFill/>
                      </a:ln>
                    </wps:spPr>
                    <wps:txbx>
                      <w:txbxContent>
                        <w:p w14:paraId="74ADAAD7">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6</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67.65pt;mso-position-horizontal:center;mso-position-horizontal-relative:margin;mso-wrap-style:none;z-index:251659264;mso-width-relative:page;mso-height-relative:page;" filled="f" stroked="f" coordsize="21600,21600" o:gfxdata="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S000NMAAAAEAQAADwAAAAAAAAABACAAAAAiAAAAZHJzL2Rvd25yZXYueG1sUEsBAhQA&#10;FAAAAAgAh07iQODPOoQwAgAAUwQAAA4AAAAAAAAAAQAgAAAAIgEAAGRycy9lMm9Eb2MueG1sUEsF&#10;BgAAAAAGAAYAWQEAAMQFAAAAAA==&#10;">
              <v:fill on="f" focussize="0,0"/>
              <v:stroke on="f" weight="0.5pt"/>
              <v:imagedata o:title=""/>
              <o:lock v:ext="edit" aspectratio="f"/>
              <v:textbox inset="0mm,0mm,0mm,0mm" style="mso-fit-shape-to-text:t;">
                <w:txbxContent>
                  <w:p w14:paraId="74ADAAD7">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6</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F8A70">
    <w:pPr>
      <w:pStyle w:val="8"/>
      <w:pBdr>
        <w:bottom w:val="none" w:color="auto" w:sz="0" w:space="1"/>
      </w:pBd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FC744"/>
    <w:multiLevelType w:val="singleLevel"/>
    <w:tmpl w:val="2C2FC74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0D"/>
    <w:rsid w:val="00032DC1"/>
    <w:rsid w:val="000824F0"/>
    <w:rsid w:val="000904F1"/>
    <w:rsid w:val="000E6F72"/>
    <w:rsid w:val="001D7BC0"/>
    <w:rsid w:val="001E0B01"/>
    <w:rsid w:val="001F12A6"/>
    <w:rsid w:val="001F59F4"/>
    <w:rsid w:val="00362B72"/>
    <w:rsid w:val="00382C02"/>
    <w:rsid w:val="00396ADE"/>
    <w:rsid w:val="003E4252"/>
    <w:rsid w:val="004A3591"/>
    <w:rsid w:val="004D2A12"/>
    <w:rsid w:val="00546159"/>
    <w:rsid w:val="005B4D23"/>
    <w:rsid w:val="006C5555"/>
    <w:rsid w:val="007262DC"/>
    <w:rsid w:val="007615F6"/>
    <w:rsid w:val="007A5C3F"/>
    <w:rsid w:val="007D3B60"/>
    <w:rsid w:val="00827F80"/>
    <w:rsid w:val="00880C15"/>
    <w:rsid w:val="008976E2"/>
    <w:rsid w:val="008B43D0"/>
    <w:rsid w:val="008E0A6A"/>
    <w:rsid w:val="00955EC2"/>
    <w:rsid w:val="009A3820"/>
    <w:rsid w:val="009E4ED2"/>
    <w:rsid w:val="00A31457"/>
    <w:rsid w:val="00A37A02"/>
    <w:rsid w:val="00A52626"/>
    <w:rsid w:val="00A61568"/>
    <w:rsid w:val="00AB01AB"/>
    <w:rsid w:val="00B30266"/>
    <w:rsid w:val="00B67CFC"/>
    <w:rsid w:val="00BB15D9"/>
    <w:rsid w:val="00C346E0"/>
    <w:rsid w:val="00CB60F7"/>
    <w:rsid w:val="00D222E6"/>
    <w:rsid w:val="00D66E20"/>
    <w:rsid w:val="00E013E4"/>
    <w:rsid w:val="00E92DC8"/>
    <w:rsid w:val="00ED3FD9"/>
    <w:rsid w:val="00EF00F6"/>
    <w:rsid w:val="00F24A0D"/>
    <w:rsid w:val="00F659CA"/>
    <w:rsid w:val="00FA3570"/>
    <w:rsid w:val="00FB5166"/>
    <w:rsid w:val="02062384"/>
    <w:rsid w:val="02A904F8"/>
    <w:rsid w:val="02AA5A33"/>
    <w:rsid w:val="02B87C73"/>
    <w:rsid w:val="034C2574"/>
    <w:rsid w:val="04DD7C7C"/>
    <w:rsid w:val="05445A9C"/>
    <w:rsid w:val="06286E66"/>
    <w:rsid w:val="0710021F"/>
    <w:rsid w:val="078C02AE"/>
    <w:rsid w:val="07DE09A4"/>
    <w:rsid w:val="081218C6"/>
    <w:rsid w:val="0C2F0EB7"/>
    <w:rsid w:val="0C64316E"/>
    <w:rsid w:val="0CEE7774"/>
    <w:rsid w:val="0E0A7E59"/>
    <w:rsid w:val="10BE7A17"/>
    <w:rsid w:val="10DD60FF"/>
    <w:rsid w:val="11DE40F9"/>
    <w:rsid w:val="12025932"/>
    <w:rsid w:val="126E0FFA"/>
    <w:rsid w:val="134C78E9"/>
    <w:rsid w:val="14C96A6E"/>
    <w:rsid w:val="16642DB2"/>
    <w:rsid w:val="19AC01EF"/>
    <w:rsid w:val="1A062592"/>
    <w:rsid w:val="1B3A2E94"/>
    <w:rsid w:val="1BA14506"/>
    <w:rsid w:val="1D114273"/>
    <w:rsid w:val="1ED1071C"/>
    <w:rsid w:val="1F1B25B8"/>
    <w:rsid w:val="1FE87E1A"/>
    <w:rsid w:val="202C5A06"/>
    <w:rsid w:val="21081910"/>
    <w:rsid w:val="21457F7A"/>
    <w:rsid w:val="21E37549"/>
    <w:rsid w:val="225E7BAF"/>
    <w:rsid w:val="22C9555C"/>
    <w:rsid w:val="230D6F85"/>
    <w:rsid w:val="235A175B"/>
    <w:rsid w:val="27EC20FC"/>
    <w:rsid w:val="28C228BE"/>
    <w:rsid w:val="2A283A5C"/>
    <w:rsid w:val="2A964DB4"/>
    <w:rsid w:val="2AA87C96"/>
    <w:rsid w:val="2ACC4121"/>
    <w:rsid w:val="2B3A09DF"/>
    <w:rsid w:val="2B3C32BC"/>
    <w:rsid w:val="2C2F7DF0"/>
    <w:rsid w:val="2C515A8F"/>
    <w:rsid w:val="2E4E0941"/>
    <w:rsid w:val="2FAE1818"/>
    <w:rsid w:val="317F67A9"/>
    <w:rsid w:val="31FE02CC"/>
    <w:rsid w:val="335F0168"/>
    <w:rsid w:val="33DA2C50"/>
    <w:rsid w:val="35A42874"/>
    <w:rsid w:val="3607314E"/>
    <w:rsid w:val="36F27746"/>
    <w:rsid w:val="373C7F3F"/>
    <w:rsid w:val="398765EA"/>
    <w:rsid w:val="399E0569"/>
    <w:rsid w:val="3A001886"/>
    <w:rsid w:val="3BCE6E24"/>
    <w:rsid w:val="3CF81B8C"/>
    <w:rsid w:val="3DC41287"/>
    <w:rsid w:val="3EA947A4"/>
    <w:rsid w:val="3ED435FD"/>
    <w:rsid w:val="3F79645B"/>
    <w:rsid w:val="410930A1"/>
    <w:rsid w:val="412F317D"/>
    <w:rsid w:val="413E56D2"/>
    <w:rsid w:val="41861725"/>
    <w:rsid w:val="41B25953"/>
    <w:rsid w:val="41DC7035"/>
    <w:rsid w:val="41F406CA"/>
    <w:rsid w:val="41F62E5F"/>
    <w:rsid w:val="432661BC"/>
    <w:rsid w:val="45137833"/>
    <w:rsid w:val="45FB7C53"/>
    <w:rsid w:val="4648041C"/>
    <w:rsid w:val="46826B59"/>
    <w:rsid w:val="46A871EA"/>
    <w:rsid w:val="46C92A2E"/>
    <w:rsid w:val="47954BD6"/>
    <w:rsid w:val="491335BF"/>
    <w:rsid w:val="49ED4387"/>
    <w:rsid w:val="4A3143E8"/>
    <w:rsid w:val="4B381C00"/>
    <w:rsid w:val="4BE57679"/>
    <w:rsid w:val="4C49724A"/>
    <w:rsid w:val="4D225F18"/>
    <w:rsid w:val="4E574214"/>
    <w:rsid w:val="4EC90CAB"/>
    <w:rsid w:val="50387505"/>
    <w:rsid w:val="50B16576"/>
    <w:rsid w:val="523056D1"/>
    <w:rsid w:val="5253378E"/>
    <w:rsid w:val="525E259B"/>
    <w:rsid w:val="526119BD"/>
    <w:rsid w:val="528D7DB3"/>
    <w:rsid w:val="57E14DA3"/>
    <w:rsid w:val="5B7102C2"/>
    <w:rsid w:val="5B7550E3"/>
    <w:rsid w:val="5BF044A5"/>
    <w:rsid w:val="5C8C5097"/>
    <w:rsid w:val="5D384D0B"/>
    <w:rsid w:val="5D945210"/>
    <w:rsid w:val="5ED92489"/>
    <w:rsid w:val="5EF02E5B"/>
    <w:rsid w:val="5F872E3A"/>
    <w:rsid w:val="5F926D1E"/>
    <w:rsid w:val="6098643C"/>
    <w:rsid w:val="60C74FE8"/>
    <w:rsid w:val="620C2643"/>
    <w:rsid w:val="621319A5"/>
    <w:rsid w:val="6223595D"/>
    <w:rsid w:val="625B2991"/>
    <w:rsid w:val="627D22FF"/>
    <w:rsid w:val="636942C1"/>
    <w:rsid w:val="64364C31"/>
    <w:rsid w:val="66153BB7"/>
    <w:rsid w:val="665C3372"/>
    <w:rsid w:val="665E7938"/>
    <w:rsid w:val="666D7ED3"/>
    <w:rsid w:val="66E07386"/>
    <w:rsid w:val="682016A7"/>
    <w:rsid w:val="68676082"/>
    <w:rsid w:val="6B201CCD"/>
    <w:rsid w:val="6B2B3370"/>
    <w:rsid w:val="6B6C5380"/>
    <w:rsid w:val="6C273518"/>
    <w:rsid w:val="6C914018"/>
    <w:rsid w:val="6CBE78B6"/>
    <w:rsid w:val="6CF84389"/>
    <w:rsid w:val="6DD5395B"/>
    <w:rsid w:val="6FD64088"/>
    <w:rsid w:val="712D79C7"/>
    <w:rsid w:val="71F109EF"/>
    <w:rsid w:val="73C2201B"/>
    <w:rsid w:val="73C4140A"/>
    <w:rsid w:val="76AB5F2B"/>
    <w:rsid w:val="7787727C"/>
    <w:rsid w:val="7ABD229B"/>
    <w:rsid w:val="7AC85E5F"/>
    <w:rsid w:val="7B067C06"/>
    <w:rsid w:val="7B861AE4"/>
    <w:rsid w:val="7C884648"/>
    <w:rsid w:val="7CD778D7"/>
    <w:rsid w:val="7D90359C"/>
    <w:rsid w:val="7DA928BA"/>
    <w:rsid w:val="7E00286B"/>
    <w:rsid w:val="7F2F23C0"/>
    <w:rsid w:val="7F6A4CCB"/>
    <w:rsid w:val="7F8F2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unhideWhenUsed/>
    <w:qFormat/>
    <w:uiPriority w:val="9"/>
    <w:pPr>
      <w:keepNext/>
      <w:keepLines/>
      <w:spacing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line="413" w:lineRule="auto"/>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semiHidden/>
    <w:unhideWhenUsed/>
    <w:qFormat/>
    <w:uiPriority w:val="99"/>
    <w:pPr>
      <w:jc w:val="left"/>
    </w:pPr>
  </w:style>
  <w:style w:type="paragraph" w:styleId="6">
    <w:name w:val="Balloon Text"/>
    <w:basedOn w:val="1"/>
    <w:link w:val="19"/>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0">
    <w:name w:val="Normal (Web)"/>
    <w:basedOn w:val="1"/>
    <w:unhideWhenUsed/>
    <w:qFormat/>
    <w:uiPriority w:val="99"/>
    <w:pPr>
      <w:spacing w:beforeAutospacing="1" w:afterAutospacing="1"/>
      <w:jc w:val="left"/>
    </w:pPr>
    <w:rPr>
      <w:kern w:val="0"/>
      <w:sz w:val="24"/>
    </w:rPr>
  </w:style>
  <w:style w:type="paragraph" w:styleId="11">
    <w:name w:val="annotation subject"/>
    <w:basedOn w:val="5"/>
    <w:next w:val="5"/>
    <w:link w:val="23"/>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rPr>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8"/>
    <w:qFormat/>
    <w:uiPriority w:val="99"/>
    <w:rPr>
      <w:sz w:val="18"/>
      <w:szCs w:val="18"/>
    </w:rPr>
  </w:style>
  <w:style w:type="character" w:customStyle="1" w:styleId="18">
    <w:name w:val="页脚 Char"/>
    <w:basedOn w:val="14"/>
    <w:link w:val="7"/>
    <w:qFormat/>
    <w:uiPriority w:val="99"/>
    <w:rPr>
      <w:sz w:val="18"/>
      <w:szCs w:val="18"/>
    </w:rPr>
  </w:style>
  <w:style w:type="character" w:customStyle="1" w:styleId="19">
    <w:name w:val="批注框文本 Char"/>
    <w:basedOn w:val="14"/>
    <w:link w:val="6"/>
    <w:semiHidden/>
    <w:qFormat/>
    <w:uiPriority w:val="99"/>
    <w:rPr>
      <w:rFonts w:ascii="Times New Roman" w:hAnsi="Times New Roman" w:eastAsia="宋体" w:cs="Times New Roman"/>
      <w:sz w:val="18"/>
      <w:szCs w:val="18"/>
    </w:rPr>
  </w:style>
  <w:style w:type="character" w:customStyle="1" w:styleId="20">
    <w:name w:val="keyword-span-wrap"/>
    <w:basedOn w:val="14"/>
    <w:qFormat/>
    <w:uiPriority w:val="0"/>
    <w:rPr>
      <w:color w:val="19A97B"/>
    </w:rPr>
  </w:style>
  <w:style w:type="paragraph" w:customStyle="1" w:styleId="21">
    <w:name w:val="列出段落7"/>
    <w:basedOn w:val="1"/>
    <w:unhideWhenUsed/>
    <w:qFormat/>
    <w:uiPriority w:val="99"/>
    <w:pPr>
      <w:ind w:firstLine="420" w:firstLineChars="200"/>
    </w:pPr>
  </w:style>
  <w:style w:type="character" w:customStyle="1" w:styleId="22">
    <w:name w:val="批注文字 Char"/>
    <w:basedOn w:val="14"/>
    <w:link w:val="5"/>
    <w:semiHidden/>
    <w:qFormat/>
    <w:uiPriority w:val="99"/>
    <w:rPr>
      <w:rFonts w:ascii="Times New Roman" w:hAnsi="Times New Roman"/>
      <w:kern w:val="2"/>
      <w:sz w:val="21"/>
      <w:szCs w:val="24"/>
    </w:rPr>
  </w:style>
  <w:style w:type="character" w:customStyle="1" w:styleId="23">
    <w:name w:val="批注主题 Char"/>
    <w:basedOn w:val="22"/>
    <w:link w:val="11"/>
    <w:semiHidden/>
    <w:qFormat/>
    <w:uiPriority w:val="99"/>
    <w:rPr>
      <w:rFonts w:ascii="Times New Roman" w:hAnsi="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2411</Words>
  <Characters>2554</Characters>
  <Lines>20</Lines>
  <Paragraphs>5</Paragraphs>
  <TotalTime>6</TotalTime>
  <ScaleCrop>false</ScaleCrop>
  <LinksUpToDate>false</LinksUpToDate>
  <CharactersWithSpaces>2758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2019-05-23T02:04:00Z</dcterms:created>
  <dc:creator>User</dc:creator>
  <cp:lastModifiedBy>DELL0108</cp:lastModifiedBy>
  <cp:lastPrinted>2019-05-06T02:18:00Z</cp:lastPrinted>
  <dcterms:modified xsi:type="dcterms:W3CDTF">2025-04-30T07:08:16Z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eyJoZGlkIjoiNmMyN2VmMzI0N2RhNjNkYjFiZmM2ZWY4MDVhZDNiY2IiLCJ1c2VySWQiOiIyNDI2ODUwMzIifQ==</vt:lpwstr>
  </property>
  <property fmtid="{D5CDD505-2E9C-101B-9397-08002B2CF9AE}" pid="4" name="ICV">
    <vt:lpwstr>0BF90F6F9E614CE28FB1B4D2F61C6BCF_12</vt:lpwstr>
  </property>
</Properties>
</file>