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  <w:lang w:eastAsia="zh-CN"/>
        </w:rPr>
        <w:t>体育健身器材</w:t>
      </w:r>
      <w:r>
        <w:rPr>
          <w:rFonts w:hint="eastAsia" w:ascii="宋体" w:hAnsi="宋体" w:eastAsia="宋体"/>
          <w:b/>
          <w:sz w:val="32"/>
          <w:szCs w:val="32"/>
        </w:rPr>
        <w:t>采购合同</w:t>
      </w:r>
    </w:p>
    <w:p>
      <w:pPr>
        <w:ind w:firstLine="480"/>
        <w:jc w:val="center"/>
        <w:rPr>
          <w:rFonts w:ascii="宋体" w:hAnsi="宋体" w:eastAsia="宋体"/>
          <w:szCs w:val="24"/>
        </w:rPr>
      </w:pPr>
    </w:p>
    <w:p>
      <w:pPr>
        <w:ind w:firstLine="480"/>
        <w:rPr>
          <w:rFonts w:ascii="宋体" w:hAnsi="宋体" w:eastAsia="宋体"/>
          <w:szCs w:val="24"/>
        </w:rPr>
      </w:pPr>
    </w:p>
    <w:p>
      <w:pPr>
        <w:ind w:firstLine="480"/>
        <w:rPr>
          <w:rFonts w:hint="eastAsia" w:ascii="宋体" w:hAnsi="宋体" w:eastAsia="宋体"/>
          <w:szCs w:val="24"/>
          <w:lang w:val="en-US" w:eastAsia="zh-CN"/>
        </w:rPr>
      </w:pPr>
      <w:r>
        <w:rPr>
          <w:rFonts w:hint="eastAsia" w:ascii="宋体" w:hAnsi="宋体" w:eastAsia="宋体"/>
          <w:szCs w:val="24"/>
        </w:rPr>
        <w:t>甲方（需方）：</w:t>
      </w:r>
      <w:r>
        <w:rPr>
          <w:rFonts w:hint="eastAsia" w:ascii="宋体" w:hAnsi="宋体" w:eastAsia="宋体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/>
          <w:szCs w:val="24"/>
          <w:u w:val="single"/>
          <w:lang w:eastAsia="zh-CN"/>
        </w:rPr>
        <w:t>重庆市体育局</w:t>
      </w:r>
      <w:r>
        <w:rPr>
          <w:rFonts w:hint="eastAsia" w:ascii="宋体" w:hAnsi="宋体" w:eastAsia="宋体"/>
          <w:szCs w:val="24"/>
          <w:u w:val="single"/>
        </w:rPr>
        <w:t xml:space="preserve">   </w:t>
      </w:r>
      <w:r>
        <w:rPr>
          <w:rFonts w:hint="eastAsia" w:ascii="宋体" w:hAnsi="宋体" w:eastAsia="宋体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szCs w:val="24"/>
          <w:u w:val="single"/>
        </w:rPr>
        <w:t xml:space="preserve">   </w:t>
      </w:r>
      <w:r>
        <w:rPr>
          <w:rFonts w:hint="eastAsia" w:ascii="宋体" w:hAnsi="宋体" w:eastAsia="宋体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szCs w:val="24"/>
        </w:rPr>
        <w:t>　</w:t>
      </w:r>
      <w:r>
        <w:rPr>
          <w:rFonts w:hint="eastAsia" w:ascii="宋体" w:hAnsi="宋体" w:eastAsia="宋体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Cs w:val="24"/>
        </w:rPr>
        <w:t>计价单位：</w:t>
      </w:r>
      <w:r>
        <w:rPr>
          <w:rFonts w:hint="eastAsia" w:ascii="宋体" w:hAnsi="宋体" w:eastAsia="宋体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szCs w:val="24"/>
          <w:u w:val="single"/>
        </w:rPr>
        <w:t>元</w:t>
      </w:r>
      <w:r>
        <w:rPr>
          <w:rFonts w:hint="eastAsia" w:ascii="宋体" w:hAnsi="宋体" w:eastAsia="宋体"/>
          <w:szCs w:val="24"/>
          <w:u w:val="single"/>
          <w:lang w:val="en-US" w:eastAsia="zh-CN"/>
        </w:rPr>
        <w:t xml:space="preserve">     </w:t>
      </w:r>
    </w:p>
    <w:p>
      <w:pPr>
        <w:ind w:firstLine="480"/>
        <w:rPr>
          <w:rFonts w:hint="eastAsia" w:ascii="宋体" w:hAnsi="宋体" w:eastAsia="宋体"/>
          <w:szCs w:val="24"/>
          <w:u w:val="single"/>
          <w:lang w:eastAsia="zh-CN"/>
        </w:rPr>
      </w:pPr>
      <w:r>
        <w:rPr>
          <w:rFonts w:hint="eastAsia" w:ascii="宋体" w:hAnsi="宋体" w:eastAsia="宋体"/>
          <w:szCs w:val="24"/>
        </w:rPr>
        <w:t>乙方（供方）：</w:t>
      </w:r>
      <w:r>
        <w:rPr>
          <w:rFonts w:hint="eastAsia" w:ascii="宋体" w:hAnsi="宋体" w:eastAsia="宋体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4"/>
          <w:u w:val="single"/>
        </w:rPr>
        <w:t>重庆腾龙体育产业发展</w:t>
      </w:r>
      <w:r>
        <w:rPr>
          <w:rFonts w:hint="eastAsia" w:ascii="宋体" w:hAnsi="宋体" w:eastAsia="宋体"/>
          <w:szCs w:val="24"/>
          <w:u w:val="single"/>
          <w:lang w:eastAsia="zh-CN"/>
        </w:rPr>
        <w:t>集团</w:t>
      </w:r>
      <w:r>
        <w:rPr>
          <w:rFonts w:hint="eastAsia" w:ascii="宋体" w:hAnsi="宋体" w:eastAsia="宋体"/>
          <w:szCs w:val="24"/>
          <w:u w:val="single"/>
        </w:rPr>
        <w:t>有限公司</w:t>
      </w:r>
      <w:r>
        <w:rPr>
          <w:rFonts w:hint="eastAsia" w:ascii="宋体" w:hAnsi="宋体" w:eastAsia="宋体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4"/>
        </w:rPr>
        <w:t>　　计量单位：</w:t>
      </w:r>
      <w:r>
        <w:rPr>
          <w:rFonts w:hint="eastAsia" w:ascii="宋体" w:hAnsi="宋体" w:eastAsia="宋体"/>
          <w:szCs w:val="24"/>
          <w:u w:val="single"/>
          <w:lang w:val="en-US" w:eastAsia="zh-CN"/>
        </w:rPr>
        <w:t xml:space="preserve">             </w:t>
      </w:r>
    </w:p>
    <w:p>
      <w:pPr>
        <w:spacing w:before="163" w:beforeLines="50"/>
        <w:ind w:firstLine="480"/>
        <w:rPr>
          <w:rFonts w:ascii="宋体" w:hAnsi="宋体" w:eastAsia="宋体"/>
          <w:szCs w:val="24"/>
        </w:rPr>
      </w:pPr>
      <w:r>
        <w:rPr>
          <w:rFonts w:hint="eastAsia" w:ascii="宋体" w:hAnsi="宋体" w:eastAsia="宋体"/>
          <w:szCs w:val="24"/>
        </w:rPr>
        <w:t>经双方协商一致，达成以下购销合同：</w:t>
      </w:r>
    </w:p>
    <w:tbl>
      <w:tblPr>
        <w:tblStyle w:val="8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93"/>
        <w:gridCol w:w="1313"/>
        <w:gridCol w:w="1106"/>
        <w:gridCol w:w="1500"/>
        <w:gridCol w:w="1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219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品牌型号</w:t>
            </w:r>
          </w:p>
        </w:tc>
        <w:tc>
          <w:tcPr>
            <w:tcW w:w="131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10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50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60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室内乒乓球台</w:t>
            </w:r>
          </w:p>
        </w:tc>
        <w:tc>
          <w:tcPr>
            <w:tcW w:w="21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红双喜T2023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2500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立式拳击沙袋</w:t>
            </w:r>
          </w:p>
        </w:tc>
        <w:tc>
          <w:tcPr>
            <w:tcW w:w="21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腾龙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800 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多功能可调式仰卧板</w:t>
            </w:r>
          </w:p>
        </w:tc>
        <w:tc>
          <w:tcPr>
            <w:tcW w:w="21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英派斯IFAAB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副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2200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4400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可调式举重机</w:t>
            </w:r>
          </w:p>
        </w:tc>
        <w:tc>
          <w:tcPr>
            <w:tcW w:w="21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英派斯IFOB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副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2600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三站综合机</w:t>
            </w:r>
          </w:p>
        </w:tc>
        <w:tc>
          <w:tcPr>
            <w:tcW w:w="21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英派斯ZH9005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副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14600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29200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动感单车</w:t>
            </w:r>
          </w:p>
        </w:tc>
        <w:tc>
          <w:tcPr>
            <w:tcW w:w="21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英派斯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PS300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台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10400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太空漫步机</w:t>
            </w:r>
          </w:p>
        </w:tc>
        <w:tc>
          <w:tcPr>
            <w:tcW w:w="21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英派斯LJ6140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副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3400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6800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  <w:vAlign w:val="center"/>
          </w:tcPr>
          <w:p>
            <w:pPr>
              <w:pStyle w:val="22"/>
              <w:rPr>
                <w:rFonts w:ascii="宋体" w:hAnsi="宋体" w:eastAsia="宋体"/>
                <w:sz w:val="24"/>
                <w:szCs w:val="24"/>
              </w:rPr>
            </w:pPr>
            <w:bookmarkStart w:id="0" w:name="_Toc470533021"/>
            <w:r>
              <w:rPr>
                <w:rFonts w:hint="eastAsia" w:ascii="宋体" w:hAnsi="宋体" w:eastAsia="宋体"/>
                <w:sz w:val="24"/>
                <w:szCs w:val="24"/>
              </w:rPr>
              <w:t>合计人民币（小写）</w:t>
            </w:r>
            <w:bookmarkEnd w:id="0"/>
            <w:r>
              <w:rPr>
                <w:rFonts w:hint="eastAsia" w:ascii="宋体" w:hAnsi="宋体" w:eastAsia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69700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  <w:vAlign w:val="center"/>
          </w:tcPr>
          <w:p>
            <w:pPr>
              <w:pStyle w:val="22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bookmarkStart w:id="1" w:name="_Toc470533022"/>
            <w:r>
              <w:rPr>
                <w:rFonts w:hint="eastAsia" w:ascii="宋体" w:hAnsi="宋体" w:eastAsia="宋体"/>
                <w:sz w:val="24"/>
                <w:szCs w:val="24"/>
              </w:rPr>
              <w:t>合计人民币（大写）：</w:t>
            </w:r>
            <w:bookmarkEnd w:id="1"/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陆万玖仟柒佰元整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</w:tcPr>
          <w:p>
            <w:pPr>
              <w:pStyle w:val="22"/>
              <w:spacing w:line="44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2" w:name="_Toc470533023"/>
            <w:r>
              <w:rPr>
                <w:rFonts w:hint="eastAsia" w:ascii="宋体" w:hAnsi="宋体" w:eastAsia="宋体"/>
                <w:sz w:val="24"/>
                <w:szCs w:val="24"/>
              </w:rPr>
              <w:t>一、质量要求和技术标准。供方提供的商品必须是全新的，完全符合国家有关技术标准，供方的质量保证及售后服务承诺如下：</w:t>
            </w:r>
            <w:bookmarkEnd w:id="2"/>
          </w:p>
          <w:p>
            <w:pPr>
              <w:pStyle w:val="22"/>
              <w:spacing w:line="44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3" w:name="_Toc470533024"/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、质保期限：</w:t>
            </w:r>
            <w:bookmarkEnd w:id="3"/>
            <w:r>
              <w:rPr>
                <w:rFonts w:hint="eastAsia" w:ascii="宋体" w:hAnsi="宋体" w:eastAsia="宋体"/>
                <w:sz w:val="24"/>
                <w:szCs w:val="24"/>
              </w:rPr>
              <w:t>实行国家“三包”规定。</w:t>
            </w:r>
          </w:p>
          <w:p>
            <w:pPr>
              <w:pStyle w:val="22"/>
              <w:spacing w:line="44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4" w:name="_Toc470533025"/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、保修范围：</w:t>
            </w:r>
            <w:bookmarkEnd w:id="4"/>
            <w:r>
              <w:rPr>
                <w:rFonts w:hint="eastAsia" w:ascii="宋体" w:hAnsi="宋体" w:eastAsia="宋体"/>
                <w:sz w:val="24"/>
                <w:szCs w:val="24"/>
              </w:rPr>
              <w:t>国家“三包”规定范围。</w:t>
            </w:r>
          </w:p>
          <w:p>
            <w:pPr>
              <w:pStyle w:val="22"/>
              <w:spacing w:line="44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5" w:name="_Toc470533026"/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、服务措施：</w:t>
            </w:r>
            <w:bookmarkEnd w:id="5"/>
          </w:p>
          <w:p>
            <w:pPr>
              <w:pStyle w:val="22"/>
              <w:spacing w:line="440" w:lineRule="exact"/>
              <w:ind w:firstLine="480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电话咨询：供方和制造商应当为采购人提供技术援助电话，解答采购人在使用中遇到的问题，及时为采购人提出解决问题的建议。</w:t>
            </w:r>
          </w:p>
          <w:p>
            <w:pPr>
              <w:pStyle w:val="22"/>
              <w:spacing w:line="44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6" w:name="_Toc470533027"/>
            <w:r>
              <w:rPr>
                <w:rFonts w:ascii="宋体" w:hAnsi="宋体" w:eastAsia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、质保期后服务：</w:t>
            </w:r>
            <w:bookmarkEnd w:id="6"/>
          </w:p>
          <w:p>
            <w:pPr>
              <w:pStyle w:val="22"/>
              <w:spacing w:line="440" w:lineRule="exact"/>
              <w:ind w:firstLine="480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）供方和制造商同样提供免费电话咨询服务。</w:t>
            </w:r>
          </w:p>
          <w:p>
            <w:pPr>
              <w:pStyle w:val="22"/>
              <w:spacing w:line="440" w:lineRule="exact"/>
              <w:ind w:firstLine="480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）采购人需要继续由原供方和制造商提供售后服务的，该供应商和制造商应以优惠价格提供售后服务。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</w:tcPr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7" w:name="_Toc470533028"/>
            <w:r>
              <w:rPr>
                <w:rFonts w:hint="eastAsia" w:ascii="宋体" w:hAnsi="宋体" w:eastAsia="宋体"/>
                <w:sz w:val="24"/>
                <w:szCs w:val="24"/>
              </w:rPr>
              <w:t>二、随机备品、附件、工具数量及供应方法：</w:t>
            </w:r>
            <w:bookmarkEnd w:id="7"/>
          </w:p>
          <w:p>
            <w:pPr>
              <w:pStyle w:val="22"/>
              <w:spacing w:line="400" w:lineRule="exact"/>
              <w:ind w:firstLine="480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按产品所附各备件、工具清单执行，随货物一次送到。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</w:tcPr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8" w:name="_Toc470533029"/>
            <w:r>
              <w:rPr>
                <w:rFonts w:hint="eastAsia" w:ascii="宋体" w:hAnsi="宋体" w:eastAsia="宋体"/>
                <w:sz w:val="24"/>
                <w:szCs w:val="24"/>
              </w:rPr>
              <w:t>三、交提货方式：</w:t>
            </w:r>
            <w:bookmarkEnd w:id="8"/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交货方式：乙方以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>货运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方式交货，由乙方负担运输费用。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</w:tcPr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9" w:name="_Toc470533030"/>
            <w:r>
              <w:rPr>
                <w:rFonts w:hint="eastAsia" w:ascii="宋体" w:hAnsi="宋体" w:eastAsia="宋体"/>
                <w:sz w:val="24"/>
                <w:szCs w:val="24"/>
              </w:rPr>
              <w:t>四、验收标准、方法：</w:t>
            </w:r>
            <w:bookmarkEnd w:id="9"/>
          </w:p>
          <w:p>
            <w:pPr>
              <w:pStyle w:val="22"/>
              <w:spacing w:line="400" w:lineRule="exact"/>
              <w:ind w:firstLine="480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供方单位供应的货物安装到位，由采购单位按合同约定组织验收，出具验收报告。</w:t>
            </w:r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0" w:name="_Toc470533031"/>
            <w:r>
              <w:rPr>
                <w:rFonts w:hint="eastAsia" w:ascii="宋体" w:hAnsi="宋体" w:eastAsia="宋体"/>
                <w:sz w:val="24"/>
                <w:szCs w:val="24"/>
              </w:rPr>
              <w:t>如有异议，请于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7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日内提出。</w:t>
            </w:r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</w:tcPr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1" w:name="_Toc470533032"/>
            <w:r>
              <w:rPr>
                <w:rFonts w:hint="eastAsia" w:ascii="宋体" w:hAnsi="宋体" w:eastAsia="宋体"/>
                <w:sz w:val="24"/>
                <w:szCs w:val="24"/>
              </w:rPr>
              <w:t>五、付款方式：</w:t>
            </w:r>
            <w:bookmarkEnd w:id="11"/>
          </w:p>
          <w:p>
            <w:pPr>
              <w:pStyle w:val="22"/>
              <w:spacing w:line="400" w:lineRule="exact"/>
              <w:ind w:firstLine="480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货款采购单位转账支付。本次采购货物验收合格后，</w:t>
            </w:r>
            <w:r>
              <w:rPr>
                <w:rFonts w:ascii="宋体" w:hAnsi="宋体" w:eastAsia="宋体"/>
                <w:sz w:val="24"/>
                <w:szCs w:val="24"/>
              </w:rPr>
              <w:t>15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天内一次性支付完合同总金额。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</w:tcPr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2" w:name="_Toc470533033"/>
            <w:r>
              <w:rPr>
                <w:rFonts w:hint="eastAsia" w:ascii="宋体" w:hAnsi="宋体" w:eastAsia="宋体"/>
                <w:sz w:val="24"/>
                <w:szCs w:val="24"/>
              </w:rPr>
              <w:t>六、违约责任：</w:t>
            </w:r>
            <w:bookmarkEnd w:id="12"/>
          </w:p>
          <w:p>
            <w:pPr>
              <w:pStyle w:val="22"/>
              <w:spacing w:line="400" w:lineRule="exact"/>
              <w:ind w:firstLine="480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3" w:name="_Toc470533034"/>
            <w:r>
              <w:rPr>
                <w:rFonts w:hint="eastAsia" w:ascii="宋体" w:hAnsi="宋体" w:eastAsia="宋体"/>
                <w:sz w:val="24"/>
                <w:szCs w:val="24"/>
              </w:rPr>
              <w:t>按《合同法》、《政府采购法》执行，或按双方约定。</w:t>
            </w:r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</w:tcPr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4" w:name="_Toc470533035"/>
            <w:r>
              <w:rPr>
                <w:rFonts w:hint="eastAsia" w:ascii="宋体" w:hAnsi="宋体" w:eastAsia="宋体"/>
                <w:sz w:val="24"/>
                <w:szCs w:val="24"/>
              </w:rPr>
              <w:t>七、其他约定事项：</w:t>
            </w:r>
            <w:bookmarkEnd w:id="14"/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5" w:name="_Toc470533036"/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、招标文件及其补遗文件、投标文件和承诺是本合同不可分割的部分。</w:t>
            </w:r>
            <w:bookmarkEnd w:id="15"/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6" w:name="_Toc470533037"/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、本合同如发生争议由双方协商解决，协商不成向需方所在人民法院提请诉讼。</w:t>
            </w:r>
            <w:bookmarkEnd w:id="16"/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7" w:name="_Toc470533038"/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、本合同一式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份，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需方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份，供方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份，具同等法律效力。</w:t>
            </w:r>
            <w:bookmarkEnd w:id="17"/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8" w:name="_Toc470533039"/>
            <w:r>
              <w:rPr>
                <w:rFonts w:ascii="宋体" w:hAnsi="宋体" w:eastAsia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、其他：</w:t>
            </w:r>
            <w:bookmarkEnd w:id="1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86" w:type="dxa"/>
            <w:gridSpan w:val="3"/>
          </w:tcPr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19" w:name="_Toc470533040"/>
            <w:r>
              <w:rPr>
                <w:rFonts w:hint="eastAsia" w:ascii="宋体" w:hAnsi="宋体" w:eastAsia="宋体"/>
                <w:sz w:val="24"/>
                <w:szCs w:val="24"/>
              </w:rPr>
              <w:t>需方：</w:t>
            </w:r>
            <w:bookmarkEnd w:id="19"/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重庆市体育局</w:t>
            </w:r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20" w:name="_Toc470533041"/>
            <w:r>
              <w:rPr>
                <w:rFonts w:hint="eastAsia" w:ascii="宋体" w:hAnsi="宋体" w:eastAsia="宋体"/>
                <w:sz w:val="24"/>
                <w:szCs w:val="24"/>
              </w:rPr>
              <w:t>地址：</w:t>
            </w:r>
            <w:bookmarkEnd w:id="20"/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21" w:name="_Toc470533042"/>
            <w:r>
              <w:rPr>
                <w:rFonts w:hint="eastAsia" w:ascii="宋体" w:hAnsi="宋体" w:eastAsia="宋体"/>
                <w:sz w:val="24"/>
                <w:szCs w:val="24"/>
              </w:rPr>
              <w:t>联系电话：</w:t>
            </w:r>
            <w:bookmarkEnd w:id="21"/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22" w:name="_Toc470533043"/>
            <w:r>
              <w:rPr>
                <w:rFonts w:hint="eastAsia" w:ascii="宋体" w:hAnsi="宋体" w:eastAsia="宋体"/>
                <w:sz w:val="24"/>
                <w:szCs w:val="24"/>
              </w:rPr>
              <w:t>授权代表：</w:t>
            </w:r>
            <w:bookmarkEnd w:id="22"/>
          </w:p>
        </w:tc>
        <w:tc>
          <w:tcPr>
            <w:tcW w:w="4210" w:type="dxa"/>
            <w:gridSpan w:val="3"/>
          </w:tcPr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23" w:name="_Toc470533044"/>
            <w:r>
              <w:rPr>
                <w:rFonts w:hint="eastAsia" w:ascii="宋体" w:hAnsi="宋体" w:eastAsia="宋体"/>
                <w:sz w:val="24"/>
                <w:szCs w:val="24"/>
              </w:rPr>
              <w:t>供方：</w:t>
            </w:r>
            <w:bookmarkEnd w:id="23"/>
            <w:r>
              <w:rPr>
                <w:rFonts w:hint="eastAsia" w:ascii="宋体" w:hAnsi="宋体" w:eastAsia="宋体"/>
                <w:sz w:val="24"/>
                <w:szCs w:val="24"/>
              </w:rPr>
              <w:t>重庆腾龙体育产业发展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集团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有限公司</w:t>
            </w:r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24" w:name="_Toc470533045"/>
            <w:r>
              <w:rPr>
                <w:rFonts w:hint="eastAsia" w:ascii="宋体" w:hAnsi="宋体" w:eastAsia="宋体"/>
                <w:sz w:val="24"/>
                <w:szCs w:val="24"/>
              </w:rPr>
              <w:t>地址：</w:t>
            </w:r>
            <w:bookmarkEnd w:id="24"/>
            <w:r>
              <w:rPr>
                <w:rFonts w:hint="eastAsia" w:ascii="宋体" w:hAnsi="宋体" w:eastAsia="宋体"/>
                <w:sz w:val="24"/>
                <w:szCs w:val="24"/>
              </w:rPr>
              <w:t>重庆市渝中区两路口体育馆东五楼</w:t>
            </w:r>
          </w:p>
          <w:p>
            <w:pPr>
              <w:pStyle w:val="22"/>
              <w:spacing w:line="400" w:lineRule="exact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bookmarkStart w:id="25" w:name="_Toc470533046"/>
            <w:r>
              <w:rPr>
                <w:rFonts w:hint="eastAsia" w:ascii="宋体" w:hAnsi="宋体" w:eastAsia="宋体"/>
                <w:sz w:val="24"/>
                <w:szCs w:val="24"/>
              </w:rPr>
              <w:t>电话：</w:t>
            </w:r>
            <w:bookmarkEnd w:id="25"/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18523918414</w:t>
            </w:r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26" w:name="_Toc470533047"/>
            <w:r>
              <w:rPr>
                <w:rFonts w:hint="eastAsia" w:ascii="宋体" w:hAnsi="宋体" w:eastAsia="宋体"/>
                <w:sz w:val="24"/>
                <w:szCs w:val="24"/>
              </w:rPr>
              <w:t>传真：</w:t>
            </w:r>
            <w:bookmarkEnd w:id="26"/>
            <w:r>
              <w:rPr>
                <w:rFonts w:ascii="宋体" w:hAnsi="宋体" w:eastAsia="宋体"/>
                <w:sz w:val="24"/>
                <w:szCs w:val="24"/>
              </w:rPr>
              <w:t>023-63820513</w:t>
            </w:r>
          </w:p>
          <w:p>
            <w:pPr>
              <w:pStyle w:val="22"/>
              <w:spacing w:line="400" w:lineRule="exact"/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bookmarkStart w:id="27" w:name="_Toc470533048"/>
            <w:r>
              <w:rPr>
                <w:rFonts w:hint="eastAsia" w:ascii="宋体" w:hAnsi="宋体" w:eastAsia="宋体"/>
                <w:sz w:val="24"/>
                <w:szCs w:val="24"/>
              </w:rPr>
              <w:t>开户银行：</w:t>
            </w:r>
            <w:bookmarkEnd w:id="27"/>
            <w:r>
              <w:rPr>
                <w:rFonts w:hint="eastAsia" w:ascii="宋体" w:hAnsi="宋体" w:eastAsia="宋体"/>
                <w:sz w:val="24"/>
                <w:szCs w:val="24"/>
              </w:rPr>
              <w:t>重庆三峡银行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股份有限公司营业部</w:t>
            </w:r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28" w:name="_Toc470533049"/>
            <w:r>
              <w:rPr>
                <w:rFonts w:hint="eastAsia" w:ascii="宋体" w:hAnsi="宋体" w:eastAsia="宋体"/>
                <w:sz w:val="24"/>
                <w:szCs w:val="24"/>
              </w:rPr>
              <w:t>账号：</w:t>
            </w:r>
            <w:bookmarkEnd w:id="28"/>
            <w:r>
              <w:rPr>
                <w:rFonts w:ascii="宋体" w:hAnsi="宋体" w:eastAsia="宋体"/>
                <w:sz w:val="24"/>
                <w:szCs w:val="24"/>
              </w:rPr>
              <w:t>0106014210000423</w:t>
            </w:r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bookmarkStart w:id="29" w:name="_Toc470533050"/>
            <w:r>
              <w:rPr>
                <w:rFonts w:hint="eastAsia" w:ascii="宋体" w:hAnsi="宋体" w:eastAsia="宋体"/>
                <w:sz w:val="24"/>
                <w:szCs w:val="24"/>
              </w:rPr>
              <w:t>授权代表：</w:t>
            </w:r>
            <w:bookmarkEnd w:id="29"/>
          </w:p>
          <w:p>
            <w:pPr>
              <w:pStyle w:val="22"/>
              <w:spacing w:line="4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6" w:type="dxa"/>
            <w:gridSpan w:val="6"/>
          </w:tcPr>
          <w:p>
            <w:pPr>
              <w:pStyle w:val="22"/>
              <w:rPr>
                <w:rFonts w:ascii="宋体" w:hAnsi="宋体" w:eastAsia="宋体"/>
                <w:sz w:val="24"/>
                <w:szCs w:val="24"/>
              </w:rPr>
            </w:pPr>
            <w:bookmarkStart w:id="30" w:name="_Toc470533052"/>
            <w:r>
              <w:rPr>
                <w:rFonts w:hint="eastAsia" w:ascii="宋体" w:hAnsi="宋体" w:eastAsia="宋体"/>
                <w:sz w:val="24"/>
                <w:szCs w:val="24"/>
              </w:rPr>
              <w:t>备注：</w:t>
            </w:r>
            <w:bookmarkEnd w:id="30"/>
          </w:p>
          <w:p>
            <w:pPr>
              <w:pStyle w:val="22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ind w:firstLine="480"/>
        <w:rPr>
          <w:rFonts w:ascii="宋体" w:hAnsi="宋体" w:eastAsia="宋体"/>
          <w:szCs w:val="24"/>
        </w:rPr>
      </w:pPr>
      <w:r>
        <w:rPr>
          <w:rFonts w:hint="eastAsia" w:ascii="宋体" w:hAnsi="宋体" w:eastAsia="宋体"/>
          <w:szCs w:val="24"/>
        </w:rPr>
        <w:t>签约时间：</w:t>
      </w:r>
      <w:r>
        <w:rPr>
          <w:rFonts w:ascii="宋体" w:hAnsi="宋体" w:eastAsia="宋体"/>
          <w:szCs w:val="24"/>
        </w:rPr>
        <w:t xml:space="preserve">           </w:t>
      </w:r>
      <w:r>
        <w:rPr>
          <w:rFonts w:hint="eastAsia" w:ascii="宋体" w:hAnsi="宋体" w:eastAsia="宋体"/>
          <w:szCs w:val="24"/>
        </w:rPr>
        <w:t>年</w:t>
      </w:r>
      <w:r>
        <w:rPr>
          <w:rFonts w:ascii="宋体" w:hAnsi="宋体" w:eastAsia="宋体"/>
          <w:szCs w:val="24"/>
        </w:rPr>
        <w:t xml:space="preserve">   </w:t>
      </w:r>
      <w:r>
        <w:rPr>
          <w:rFonts w:hint="eastAsia" w:ascii="宋体" w:hAnsi="宋体" w:eastAsia="宋体"/>
          <w:szCs w:val="24"/>
        </w:rPr>
        <w:t>月</w:t>
      </w:r>
      <w:r>
        <w:rPr>
          <w:rFonts w:ascii="宋体" w:hAnsi="宋体" w:eastAsia="宋体"/>
          <w:szCs w:val="24"/>
        </w:rPr>
        <w:t xml:space="preserve">   </w:t>
      </w:r>
      <w:r>
        <w:rPr>
          <w:rFonts w:hint="eastAsia" w:ascii="宋体" w:hAnsi="宋体" w:eastAsia="宋体"/>
          <w:szCs w:val="24"/>
        </w:rPr>
        <w:t>日</w:t>
      </w:r>
      <w:r>
        <w:rPr>
          <w:rFonts w:ascii="宋体" w:hAnsi="宋体" w:eastAsia="宋体"/>
          <w:szCs w:val="24"/>
        </w:rPr>
        <w:t xml:space="preserve">      </w:t>
      </w:r>
      <w:r>
        <w:rPr>
          <w:rFonts w:hint="eastAsia" w:ascii="宋体" w:hAnsi="宋体" w:eastAsia="宋体"/>
          <w:szCs w:val="24"/>
        </w:rPr>
        <w:t>签约地点：</w:t>
      </w:r>
      <w:bookmarkStart w:id="31" w:name="_GoBack"/>
      <w:bookmarkEnd w:id="3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765" w:footer="595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1"/>
      <w:jc w:val="right"/>
    </w:pP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955"/>
    <w:rsid w:val="00000473"/>
    <w:rsid w:val="000A4388"/>
    <w:rsid w:val="00160835"/>
    <w:rsid w:val="00197B93"/>
    <w:rsid w:val="001D37E8"/>
    <w:rsid w:val="001E193D"/>
    <w:rsid w:val="00245114"/>
    <w:rsid w:val="002B3A58"/>
    <w:rsid w:val="00351DDF"/>
    <w:rsid w:val="003B2CF9"/>
    <w:rsid w:val="0052029C"/>
    <w:rsid w:val="00524848"/>
    <w:rsid w:val="005432BD"/>
    <w:rsid w:val="00583F2B"/>
    <w:rsid w:val="00593231"/>
    <w:rsid w:val="005D03D6"/>
    <w:rsid w:val="006215EF"/>
    <w:rsid w:val="00643EDE"/>
    <w:rsid w:val="00654EB5"/>
    <w:rsid w:val="0067500B"/>
    <w:rsid w:val="006D7E0C"/>
    <w:rsid w:val="006F78A6"/>
    <w:rsid w:val="00707D83"/>
    <w:rsid w:val="00710CC9"/>
    <w:rsid w:val="007359C0"/>
    <w:rsid w:val="007B3961"/>
    <w:rsid w:val="008740DA"/>
    <w:rsid w:val="00882A92"/>
    <w:rsid w:val="008C5D32"/>
    <w:rsid w:val="008D3A67"/>
    <w:rsid w:val="009505F9"/>
    <w:rsid w:val="00967A52"/>
    <w:rsid w:val="009F18AE"/>
    <w:rsid w:val="00AA64E4"/>
    <w:rsid w:val="00B52AF9"/>
    <w:rsid w:val="00B73A1D"/>
    <w:rsid w:val="00B803E7"/>
    <w:rsid w:val="00BB43B2"/>
    <w:rsid w:val="00BD6944"/>
    <w:rsid w:val="00C51359"/>
    <w:rsid w:val="00C77B10"/>
    <w:rsid w:val="00C864AA"/>
    <w:rsid w:val="00CC0444"/>
    <w:rsid w:val="00D27F51"/>
    <w:rsid w:val="00DD179C"/>
    <w:rsid w:val="00E33955"/>
    <w:rsid w:val="00E541DB"/>
    <w:rsid w:val="00E65EBA"/>
    <w:rsid w:val="00EA6447"/>
    <w:rsid w:val="00F05367"/>
    <w:rsid w:val="00F844EB"/>
    <w:rsid w:val="00F92942"/>
    <w:rsid w:val="00F93708"/>
    <w:rsid w:val="054C036F"/>
    <w:rsid w:val="1B59301A"/>
    <w:rsid w:val="3A77230A"/>
    <w:rsid w:val="6A49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9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200" w:firstLineChars="200"/>
    </w:pPr>
    <w:rPr>
      <w:rFonts w:ascii="Times New Roman" w:hAnsi="Times New Roman" w:eastAsia="仿宋_GB2312" w:cs="Times New Roman"/>
      <w:kern w:val="2"/>
      <w:sz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color w:val="333333"/>
      <w:kern w:val="44"/>
      <w:sz w:val="42"/>
      <w:szCs w:val="42"/>
      <w:lang w:val="en-US" w:eastAsia="zh-CN" w:bidi="ar"/>
    </w:rPr>
  </w:style>
  <w:style w:type="paragraph" w:styleId="2">
    <w:name w:val="heading 4"/>
    <w:basedOn w:val="1"/>
    <w:next w:val="1"/>
    <w:unhideWhenUsed/>
    <w:qFormat/>
    <w:locked/>
    <w:uiPriority w:val="9"/>
    <w:pPr>
      <w:keepNext/>
      <w:keepLines/>
      <w:jc w:val="center"/>
      <w:outlineLvl w:val="3"/>
    </w:pPr>
    <w:rPr>
      <w:rFonts w:hAnsiTheme="majorHAnsi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semiHidden/>
    <w:qFormat/>
    <w:uiPriority w:val="0"/>
    <w:rPr>
      <w:rFonts w:ascii="宋体" w:hAnsi="Courier New"/>
    </w:rPr>
  </w:style>
  <w:style w:type="paragraph" w:styleId="5">
    <w:name w:val="Balloon Text"/>
    <w:basedOn w:val="1"/>
    <w:link w:val="25"/>
    <w:semiHidden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locked/>
    <w:uiPriority w:val="0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338DE6"/>
      <w:u w:val="none"/>
    </w:rPr>
  </w:style>
  <w:style w:type="character" w:styleId="12">
    <w:name w:val="Emphasis"/>
    <w:basedOn w:val="9"/>
    <w:qFormat/>
    <w:locked/>
    <w:uiPriority w:val="0"/>
  </w:style>
  <w:style w:type="character" w:styleId="13">
    <w:name w:val="HTML Definition"/>
    <w:basedOn w:val="9"/>
    <w:semiHidden/>
    <w:unhideWhenUsed/>
    <w:qFormat/>
    <w:uiPriority w:val="99"/>
  </w:style>
  <w:style w:type="character" w:styleId="14">
    <w:name w:val="HTML Variable"/>
    <w:basedOn w:val="9"/>
    <w:semiHidden/>
    <w:unhideWhenUsed/>
    <w:qFormat/>
    <w:uiPriority w:val="99"/>
  </w:style>
  <w:style w:type="character" w:styleId="15">
    <w:name w:val="HTML Code"/>
    <w:basedOn w:val="9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styleId="16">
    <w:name w:val="HTML Cite"/>
    <w:basedOn w:val="9"/>
    <w:semiHidden/>
    <w:unhideWhenUsed/>
    <w:qFormat/>
    <w:uiPriority w:val="99"/>
  </w:style>
  <w:style w:type="character" w:styleId="17">
    <w:name w:val="HTML Keyboard"/>
    <w:basedOn w:val="9"/>
    <w:semiHidden/>
    <w:unhideWhenUsed/>
    <w:qFormat/>
    <w:uiPriority w:val="99"/>
    <w:rPr>
      <w:rFonts w:hint="default" w:ascii="serif" w:hAnsi="serif" w:eastAsia="serif" w:cs="serif"/>
      <w:sz w:val="21"/>
      <w:szCs w:val="21"/>
    </w:rPr>
  </w:style>
  <w:style w:type="character" w:styleId="18">
    <w:name w:val="HTML Sample"/>
    <w:basedOn w:val="9"/>
    <w:semiHidden/>
    <w:unhideWhenUsed/>
    <w:qFormat/>
    <w:uiPriority w:val="99"/>
    <w:rPr>
      <w:rFonts w:ascii="serif" w:hAnsi="serif" w:eastAsia="serif" w:cs="serif"/>
      <w:sz w:val="21"/>
      <w:szCs w:val="21"/>
    </w:rPr>
  </w:style>
  <w:style w:type="character" w:customStyle="1" w:styleId="19">
    <w:name w:val="页眉 Char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页脚 Char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表内文字 Char"/>
    <w:link w:val="22"/>
    <w:qFormat/>
    <w:locked/>
    <w:uiPriority w:val="99"/>
    <w:rPr>
      <w:rFonts w:ascii="仿宋_GB2312" w:eastAsia="仿宋_GB2312" w:cs="Times New Roman"/>
      <w:sz w:val="21"/>
      <w:szCs w:val="21"/>
    </w:rPr>
  </w:style>
  <w:style w:type="paragraph" w:customStyle="1" w:styleId="22">
    <w:name w:val="表内文字"/>
    <w:basedOn w:val="1"/>
    <w:link w:val="21"/>
    <w:qFormat/>
    <w:uiPriority w:val="99"/>
    <w:pPr>
      <w:spacing w:line="240" w:lineRule="auto"/>
      <w:ind w:firstLine="0" w:firstLineChars="0"/>
    </w:pPr>
    <w:rPr>
      <w:rFonts w:ascii="仿宋_GB2312" w:hAnsi="等线"/>
      <w:sz w:val="21"/>
      <w:szCs w:val="21"/>
    </w:rPr>
  </w:style>
  <w:style w:type="character" w:customStyle="1" w:styleId="23">
    <w:name w:val="正文2 Char"/>
    <w:link w:val="24"/>
    <w:qFormat/>
    <w:locked/>
    <w:uiPriority w:val="99"/>
    <w:rPr>
      <w:rFonts w:eastAsia="仿宋_GB2312" w:cs="Times New Roman"/>
    </w:rPr>
  </w:style>
  <w:style w:type="paragraph" w:customStyle="1" w:styleId="24">
    <w:name w:val="正文2"/>
    <w:basedOn w:val="1"/>
    <w:link w:val="23"/>
    <w:qFormat/>
    <w:uiPriority w:val="99"/>
    <w:pPr>
      <w:ind w:firstLine="480"/>
      <w:jc w:val="right"/>
    </w:pPr>
    <w:rPr>
      <w:rFonts w:ascii="宋体" w:hAnsi="等线"/>
      <w:szCs w:val="22"/>
    </w:rPr>
  </w:style>
  <w:style w:type="character" w:customStyle="1" w:styleId="25">
    <w:name w:val="批注框文本 Char"/>
    <w:link w:val="5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6">
    <w:name w:val="lemmawgt-lemmatitle-title"/>
    <w:basedOn w:val="1"/>
    <w:qFormat/>
    <w:uiPriority w:val="0"/>
    <w:pPr>
      <w:spacing w:before="0" w:beforeAutospacing="0" w:after="75" w:afterAutospacing="0" w:line="585" w:lineRule="atLeast"/>
      <w:ind w:left="0" w:right="0"/>
      <w:jc w:val="left"/>
    </w:pPr>
    <w:rPr>
      <w:kern w:val="0"/>
      <w:lang w:val="en-US" w:eastAsia="zh-CN" w:bidi="ar"/>
    </w:rPr>
  </w:style>
  <w:style w:type="character" w:customStyle="1" w:styleId="27">
    <w:name w:val="fontborder"/>
    <w:basedOn w:val="9"/>
    <w:qFormat/>
    <w:uiPriority w:val="0"/>
    <w:rPr>
      <w:bdr w:val="single" w:color="000000" w:sz="6" w:space="0"/>
    </w:rPr>
  </w:style>
  <w:style w:type="character" w:customStyle="1" w:styleId="28">
    <w:name w:val="fontstrikethrough"/>
    <w:basedOn w:val="9"/>
    <w:qFormat/>
    <w:uiPriority w:val="0"/>
    <w:rPr>
      <w:strike/>
    </w:rPr>
  </w:style>
  <w:style w:type="character" w:customStyle="1" w:styleId="29">
    <w:name w:val="lemmawgt-lemmatitle-title1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1083</Characters>
  <Lines>9</Lines>
  <Paragraphs>2</Paragraphs>
  <TotalTime>1</TotalTime>
  <ScaleCrop>false</ScaleCrop>
  <LinksUpToDate>false</LinksUpToDate>
  <CharactersWithSpaces>1270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2019-05-24T02:05:00Z</dcterms:created>
  <dc:creator>腾龙体育</dc:creator>
  <cp:lastModifiedBy>Ronachc</cp:lastModifiedBy>
  <cp:lastPrinted>2019-05-24T02:06:00Z</cp:lastPrinted>
  <dcterms:modified xsi:type="dcterms:W3CDTF">2019-12-25T07:30:17Z</dcterms:modified>
  <dc:title>采购合同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