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隶书"/>
          <w:b/>
          <w:spacing w:val="20"/>
          <w:sz w:val="10"/>
        </w:rPr>
      </w:pPr>
    </w:p>
    <w:p>
      <w:pPr>
        <w:spacing w:line="240" w:lineRule="atLeast"/>
        <w:jc w:val="center"/>
        <w:rPr>
          <w:rFonts w:eastAsia="隶书"/>
          <w:b/>
          <w:spacing w:val="20"/>
          <w:sz w:val="36"/>
          <w:szCs w:val="36"/>
        </w:rPr>
      </w:pPr>
      <w:r>
        <w:rPr>
          <w:rFonts w:eastAsia="隶书"/>
          <w:b/>
          <w:spacing w:val="20"/>
          <w:sz w:val="36"/>
          <w:szCs w:val="36"/>
        </w:rPr>
        <w:t>法律服务合同</w:t>
      </w:r>
    </w:p>
    <w:p>
      <w:pPr>
        <w:spacing w:line="240" w:lineRule="atLeast"/>
        <w:jc w:val="center"/>
        <w:rPr>
          <w:rFonts w:eastAsia="仿宋_GB2312"/>
          <w:b/>
          <w:spacing w:val="20"/>
          <w:sz w:val="10"/>
          <w:szCs w:val="10"/>
        </w:rPr>
      </w:pPr>
    </w:p>
    <w:p>
      <w:pPr>
        <w:adjustRightInd w:val="0"/>
        <w:snapToGrid w:val="0"/>
        <w:spacing w:line="360" w:lineRule="auto"/>
        <w:jc w:val="center"/>
        <w:rPr>
          <w:rFonts w:eastAsia="楷体_GB2312"/>
          <w:spacing w:val="20"/>
          <w:sz w:val="18"/>
          <w:szCs w:val="18"/>
        </w:rPr>
      </w:pPr>
    </w:p>
    <w:p>
      <w:pPr>
        <w:adjustRightInd w:val="0"/>
        <w:snapToGrid w:val="0"/>
        <w:spacing w:line="360" w:lineRule="auto"/>
        <w:jc w:val="center"/>
        <w:rPr>
          <w:rFonts w:eastAsia="楷体_GB2312"/>
          <w:spacing w:val="20"/>
          <w:sz w:val="10"/>
        </w:rPr>
      </w:pPr>
    </w:p>
    <w:p>
      <w:pPr>
        <w:adjustRightInd w:val="0"/>
        <w:snapToGrid w:val="0"/>
        <w:spacing w:line="360" w:lineRule="auto"/>
        <w:rPr>
          <w:rFonts w:eastAsia="楷体_GB2312"/>
          <w:sz w:val="24"/>
        </w:rPr>
      </w:pPr>
      <w:r>
        <w:rPr>
          <w:rFonts w:eastAsia="楷体_GB2312"/>
          <w:sz w:val="24"/>
        </w:rPr>
        <w:t xml:space="preserve">甲方： </w:t>
      </w:r>
      <w:r>
        <w:rPr>
          <w:rFonts w:hint="eastAsia" w:eastAsia="楷体_GB2312"/>
          <w:sz w:val="24"/>
        </w:rPr>
        <w:t>重庆市足球运动管理中心</w:t>
      </w:r>
    </w:p>
    <w:p>
      <w:pPr>
        <w:adjustRightInd w:val="0"/>
        <w:snapToGrid w:val="0"/>
        <w:spacing w:line="360" w:lineRule="auto"/>
        <w:rPr>
          <w:rFonts w:eastAsia="楷体_GB2312"/>
          <w:bCs/>
          <w:sz w:val="24"/>
        </w:rPr>
      </w:pPr>
      <w:r>
        <w:rPr>
          <w:rFonts w:eastAsia="楷体_GB2312"/>
          <w:bCs/>
          <w:sz w:val="24"/>
        </w:rPr>
        <w:t>地址：</w:t>
      </w:r>
      <w:r>
        <w:rPr>
          <w:rFonts w:hint="eastAsia" w:eastAsia="楷体_GB2312"/>
          <w:bCs/>
          <w:sz w:val="24"/>
        </w:rPr>
        <w:t>重庆市高新区奥体中心二支路训练场</w:t>
      </w:r>
    </w:p>
    <w:p>
      <w:pPr>
        <w:adjustRightInd w:val="0"/>
        <w:snapToGrid w:val="0"/>
        <w:spacing w:line="360" w:lineRule="auto"/>
        <w:rPr>
          <w:rFonts w:eastAsia="楷体_GB2312"/>
          <w:bCs/>
          <w:sz w:val="24"/>
        </w:rPr>
      </w:pPr>
    </w:p>
    <w:p>
      <w:pPr>
        <w:adjustRightInd w:val="0"/>
        <w:snapToGrid w:val="0"/>
        <w:spacing w:line="360" w:lineRule="auto"/>
        <w:rPr>
          <w:rFonts w:eastAsia="楷体_GB2312"/>
          <w:b/>
          <w:bCs/>
          <w:sz w:val="24"/>
        </w:rPr>
      </w:pPr>
      <w:r>
        <w:rPr>
          <w:rFonts w:eastAsia="楷体_GB2312"/>
          <w:sz w:val="24"/>
        </w:rPr>
        <w:t>乙方：上海锦天城（重庆）律师事务所</w:t>
      </w:r>
    </w:p>
    <w:p>
      <w:pPr>
        <w:adjustRightInd w:val="0"/>
        <w:snapToGrid w:val="0"/>
        <w:spacing w:line="360" w:lineRule="auto"/>
        <w:rPr>
          <w:rFonts w:eastAsia="楷体_GB2312"/>
          <w:sz w:val="24"/>
        </w:rPr>
      </w:pPr>
      <w:r>
        <w:rPr>
          <w:rFonts w:eastAsia="楷体_GB2312"/>
          <w:sz w:val="24"/>
        </w:rPr>
        <w:t>地址：重庆市</w:t>
      </w:r>
      <w:r>
        <w:rPr>
          <w:rFonts w:hint="eastAsia" w:eastAsia="楷体_GB2312"/>
          <w:sz w:val="24"/>
        </w:rPr>
        <w:t>江北区江北嘴庆云路1号国金中心T1办公楼22楼</w:t>
      </w:r>
    </w:p>
    <w:p>
      <w:pPr>
        <w:tabs>
          <w:tab w:val="left" w:pos="540"/>
        </w:tabs>
        <w:adjustRightInd w:val="0"/>
        <w:snapToGrid w:val="0"/>
        <w:spacing w:line="360" w:lineRule="auto"/>
        <w:ind w:firstLine="480" w:firstLineChars="200"/>
        <w:rPr>
          <w:rFonts w:eastAsia="楷体_GB2312"/>
          <w:sz w:val="24"/>
        </w:rPr>
      </w:pPr>
    </w:p>
    <w:p>
      <w:pPr>
        <w:tabs>
          <w:tab w:val="left" w:pos="540"/>
        </w:tabs>
        <w:adjustRightInd w:val="0"/>
        <w:snapToGrid w:val="0"/>
        <w:spacing w:line="360" w:lineRule="auto"/>
        <w:ind w:firstLine="480" w:firstLineChars="200"/>
        <w:rPr>
          <w:rFonts w:eastAsia="楷体_GB2312"/>
          <w:sz w:val="24"/>
        </w:rPr>
      </w:pPr>
      <w:r>
        <w:rPr>
          <w:rFonts w:eastAsia="楷体_GB2312"/>
          <w:sz w:val="24"/>
        </w:rPr>
        <w:t>甲方委托乙方代理</w:t>
      </w:r>
      <w:r>
        <w:rPr>
          <w:rFonts w:hint="eastAsia" w:eastAsia="楷体_GB2312"/>
          <w:sz w:val="24"/>
        </w:rPr>
        <w:t>重庆足球俱乐部有限责任公司破产申请非诉法律服务</w:t>
      </w:r>
      <w:r>
        <w:rPr>
          <w:rFonts w:eastAsia="楷体_GB2312"/>
          <w:sz w:val="24"/>
        </w:rPr>
        <w:t>一案</w:t>
      </w:r>
      <w:r>
        <w:rPr>
          <w:rFonts w:hint="eastAsia" w:eastAsia="楷体_GB2312"/>
          <w:sz w:val="24"/>
        </w:rPr>
        <w:t>，</w:t>
      </w:r>
      <w:r>
        <w:rPr>
          <w:rFonts w:eastAsia="楷体_GB2312"/>
          <w:sz w:val="24"/>
        </w:rPr>
        <w:t>乙方为甲方提供非</w:t>
      </w:r>
      <w:r>
        <w:rPr>
          <w:rFonts w:eastAsia="楷体_GB2312"/>
          <w:sz w:val="24"/>
          <w:u w:val="single"/>
        </w:rPr>
        <w:t>诉讼代理律师</w:t>
      </w:r>
      <w:r>
        <w:rPr>
          <w:rFonts w:eastAsia="楷体_GB2312"/>
          <w:sz w:val="24"/>
        </w:rPr>
        <w:t>法律服务。现经双方协商，订立合同如下，以资共同信守：</w:t>
      </w:r>
    </w:p>
    <w:p>
      <w:pPr>
        <w:tabs>
          <w:tab w:val="left" w:pos="540"/>
        </w:tabs>
        <w:adjustRightInd w:val="0"/>
        <w:snapToGrid w:val="0"/>
        <w:spacing w:line="360" w:lineRule="auto"/>
        <w:ind w:firstLine="480" w:firstLineChars="200"/>
        <w:rPr>
          <w:rFonts w:eastAsia="楷体_GB2312"/>
          <w:sz w:val="24"/>
        </w:rPr>
      </w:pPr>
    </w:p>
    <w:p>
      <w:pPr>
        <w:tabs>
          <w:tab w:val="left" w:pos="540"/>
        </w:tabs>
        <w:adjustRightInd w:val="0"/>
        <w:snapToGrid w:val="0"/>
        <w:spacing w:line="360" w:lineRule="auto"/>
        <w:ind w:firstLine="482" w:firstLineChars="200"/>
        <w:rPr>
          <w:rFonts w:eastAsia="楷体_GB2312"/>
          <w:b/>
          <w:sz w:val="24"/>
        </w:rPr>
      </w:pPr>
      <w:r>
        <w:rPr>
          <w:rFonts w:eastAsia="楷体_GB2312"/>
          <w:b/>
          <w:sz w:val="24"/>
        </w:rPr>
        <w:t>第一条  委托代理事项</w:t>
      </w:r>
    </w:p>
    <w:p>
      <w:pPr>
        <w:tabs>
          <w:tab w:val="left" w:pos="540"/>
        </w:tabs>
        <w:adjustRightInd w:val="0"/>
        <w:snapToGrid w:val="0"/>
        <w:spacing w:line="360" w:lineRule="auto"/>
        <w:ind w:firstLine="480" w:firstLineChars="200"/>
        <w:rPr>
          <w:rFonts w:eastAsia="楷体_GB2312"/>
          <w:sz w:val="24"/>
        </w:rPr>
      </w:pPr>
      <w:r>
        <w:rPr>
          <w:rFonts w:eastAsia="楷体_GB2312"/>
          <w:sz w:val="24"/>
        </w:rPr>
        <w:t>1.1乙方愿意接受甲方的委托</w:t>
      </w:r>
      <w:r>
        <w:rPr>
          <w:rFonts w:hint="eastAsia" w:eastAsia="楷体_GB2312"/>
          <w:sz w:val="24"/>
        </w:rPr>
        <w:t>为重庆足球俱乐部有限责任公司破产申请提供非诉法律服务</w:t>
      </w:r>
      <w:r>
        <w:rPr>
          <w:rFonts w:eastAsia="楷体_GB2312"/>
          <w:sz w:val="24"/>
        </w:rPr>
        <w:t>一案</w:t>
      </w:r>
      <w:r>
        <w:rPr>
          <w:rFonts w:hint="eastAsia" w:eastAsia="楷体_GB2312"/>
          <w:sz w:val="24"/>
        </w:rPr>
        <w:t>，</w:t>
      </w:r>
      <w:r>
        <w:rPr>
          <w:rFonts w:eastAsia="楷体_GB2312"/>
          <w:sz w:val="24"/>
        </w:rPr>
        <w:t>并在甲方授权范围内，行使相应权利，履行相应义务。</w:t>
      </w:r>
    </w:p>
    <w:p>
      <w:pPr>
        <w:tabs>
          <w:tab w:val="left" w:pos="540"/>
        </w:tabs>
        <w:adjustRightInd w:val="0"/>
        <w:snapToGrid w:val="0"/>
        <w:spacing w:line="360" w:lineRule="auto"/>
        <w:ind w:firstLine="480" w:firstLineChars="200"/>
        <w:rPr>
          <w:rFonts w:eastAsia="楷体_GB2312"/>
          <w:sz w:val="24"/>
        </w:rPr>
      </w:pPr>
      <w:r>
        <w:rPr>
          <w:rFonts w:eastAsia="楷体_GB2312"/>
          <w:sz w:val="24"/>
        </w:rPr>
        <w:t>1.2乙方在本合同项下的代理工作范围为：</w:t>
      </w:r>
    </w:p>
    <w:p>
      <w:pPr>
        <w:tabs>
          <w:tab w:val="left" w:pos="540"/>
        </w:tabs>
        <w:adjustRightInd w:val="0"/>
        <w:snapToGrid w:val="0"/>
        <w:spacing w:line="360" w:lineRule="auto"/>
        <w:ind w:firstLine="480" w:firstLineChars="200"/>
        <w:rPr>
          <w:rFonts w:eastAsia="楷体_GB2312"/>
          <w:sz w:val="24"/>
        </w:rPr>
      </w:pPr>
      <w:r>
        <w:rPr>
          <w:rFonts w:eastAsia="楷体_GB2312"/>
          <w:sz w:val="24"/>
        </w:rPr>
        <w:t>1.2.1调查</w:t>
      </w:r>
      <w:r>
        <w:rPr>
          <w:rFonts w:hint="eastAsia" w:eastAsia="楷体_GB2312"/>
          <w:sz w:val="24"/>
        </w:rPr>
        <w:t>、了解重庆足球俱乐部有限责任公司经营现状、财务审计报告、上级主管部门对破产申请的审批意见及重庆足球俱乐部有限责任公司的股东会决议，制作破产申请书文本</w:t>
      </w:r>
      <w:r>
        <w:rPr>
          <w:rFonts w:eastAsia="楷体_GB2312"/>
          <w:sz w:val="24"/>
        </w:rPr>
        <w:t>；</w:t>
      </w:r>
    </w:p>
    <w:p>
      <w:pPr>
        <w:tabs>
          <w:tab w:val="left" w:pos="540"/>
        </w:tabs>
        <w:adjustRightInd w:val="0"/>
        <w:snapToGrid w:val="0"/>
        <w:spacing w:line="360" w:lineRule="auto"/>
        <w:ind w:firstLine="480" w:firstLineChars="200"/>
        <w:rPr>
          <w:rFonts w:eastAsia="楷体_GB2312"/>
          <w:sz w:val="24"/>
        </w:rPr>
      </w:pPr>
      <w:r>
        <w:rPr>
          <w:rFonts w:eastAsia="楷体_GB2312"/>
          <w:sz w:val="24"/>
        </w:rPr>
        <w:t>1.2.2在律师的职权范围内调查取证；</w:t>
      </w:r>
    </w:p>
    <w:p>
      <w:pPr>
        <w:tabs>
          <w:tab w:val="left" w:pos="540"/>
        </w:tabs>
        <w:adjustRightInd w:val="0"/>
        <w:snapToGrid w:val="0"/>
        <w:spacing w:line="360" w:lineRule="auto"/>
        <w:ind w:firstLine="480" w:firstLineChars="200"/>
        <w:rPr>
          <w:rFonts w:eastAsia="楷体_GB2312"/>
          <w:sz w:val="24"/>
        </w:rPr>
      </w:pPr>
      <w:r>
        <w:rPr>
          <w:rFonts w:eastAsia="楷体_GB2312"/>
          <w:sz w:val="24"/>
        </w:rPr>
        <w:t>1.2.3为委托方</w:t>
      </w:r>
      <w:r>
        <w:rPr>
          <w:rFonts w:hint="eastAsia" w:eastAsia="楷体_GB2312"/>
          <w:sz w:val="24"/>
        </w:rPr>
        <w:t>提供</w:t>
      </w:r>
      <w:r>
        <w:rPr>
          <w:rFonts w:eastAsia="楷体_GB2312"/>
          <w:sz w:val="24"/>
        </w:rPr>
        <w:t>相应的法律咨询意见；</w:t>
      </w:r>
    </w:p>
    <w:p>
      <w:pPr>
        <w:tabs>
          <w:tab w:val="left" w:pos="540"/>
        </w:tabs>
        <w:adjustRightInd w:val="0"/>
        <w:snapToGrid w:val="0"/>
        <w:spacing w:line="360" w:lineRule="auto"/>
        <w:ind w:firstLine="480" w:firstLineChars="200"/>
        <w:rPr>
          <w:rFonts w:eastAsia="楷体_GB2312"/>
          <w:sz w:val="24"/>
        </w:rPr>
      </w:pPr>
      <w:r>
        <w:rPr>
          <w:rFonts w:eastAsia="楷体_GB2312"/>
          <w:sz w:val="24"/>
        </w:rPr>
        <w:t>1.2.4根据法院审查意见提供补充资料；</w:t>
      </w:r>
    </w:p>
    <w:p>
      <w:pPr>
        <w:tabs>
          <w:tab w:val="left" w:pos="540"/>
        </w:tabs>
        <w:adjustRightInd w:val="0"/>
        <w:snapToGrid w:val="0"/>
        <w:spacing w:line="360" w:lineRule="auto"/>
        <w:ind w:firstLine="480" w:firstLineChars="200"/>
        <w:rPr>
          <w:rFonts w:eastAsia="楷体_GB2312"/>
          <w:sz w:val="24"/>
        </w:rPr>
      </w:pPr>
      <w:r>
        <w:rPr>
          <w:rFonts w:hint="eastAsia" w:eastAsia="楷体_GB2312"/>
          <w:sz w:val="24"/>
        </w:rPr>
        <w:t>1.2.5 结合法院及破产管理人对破产申请人的要求，配合重庆足球俱乐部有限责任公司参与处理破产过程中相关事宜；</w:t>
      </w:r>
    </w:p>
    <w:p>
      <w:pPr>
        <w:tabs>
          <w:tab w:val="left" w:pos="540"/>
        </w:tabs>
        <w:adjustRightInd w:val="0"/>
        <w:snapToGrid w:val="0"/>
        <w:spacing w:line="360" w:lineRule="auto"/>
        <w:ind w:firstLine="480" w:firstLineChars="200"/>
        <w:rPr>
          <w:rFonts w:eastAsia="楷体_GB2312"/>
          <w:sz w:val="24"/>
        </w:rPr>
      </w:pPr>
      <w:r>
        <w:rPr>
          <w:rFonts w:eastAsia="楷体_GB2312"/>
          <w:sz w:val="24"/>
        </w:rPr>
        <w:t>1.2.</w:t>
      </w:r>
      <w:r>
        <w:rPr>
          <w:rFonts w:hint="eastAsia" w:eastAsia="楷体_GB2312"/>
          <w:sz w:val="24"/>
        </w:rPr>
        <w:t>6</w:t>
      </w:r>
      <w:r>
        <w:rPr>
          <w:rFonts w:eastAsia="楷体_GB2312"/>
          <w:sz w:val="24"/>
        </w:rPr>
        <w:t xml:space="preserve">及时向甲方报告案件进展情况； </w:t>
      </w:r>
    </w:p>
    <w:p>
      <w:pPr>
        <w:tabs>
          <w:tab w:val="left" w:pos="540"/>
        </w:tabs>
        <w:adjustRightInd w:val="0"/>
        <w:snapToGrid w:val="0"/>
        <w:spacing w:line="360" w:lineRule="auto"/>
        <w:ind w:firstLine="480" w:firstLineChars="200"/>
        <w:rPr>
          <w:rFonts w:eastAsia="楷体_GB2312"/>
          <w:sz w:val="24"/>
        </w:rPr>
      </w:pPr>
      <w:r>
        <w:rPr>
          <w:rFonts w:eastAsia="楷体_GB2312"/>
          <w:sz w:val="24"/>
        </w:rPr>
        <w:t>1.3乙方律师的代理权限以甲方出具的授权委托书为准。</w:t>
      </w:r>
    </w:p>
    <w:p>
      <w:pPr>
        <w:tabs>
          <w:tab w:val="left" w:pos="540"/>
        </w:tabs>
        <w:adjustRightInd w:val="0"/>
        <w:snapToGrid w:val="0"/>
        <w:spacing w:line="360" w:lineRule="auto"/>
        <w:ind w:firstLine="480" w:firstLineChars="200"/>
        <w:rPr>
          <w:rFonts w:eastAsia="楷体_GB2312"/>
          <w:sz w:val="24"/>
        </w:rPr>
      </w:pPr>
    </w:p>
    <w:p>
      <w:pPr>
        <w:adjustRightInd w:val="0"/>
        <w:snapToGrid w:val="0"/>
        <w:spacing w:line="360" w:lineRule="auto"/>
        <w:ind w:firstLine="482" w:firstLineChars="200"/>
        <w:rPr>
          <w:rFonts w:eastAsia="楷体_GB2312"/>
          <w:b/>
          <w:bCs/>
          <w:sz w:val="24"/>
        </w:rPr>
      </w:pPr>
      <w:r>
        <w:rPr>
          <w:rFonts w:eastAsia="楷体_GB2312"/>
          <w:b/>
          <w:bCs/>
          <w:sz w:val="24"/>
        </w:rPr>
        <w:t>第二条  代理律师</w:t>
      </w:r>
    </w:p>
    <w:p>
      <w:pPr>
        <w:adjustRightInd w:val="0"/>
        <w:snapToGrid w:val="0"/>
        <w:spacing w:line="360" w:lineRule="auto"/>
        <w:ind w:firstLine="480" w:firstLineChars="200"/>
        <w:rPr>
          <w:rFonts w:eastAsia="楷体_GB2312"/>
          <w:sz w:val="24"/>
        </w:rPr>
      </w:pPr>
      <w:r>
        <w:rPr>
          <w:rFonts w:eastAsia="楷体_GB2312"/>
          <w:sz w:val="24"/>
        </w:rPr>
        <w:t>2.1乙方接受甲方委托，指派</w:t>
      </w:r>
      <w:r>
        <w:rPr>
          <w:rFonts w:eastAsia="楷体_GB2312"/>
          <w:sz w:val="24"/>
          <w:u w:val="single"/>
        </w:rPr>
        <w:t xml:space="preserve">  戢毅</w:t>
      </w:r>
      <w:r>
        <w:rPr>
          <w:rFonts w:hint="eastAsia" w:eastAsia="楷体_GB2312"/>
          <w:sz w:val="24"/>
          <w:u w:val="single"/>
        </w:rPr>
        <w:t>、</w:t>
      </w:r>
      <w:r>
        <w:rPr>
          <w:rFonts w:eastAsia="楷体_GB2312"/>
          <w:sz w:val="24"/>
          <w:u w:val="single"/>
        </w:rPr>
        <w:t xml:space="preserve">付亚军 </w:t>
      </w:r>
      <w:r>
        <w:rPr>
          <w:rFonts w:eastAsia="楷体_GB2312"/>
          <w:sz w:val="24"/>
        </w:rPr>
        <w:t>律师担任委托事项的代理人；</w:t>
      </w:r>
    </w:p>
    <w:p>
      <w:pPr>
        <w:adjustRightInd w:val="0"/>
        <w:snapToGrid w:val="0"/>
        <w:spacing w:line="360" w:lineRule="auto"/>
        <w:ind w:firstLine="480" w:firstLineChars="200"/>
        <w:rPr>
          <w:rFonts w:eastAsia="楷体_GB2312"/>
          <w:sz w:val="24"/>
        </w:rPr>
      </w:pPr>
      <w:r>
        <w:rPr>
          <w:rFonts w:eastAsia="楷体_GB2312"/>
          <w:sz w:val="24"/>
        </w:rPr>
        <w:t>2.2在法律服务过程中，乙方有权根据法律服务的需要，另行指派乙方的其他适当的律师、律师助理、秘书处理与上述案件有关的一般事务，包括但不限于：送达文件、调查、文件制作、文件复印、相关法律调研；</w:t>
      </w:r>
    </w:p>
    <w:p>
      <w:pPr>
        <w:pStyle w:val="2"/>
        <w:adjustRightInd w:val="0"/>
        <w:snapToGrid w:val="0"/>
        <w:ind w:firstLine="480" w:firstLineChars="200"/>
        <w:rPr>
          <w:rFonts w:ascii="Times New Roman" w:hAnsi="Times New Roman"/>
        </w:rPr>
      </w:pPr>
      <w:r>
        <w:rPr>
          <w:rFonts w:ascii="Times New Roman" w:hAnsi="Times New Roman"/>
        </w:rPr>
        <w:t>2.3在法律服务过程中，如上述律师离开乙方或因其他原因无法代理甲方办理委托事项，乙方可以另行指派其他律师办理委托事项。</w:t>
      </w:r>
    </w:p>
    <w:p>
      <w:pPr>
        <w:adjustRightInd w:val="0"/>
        <w:snapToGrid w:val="0"/>
        <w:spacing w:line="360" w:lineRule="auto"/>
        <w:ind w:firstLine="480" w:firstLineChars="200"/>
        <w:rPr>
          <w:rFonts w:eastAsia="楷体_GB2312"/>
          <w:sz w:val="24"/>
        </w:rPr>
      </w:pPr>
    </w:p>
    <w:p>
      <w:pPr>
        <w:adjustRightInd w:val="0"/>
        <w:snapToGrid w:val="0"/>
        <w:spacing w:line="360" w:lineRule="auto"/>
        <w:ind w:firstLine="482" w:firstLineChars="200"/>
        <w:rPr>
          <w:rFonts w:eastAsia="楷体_GB2312"/>
          <w:b/>
          <w:bCs/>
          <w:sz w:val="24"/>
        </w:rPr>
      </w:pPr>
      <w:r>
        <w:rPr>
          <w:rFonts w:eastAsia="楷体_GB2312"/>
          <w:b/>
          <w:bCs/>
          <w:sz w:val="24"/>
        </w:rPr>
        <w:t>第三条  乙方的代理职责</w:t>
      </w:r>
    </w:p>
    <w:p>
      <w:pPr>
        <w:pStyle w:val="3"/>
        <w:snapToGrid w:val="0"/>
        <w:spacing w:line="360" w:lineRule="auto"/>
        <w:ind w:right="0"/>
        <w:rPr>
          <w:rFonts w:ascii="Times New Roman" w:hAnsi="Times New Roman"/>
          <w:szCs w:val="24"/>
        </w:rPr>
      </w:pPr>
      <w:r>
        <w:rPr>
          <w:rFonts w:ascii="Times New Roman" w:hAnsi="Times New Roman"/>
          <w:szCs w:val="24"/>
        </w:rPr>
        <w:t>3.1 必须遵守律师职业道德和执业纪律；</w:t>
      </w:r>
    </w:p>
    <w:p>
      <w:pPr>
        <w:pStyle w:val="3"/>
        <w:snapToGrid w:val="0"/>
        <w:spacing w:line="360" w:lineRule="auto"/>
        <w:ind w:right="0"/>
        <w:rPr>
          <w:rFonts w:ascii="Times New Roman" w:hAnsi="Times New Roman"/>
          <w:szCs w:val="24"/>
        </w:rPr>
      </w:pPr>
      <w:r>
        <w:rPr>
          <w:rFonts w:ascii="Times New Roman" w:hAnsi="Times New Roman"/>
          <w:szCs w:val="24"/>
        </w:rPr>
        <w:t>3.2 保证为甲方制作的各种文件无违反法律规定的情形；</w:t>
      </w:r>
    </w:p>
    <w:p>
      <w:pPr>
        <w:pStyle w:val="3"/>
        <w:snapToGrid w:val="0"/>
        <w:spacing w:line="360" w:lineRule="auto"/>
        <w:ind w:right="0"/>
        <w:rPr>
          <w:rFonts w:ascii="Times New Roman" w:hAnsi="Times New Roman"/>
          <w:szCs w:val="24"/>
        </w:rPr>
      </w:pPr>
      <w:r>
        <w:rPr>
          <w:rFonts w:ascii="Times New Roman" w:hAnsi="Times New Roman"/>
          <w:szCs w:val="24"/>
        </w:rPr>
        <w:t>3.3 应当及时向甲方报告有关案件的进展情况；</w:t>
      </w:r>
    </w:p>
    <w:p>
      <w:pPr>
        <w:pStyle w:val="3"/>
        <w:snapToGrid w:val="0"/>
        <w:spacing w:line="360" w:lineRule="auto"/>
        <w:ind w:right="0"/>
        <w:rPr>
          <w:rFonts w:ascii="Times New Roman" w:hAnsi="Times New Roman"/>
          <w:szCs w:val="24"/>
        </w:rPr>
      </w:pPr>
      <w:r>
        <w:rPr>
          <w:rFonts w:ascii="Times New Roman" w:hAnsi="Times New Roman"/>
          <w:szCs w:val="24"/>
        </w:rPr>
        <w:t>3.4 无权超越甲方授权行事，在遇到涉及本案程序或实体等方面的重大问题时，应事先征求甲方意见，或在必要时根据甲方的决定和指令开展工作；</w:t>
      </w:r>
    </w:p>
    <w:p>
      <w:pPr>
        <w:pStyle w:val="3"/>
        <w:snapToGrid w:val="0"/>
        <w:spacing w:line="360" w:lineRule="auto"/>
        <w:ind w:right="0"/>
        <w:rPr>
          <w:rFonts w:ascii="Times New Roman" w:hAnsi="Times New Roman"/>
          <w:szCs w:val="24"/>
        </w:rPr>
      </w:pPr>
      <w:r>
        <w:rPr>
          <w:rFonts w:ascii="Times New Roman" w:hAnsi="Times New Roman"/>
          <w:szCs w:val="24"/>
        </w:rPr>
        <w:t>3.5 变更联系信息的，应当及时通知甲方</w:t>
      </w:r>
      <w:r>
        <w:rPr>
          <w:rFonts w:hint="eastAsia" w:ascii="Times New Roman" w:hAnsi="Times New Roman"/>
          <w:szCs w:val="24"/>
        </w:rPr>
        <w:t>；</w:t>
      </w:r>
    </w:p>
    <w:p>
      <w:pPr>
        <w:pStyle w:val="3"/>
        <w:snapToGrid w:val="0"/>
        <w:spacing w:line="360" w:lineRule="auto"/>
        <w:ind w:right="0"/>
        <w:rPr>
          <w:rFonts w:ascii="Times New Roman" w:hAnsi="Times New Roman"/>
          <w:szCs w:val="24"/>
        </w:rPr>
      </w:pPr>
      <w:r>
        <w:rPr>
          <w:rFonts w:ascii="Times New Roman" w:hAnsi="Times New Roman"/>
          <w:szCs w:val="24"/>
        </w:rPr>
        <w:t>3.6 乙方对甲方业务应当单独建档，并保存完整的工作记录，对涉及甲方的原始证据、法律文件和财物应当妥善保管。</w:t>
      </w:r>
    </w:p>
    <w:p>
      <w:pPr>
        <w:pStyle w:val="3"/>
        <w:snapToGrid w:val="0"/>
        <w:spacing w:line="360" w:lineRule="auto"/>
        <w:ind w:right="0"/>
        <w:rPr>
          <w:rFonts w:ascii="Times New Roman" w:hAnsi="Times New Roman"/>
          <w:szCs w:val="24"/>
          <w:lang w:val="en-US"/>
        </w:rPr>
      </w:pPr>
    </w:p>
    <w:p>
      <w:pPr>
        <w:adjustRightInd w:val="0"/>
        <w:snapToGrid w:val="0"/>
        <w:spacing w:line="360" w:lineRule="auto"/>
        <w:ind w:firstLine="482" w:firstLineChars="200"/>
        <w:rPr>
          <w:rFonts w:eastAsia="楷体_GB2312"/>
          <w:b/>
          <w:bCs/>
          <w:sz w:val="24"/>
        </w:rPr>
      </w:pPr>
      <w:r>
        <w:rPr>
          <w:rFonts w:eastAsia="楷体_GB2312"/>
          <w:b/>
          <w:bCs/>
          <w:sz w:val="24"/>
        </w:rPr>
        <w:t>第四条  甲方义务</w:t>
      </w:r>
    </w:p>
    <w:p>
      <w:pPr>
        <w:tabs>
          <w:tab w:val="left" w:pos="540"/>
        </w:tabs>
        <w:adjustRightInd w:val="0"/>
        <w:snapToGrid w:val="0"/>
        <w:spacing w:line="360" w:lineRule="auto"/>
        <w:ind w:firstLine="480" w:firstLineChars="200"/>
        <w:rPr>
          <w:rFonts w:eastAsia="楷体_GB2312"/>
          <w:sz w:val="24"/>
        </w:rPr>
      </w:pPr>
      <w:r>
        <w:rPr>
          <w:rFonts w:eastAsia="楷体_GB2312"/>
          <w:sz w:val="24"/>
        </w:rPr>
        <w:t>4.1及时、完整、准确地向乙方提供甲方完成本合同委托事项的各种文件、资料，并保证前述文件和资料等真实、准确、完整，不存在虚假、严重误导性陈述和重大遗漏</w:t>
      </w:r>
      <w:r>
        <w:rPr>
          <w:rFonts w:hint="eastAsia" w:eastAsia="楷体_GB2312"/>
          <w:sz w:val="24"/>
        </w:rPr>
        <w:t>；</w:t>
      </w:r>
    </w:p>
    <w:p>
      <w:pPr>
        <w:tabs>
          <w:tab w:val="left" w:pos="540"/>
        </w:tabs>
        <w:adjustRightInd w:val="0"/>
        <w:snapToGrid w:val="0"/>
        <w:spacing w:line="360" w:lineRule="auto"/>
        <w:ind w:firstLine="480" w:firstLineChars="200"/>
        <w:rPr>
          <w:rFonts w:eastAsia="楷体_GB2312"/>
          <w:sz w:val="24"/>
        </w:rPr>
      </w:pPr>
      <w:r>
        <w:rPr>
          <w:rFonts w:eastAsia="楷体_GB2312"/>
          <w:sz w:val="24"/>
        </w:rPr>
        <w:t>4.2 积极主动配合乙方律师为甲方利益而从事的各项代理工作，并为乙方律师提供工作便利</w:t>
      </w:r>
      <w:r>
        <w:rPr>
          <w:rFonts w:hint="eastAsia" w:eastAsia="楷体_GB2312"/>
          <w:sz w:val="24"/>
        </w:rPr>
        <w:t>；</w:t>
      </w:r>
    </w:p>
    <w:p>
      <w:pPr>
        <w:tabs>
          <w:tab w:val="left" w:pos="540"/>
        </w:tabs>
        <w:adjustRightInd w:val="0"/>
        <w:snapToGrid w:val="0"/>
        <w:spacing w:line="360" w:lineRule="auto"/>
        <w:ind w:firstLine="480" w:firstLineChars="200"/>
        <w:rPr>
          <w:rFonts w:eastAsia="楷体_GB2312"/>
          <w:sz w:val="24"/>
        </w:rPr>
      </w:pPr>
      <w:r>
        <w:rPr>
          <w:rFonts w:eastAsia="楷体_GB2312"/>
          <w:sz w:val="24"/>
        </w:rPr>
        <w:t>4.3 甲方保证按照本合同第五条规定的收费标准向乙方支付律师费</w:t>
      </w:r>
      <w:r>
        <w:rPr>
          <w:rFonts w:hint="eastAsia" w:eastAsia="楷体_GB2312"/>
          <w:sz w:val="24"/>
        </w:rPr>
        <w:t>；</w:t>
      </w:r>
    </w:p>
    <w:p>
      <w:pPr>
        <w:adjustRightInd w:val="0"/>
        <w:snapToGrid w:val="0"/>
        <w:spacing w:line="360" w:lineRule="auto"/>
        <w:ind w:firstLine="480" w:firstLineChars="200"/>
        <w:rPr>
          <w:rFonts w:eastAsia="楷体_GB2312"/>
          <w:sz w:val="24"/>
        </w:rPr>
      </w:pPr>
      <w:r>
        <w:rPr>
          <w:rFonts w:eastAsia="楷体_GB2312"/>
          <w:sz w:val="24"/>
        </w:rPr>
        <w:t>4.4 甲方应指定专人为乙方律师的联系人，负责转达甲方的指示和要求，提供文件和资料等，甲方更换联系人应当及时通知乙方</w:t>
      </w:r>
      <w:r>
        <w:rPr>
          <w:rFonts w:hint="eastAsia" w:eastAsia="楷体_GB2312"/>
          <w:sz w:val="24"/>
        </w:rPr>
        <w:t>；</w:t>
      </w:r>
    </w:p>
    <w:p>
      <w:pPr>
        <w:adjustRightInd w:val="0"/>
        <w:snapToGrid w:val="0"/>
        <w:spacing w:line="360" w:lineRule="auto"/>
        <w:ind w:firstLine="480" w:firstLineChars="200"/>
        <w:rPr>
          <w:rFonts w:eastAsia="楷体_GB2312"/>
          <w:sz w:val="24"/>
        </w:rPr>
      </w:pPr>
      <w:r>
        <w:rPr>
          <w:rFonts w:eastAsia="楷体_GB2312"/>
          <w:sz w:val="24"/>
        </w:rPr>
        <w:t>4.5 甲方有责任对委托代理事项做出独立的判断、决策，甲方根据乙方律师提供的法律意见、建议、方案所做出的决定而导致的损失，非因乙方律师重大过错原因造成的，由甲方自行承担</w:t>
      </w:r>
      <w:r>
        <w:rPr>
          <w:rFonts w:hint="eastAsia" w:eastAsia="楷体_GB2312"/>
          <w:sz w:val="24"/>
        </w:rPr>
        <w:t>；</w:t>
      </w:r>
    </w:p>
    <w:p>
      <w:pPr>
        <w:pStyle w:val="3"/>
        <w:snapToGrid w:val="0"/>
        <w:spacing w:line="360" w:lineRule="auto"/>
        <w:ind w:right="0"/>
        <w:rPr>
          <w:rFonts w:ascii="Times New Roman" w:hAnsi="Times New Roman"/>
          <w:szCs w:val="24"/>
        </w:rPr>
      </w:pPr>
      <w:r>
        <w:rPr>
          <w:rFonts w:ascii="Times New Roman" w:hAnsi="Times New Roman"/>
          <w:szCs w:val="24"/>
        </w:rPr>
        <w:t>4.6 无论何种情况，均不得要求乙方作出违反律师职业道德和执业纪律的行为。</w:t>
      </w:r>
    </w:p>
    <w:p>
      <w:pPr>
        <w:pStyle w:val="3"/>
        <w:snapToGrid w:val="0"/>
        <w:spacing w:line="360" w:lineRule="auto"/>
        <w:ind w:right="0"/>
        <w:rPr>
          <w:rFonts w:ascii="Times New Roman" w:hAnsi="Times New Roman"/>
          <w:szCs w:val="24"/>
        </w:rPr>
      </w:pPr>
    </w:p>
    <w:p>
      <w:pPr>
        <w:adjustRightInd w:val="0"/>
        <w:snapToGrid w:val="0"/>
        <w:spacing w:line="360" w:lineRule="auto"/>
        <w:ind w:firstLine="482" w:firstLineChars="200"/>
        <w:rPr>
          <w:rFonts w:eastAsia="楷体_GB2312"/>
          <w:b/>
          <w:bCs/>
          <w:sz w:val="24"/>
        </w:rPr>
      </w:pPr>
      <w:r>
        <w:rPr>
          <w:rFonts w:eastAsia="楷体_GB2312"/>
          <w:b/>
          <w:bCs/>
          <w:sz w:val="24"/>
        </w:rPr>
        <w:t>第五条  律师费用、差旅费</w:t>
      </w:r>
    </w:p>
    <w:p>
      <w:pPr>
        <w:adjustRightInd w:val="0"/>
        <w:snapToGrid w:val="0"/>
        <w:spacing w:line="360" w:lineRule="auto"/>
        <w:ind w:firstLine="480" w:firstLineChars="200"/>
        <w:rPr>
          <w:rFonts w:eastAsia="楷体_GB2312"/>
          <w:sz w:val="24"/>
        </w:rPr>
      </w:pPr>
      <w:r>
        <w:rPr>
          <w:rFonts w:eastAsia="楷体_GB2312"/>
          <w:sz w:val="24"/>
        </w:rPr>
        <w:t>5.1 律师服务费</w:t>
      </w:r>
    </w:p>
    <w:p>
      <w:pPr>
        <w:adjustRightInd w:val="0"/>
        <w:snapToGrid w:val="0"/>
        <w:spacing w:line="360" w:lineRule="auto"/>
        <w:ind w:firstLine="480" w:firstLineChars="200"/>
        <w:rPr>
          <w:rFonts w:eastAsia="楷体_GB2312"/>
          <w:sz w:val="24"/>
        </w:rPr>
      </w:pPr>
      <w:r>
        <w:rPr>
          <w:rFonts w:eastAsia="楷体_GB2312"/>
          <w:sz w:val="24"/>
        </w:rPr>
        <w:t>甲方应向乙方支付律师服务费人民币（大写）</w:t>
      </w:r>
      <w:r>
        <w:rPr>
          <w:rFonts w:eastAsia="楷体_GB2312"/>
          <w:sz w:val="24"/>
          <w:u w:val="single"/>
        </w:rPr>
        <w:t xml:space="preserve"> 玖万</w:t>
      </w:r>
      <w:r>
        <w:rPr>
          <w:rFonts w:hint="eastAsia" w:eastAsia="楷体_GB2312"/>
          <w:sz w:val="24"/>
          <w:u w:val="single"/>
        </w:rPr>
        <w:t>贰仟</w:t>
      </w:r>
      <w:r>
        <w:rPr>
          <w:rFonts w:eastAsia="楷体_GB2312"/>
          <w:sz w:val="24"/>
          <w:u w:val="single"/>
        </w:rPr>
        <w:t xml:space="preserve">圆 </w:t>
      </w:r>
      <w:r>
        <w:rPr>
          <w:rFonts w:eastAsia="楷体_GB2312"/>
          <w:sz w:val="24"/>
        </w:rPr>
        <w:t>整。</w:t>
      </w:r>
    </w:p>
    <w:p>
      <w:pPr>
        <w:adjustRightInd w:val="0"/>
        <w:snapToGrid w:val="0"/>
        <w:spacing w:line="360" w:lineRule="auto"/>
        <w:ind w:firstLine="480" w:firstLineChars="200"/>
        <w:rPr>
          <w:rFonts w:eastAsia="楷体_GB2312"/>
          <w:sz w:val="24"/>
        </w:rPr>
      </w:pPr>
      <w:r>
        <w:rPr>
          <w:rFonts w:eastAsia="楷体_GB2312"/>
          <w:sz w:val="24"/>
        </w:rPr>
        <w:t>5.2 差旅费</w:t>
      </w:r>
    </w:p>
    <w:p>
      <w:pPr>
        <w:adjustRightInd w:val="0"/>
        <w:snapToGrid w:val="0"/>
        <w:spacing w:line="360" w:lineRule="auto"/>
        <w:ind w:firstLine="480" w:firstLineChars="200"/>
        <w:rPr>
          <w:rFonts w:eastAsia="楷体_GB2312"/>
          <w:sz w:val="24"/>
        </w:rPr>
      </w:pPr>
      <w:r>
        <w:rPr>
          <w:rFonts w:eastAsia="楷体_GB2312"/>
          <w:sz w:val="24"/>
        </w:rPr>
        <w:t>乙方按照下列第</w:t>
      </w:r>
      <w:r>
        <w:rPr>
          <w:rFonts w:hint="eastAsia" w:eastAsia="楷体_GB2312"/>
          <w:sz w:val="24"/>
          <w:u w:val="single"/>
        </w:rPr>
        <w:t>（1）</w:t>
      </w:r>
      <w:r>
        <w:rPr>
          <w:rFonts w:eastAsia="楷体_GB2312"/>
          <w:sz w:val="24"/>
        </w:rPr>
        <w:t>项方式收取差旅费：</w:t>
      </w:r>
    </w:p>
    <w:p>
      <w:pPr>
        <w:adjustRightInd w:val="0"/>
        <w:snapToGrid w:val="0"/>
        <w:spacing w:line="360" w:lineRule="auto"/>
        <w:ind w:firstLine="480" w:firstLineChars="200"/>
        <w:rPr>
          <w:rFonts w:eastAsia="楷体_GB2312"/>
          <w:sz w:val="24"/>
        </w:rPr>
      </w:pPr>
      <w:r>
        <w:rPr>
          <w:rFonts w:eastAsia="楷体_GB2312"/>
          <w:sz w:val="24"/>
        </w:rPr>
        <w:t>（1）乙方与甲方约定包干差旅费的，乙方按不超过</w:t>
      </w:r>
      <w:r>
        <w:rPr>
          <w:rFonts w:eastAsia="楷体_GB2312"/>
          <w:b/>
          <w:sz w:val="24"/>
        </w:rPr>
        <w:t>5.1中约定的</w:t>
      </w:r>
      <w:r>
        <w:rPr>
          <w:rFonts w:eastAsia="楷体_GB2312"/>
          <w:sz w:val="24"/>
        </w:rPr>
        <w:t>律师服务费的10%收取差旅费人民币（大写</w:t>
      </w:r>
      <w:r>
        <w:rPr>
          <w:rFonts w:eastAsia="楷体_GB2312"/>
          <w:sz w:val="24"/>
          <w:u w:val="single"/>
        </w:rPr>
        <w:t>）</w:t>
      </w:r>
      <w:r>
        <w:rPr>
          <w:rFonts w:hint="eastAsia" w:ascii="楷体" w:hAnsi="楷体" w:eastAsia="楷体"/>
          <w:sz w:val="24"/>
          <w:u w:val="single"/>
        </w:rPr>
        <w:t>∕（已经包含在律师服务费中）</w:t>
      </w:r>
      <w:r>
        <w:rPr>
          <w:rFonts w:eastAsia="楷体_GB2312"/>
          <w:sz w:val="24"/>
        </w:rPr>
        <w:t>。</w:t>
      </w:r>
    </w:p>
    <w:p>
      <w:pPr>
        <w:adjustRightInd w:val="0"/>
        <w:snapToGrid w:val="0"/>
        <w:spacing w:line="360" w:lineRule="auto"/>
        <w:ind w:firstLine="480" w:firstLineChars="200"/>
        <w:rPr>
          <w:rFonts w:eastAsia="楷体_GB2312"/>
          <w:sz w:val="24"/>
        </w:rPr>
      </w:pPr>
      <w:r>
        <w:rPr>
          <w:rFonts w:eastAsia="楷体_GB2312"/>
          <w:sz w:val="24"/>
        </w:rPr>
        <w:t>（2）乙方预收差旅费的，由乙方向甲方提出差旅费预算并经甲方同意后预收差旅费人民币（大写）</w:t>
      </w:r>
      <w:r>
        <w:rPr>
          <w:rFonts w:eastAsia="楷体_GB2312"/>
          <w:sz w:val="24"/>
          <w:u w:val="single"/>
        </w:rPr>
        <w:t xml:space="preserve"> </w:t>
      </w:r>
      <w:r>
        <w:rPr>
          <w:rFonts w:hint="eastAsia" w:ascii="楷体" w:hAnsi="楷体" w:eastAsia="楷体"/>
          <w:sz w:val="24"/>
          <w:u w:val="single"/>
        </w:rPr>
        <w:t>∕</w:t>
      </w:r>
      <w:r>
        <w:rPr>
          <w:rFonts w:eastAsia="楷体_GB2312"/>
          <w:sz w:val="24"/>
        </w:rPr>
        <w:t>元，乙方凭差旅费清单及有效凭证与甲方据实结算。</w:t>
      </w:r>
    </w:p>
    <w:p>
      <w:pPr>
        <w:adjustRightInd w:val="0"/>
        <w:snapToGrid w:val="0"/>
        <w:spacing w:line="360" w:lineRule="auto"/>
        <w:ind w:firstLine="480" w:firstLineChars="200"/>
        <w:rPr>
          <w:rFonts w:eastAsia="楷体_GB2312"/>
          <w:sz w:val="24"/>
        </w:rPr>
      </w:pPr>
      <w:r>
        <w:rPr>
          <w:rFonts w:eastAsia="楷体_GB2312"/>
          <w:sz w:val="24"/>
        </w:rPr>
        <w:t>5.3 律师服务费、差旅费支付时间和方式</w:t>
      </w:r>
    </w:p>
    <w:p>
      <w:pPr>
        <w:adjustRightInd w:val="0"/>
        <w:snapToGrid w:val="0"/>
        <w:spacing w:line="360" w:lineRule="auto"/>
        <w:ind w:firstLine="480" w:firstLineChars="200"/>
        <w:rPr>
          <w:rFonts w:eastAsia="楷体_GB2312"/>
          <w:sz w:val="24"/>
        </w:rPr>
      </w:pPr>
      <w:r>
        <w:rPr>
          <w:rFonts w:eastAsia="楷体_GB2312"/>
          <w:sz w:val="24"/>
        </w:rPr>
        <w:t>甲方应于本合同签订之日向乙方支付律师服务费人民币</w:t>
      </w:r>
      <w:r>
        <w:rPr>
          <w:rFonts w:eastAsia="楷体_GB2312"/>
          <w:sz w:val="24"/>
          <w:u w:val="single"/>
        </w:rPr>
        <w:t xml:space="preserve"> </w:t>
      </w:r>
      <w:r>
        <w:rPr>
          <w:rFonts w:hint="eastAsia" w:eastAsia="楷体_GB2312"/>
          <w:sz w:val="24"/>
          <w:u w:val="single"/>
        </w:rPr>
        <w:t>玖万贰仟</w:t>
      </w:r>
      <w:r>
        <w:rPr>
          <w:rFonts w:eastAsia="楷体_GB2312"/>
          <w:sz w:val="24"/>
          <w:u w:val="single"/>
        </w:rPr>
        <w:t xml:space="preserve">圆 </w:t>
      </w:r>
      <w:r>
        <w:rPr>
          <w:rFonts w:eastAsia="楷体_GB2312"/>
          <w:sz w:val="24"/>
        </w:rPr>
        <w:t>整，余款于</w:t>
      </w:r>
      <w:r>
        <w:rPr>
          <w:rFonts w:hint="eastAsia" w:eastAsia="楷体_GB2312"/>
          <w:sz w:val="24"/>
        </w:rPr>
        <w:t>本合同签订之日</w:t>
      </w:r>
      <w:r>
        <w:rPr>
          <w:rFonts w:hint="eastAsia" w:ascii="楷体" w:hAnsi="楷体" w:eastAsia="楷体"/>
          <w:sz w:val="24"/>
          <w:u w:val="single"/>
        </w:rPr>
        <w:t>∕</w:t>
      </w:r>
      <w:r>
        <w:rPr>
          <w:rFonts w:hint="eastAsia" w:eastAsia="楷体_GB2312"/>
          <w:sz w:val="24"/>
          <w:u w:val="single"/>
        </w:rPr>
        <w:t xml:space="preserve"> </w:t>
      </w:r>
      <w:r>
        <w:rPr>
          <w:rFonts w:eastAsia="楷体_GB2312"/>
          <w:sz w:val="24"/>
        </w:rPr>
        <w:t xml:space="preserve"> 日内付清。如有特殊情况经双方协商可在本合同中另行约定或者签订补充协议。</w:t>
      </w:r>
    </w:p>
    <w:p>
      <w:pPr>
        <w:adjustRightInd w:val="0"/>
        <w:snapToGrid w:val="0"/>
        <w:spacing w:line="360" w:lineRule="auto"/>
        <w:ind w:firstLine="480" w:firstLineChars="200"/>
        <w:rPr>
          <w:rFonts w:eastAsia="楷体_GB2312"/>
          <w:sz w:val="24"/>
        </w:rPr>
      </w:pPr>
      <w:r>
        <w:rPr>
          <w:rFonts w:eastAsia="楷体_GB2312"/>
          <w:sz w:val="24"/>
        </w:rPr>
        <w:t>5.4 乙方律师在办理甲方委托的法律事务过程中需向司法、行政机关支付的诉讼费、查册费、鉴定费、勘验费、公证费、公告费及应由甲方支付的其他费用由甲方自行承担。</w:t>
      </w:r>
    </w:p>
    <w:p>
      <w:pPr>
        <w:adjustRightInd w:val="0"/>
        <w:snapToGrid w:val="0"/>
        <w:spacing w:line="360" w:lineRule="auto"/>
        <w:ind w:firstLine="480" w:firstLineChars="200"/>
        <w:rPr>
          <w:rFonts w:eastAsia="楷体_GB2312"/>
          <w:sz w:val="24"/>
        </w:rPr>
      </w:pPr>
      <w:r>
        <w:rPr>
          <w:rFonts w:eastAsia="楷体_GB2312"/>
          <w:sz w:val="24"/>
        </w:rPr>
        <w:t>5.5 除非乙方书面同意，因甲方未按照约定足额付清上述费用，导致乙方律师不履行或未及时履行本合同约定义务的责任由甲方承担。</w:t>
      </w:r>
    </w:p>
    <w:p>
      <w:pPr>
        <w:adjustRightInd w:val="0"/>
        <w:snapToGrid w:val="0"/>
        <w:spacing w:line="360" w:lineRule="auto"/>
        <w:ind w:firstLine="480" w:firstLineChars="200"/>
        <w:rPr>
          <w:rFonts w:eastAsia="楷体_GB2312"/>
          <w:sz w:val="24"/>
        </w:rPr>
      </w:pPr>
      <w:r>
        <w:rPr>
          <w:rFonts w:eastAsia="楷体_GB2312"/>
          <w:sz w:val="24"/>
        </w:rPr>
        <w:t>5.6 以和解、调解方式结案，包括在达成和解或调解协议后撤诉的，视为乙方已完成委托事项，甲方应全额支付乙方律师服务费。</w:t>
      </w:r>
    </w:p>
    <w:p>
      <w:pPr>
        <w:adjustRightInd w:val="0"/>
        <w:snapToGrid w:val="0"/>
        <w:spacing w:line="360" w:lineRule="auto"/>
        <w:ind w:firstLine="482" w:firstLineChars="200"/>
        <w:rPr>
          <w:rFonts w:eastAsia="楷体_GB2312"/>
          <w:b/>
          <w:bCs/>
          <w:sz w:val="24"/>
        </w:rPr>
      </w:pPr>
    </w:p>
    <w:p>
      <w:pPr>
        <w:adjustRightInd w:val="0"/>
        <w:snapToGrid w:val="0"/>
        <w:spacing w:line="360" w:lineRule="auto"/>
        <w:ind w:firstLine="482" w:firstLineChars="200"/>
        <w:rPr>
          <w:rFonts w:eastAsia="楷体_GB2312"/>
          <w:b/>
          <w:bCs/>
          <w:sz w:val="24"/>
        </w:rPr>
      </w:pPr>
      <w:r>
        <w:rPr>
          <w:rFonts w:eastAsia="楷体_GB2312"/>
          <w:b/>
          <w:bCs/>
          <w:sz w:val="24"/>
        </w:rPr>
        <w:t>第六条  保密</w:t>
      </w:r>
    </w:p>
    <w:p>
      <w:pPr>
        <w:adjustRightInd w:val="0"/>
        <w:snapToGrid w:val="0"/>
        <w:spacing w:line="360" w:lineRule="auto"/>
        <w:ind w:firstLine="480" w:firstLineChars="200"/>
        <w:rPr>
          <w:rFonts w:eastAsia="楷体_GB2312"/>
          <w:sz w:val="24"/>
        </w:rPr>
      </w:pPr>
      <w:r>
        <w:rPr>
          <w:rFonts w:eastAsia="楷体_GB2312"/>
          <w:sz w:val="24"/>
        </w:rPr>
        <w:t>6.1乙方对于甲方的相关信息以及与案件有关的资料、文件和其他情况（以下简称“甲方秘密”）应当保守秘密，在未征得甲方同意的情况下，不得向任何第三方透露</w:t>
      </w:r>
      <w:r>
        <w:rPr>
          <w:rFonts w:hint="eastAsia" w:eastAsia="楷体_GB2312"/>
          <w:sz w:val="24"/>
        </w:rPr>
        <w:t>；</w:t>
      </w:r>
    </w:p>
    <w:p>
      <w:pPr>
        <w:adjustRightInd w:val="0"/>
        <w:snapToGrid w:val="0"/>
        <w:spacing w:line="360" w:lineRule="auto"/>
        <w:ind w:firstLine="480" w:firstLineChars="200"/>
        <w:rPr>
          <w:rFonts w:eastAsia="楷体_GB2312"/>
          <w:sz w:val="24"/>
        </w:rPr>
      </w:pPr>
      <w:r>
        <w:rPr>
          <w:rFonts w:eastAsia="楷体_GB2312"/>
          <w:sz w:val="24"/>
        </w:rPr>
        <w:t>6.2以下内容不视为甲方秘密：</w:t>
      </w:r>
    </w:p>
    <w:p>
      <w:pPr>
        <w:adjustRightInd w:val="0"/>
        <w:snapToGrid w:val="0"/>
        <w:spacing w:line="360" w:lineRule="auto"/>
        <w:ind w:firstLine="480" w:firstLineChars="200"/>
        <w:rPr>
          <w:rFonts w:eastAsia="楷体_GB2312"/>
          <w:sz w:val="24"/>
        </w:rPr>
      </w:pPr>
      <w:r>
        <w:rPr>
          <w:rFonts w:eastAsia="楷体_GB2312"/>
          <w:sz w:val="24"/>
        </w:rPr>
        <w:t>6.2.1刑事犯罪证据；</w:t>
      </w:r>
    </w:p>
    <w:p>
      <w:pPr>
        <w:adjustRightInd w:val="0"/>
        <w:snapToGrid w:val="0"/>
        <w:spacing w:line="360" w:lineRule="auto"/>
        <w:ind w:firstLine="480" w:firstLineChars="200"/>
        <w:rPr>
          <w:rFonts w:eastAsia="楷体_GB2312"/>
          <w:sz w:val="24"/>
        </w:rPr>
      </w:pPr>
      <w:r>
        <w:rPr>
          <w:rFonts w:eastAsia="楷体_GB2312"/>
          <w:sz w:val="24"/>
        </w:rPr>
        <w:t>6.2.2可以公开查阅或取得的信息和资料；</w:t>
      </w:r>
    </w:p>
    <w:p>
      <w:pPr>
        <w:adjustRightInd w:val="0"/>
        <w:snapToGrid w:val="0"/>
        <w:spacing w:line="360" w:lineRule="auto"/>
        <w:ind w:firstLine="480" w:firstLineChars="200"/>
        <w:rPr>
          <w:rFonts w:eastAsia="楷体_GB2312"/>
          <w:sz w:val="24"/>
        </w:rPr>
      </w:pPr>
      <w:r>
        <w:rPr>
          <w:rFonts w:eastAsia="楷体_GB2312"/>
          <w:sz w:val="24"/>
        </w:rPr>
        <w:t>6.2.3本合同所约定的服务范围和授权权限的内容；</w:t>
      </w:r>
    </w:p>
    <w:p>
      <w:pPr>
        <w:adjustRightInd w:val="0"/>
        <w:snapToGrid w:val="0"/>
        <w:spacing w:line="360" w:lineRule="auto"/>
        <w:ind w:firstLine="480" w:firstLineChars="200"/>
        <w:rPr>
          <w:rFonts w:eastAsia="楷体_GB2312"/>
          <w:sz w:val="24"/>
        </w:rPr>
      </w:pPr>
      <w:r>
        <w:rPr>
          <w:rFonts w:eastAsia="楷体_GB2312"/>
          <w:sz w:val="24"/>
        </w:rPr>
        <w:t>6.3双方另订有保密协议的，应以保密协议的约定为准。</w:t>
      </w:r>
    </w:p>
    <w:p>
      <w:pPr>
        <w:adjustRightInd w:val="0"/>
        <w:snapToGrid w:val="0"/>
        <w:spacing w:line="360" w:lineRule="auto"/>
        <w:ind w:firstLine="480" w:firstLineChars="200"/>
        <w:rPr>
          <w:rFonts w:eastAsia="楷体_GB2312"/>
          <w:sz w:val="24"/>
        </w:rPr>
      </w:pPr>
    </w:p>
    <w:p>
      <w:pPr>
        <w:adjustRightInd w:val="0"/>
        <w:snapToGrid w:val="0"/>
        <w:spacing w:line="360" w:lineRule="auto"/>
        <w:ind w:firstLine="482" w:firstLineChars="200"/>
        <w:rPr>
          <w:rFonts w:eastAsia="楷体_GB2312"/>
          <w:b/>
          <w:bCs/>
          <w:sz w:val="24"/>
        </w:rPr>
      </w:pPr>
      <w:r>
        <w:rPr>
          <w:rFonts w:eastAsia="楷体_GB2312"/>
          <w:b/>
          <w:bCs/>
          <w:sz w:val="24"/>
        </w:rPr>
        <w:t>第七条  利益冲突</w:t>
      </w:r>
    </w:p>
    <w:p>
      <w:pPr>
        <w:pStyle w:val="3"/>
        <w:snapToGrid w:val="0"/>
        <w:spacing w:line="360" w:lineRule="auto"/>
        <w:ind w:right="0"/>
        <w:rPr>
          <w:rFonts w:ascii="Times New Roman" w:hAnsi="Times New Roman"/>
          <w:color w:val="FF0000"/>
          <w:szCs w:val="24"/>
        </w:rPr>
      </w:pPr>
      <w:r>
        <w:rPr>
          <w:rFonts w:ascii="Times New Roman" w:hAnsi="Times New Roman"/>
          <w:color w:val="auto"/>
          <w:kern w:val="2"/>
          <w:szCs w:val="24"/>
          <w:lang w:val="en-US"/>
        </w:rPr>
        <w:t>7.1</w:t>
      </w:r>
      <w:r>
        <w:rPr>
          <w:rFonts w:ascii="Times New Roman" w:hAnsi="Times New Roman"/>
          <w:szCs w:val="24"/>
          <w:lang w:val="en-US"/>
        </w:rPr>
        <w:t>乙方</w:t>
      </w:r>
      <w:r>
        <w:rPr>
          <w:rFonts w:ascii="Times New Roman" w:hAnsi="Times New Roman"/>
          <w:szCs w:val="24"/>
        </w:rPr>
        <w:t>在提供法律服务时，应当就已经存在的或可能存在的，代理与甲方有利益冲突方的情况如实告知甲方。在发生利益冲突的情况下，甲方有权撤销对乙方的授权；乙方有权作出回避的安排或终止本合同。</w:t>
      </w:r>
    </w:p>
    <w:p>
      <w:pPr>
        <w:tabs>
          <w:tab w:val="left" w:pos="540"/>
        </w:tabs>
        <w:adjustRightInd w:val="0"/>
        <w:snapToGrid w:val="0"/>
        <w:spacing w:line="360" w:lineRule="auto"/>
        <w:rPr>
          <w:rFonts w:eastAsia="楷体_GB2312"/>
          <w:b/>
          <w:sz w:val="24"/>
        </w:rPr>
      </w:pPr>
    </w:p>
    <w:p>
      <w:pPr>
        <w:adjustRightInd w:val="0"/>
        <w:snapToGrid w:val="0"/>
        <w:spacing w:line="360" w:lineRule="auto"/>
        <w:ind w:firstLine="482" w:firstLineChars="200"/>
        <w:rPr>
          <w:rFonts w:eastAsia="楷体_GB2312"/>
          <w:b/>
          <w:sz w:val="24"/>
        </w:rPr>
      </w:pPr>
      <w:r>
        <w:rPr>
          <w:rFonts w:eastAsia="楷体_GB2312"/>
          <w:b/>
          <w:sz w:val="24"/>
        </w:rPr>
        <w:t>第八条  特别约定</w:t>
      </w:r>
    </w:p>
    <w:p>
      <w:pPr>
        <w:adjustRightInd w:val="0"/>
        <w:snapToGrid w:val="0"/>
        <w:spacing w:line="360" w:lineRule="auto"/>
        <w:ind w:firstLine="480" w:firstLineChars="200"/>
        <w:rPr>
          <w:rFonts w:eastAsia="楷体_GB2312"/>
          <w:sz w:val="24"/>
        </w:rPr>
      </w:pPr>
      <w:r>
        <w:rPr>
          <w:rFonts w:eastAsia="楷体_GB2312"/>
          <w:sz w:val="24"/>
        </w:rPr>
        <w:t>本合同以上条款不能概明之事项，可在本条款下特别约定：</w:t>
      </w:r>
    </w:p>
    <w:p>
      <w:pPr>
        <w:adjustRightInd w:val="0"/>
        <w:snapToGrid w:val="0"/>
        <w:spacing w:line="360" w:lineRule="auto"/>
        <w:ind w:firstLine="480" w:firstLineChars="200"/>
        <w:rPr>
          <w:rFonts w:eastAsia="楷体_GB2312"/>
          <w:sz w:val="24"/>
          <w:u w:val="single"/>
        </w:rPr>
      </w:pPr>
      <w:r>
        <w:rPr>
          <w:rFonts w:eastAsia="楷体_GB2312"/>
          <w:sz w:val="24"/>
          <w:u w:val="single"/>
        </w:rPr>
        <w:t xml:space="preserve"> </w:t>
      </w:r>
      <w:r>
        <w:rPr>
          <w:rFonts w:hint="eastAsia" w:eastAsia="楷体_GB2312"/>
          <w:sz w:val="24"/>
          <w:u w:val="single"/>
        </w:rPr>
        <w:t xml:space="preserve">                           </w:t>
      </w:r>
      <w:r>
        <w:rPr>
          <w:rFonts w:hint="eastAsia" w:ascii="楷体" w:hAnsi="楷体" w:eastAsia="楷体"/>
          <w:sz w:val="24"/>
          <w:u w:val="single"/>
        </w:rPr>
        <w:t>∕</w:t>
      </w:r>
      <w:r>
        <w:rPr>
          <w:rFonts w:eastAsia="楷体_GB2312"/>
          <w:sz w:val="24"/>
          <w:u w:val="single"/>
        </w:rPr>
        <w:t xml:space="preserve"> </w:t>
      </w:r>
      <w:r>
        <w:rPr>
          <w:rFonts w:hint="eastAsia" w:eastAsia="楷体_GB2312"/>
          <w:sz w:val="24"/>
          <w:u w:val="single"/>
        </w:rPr>
        <w:t xml:space="preserve">                                        </w:t>
      </w:r>
    </w:p>
    <w:p>
      <w:pPr>
        <w:adjustRightInd w:val="0"/>
        <w:snapToGrid w:val="0"/>
        <w:spacing w:line="360" w:lineRule="auto"/>
        <w:ind w:right="-21" w:rightChars="-10"/>
        <w:rPr>
          <w:rFonts w:eastAsia="楷体_GB2312"/>
          <w:sz w:val="24"/>
        </w:rPr>
      </w:pPr>
      <w:r>
        <w:rPr>
          <w:rFonts w:eastAsia="楷体_GB2312"/>
          <w:sz w:val="24"/>
          <w:u w:val="single"/>
        </w:rPr>
        <w:t xml:space="preserve">                                 </w:t>
      </w:r>
      <w:r>
        <w:rPr>
          <w:rFonts w:hint="eastAsia" w:ascii="楷体" w:hAnsi="楷体" w:eastAsia="楷体"/>
          <w:sz w:val="24"/>
          <w:u w:val="single"/>
        </w:rPr>
        <w:t>∕</w:t>
      </w:r>
      <w:r>
        <w:rPr>
          <w:rFonts w:eastAsia="楷体_GB2312"/>
          <w:sz w:val="24"/>
          <w:u w:val="single"/>
        </w:rPr>
        <w:t xml:space="preserve">                                 </w:t>
      </w:r>
      <w:r>
        <w:rPr>
          <w:rFonts w:hint="eastAsia" w:eastAsia="楷体_GB2312"/>
          <w:sz w:val="24"/>
          <w:u w:val="single"/>
        </w:rPr>
        <w:t xml:space="preserve">       </w:t>
      </w:r>
      <w:r>
        <w:rPr>
          <w:rFonts w:eastAsia="楷体_GB2312"/>
          <w:sz w:val="24"/>
        </w:rPr>
        <w:t xml:space="preserve"> </w:t>
      </w:r>
    </w:p>
    <w:p>
      <w:pPr>
        <w:adjustRightInd w:val="0"/>
        <w:snapToGrid w:val="0"/>
        <w:spacing w:line="360" w:lineRule="auto"/>
        <w:ind w:right="-21" w:rightChars="-10"/>
        <w:rPr>
          <w:rFonts w:eastAsia="楷体_GB2312"/>
          <w:sz w:val="24"/>
          <w:u w:val="single"/>
        </w:rPr>
      </w:pPr>
      <w:r>
        <w:rPr>
          <w:rFonts w:eastAsia="楷体_GB2312"/>
          <w:sz w:val="24"/>
          <w:u w:val="single"/>
        </w:rPr>
        <w:t xml:space="preserve">                                 </w:t>
      </w:r>
      <w:r>
        <w:rPr>
          <w:rFonts w:hint="eastAsia" w:ascii="楷体" w:hAnsi="楷体" w:eastAsia="楷体"/>
          <w:sz w:val="24"/>
          <w:u w:val="single"/>
        </w:rPr>
        <w:t>∕</w:t>
      </w:r>
      <w:r>
        <w:rPr>
          <w:rFonts w:eastAsia="楷体_GB2312"/>
          <w:sz w:val="24"/>
          <w:u w:val="single"/>
        </w:rPr>
        <w:t xml:space="preserve">                                        </w:t>
      </w:r>
    </w:p>
    <w:p>
      <w:pPr>
        <w:adjustRightInd w:val="0"/>
        <w:snapToGrid w:val="0"/>
        <w:spacing w:line="360" w:lineRule="auto"/>
        <w:ind w:firstLine="482" w:firstLineChars="200"/>
        <w:rPr>
          <w:rFonts w:eastAsia="楷体_GB2312"/>
          <w:b/>
          <w:sz w:val="24"/>
        </w:rPr>
      </w:pPr>
    </w:p>
    <w:p>
      <w:pPr>
        <w:adjustRightInd w:val="0"/>
        <w:snapToGrid w:val="0"/>
        <w:spacing w:line="360" w:lineRule="auto"/>
        <w:ind w:firstLine="482" w:firstLineChars="200"/>
        <w:rPr>
          <w:rFonts w:eastAsia="楷体_GB2312"/>
          <w:b/>
          <w:sz w:val="24"/>
        </w:rPr>
      </w:pPr>
      <w:r>
        <w:rPr>
          <w:rFonts w:eastAsia="楷体_GB2312"/>
          <w:b/>
          <w:sz w:val="24"/>
        </w:rPr>
        <w:t>第九条  甲方联系人</w:t>
      </w:r>
    </w:p>
    <w:p>
      <w:pPr>
        <w:adjustRightInd w:val="0"/>
        <w:snapToGrid w:val="0"/>
        <w:spacing w:line="360" w:lineRule="auto"/>
        <w:ind w:firstLine="480" w:firstLineChars="200"/>
        <w:rPr>
          <w:rFonts w:eastAsia="楷体_GB2312"/>
          <w:sz w:val="24"/>
        </w:rPr>
      </w:pPr>
      <w:r>
        <w:rPr>
          <w:rFonts w:eastAsia="楷体_GB2312"/>
          <w:sz w:val="24"/>
        </w:rPr>
        <w:t xml:space="preserve">9.1 甲方确认下列通讯地址及联系人是乙方提供本合同约定的法律服务向甲方履行通知义务的通讯地址及联系人：     </w:t>
      </w:r>
    </w:p>
    <w:p>
      <w:pPr>
        <w:adjustRightInd w:val="0"/>
        <w:snapToGrid w:val="0"/>
        <w:spacing w:line="360" w:lineRule="auto"/>
        <w:rPr>
          <w:rFonts w:eastAsia="楷体_GB2312"/>
          <w:sz w:val="24"/>
          <w:u w:val="single"/>
        </w:rPr>
      </w:pPr>
      <w:r>
        <w:rPr>
          <w:rFonts w:eastAsia="楷体_GB2312"/>
          <w:sz w:val="24"/>
          <w:u w:val="single"/>
        </w:rPr>
        <w:t xml:space="preserve">                                                                        </w:t>
      </w:r>
    </w:p>
    <w:p>
      <w:pPr>
        <w:adjustRightInd w:val="0"/>
        <w:snapToGrid w:val="0"/>
        <w:spacing w:line="360" w:lineRule="auto"/>
        <w:rPr>
          <w:rFonts w:eastAsia="楷体_GB2312"/>
          <w:sz w:val="24"/>
          <w:u w:val="single"/>
        </w:rPr>
      </w:pPr>
      <w:r>
        <w:rPr>
          <w:rFonts w:eastAsia="楷体_GB2312"/>
          <w:sz w:val="24"/>
          <w:u w:val="single"/>
        </w:rPr>
        <w:t xml:space="preserve">                                                                            </w:t>
      </w:r>
    </w:p>
    <w:p>
      <w:pPr>
        <w:adjustRightInd w:val="0"/>
        <w:snapToGrid w:val="0"/>
        <w:spacing w:line="360" w:lineRule="auto"/>
        <w:ind w:firstLine="480" w:firstLineChars="200"/>
        <w:rPr>
          <w:rFonts w:eastAsia="楷体_GB2312"/>
          <w:sz w:val="24"/>
        </w:rPr>
      </w:pPr>
      <w:r>
        <w:rPr>
          <w:rFonts w:eastAsia="楷体_GB2312"/>
          <w:sz w:val="24"/>
        </w:rPr>
        <w:t>9.2乙方按上述通讯地址向指定的联系人履行了通知义务，视为乙方已向甲方履行了通知义务。</w:t>
      </w:r>
    </w:p>
    <w:p>
      <w:pPr>
        <w:tabs>
          <w:tab w:val="left" w:pos="540"/>
        </w:tabs>
        <w:adjustRightInd w:val="0"/>
        <w:snapToGrid w:val="0"/>
        <w:spacing w:line="360" w:lineRule="auto"/>
        <w:ind w:firstLine="480" w:firstLineChars="200"/>
        <w:rPr>
          <w:rFonts w:eastAsia="楷体_GB2312"/>
          <w:b/>
          <w:sz w:val="24"/>
        </w:rPr>
      </w:pPr>
      <w:r>
        <w:rPr>
          <w:rFonts w:eastAsia="楷体_GB2312"/>
          <w:sz w:val="24"/>
        </w:rPr>
        <w:t>9.3 甲方如变更通讯地址或联系人，需提前五日通知乙方。</w:t>
      </w:r>
    </w:p>
    <w:p>
      <w:pPr>
        <w:tabs>
          <w:tab w:val="left" w:pos="540"/>
        </w:tabs>
        <w:adjustRightInd w:val="0"/>
        <w:snapToGrid w:val="0"/>
        <w:spacing w:line="360" w:lineRule="auto"/>
        <w:ind w:firstLine="482" w:firstLineChars="200"/>
        <w:rPr>
          <w:rFonts w:eastAsia="楷体_GB2312"/>
          <w:b/>
          <w:sz w:val="24"/>
        </w:rPr>
      </w:pPr>
    </w:p>
    <w:p>
      <w:pPr>
        <w:tabs>
          <w:tab w:val="left" w:pos="540"/>
        </w:tabs>
        <w:adjustRightInd w:val="0"/>
        <w:snapToGrid w:val="0"/>
        <w:spacing w:line="360" w:lineRule="auto"/>
        <w:ind w:firstLine="482" w:firstLineChars="200"/>
        <w:rPr>
          <w:rFonts w:eastAsia="楷体_GB2312"/>
          <w:b/>
          <w:sz w:val="24"/>
        </w:rPr>
      </w:pPr>
      <w:r>
        <w:rPr>
          <w:rFonts w:eastAsia="楷体_GB2312"/>
          <w:b/>
          <w:sz w:val="24"/>
        </w:rPr>
        <w:t>第十条  违约责任与争议解决</w:t>
      </w:r>
    </w:p>
    <w:p>
      <w:pPr>
        <w:adjustRightInd w:val="0"/>
        <w:snapToGrid w:val="0"/>
        <w:spacing w:line="360" w:lineRule="auto"/>
        <w:ind w:firstLine="480" w:firstLineChars="200"/>
        <w:rPr>
          <w:rFonts w:eastAsia="楷体_GB2312"/>
          <w:sz w:val="24"/>
        </w:rPr>
      </w:pPr>
      <w:r>
        <w:rPr>
          <w:rFonts w:eastAsia="楷体_GB2312"/>
          <w:sz w:val="24"/>
        </w:rPr>
        <w:t>10.1乙方承担因乙方故意或重大过错致使甲方蒙受经济损失的责任；</w:t>
      </w:r>
    </w:p>
    <w:p>
      <w:pPr>
        <w:tabs>
          <w:tab w:val="left" w:pos="540"/>
        </w:tabs>
        <w:adjustRightInd w:val="0"/>
        <w:snapToGrid w:val="0"/>
        <w:spacing w:line="360" w:lineRule="auto"/>
        <w:ind w:firstLine="480" w:firstLineChars="200"/>
        <w:rPr>
          <w:rFonts w:eastAsia="楷体_GB2312"/>
          <w:sz w:val="24"/>
        </w:rPr>
      </w:pPr>
      <w:r>
        <w:rPr>
          <w:rFonts w:eastAsia="楷体_GB2312"/>
          <w:sz w:val="24"/>
        </w:rPr>
        <w:t>10.2由于乙方律师前款原因导致甲方蒙受损失，乙方通过其所投保的执业保险机构向甲方承担赔偿责任；</w:t>
      </w:r>
    </w:p>
    <w:p>
      <w:pPr>
        <w:tabs>
          <w:tab w:val="left" w:pos="540"/>
        </w:tabs>
        <w:adjustRightInd w:val="0"/>
        <w:snapToGrid w:val="0"/>
        <w:spacing w:line="360" w:lineRule="auto"/>
        <w:ind w:firstLine="480" w:firstLineChars="200"/>
        <w:rPr>
          <w:rFonts w:eastAsia="楷体_GB2312"/>
          <w:sz w:val="24"/>
        </w:rPr>
      </w:pPr>
      <w:r>
        <w:rPr>
          <w:rFonts w:eastAsia="楷体_GB2312"/>
          <w:sz w:val="24"/>
        </w:rPr>
        <w:t>10.3如因乙方重大过失造成甲方损失的，乙方的赔偿额不超过甲方已经支付的律师费用。</w:t>
      </w:r>
    </w:p>
    <w:p>
      <w:pPr>
        <w:tabs>
          <w:tab w:val="left" w:pos="540"/>
        </w:tabs>
        <w:adjustRightInd w:val="0"/>
        <w:snapToGrid w:val="0"/>
        <w:spacing w:line="360" w:lineRule="auto"/>
        <w:ind w:firstLine="480" w:firstLineChars="200"/>
        <w:rPr>
          <w:rFonts w:eastAsia="楷体_GB2312"/>
          <w:sz w:val="24"/>
        </w:rPr>
      </w:pPr>
      <w:r>
        <w:rPr>
          <w:rFonts w:eastAsia="楷体_GB2312"/>
          <w:sz w:val="24"/>
        </w:rPr>
        <w:t>10.4 双方应自觉履行本合同。发生纠纷后，应协商解决，如协商不成，则由重庆仲裁委员会仲裁。</w:t>
      </w:r>
    </w:p>
    <w:p>
      <w:pPr>
        <w:tabs>
          <w:tab w:val="left" w:pos="540"/>
        </w:tabs>
        <w:adjustRightInd w:val="0"/>
        <w:snapToGrid w:val="0"/>
        <w:spacing w:line="360" w:lineRule="auto"/>
        <w:rPr>
          <w:rFonts w:eastAsia="楷体_GB2312"/>
          <w:sz w:val="24"/>
        </w:rPr>
      </w:pPr>
    </w:p>
    <w:p>
      <w:pPr>
        <w:tabs>
          <w:tab w:val="left" w:pos="540"/>
        </w:tabs>
        <w:adjustRightInd w:val="0"/>
        <w:snapToGrid w:val="0"/>
        <w:spacing w:line="360" w:lineRule="auto"/>
        <w:ind w:firstLine="482" w:firstLineChars="200"/>
        <w:rPr>
          <w:rFonts w:eastAsia="楷体_GB2312"/>
          <w:b/>
          <w:sz w:val="24"/>
        </w:rPr>
      </w:pPr>
      <w:r>
        <w:rPr>
          <w:rFonts w:eastAsia="楷体_GB2312"/>
          <w:b/>
          <w:sz w:val="24"/>
        </w:rPr>
        <w:t>第十一条  合同生效与变更</w:t>
      </w:r>
    </w:p>
    <w:p>
      <w:pPr>
        <w:tabs>
          <w:tab w:val="left" w:pos="540"/>
        </w:tabs>
        <w:adjustRightInd w:val="0"/>
        <w:snapToGrid w:val="0"/>
        <w:spacing w:line="360" w:lineRule="auto"/>
        <w:ind w:firstLine="480" w:firstLineChars="200"/>
        <w:rPr>
          <w:rFonts w:eastAsia="楷体_GB2312"/>
          <w:sz w:val="24"/>
        </w:rPr>
      </w:pPr>
      <w:r>
        <w:rPr>
          <w:rFonts w:eastAsia="楷体_GB2312"/>
          <w:sz w:val="24"/>
        </w:rPr>
        <w:t>11.1本合同经甲乙双方</w:t>
      </w:r>
      <w:r>
        <w:rPr>
          <w:rFonts w:hint="eastAsia" w:eastAsia="楷体_GB2312"/>
          <w:sz w:val="24"/>
        </w:rPr>
        <w:t>签字盖</w:t>
      </w:r>
      <w:r>
        <w:rPr>
          <w:rFonts w:eastAsia="楷体_GB2312"/>
          <w:sz w:val="24"/>
        </w:rPr>
        <w:t>章后即行生效。</w:t>
      </w:r>
    </w:p>
    <w:p>
      <w:pPr>
        <w:tabs>
          <w:tab w:val="left" w:pos="540"/>
        </w:tabs>
        <w:adjustRightInd w:val="0"/>
        <w:snapToGrid w:val="0"/>
        <w:spacing w:line="360" w:lineRule="auto"/>
        <w:ind w:firstLine="480" w:firstLineChars="200"/>
        <w:rPr>
          <w:rFonts w:eastAsia="楷体_GB2312"/>
          <w:sz w:val="24"/>
        </w:rPr>
      </w:pPr>
      <w:r>
        <w:rPr>
          <w:rFonts w:eastAsia="楷体_GB2312"/>
          <w:sz w:val="24"/>
        </w:rPr>
        <w:t>11.2 本合同生效后，非经双方协商一致，任何一方不得擅自变更、终止本合同；本合同未尽事宜，由甲、乙双方协商后另行签署补充合同。</w:t>
      </w:r>
    </w:p>
    <w:p>
      <w:pPr>
        <w:tabs>
          <w:tab w:val="left" w:pos="540"/>
        </w:tabs>
        <w:adjustRightInd w:val="0"/>
        <w:snapToGrid w:val="0"/>
        <w:spacing w:line="360" w:lineRule="auto"/>
        <w:ind w:firstLine="480" w:firstLineChars="200"/>
        <w:rPr>
          <w:rFonts w:eastAsia="楷体_GB2312"/>
          <w:sz w:val="24"/>
        </w:rPr>
      </w:pPr>
      <w:r>
        <w:rPr>
          <w:rFonts w:eastAsia="楷体_GB2312"/>
          <w:sz w:val="24"/>
        </w:rPr>
        <w:t>11.3本合同期内，如甲方需要乙方律师为超出本合同约定范围之工作，乙方应</w:t>
      </w:r>
    </w:p>
    <w:p>
      <w:pPr>
        <w:tabs>
          <w:tab w:val="left" w:pos="540"/>
        </w:tabs>
        <w:adjustRightInd w:val="0"/>
        <w:snapToGrid w:val="0"/>
        <w:spacing w:line="360" w:lineRule="auto"/>
        <w:rPr>
          <w:rFonts w:eastAsia="楷体_GB2312"/>
          <w:sz w:val="24"/>
        </w:rPr>
      </w:pPr>
      <w:r>
        <w:rPr>
          <w:rFonts w:eastAsia="楷体_GB2312"/>
          <w:sz w:val="24"/>
        </w:rPr>
        <w:t>尽量安排，甲方应另外付费，费用标准另计。</w:t>
      </w:r>
    </w:p>
    <w:p>
      <w:pPr>
        <w:tabs>
          <w:tab w:val="left" w:pos="540"/>
        </w:tabs>
        <w:adjustRightInd w:val="0"/>
        <w:snapToGrid w:val="0"/>
        <w:spacing w:line="360" w:lineRule="auto"/>
        <w:rPr>
          <w:rFonts w:eastAsia="楷体_GB2312"/>
          <w:sz w:val="24"/>
        </w:rPr>
      </w:pPr>
    </w:p>
    <w:p>
      <w:pPr>
        <w:tabs>
          <w:tab w:val="left" w:pos="540"/>
        </w:tabs>
        <w:adjustRightInd w:val="0"/>
        <w:snapToGrid w:val="0"/>
        <w:spacing w:line="360" w:lineRule="auto"/>
        <w:ind w:firstLine="482" w:firstLineChars="200"/>
        <w:rPr>
          <w:rFonts w:eastAsia="楷体_GB2312"/>
          <w:b/>
          <w:sz w:val="24"/>
        </w:rPr>
      </w:pPr>
      <w:r>
        <w:rPr>
          <w:rFonts w:eastAsia="楷体_GB2312"/>
          <w:b/>
          <w:sz w:val="24"/>
        </w:rPr>
        <w:t>第十二条  合同终止</w:t>
      </w:r>
    </w:p>
    <w:p>
      <w:pPr>
        <w:tabs>
          <w:tab w:val="left" w:pos="540"/>
        </w:tabs>
        <w:adjustRightInd w:val="0"/>
        <w:snapToGrid w:val="0"/>
        <w:spacing w:line="360" w:lineRule="auto"/>
        <w:ind w:firstLine="480" w:firstLineChars="200"/>
        <w:rPr>
          <w:rFonts w:eastAsia="楷体_GB2312"/>
          <w:sz w:val="24"/>
        </w:rPr>
      </w:pPr>
      <w:r>
        <w:rPr>
          <w:rFonts w:eastAsia="楷体_GB2312"/>
          <w:sz w:val="24"/>
        </w:rPr>
        <w:t>12.1乙方完成本合同规定的法律服务后，合同自行终止。</w:t>
      </w:r>
    </w:p>
    <w:p>
      <w:pPr>
        <w:tabs>
          <w:tab w:val="left" w:pos="540"/>
        </w:tabs>
        <w:adjustRightInd w:val="0"/>
        <w:snapToGrid w:val="0"/>
        <w:spacing w:line="360" w:lineRule="auto"/>
        <w:ind w:firstLine="480" w:firstLineChars="200"/>
        <w:rPr>
          <w:rFonts w:eastAsia="楷体_GB2312"/>
          <w:sz w:val="24"/>
        </w:rPr>
      </w:pPr>
      <w:r>
        <w:rPr>
          <w:rFonts w:eastAsia="楷体_GB2312"/>
          <w:sz w:val="24"/>
        </w:rPr>
        <w:t>12.2合同自行终止前，若乙方无故终止合同，乙方应退还甲方已支付的律师费用。若甲方无故终止合同，应按照重庆市律师服务指导性收费标准赔偿因终止合同而给乙方造成的可得律师费损失，并不得要求乙方退还已收的费用。</w:t>
      </w:r>
    </w:p>
    <w:p>
      <w:pPr>
        <w:tabs>
          <w:tab w:val="left" w:pos="540"/>
        </w:tabs>
        <w:adjustRightInd w:val="0"/>
        <w:snapToGrid w:val="0"/>
        <w:spacing w:line="360" w:lineRule="auto"/>
        <w:ind w:firstLine="480" w:firstLineChars="200"/>
        <w:rPr>
          <w:rFonts w:eastAsia="楷体_GB2312"/>
          <w:sz w:val="24"/>
        </w:rPr>
      </w:pPr>
      <w:r>
        <w:rPr>
          <w:rFonts w:eastAsia="楷体_GB2312"/>
          <w:sz w:val="24"/>
        </w:rPr>
        <w:t>12.3 如果甲方未按照本合同约定支付律师费或其他费用且延期超过三十日，乙方有权解除本合同并不负责退还已收律师费，但应书面通知甲方。</w:t>
      </w:r>
    </w:p>
    <w:p>
      <w:pPr>
        <w:tabs>
          <w:tab w:val="left" w:pos="540"/>
        </w:tabs>
        <w:adjustRightInd w:val="0"/>
        <w:snapToGrid w:val="0"/>
        <w:spacing w:line="360" w:lineRule="auto"/>
        <w:ind w:firstLine="480"/>
        <w:rPr>
          <w:rFonts w:eastAsia="楷体_GB2312"/>
          <w:sz w:val="24"/>
        </w:rPr>
      </w:pPr>
    </w:p>
    <w:p>
      <w:pPr>
        <w:tabs>
          <w:tab w:val="left" w:pos="540"/>
        </w:tabs>
        <w:adjustRightInd w:val="0"/>
        <w:snapToGrid w:val="0"/>
        <w:spacing w:line="360" w:lineRule="auto"/>
        <w:ind w:firstLine="482" w:firstLineChars="200"/>
        <w:rPr>
          <w:rFonts w:eastAsia="楷体_GB2312"/>
          <w:b/>
          <w:sz w:val="24"/>
        </w:rPr>
      </w:pPr>
      <w:r>
        <w:rPr>
          <w:rFonts w:eastAsia="楷体_GB2312"/>
          <w:b/>
          <w:sz w:val="24"/>
        </w:rPr>
        <w:t>第十三条  其他</w:t>
      </w:r>
    </w:p>
    <w:p>
      <w:pPr>
        <w:tabs>
          <w:tab w:val="left" w:pos="540"/>
        </w:tabs>
        <w:adjustRightInd w:val="0"/>
        <w:snapToGrid w:val="0"/>
        <w:spacing w:line="360" w:lineRule="auto"/>
        <w:ind w:firstLine="480" w:firstLineChars="200"/>
        <w:rPr>
          <w:rFonts w:eastAsia="楷体_GB2312"/>
          <w:sz w:val="24"/>
        </w:rPr>
      </w:pPr>
      <w:r>
        <w:rPr>
          <w:rFonts w:eastAsia="楷体_GB2312"/>
          <w:sz w:val="24"/>
        </w:rPr>
        <w:t>13.1本合同一式</w:t>
      </w:r>
      <w:r>
        <w:rPr>
          <w:rFonts w:hint="eastAsia" w:eastAsia="楷体_GB2312"/>
          <w:sz w:val="24"/>
        </w:rPr>
        <w:t>肆</w:t>
      </w:r>
      <w:r>
        <w:rPr>
          <w:rFonts w:eastAsia="楷体_GB2312"/>
          <w:sz w:val="24"/>
        </w:rPr>
        <w:t>份，甲方存贰份</w:t>
      </w:r>
      <w:r>
        <w:rPr>
          <w:rFonts w:hint="eastAsia" w:eastAsia="楷体_GB2312"/>
          <w:sz w:val="24"/>
        </w:rPr>
        <w:t>，</w:t>
      </w:r>
      <w:r>
        <w:rPr>
          <w:rFonts w:eastAsia="楷体_GB2312"/>
          <w:sz w:val="24"/>
        </w:rPr>
        <w:t>乙方存</w:t>
      </w:r>
      <w:r>
        <w:rPr>
          <w:rFonts w:hint="eastAsia" w:eastAsia="楷体_GB2312"/>
          <w:sz w:val="24"/>
        </w:rPr>
        <w:t>贰</w:t>
      </w:r>
      <w:r>
        <w:rPr>
          <w:rFonts w:eastAsia="楷体_GB2312"/>
          <w:sz w:val="24"/>
        </w:rPr>
        <w:t>份，具有同等法律效力</w:t>
      </w:r>
      <w:r>
        <w:rPr>
          <w:rFonts w:hint="eastAsia" w:eastAsia="楷体_GB2312"/>
          <w:sz w:val="24"/>
        </w:rPr>
        <w:t>。</w:t>
      </w:r>
    </w:p>
    <w:p>
      <w:pPr>
        <w:spacing w:line="360" w:lineRule="auto"/>
        <w:ind w:firstLine="480" w:firstLineChars="200"/>
        <w:rPr>
          <w:rFonts w:eastAsia="楷体_GB2312"/>
          <w:bCs/>
          <w:sz w:val="24"/>
        </w:rPr>
      </w:pPr>
      <w:r>
        <w:rPr>
          <w:rFonts w:eastAsia="楷体_GB2312"/>
          <w:sz w:val="24"/>
        </w:rPr>
        <w:t>13.2</w:t>
      </w:r>
      <w:r>
        <w:rPr>
          <w:rFonts w:eastAsia="楷体_GB2312"/>
          <w:bCs/>
          <w:sz w:val="24"/>
        </w:rPr>
        <w:t>鉴于</w:t>
      </w:r>
      <w:r>
        <w:rPr>
          <w:rFonts w:hint="eastAsia" w:eastAsia="楷体_GB2312"/>
          <w:bCs/>
          <w:sz w:val="24"/>
        </w:rPr>
        <w:t>乙方与上海市锦天城律师事务所、上海市锦天城（北京）律师事务所、上海市锦天城（深圳）律师事务所、上海市锦天城（成都）律师事务所、上海锦天城（杭州）律师事务所、上海市锦天城（南京）律师事务所、上海市锦天城（苏州）律师事务所、上海市锦天城（太原）律师事务所、上海锦天城（青岛）律师事务所、上海锦天城（厦门）律师事务所、上海锦天城（天津）律师事务所、上海锦天城（济南）律师事务所、上海锦天城（合肥）律师事务所、上海锦天城（郑州）律师事务所、上海锦天城（福州）律师事务所、上海市锦天城（南昌）律师事务所、上海市锦天城（西安）律师事务所、上海锦天城（广州）律师事务所及锦天城史蒂文生黄（前海）联营律师事务所事实上的关联关系，</w:t>
      </w:r>
      <w:r>
        <w:rPr>
          <w:rFonts w:eastAsia="楷体_GB2312"/>
          <w:bCs/>
          <w:sz w:val="24"/>
        </w:rPr>
        <w:t>凡本服务合同项下如涉及到需要由上述律师事务所或其律师名义出具文件或者对有关事项出面协调，其均视为乙方的行为，但乙方应当在事前告知甲方；除甲方明确表示异议外，甲方对于乙方将本合同项下的工作委托由上述关联机构完成表示同意。</w:t>
      </w:r>
      <w:bookmarkStart w:id="0" w:name="_GoBack"/>
      <w:bookmarkEnd w:id="0"/>
    </w:p>
    <w:p>
      <w:pPr>
        <w:tabs>
          <w:tab w:val="left" w:pos="540"/>
        </w:tabs>
        <w:adjustRightInd w:val="0"/>
        <w:snapToGrid w:val="0"/>
        <w:spacing w:line="360" w:lineRule="auto"/>
        <w:ind w:firstLine="480" w:firstLineChars="200"/>
        <w:rPr>
          <w:rFonts w:eastAsia="楷体_GB2312"/>
          <w:sz w:val="24"/>
        </w:rPr>
      </w:pPr>
      <w:r>
        <w:rPr>
          <w:rFonts w:eastAsia="楷体_GB2312"/>
          <w:sz w:val="24"/>
        </w:rPr>
        <w:t>13.3本合同于</w:t>
      </w:r>
      <w:r>
        <w:rPr>
          <w:rFonts w:eastAsia="楷体_GB2312"/>
          <w:sz w:val="24"/>
          <w:u w:val="single"/>
        </w:rPr>
        <w:t xml:space="preserve">  </w:t>
      </w:r>
      <w:r>
        <w:rPr>
          <w:rFonts w:hint="eastAsia" w:eastAsia="楷体_GB2312"/>
          <w:sz w:val="24"/>
          <w:u w:val="single"/>
        </w:rPr>
        <w:t>2019</w:t>
      </w:r>
      <w:r>
        <w:rPr>
          <w:rFonts w:eastAsia="楷体_GB2312"/>
          <w:sz w:val="24"/>
          <w:u w:val="single"/>
        </w:rPr>
        <w:t xml:space="preserve"> </w:t>
      </w:r>
      <w:r>
        <w:rPr>
          <w:rFonts w:eastAsia="楷体_GB2312"/>
          <w:sz w:val="24"/>
        </w:rPr>
        <w:t>年</w:t>
      </w:r>
      <w:r>
        <w:rPr>
          <w:rFonts w:eastAsia="楷体_GB2312"/>
          <w:sz w:val="24"/>
          <w:u w:val="single"/>
        </w:rPr>
        <w:t xml:space="preserve"> </w:t>
      </w:r>
      <w:r>
        <w:rPr>
          <w:rFonts w:hint="eastAsia" w:eastAsia="楷体_GB2312"/>
          <w:sz w:val="24"/>
          <w:u w:val="single"/>
        </w:rPr>
        <w:t>4</w:t>
      </w:r>
      <w:r>
        <w:rPr>
          <w:rFonts w:eastAsia="楷体_GB2312"/>
          <w:sz w:val="24"/>
          <w:u w:val="single"/>
        </w:rPr>
        <w:t xml:space="preserve"> </w:t>
      </w:r>
      <w:r>
        <w:rPr>
          <w:rFonts w:eastAsia="楷体_GB2312"/>
          <w:sz w:val="24"/>
        </w:rPr>
        <w:t>月</w:t>
      </w:r>
      <w:r>
        <w:rPr>
          <w:rFonts w:eastAsia="楷体_GB2312"/>
          <w:sz w:val="24"/>
          <w:u w:val="single"/>
        </w:rPr>
        <w:t xml:space="preserve"> </w:t>
      </w:r>
      <w:r>
        <w:rPr>
          <w:rFonts w:hint="eastAsia" w:eastAsia="楷体_GB2312"/>
          <w:sz w:val="24"/>
          <w:u w:val="single"/>
          <w:lang w:val="en-US" w:eastAsia="zh-CN"/>
        </w:rPr>
        <w:t>25</w:t>
      </w:r>
      <w:r>
        <w:rPr>
          <w:rFonts w:eastAsia="楷体_GB2312"/>
          <w:sz w:val="24"/>
          <w:u w:val="single"/>
        </w:rPr>
        <w:t xml:space="preserve"> </w:t>
      </w:r>
      <w:r>
        <w:rPr>
          <w:rFonts w:eastAsia="楷体_GB2312"/>
          <w:sz w:val="24"/>
        </w:rPr>
        <w:t>日在</w:t>
      </w:r>
      <w:r>
        <w:rPr>
          <w:rFonts w:eastAsia="楷体_GB2312"/>
          <w:sz w:val="24"/>
          <w:u w:val="single"/>
        </w:rPr>
        <w:t xml:space="preserve"> </w:t>
      </w:r>
      <w:r>
        <w:rPr>
          <w:rFonts w:hint="eastAsia" w:eastAsia="楷体_GB2312"/>
          <w:sz w:val="24"/>
          <w:u w:val="single"/>
        </w:rPr>
        <w:t>重庆</w:t>
      </w:r>
      <w:r>
        <w:rPr>
          <w:rFonts w:eastAsia="楷体_GB2312"/>
          <w:sz w:val="24"/>
          <w:u w:val="single"/>
        </w:rPr>
        <w:t xml:space="preserve"> </w:t>
      </w:r>
      <w:r>
        <w:rPr>
          <w:rFonts w:eastAsia="楷体_GB2312"/>
          <w:sz w:val="24"/>
        </w:rPr>
        <w:t>签署。</w:t>
      </w:r>
    </w:p>
    <w:p>
      <w:pPr>
        <w:tabs>
          <w:tab w:val="left" w:pos="540"/>
        </w:tabs>
        <w:adjustRightInd w:val="0"/>
        <w:snapToGrid w:val="0"/>
        <w:spacing w:line="360" w:lineRule="auto"/>
        <w:rPr>
          <w:rFonts w:eastAsia="楷体_GB2312"/>
          <w:b/>
          <w:bCs/>
          <w:sz w:val="24"/>
        </w:rPr>
      </w:pPr>
    </w:p>
    <w:p>
      <w:pPr>
        <w:adjustRightInd w:val="0"/>
        <w:snapToGrid w:val="0"/>
        <w:spacing w:line="360" w:lineRule="auto"/>
        <w:ind w:firstLine="482" w:firstLineChars="200"/>
        <w:rPr>
          <w:rFonts w:eastAsia="楷体_GB2312"/>
          <w:b/>
          <w:sz w:val="24"/>
        </w:rPr>
      </w:pPr>
      <w:r>
        <w:rPr>
          <w:rFonts w:eastAsia="楷体_GB2312"/>
          <w:b/>
          <w:sz w:val="24"/>
        </w:rPr>
        <w:t>（以下无正文）</w:t>
      </w:r>
    </w:p>
    <w:p>
      <w:pPr>
        <w:adjustRightInd w:val="0"/>
        <w:snapToGrid w:val="0"/>
        <w:spacing w:line="360" w:lineRule="auto"/>
        <w:rPr>
          <w:rFonts w:eastAsia="楷体_GB2312"/>
          <w:b/>
          <w:sz w:val="24"/>
        </w:rPr>
      </w:pPr>
    </w:p>
    <w:p>
      <w:pPr>
        <w:adjustRightInd w:val="0"/>
        <w:snapToGrid w:val="0"/>
        <w:spacing w:line="360" w:lineRule="auto"/>
        <w:rPr>
          <w:rFonts w:eastAsia="楷体_GB2312"/>
          <w:b/>
          <w:sz w:val="24"/>
        </w:rPr>
      </w:pPr>
    </w:p>
    <w:p>
      <w:pPr>
        <w:adjustRightInd w:val="0"/>
        <w:snapToGrid w:val="0"/>
        <w:spacing w:line="360" w:lineRule="auto"/>
        <w:rPr>
          <w:rFonts w:eastAsia="楷体_GB2312"/>
          <w:b/>
          <w:sz w:val="24"/>
        </w:rPr>
      </w:pPr>
      <w:r>
        <w:rPr>
          <w:rFonts w:eastAsia="楷体_GB2312"/>
          <w:b/>
          <w:sz w:val="24"/>
        </w:rPr>
        <w:t>(本页无正文，为《法律服务合同》之签字盖章页)</w:t>
      </w:r>
    </w:p>
    <w:p>
      <w:pPr>
        <w:tabs>
          <w:tab w:val="left" w:pos="360"/>
        </w:tabs>
        <w:adjustRightInd w:val="0"/>
        <w:snapToGrid w:val="0"/>
        <w:spacing w:line="360" w:lineRule="auto"/>
        <w:rPr>
          <w:rFonts w:eastAsia="楷体_GB2312"/>
          <w:bCs/>
          <w:sz w:val="24"/>
        </w:rPr>
      </w:pPr>
    </w:p>
    <w:p>
      <w:pPr>
        <w:tabs>
          <w:tab w:val="left" w:pos="360"/>
        </w:tabs>
        <w:adjustRightInd w:val="0"/>
        <w:snapToGrid w:val="0"/>
        <w:spacing w:line="360" w:lineRule="auto"/>
        <w:rPr>
          <w:rFonts w:eastAsia="楷体_GB2312"/>
          <w:bCs/>
          <w:sz w:val="24"/>
        </w:rPr>
      </w:pPr>
    </w:p>
    <w:p>
      <w:pPr>
        <w:adjustRightInd w:val="0"/>
        <w:snapToGrid w:val="0"/>
        <w:spacing w:line="360" w:lineRule="auto"/>
        <w:rPr>
          <w:rFonts w:eastAsia="楷体_GB2312"/>
          <w:sz w:val="24"/>
        </w:rPr>
      </w:pPr>
      <w:r>
        <w:rPr>
          <w:rFonts w:eastAsia="楷体_GB2312"/>
          <w:sz w:val="24"/>
        </w:rPr>
        <w:t>甲方：（盖章）</w:t>
      </w:r>
      <w:r>
        <w:rPr>
          <w:rFonts w:hint="eastAsia" w:eastAsia="楷体_GB2312"/>
          <w:sz w:val="24"/>
        </w:rPr>
        <w:t>重庆市足球</w:t>
      </w:r>
      <w:r>
        <w:rPr>
          <w:rFonts w:eastAsia="楷体_GB2312"/>
          <w:sz w:val="24"/>
        </w:rPr>
        <w:t>运动管理中心</w:t>
      </w:r>
    </w:p>
    <w:p>
      <w:pPr>
        <w:adjustRightInd w:val="0"/>
        <w:snapToGrid w:val="0"/>
        <w:spacing w:line="360" w:lineRule="auto"/>
        <w:rPr>
          <w:rFonts w:eastAsia="楷体_GB2312"/>
          <w:sz w:val="24"/>
        </w:rPr>
      </w:pPr>
    </w:p>
    <w:p>
      <w:pPr>
        <w:adjustRightInd w:val="0"/>
        <w:snapToGrid w:val="0"/>
        <w:spacing w:line="360" w:lineRule="auto"/>
        <w:rPr>
          <w:rFonts w:eastAsia="楷体_GB2312"/>
          <w:sz w:val="24"/>
        </w:rPr>
      </w:pPr>
    </w:p>
    <w:p>
      <w:pPr>
        <w:pStyle w:val="4"/>
        <w:adjustRightInd w:val="0"/>
        <w:snapToGrid w:val="0"/>
        <w:spacing w:line="360" w:lineRule="auto"/>
        <w:rPr>
          <w:rFonts w:ascii="Times New Roman" w:hAnsi="Times New Roman" w:eastAsia="楷体_GB2312"/>
          <w:sz w:val="24"/>
        </w:rPr>
      </w:pPr>
      <w:r>
        <w:rPr>
          <w:rFonts w:ascii="Times New Roman" w:hAnsi="Times New Roman" w:eastAsia="楷体_GB2312"/>
          <w:sz w:val="24"/>
        </w:rPr>
        <w:t>法定代表人或授权代表签字或盖章：</w:t>
      </w:r>
    </w:p>
    <w:p>
      <w:pPr>
        <w:adjustRightInd w:val="0"/>
        <w:snapToGrid w:val="0"/>
        <w:spacing w:line="360" w:lineRule="auto"/>
        <w:rPr>
          <w:rFonts w:eastAsia="楷体_GB2312"/>
          <w:bCs/>
          <w:sz w:val="24"/>
        </w:rPr>
      </w:pPr>
      <w:r>
        <w:rPr>
          <w:rFonts w:eastAsia="楷体_GB2312"/>
          <w:sz w:val="24"/>
        </w:rPr>
        <w:t xml:space="preserve">             </w:t>
      </w:r>
      <w:r>
        <w:rPr>
          <w:rFonts w:eastAsia="楷体_GB2312"/>
          <w:bCs/>
          <w:sz w:val="24"/>
        </w:rPr>
        <w:t xml:space="preserve"> </w:t>
      </w:r>
    </w:p>
    <w:p>
      <w:pPr>
        <w:pStyle w:val="4"/>
        <w:adjustRightInd w:val="0"/>
        <w:snapToGrid w:val="0"/>
        <w:spacing w:line="360" w:lineRule="auto"/>
        <w:rPr>
          <w:rFonts w:ascii="Times New Roman" w:hAnsi="Times New Roman" w:eastAsia="楷体_GB2312"/>
          <w:sz w:val="24"/>
        </w:rPr>
      </w:pPr>
    </w:p>
    <w:p>
      <w:pPr>
        <w:pStyle w:val="4"/>
        <w:adjustRightInd w:val="0"/>
        <w:snapToGrid w:val="0"/>
        <w:spacing w:line="360" w:lineRule="auto"/>
        <w:rPr>
          <w:rFonts w:ascii="Times New Roman" w:hAnsi="Times New Roman" w:eastAsia="楷体_GB2312"/>
          <w:sz w:val="24"/>
        </w:rPr>
      </w:pPr>
    </w:p>
    <w:p>
      <w:pPr>
        <w:pStyle w:val="4"/>
        <w:adjustRightInd w:val="0"/>
        <w:snapToGrid w:val="0"/>
        <w:spacing w:line="360" w:lineRule="auto"/>
        <w:rPr>
          <w:rFonts w:ascii="Times New Roman" w:hAnsi="Times New Roman" w:eastAsia="楷体_GB2312"/>
          <w:sz w:val="24"/>
        </w:rPr>
      </w:pPr>
      <w:r>
        <w:rPr>
          <w:rFonts w:ascii="Times New Roman" w:hAnsi="Times New Roman" w:eastAsia="楷体_GB2312"/>
          <w:sz w:val="24"/>
        </w:rPr>
        <w:t xml:space="preserve">乙方：上海锦天城（重庆）律师事务所 </w:t>
      </w:r>
    </w:p>
    <w:p>
      <w:pPr>
        <w:pStyle w:val="4"/>
        <w:adjustRightInd w:val="0"/>
        <w:snapToGrid w:val="0"/>
        <w:spacing w:line="360" w:lineRule="auto"/>
        <w:rPr>
          <w:rFonts w:ascii="Times New Roman" w:hAnsi="Times New Roman" w:eastAsia="楷体_GB2312"/>
          <w:sz w:val="24"/>
        </w:rPr>
      </w:pPr>
    </w:p>
    <w:p>
      <w:pPr>
        <w:pStyle w:val="4"/>
        <w:adjustRightInd w:val="0"/>
        <w:snapToGrid w:val="0"/>
        <w:spacing w:line="360" w:lineRule="auto"/>
        <w:rPr>
          <w:rFonts w:ascii="Times New Roman" w:hAnsi="Times New Roman" w:eastAsia="楷体_GB2312"/>
          <w:sz w:val="24"/>
        </w:rPr>
      </w:pPr>
    </w:p>
    <w:p>
      <w:pPr>
        <w:pStyle w:val="4"/>
        <w:adjustRightInd w:val="0"/>
        <w:snapToGrid w:val="0"/>
        <w:spacing w:line="360" w:lineRule="auto"/>
        <w:rPr>
          <w:rFonts w:ascii="Times New Roman" w:hAnsi="Times New Roman" w:eastAsia="楷体_GB2312"/>
          <w:sz w:val="24"/>
        </w:rPr>
      </w:pPr>
      <w:r>
        <w:rPr>
          <w:rFonts w:ascii="Times New Roman" w:hAnsi="Times New Roman" w:eastAsia="楷体_GB2312"/>
          <w:sz w:val="24"/>
        </w:rPr>
        <w:t>负责人或授权代表签字或盖章：</w:t>
      </w:r>
    </w:p>
    <w:p>
      <w:pPr>
        <w:tabs>
          <w:tab w:val="left" w:pos="540"/>
        </w:tabs>
        <w:spacing w:line="440" w:lineRule="exact"/>
        <w:rPr>
          <w:rFonts w:eastAsia="仿宋_GB2312"/>
          <w:sz w:val="24"/>
        </w:rPr>
      </w:pPr>
    </w:p>
    <w:p>
      <w:pPr>
        <w:tabs>
          <w:tab w:val="left" w:pos="540"/>
        </w:tabs>
        <w:spacing w:line="440" w:lineRule="exact"/>
        <w:rPr>
          <w:rFonts w:eastAsia="仿宋_GB2312"/>
          <w:sz w:val="24"/>
        </w:rPr>
      </w:pPr>
    </w:p>
    <w:p>
      <w:pPr>
        <w:rPr>
          <w:rFonts w:eastAsia="楷体_GB2312"/>
          <w:sz w:val="24"/>
        </w:rPr>
      </w:pPr>
      <w:r>
        <w:rPr>
          <w:rFonts w:hint="eastAsia" w:eastAsia="楷体_GB2312"/>
          <w:sz w:val="24"/>
        </w:rPr>
        <w:t>户名： 上海锦天城（重庆）律师事务所</w:t>
      </w:r>
    </w:p>
    <w:p>
      <w:pPr>
        <w:rPr>
          <w:rFonts w:eastAsia="楷体_GB2312"/>
          <w:sz w:val="24"/>
        </w:rPr>
      </w:pPr>
    </w:p>
    <w:p>
      <w:pPr>
        <w:rPr>
          <w:rFonts w:eastAsia="楷体_GB2312"/>
          <w:sz w:val="24"/>
        </w:rPr>
      </w:pPr>
      <w:r>
        <w:rPr>
          <w:rFonts w:hint="eastAsia" w:eastAsia="楷体_GB2312"/>
          <w:sz w:val="24"/>
        </w:rPr>
        <w:t>开户行名： 工商银行重庆分行朝天门交易大厅支行</w:t>
      </w:r>
    </w:p>
    <w:p>
      <w:pPr>
        <w:rPr>
          <w:rFonts w:eastAsia="楷体_GB2312"/>
          <w:sz w:val="24"/>
        </w:rPr>
      </w:pPr>
    </w:p>
    <w:p>
      <w:pPr>
        <w:rPr>
          <w:rFonts w:eastAsia="楷体_GB2312"/>
          <w:sz w:val="24"/>
        </w:rPr>
      </w:pPr>
      <w:r>
        <w:rPr>
          <w:rFonts w:hint="eastAsia" w:eastAsia="楷体_GB2312"/>
          <w:sz w:val="24"/>
        </w:rPr>
        <w:t>账号:</w:t>
      </w:r>
      <w:r>
        <w:rPr>
          <w:rFonts w:eastAsia="楷体_GB2312"/>
          <w:sz w:val="24"/>
        </w:rPr>
        <w:t xml:space="preserve">  3100039319100006705</w:t>
      </w:r>
    </w:p>
    <w:p>
      <w:pPr>
        <w:pStyle w:val="4"/>
        <w:adjustRightInd w:val="0"/>
        <w:snapToGrid w:val="0"/>
        <w:spacing w:line="360" w:lineRule="auto"/>
        <w:rPr>
          <w:rFonts w:ascii="Times New Roman" w:hAnsi="Times New Roman" w:eastAsia="楷体_GB2312"/>
          <w:sz w:val="24"/>
        </w:rPr>
      </w:pPr>
    </w:p>
    <w:p>
      <w:pPr>
        <w:tabs>
          <w:tab w:val="left" w:pos="540"/>
        </w:tabs>
        <w:spacing w:line="440" w:lineRule="exact"/>
        <w:rPr>
          <w:rFonts w:eastAsia="仿宋_GB2312"/>
          <w:sz w:val="24"/>
        </w:rPr>
      </w:pPr>
    </w:p>
    <w:sectPr>
      <w:headerReference r:id="rId3" w:type="default"/>
      <w:footerReference r:id="rId4" w:type="default"/>
      <w:pgSz w:w="11906" w:h="16838"/>
      <w:pgMar w:top="1330" w:right="1511" w:bottom="1440" w:left="1797" w:header="851" w:footer="992" w:gutter="0"/>
      <w:cols w:space="720" w:num="1"/>
      <w:docGrid w:linePitch="29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auto"/>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u w:val="single"/>
      </w:rPr>
    </w:pPr>
    <w:r>
      <w:rPr>
        <w:rFonts w:hint="eastAsia"/>
        <w:u w:val="single"/>
      </w:rPr>
      <w:t xml:space="preserve">                                                                                                   </w:t>
    </w:r>
  </w:p>
  <w:p>
    <w:pPr>
      <w:pStyle w:val="7"/>
      <w:jc w:val="center"/>
      <w:rPr>
        <w:rFonts w:ascii="楷体_GB2312" w:hAnsi="楷体_GB2312" w:eastAsia="楷体_GB2312" w:cs="楷体_GB2312"/>
        <w:sz w:val="21"/>
        <w:szCs w:val="21"/>
      </w:rPr>
    </w:pPr>
    <w:r>
      <w:rPr>
        <w:rFonts w:hint="eastAsia" w:ascii="楷体_GB2312" w:hAnsi="楷体_GB2312" w:eastAsia="楷体_GB2312" w:cs="楷体_GB2312"/>
        <w:kern w:val="0"/>
        <w:sz w:val="21"/>
        <w:szCs w:val="21"/>
      </w:rPr>
      <w:t xml:space="preserve">第 </w:t>
    </w:r>
    <w:r>
      <w:rPr>
        <w:rFonts w:hint="eastAsia" w:ascii="楷体_GB2312" w:hAnsi="楷体_GB2312" w:eastAsia="楷体_GB2312" w:cs="楷体_GB2312"/>
        <w:kern w:val="0"/>
        <w:sz w:val="21"/>
        <w:szCs w:val="21"/>
      </w:rPr>
      <w:fldChar w:fldCharType="begin"/>
    </w:r>
    <w:r>
      <w:rPr>
        <w:rFonts w:hint="eastAsia" w:ascii="楷体_GB2312" w:hAnsi="楷体_GB2312" w:eastAsia="楷体_GB2312" w:cs="楷体_GB2312"/>
        <w:kern w:val="0"/>
        <w:sz w:val="21"/>
        <w:szCs w:val="21"/>
      </w:rPr>
      <w:instrText xml:space="preserve"> PAGE </w:instrText>
    </w:r>
    <w:r>
      <w:rPr>
        <w:rFonts w:hint="eastAsia" w:ascii="楷体_GB2312" w:hAnsi="楷体_GB2312" w:eastAsia="楷体_GB2312" w:cs="楷体_GB2312"/>
        <w:kern w:val="0"/>
        <w:sz w:val="21"/>
        <w:szCs w:val="21"/>
      </w:rPr>
      <w:fldChar w:fldCharType="separate"/>
    </w:r>
    <w:r>
      <w:rPr>
        <w:rFonts w:ascii="楷体_GB2312" w:hAnsi="楷体_GB2312" w:eastAsia="楷体_GB2312" w:cs="楷体_GB2312"/>
        <w:kern w:val="0"/>
        <w:sz w:val="21"/>
        <w:szCs w:val="21"/>
      </w:rPr>
      <w:t>1</w:t>
    </w:r>
    <w:r>
      <w:rPr>
        <w:rFonts w:hint="eastAsia" w:ascii="楷体_GB2312" w:hAnsi="楷体_GB2312" w:eastAsia="楷体_GB2312" w:cs="楷体_GB2312"/>
        <w:kern w:val="0"/>
        <w:sz w:val="21"/>
        <w:szCs w:val="21"/>
      </w:rPr>
      <w:fldChar w:fldCharType="end"/>
    </w:r>
    <w:r>
      <w:rPr>
        <w:rFonts w:hint="eastAsia" w:ascii="楷体_GB2312" w:hAnsi="楷体_GB2312" w:eastAsia="楷体_GB2312" w:cs="楷体_GB2312"/>
        <w:kern w:val="0"/>
        <w:sz w:val="21"/>
        <w:szCs w:val="21"/>
      </w:rPr>
      <w:t xml:space="preserve"> 页  共 </w:t>
    </w:r>
    <w:r>
      <w:rPr>
        <w:rFonts w:hint="eastAsia" w:ascii="楷体_GB2312" w:hAnsi="楷体_GB2312" w:eastAsia="楷体_GB2312" w:cs="楷体_GB2312"/>
        <w:kern w:val="0"/>
        <w:sz w:val="21"/>
        <w:szCs w:val="21"/>
      </w:rPr>
      <w:fldChar w:fldCharType="begin"/>
    </w:r>
    <w:r>
      <w:rPr>
        <w:rFonts w:hint="eastAsia" w:ascii="楷体_GB2312" w:hAnsi="楷体_GB2312" w:eastAsia="楷体_GB2312" w:cs="楷体_GB2312"/>
        <w:kern w:val="0"/>
        <w:sz w:val="21"/>
        <w:szCs w:val="21"/>
      </w:rPr>
      <w:instrText xml:space="preserve"> NUMPAGES </w:instrText>
    </w:r>
    <w:r>
      <w:rPr>
        <w:rFonts w:hint="eastAsia" w:ascii="楷体_GB2312" w:hAnsi="楷体_GB2312" w:eastAsia="楷体_GB2312" w:cs="楷体_GB2312"/>
        <w:kern w:val="0"/>
        <w:sz w:val="21"/>
        <w:szCs w:val="21"/>
      </w:rPr>
      <w:fldChar w:fldCharType="separate"/>
    </w:r>
    <w:r>
      <w:rPr>
        <w:rFonts w:ascii="楷体_GB2312" w:hAnsi="楷体_GB2312" w:eastAsia="楷体_GB2312" w:cs="楷体_GB2312"/>
        <w:kern w:val="0"/>
        <w:sz w:val="21"/>
        <w:szCs w:val="21"/>
      </w:rPr>
      <w:t>6</w:t>
    </w:r>
    <w:r>
      <w:rPr>
        <w:rFonts w:hint="eastAsia" w:ascii="楷体_GB2312" w:hAnsi="楷体_GB2312" w:eastAsia="楷体_GB2312" w:cs="楷体_GB2312"/>
        <w:kern w:val="0"/>
        <w:sz w:val="21"/>
        <w:szCs w:val="21"/>
      </w:rPr>
      <w:fldChar w:fldCharType="end"/>
    </w:r>
    <w:r>
      <w:rPr>
        <w:rFonts w:hint="eastAsia" w:ascii="楷体_GB2312" w:hAnsi="楷体_GB2312" w:eastAsia="楷体_GB2312" w:cs="楷体_GB2312"/>
        <w:kern w:val="0"/>
        <w:sz w:val="21"/>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21"/>
      </w:rPr>
      <w:drawing>
        <wp:inline distT="0" distB="0" distL="0" distR="0">
          <wp:extent cx="1114425" cy="21907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srcRect/>
                  <a:stretch>
                    <a:fillRect/>
                  </a:stretch>
                </pic:blipFill>
                <pic:spPr>
                  <a:xfrm>
                    <a:off x="0" y="0"/>
                    <a:ext cx="1114425" cy="2190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4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2"/>
  </w:compat>
  <w:rsids>
    <w:rsidRoot w:val="00172A27"/>
    <w:rsid w:val="00023C32"/>
    <w:rsid w:val="000908AD"/>
    <w:rsid w:val="000B457C"/>
    <w:rsid w:val="000D1988"/>
    <w:rsid w:val="000F08C0"/>
    <w:rsid w:val="000F55AD"/>
    <w:rsid w:val="00144418"/>
    <w:rsid w:val="00146D3E"/>
    <w:rsid w:val="00164ED3"/>
    <w:rsid w:val="00172A27"/>
    <w:rsid w:val="00194344"/>
    <w:rsid w:val="001A1D16"/>
    <w:rsid w:val="001A58F5"/>
    <w:rsid w:val="001F2985"/>
    <w:rsid w:val="001F2A51"/>
    <w:rsid w:val="00205B1A"/>
    <w:rsid w:val="00205CCA"/>
    <w:rsid w:val="00220A5C"/>
    <w:rsid w:val="00245A29"/>
    <w:rsid w:val="00255801"/>
    <w:rsid w:val="00256EAB"/>
    <w:rsid w:val="002B0621"/>
    <w:rsid w:val="002C76FC"/>
    <w:rsid w:val="00317FDF"/>
    <w:rsid w:val="0034591F"/>
    <w:rsid w:val="00362AF2"/>
    <w:rsid w:val="003C12D6"/>
    <w:rsid w:val="003C21A4"/>
    <w:rsid w:val="003D10D1"/>
    <w:rsid w:val="0040738F"/>
    <w:rsid w:val="00470AC2"/>
    <w:rsid w:val="004A2437"/>
    <w:rsid w:val="004A5649"/>
    <w:rsid w:val="004B65E8"/>
    <w:rsid w:val="004C496E"/>
    <w:rsid w:val="004D58D1"/>
    <w:rsid w:val="00546953"/>
    <w:rsid w:val="0057519F"/>
    <w:rsid w:val="00585848"/>
    <w:rsid w:val="005D0C01"/>
    <w:rsid w:val="006917D0"/>
    <w:rsid w:val="006B636A"/>
    <w:rsid w:val="007601CB"/>
    <w:rsid w:val="007731B0"/>
    <w:rsid w:val="00786C80"/>
    <w:rsid w:val="007E1277"/>
    <w:rsid w:val="008232E4"/>
    <w:rsid w:val="008403A9"/>
    <w:rsid w:val="008412EE"/>
    <w:rsid w:val="00846F65"/>
    <w:rsid w:val="00857045"/>
    <w:rsid w:val="00872615"/>
    <w:rsid w:val="00930C7A"/>
    <w:rsid w:val="0096550C"/>
    <w:rsid w:val="0097265C"/>
    <w:rsid w:val="00975060"/>
    <w:rsid w:val="00985F39"/>
    <w:rsid w:val="00991847"/>
    <w:rsid w:val="009B3A00"/>
    <w:rsid w:val="00A054B9"/>
    <w:rsid w:val="00A22D10"/>
    <w:rsid w:val="00A2628F"/>
    <w:rsid w:val="00A34EB8"/>
    <w:rsid w:val="00A46133"/>
    <w:rsid w:val="00A46EE4"/>
    <w:rsid w:val="00B425C2"/>
    <w:rsid w:val="00B44145"/>
    <w:rsid w:val="00B73812"/>
    <w:rsid w:val="00B767E2"/>
    <w:rsid w:val="00BD1862"/>
    <w:rsid w:val="00BD5034"/>
    <w:rsid w:val="00BF17BA"/>
    <w:rsid w:val="00C158D4"/>
    <w:rsid w:val="00C60B44"/>
    <w:rsid w:val="00C80CFD"/>
    <w:rsid w:val="00CC3696"/>
    <w:rsid w:val="00CD6A76"/>
    <w:rsid w:val="00D6771C"/>
    <w:rsid w:val="00D77050"/>
    <w:rsid w:val="00D80113"/>
    <w:rsid w:val="00E07EB3"/>
    <w:rsid w:val="00E11022"/>
    <w:rsid w:val="00E16E6B"/>
    <w:rsid w:val="00E22EBA"/>
    <w:rsid w:val="00E25848"/>
    <w:rsid w:val="00E259D7"/>
    <w:rsid w:val="00E32A99"/>
    <w:rsid w:val="00E513FB"/>
    <w:rsid w:val="00E854B8"/>
    <w:rsid w:val="00EC0C4E"/>
    <w:rsid w:val="00ED71AD"/>
    <w:rsid w:val="00F17B51"/>
    <w:rsid w:val="00F434E8"/>
    <w:rsid w:val="00F779F7"/>
    <w:rsid w:val="00F802A0"/>
    <w:rsid w:val="00F90AEE"/>
    <w:rsid w:val="00F969DD"/>
    <w:rsid w:val="179211C9"/>
    <w:rsid w:val="3D523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iPriority w:val="0"/>
    <w:pPr>
      <w:spacing w:line="360" w:lineRule="auto"/>
    </w:pPr>
    <w:rPr>
      <w:rFonts w:ascii="楷体_GB2312" w:hAnsi="宋体" w:eastAsia="楷体_GB2312"/>
      <w:sz w:val="24"/>
    </w:rPr>
  </w:style>
  <w:style w:type="paragraph" w:styleId="3">
    <w:name w:val="Body Text Indent"/>
    <w:basedOn w:val="1"/>
    <w:uiPriority w:val="0"/>
    <w:pPr>
      <w:tabs>
        <w:tab w:val="left" w:pos="720"/>
      </w:tabs>
      <w:autoSpaceDE w:val="0"/>
      <w:autoSpaceDN w:val="0"/>
      <w:adjustRightInd w:val="0"/>
      <w:ind w:right="18" w:firstLine="480" w:firstLineChars="200"/>
    </w:pPr>
    <w:rPr>
      <w:rFonts w:ascii="Arial Black" w:hAnsi="Arial Black" w:eastAsia="楷体_GB2312"/>
      <w:color w:val="000000"/>
      <w:kern w:val="0"/>
      <w:sz w:val="24"/>
      <w:szCs w:val="20"/>
      <w:lang w:val="zh-CN"/>
    </w:rPr>
  </w:style>
  <w:style w:type="paragraph" w:styleId="4">
    <w:name w:val="Plain Text"/>
    <w:basedOn w:val="1"/>
    <w:link w:val="12"/>
    <w:uiPriority w:val="0"/>
    <w:rPr>
      <w:rFonts w:ascii="宋体" w:hAnsi="Courier New"/>
      <w:szCs w:val="20"/>
    </w:rPr>
  </w:style>
  <w:style w:type="paragraph" w:styleId="5">
    <w:name w:val="Date"/>
    <w:basedOn w:val="1"/>
    <w:next w:val="1"/>
    <w:uiPriority w:val="0"/>
    <w:pPr>
      <w:ind w:left="100" w:leftChars="2500"/>
    </w:pPr>
    <w:rPr>
      <w:rFonts w:ascii="楷体_GB2312" w:hAnsi="宋体" w:eastAsia="楷体_GB2312"/>
      <w:sz w:val="24"/>
    </w:rPr>
  </w:style>
  <w:style w:type="paragraph" w:styleId="6">
    <w:name w:val="Balloon Text"/>
    <w:basedOn w:val="1"/>
    <w:link w:val="13"/>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uiPriority w:val="0"/>
    <w:pPr>
      <w:spacing w:line="360" w:lineRule="auto"/>
      <w:ind w:firstLine="480" w:firstLineChars="200"/>
    </w:pPr>
    <w:rPr>
      <w:rFonts w:ascii="楷体_GB2312" w:hAnsi="宋体" w:eastAsia="楷体_GB2312"/>
      <w:sz w:val="24"/>
    </w:rPr>
  </w:style>
  <w:style w:type="character" w:customStyle="1" w:styleId="12">
    <w:name w:val="纯文本 Char"/>
    <w:link w:val="4"/>
    <w:uiPriority w:val="0"/>
    <w:rPr>
      <w:rFonts w:ascii="宋体" w:hAnsi="Courier New"/>
      <w:kern w:val="2"/>
      <w:sz w:val="21"/>
    </w:rPr>
  </w:style>
  <w:style w:type="character" w:customStyle="1" w:styleId="13">
    <w:name w:val="批注框文本 Char"/>
    <w:link w:val="6"/>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锦天城律师事务所</Company>
  <Pages>6</Pages>
  <Words>588</Words>
  <Characters>3353</Characters>
  <Lines>27</Lines>
  <Paragraphs>7</Paragraphs>
  <TotalTime>98</TotalTime>
  <ScaleCrop>false</ScaleCrop>
  <LinksUpToDate>false</LinksUpToDate>
  <CharactersWithSpaces>3934</CharactersWithSpaces>
  <Application>WPS Office_11.1.0.8573_F1E327BC-269C-435d-A152-05C5408002CA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2019-04-21T15:36:00Z</dcterms:created>
  <dc:creator>锦天城律师</dc:creator>
  <cp:lastModifiedBy>徐鑫</cp:lastModifiedBy>
  <cp:lastPrinted>2016-01-29T07:07:00Z</cp:lastPrinted>
  <dcterms:modified xsi:type="dcterms:W3CDTF">2019-05-09T02:21:42Z</dcterms:modified>
  <dc:title>法律服务合同</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