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DBEEF4" w:themeColor="accent5" w:themeTint="33"/>
  <w:body>
    <w:p w14:paraId="3D710947">
      <w:pPr>
        <w:spacing w:line="360" w:lineRule="auto"/>
        <w:jc w:val="center"/>
        <w:rPr>
          <w:rFonts w:ascii="宋体" w:hAnsi="宋体"/>
          <w:color w:val="auto"/>
          <w:kern w:val="0"/>
          <w:sz w:val="32"/>
          <w:szCs w:val="32"/>
          <w:highlight w:val="none"/>
        </w:rPr>
      </w:pPr>
      <w:bookmarkStart w:id="0" w:name="_Toc287620665"/>
      <w:r>
        <w:rPr>
          <w:rFonts w:hint="eastAsia" w:ascii="宋体" w:hAnsi="宋体"/>
          <w:color w:val="auto"/>
          <w:kern w:val="0"/>
          <w:sz w:val="32"/>
          <w:szCs w:val="32"/>
          <w:highlight w:val="none"/>
          <w:u w:val="single"/>
        </w:rPr>
        <w:t xml:space="preserve"> 大田湾全民健身综合楼维修提升项目</w:t>
      </w:r>
      <w:r>
        <w:rPr>
          <w:rFonts w:hint="eastAsia" w:ascii="宋体" w:hAnsi="宋体"/>
          <w:color w:val="auto"/>
          <w:kern w:val="0"/>
          <w:sz w:val="32"/>
          <w:szCs w:val="32"/>
          <w:highlight w:val="none"/>
          <w:u w:val="single"/>
          <w:lang w:eastAsia="zh-CN"/>
        </w:rPr>
        <w:t>（</w:t>
      </w:r>
      <w:r>
        <w:rPr>
          <w:rFonts w:hint="eastAsia" w:ascii="宋体" w:hAnsi="宋体"/>
          <w:color w:val="auto"/>
          <w:kern w:val="0"/>
          <w:sz w:val="32"/>
          <w:szCs w:val="32"/>
          <w:highlight w:val="none"/>
          <w:u w:val="single"/>
          <w:lang w:val="en-US" w:eastAsia="zh-CN"/>
        </w:rPr>
        <w:t>第二次</w:t>
      </w:r>
      <w:r>
        <w:rPr>
          <w:rFonts w:hint="eastAsia" w:ascii="宋体" w:hAnsi="宋体"/>
          <w:color w:val="auto"/>
          <w:kern w:val="0"/>
          <w:sz w:val="32"/>
          <w:szCs w:val="32"/>
          <w:highlight w:val="none"/>
          <w:u w:val="single"/>
          <w:lang w:eastAsia="zh-CN"/>
        </w:rPr>
        <w:t>）</w:t>
      </w:r>
      <w:r>
        <w:rPr>
          <w:rFonts w:hint="eastAsia" w:ascii="宋体" w:hAnsi="宋体"/>
          <w:color w:val="auto"/>
          <w:kern w:val="0"/>
          <w:sz w:val="32"/>
          <w:szCs w:val="32"/>
          <w:highlight w:val="none"/>
          <w:u w:val="single"/>
        </w:rPr>
        <w:t xml:space="preserve"> </w:t>
      </w:r>
    </w:p>
    <w:p w14:paraId="203C4C15">
      <w:pPr>
        <w:autoSpaceDE w:val="0"/>
        <w:autoSpaceDN w:val="0"/>
        <w:adjustRightInd w:val="0"/>
        <w:snapToGrid w:val="0"/>
        <w:spacing w:line="360" w:lineRule="auto"/>
        <w:jc w:val="left"/>
        <w:rPr>
          <w:rFonts w:hint="eastAsia" w:ascii="宋体" w:hAnsi="宋体" w:eastAsia="宋体"/>
          <w:color w:val="auto"/>
          <w:kern w:val="0"/>
          <w:sz w:val="20"/>
          <w:szCs w:val="20"/>
          <w:highlight w:val="none"/>
          <w:lang w:val="en-US" w:eastAsia="zh-CN"/>
        </w:rPr>
      </w:pPr>
    </w:p>
    <w:p w14:paraId="46B1B16C">
      <w:pPr>
        <w:autoSpaceDE w:val="0"/>
        <w:autoSpaceDN w:val="0"/>
        <w:adjustRightInd w:val="0"/>
        <w:snapToGrid w:val="0"/>
        <w:spacing w:line="360" w:lineRule="auto"/>
        <w:jc w:val="left"/>
        <w:rPr>
          <w:rFonts w:ascii="宋体" w:hAnsi="宋体"/>
          <w:color w:val="auto"/>
          <w:kern w:val="0"/>
          <w:sz w:val="20"/>
          <w:szCs w:val="20"/>
          <w:highlight w:val="none"/>
        </w:rPr>
      </w:pPr>
    </w:p>
    <w:p w14:paraId="7746BFB2">
      <w:pPr>
        <w:autoSpaceDE w:val="0"/>
        <w:autoSpaceDN w:val="0"/>
        <w:adjustRightInd w:val="0"/>
        <w:snapToGrid w:val="0"/>
        <w:spacing w:line="360" w:lineRule="auto"/>
        <w:jc w:val="left"/>
        <w:rPr>
          <w:rFonts w:ascii="宋体" w:hAnsi="宋体"/>
          <w:color w:val="auto"/>
          <w:kern w:val="0"/>
          <w:sz w:val="20"/>
          <w:szCs w:val="20"/>
          <w:highlight w:val="none"/>
        </w:rPr>
      </w:pPr>
    </w:p>
    <w:p w14:paraId="21780F57">
      <w:pPr>
        <w:autoSpaceDE w:val="0"/>
        <w:autoSpaceDN w:val="0"/>
        <w:adjustRightInd w:val="0"/>
        <w:snapToGrid w:val="0"/>
        <w:spacing w:line="360" w:lineRule="auto"/>
        <w:jc w:val="left"/>
        <w:rPr>
          <w:rFonts w:ascii="宋体" w:hAnsi="宋体"/>
          <w:color w:val="auto"/>
          <w:kern w:val="0"/>
          <w:sz w:val="20"/>
          <w:szCs w:val="20"/>
          <w:highlight w:val="none"/>
        </w:rPr>
      </w:pPr>
    </w:p>
    <w:p w14:paraId="2BCB0C41">
      <w:pPr>
        <w:autoSpaceDE w:val="0"/>
        <w:autoSpaceDN w:val="0"/>
        <w:adjustRightInd w:val="0"/>
        <w:snapToGrid w:val="0"/>
        <w:spacing w:line="360" w:lineRule="auto"/>
        <w:jc w:val="left"/>
        <w:rPr>
          <w:rFonts w:ascii="宋体" w:hAnsi="宋体"/>
          <w:color w:val="auto"/>
          <w:kern w:val="0"/>
          <w:sz w:val="20"/>
          <w:szCs w:val="20"/>
          <w:highlight w:val="none"/>
        </w:rPr>
      </w:pPr>
    </w:p>
    <w:p w14:paraId="1BC7C8DF">
      <w:pPr>
        <w:autoSpaceDE w:val="0"/>
        <w:autoSpaceDN w:val="0"/>
        <w:adjustRightInd w:val="0"/>
        <w:snapToGrid w:val="0"/>
        <w:spacing w:line="360" w:lineRule="auto"/>
        <w:jc w:val="left"/>
        <w:rPr>
          <w:rFonts w:ascii="宋体" w:hAnsi="宋体"/>
          <w:color w:val="auto"/>
          <w:kern w:val="0"/>
          <w:sz w:val="20"/>
          <w:szCs w:val="20"/>
          <w:highlight w:val="none"/>
        </w:rPr>
      </w:pPr>
    </w:p>
    <w:p w14:paraId="3B4CFA3C">
      <w:pPr>
        <w:autoSpaceDE w:val="0"/>
        <w:autoSpaceDN w:val="0"/>
        <w:adjustRightInd w:val="0"/>
        <w:snapToGrid w:val="0"/>
        <w:spacing w:line="360" w:lineRule="auto"/>
        <w:jc w:val="center"/>
        <w:rPr>
          <w:rFonts w:ascii="宋体" w:hAnsi="宋体"/>
          <w:color w:val="auto"/>
          <w:kern w:val="0"/>
          <w:sz w:val="72"/>
          <w:szCs w:val="72"/>
          <w:highlight w:val="none"/>
        </w:rPr>
      </w:pPr>
      <w:r>
        <w:rPr>
          <w:rFonts w:ascii="宋体" w:hAnsi="宋体"/>
          <w:color w:val="auto"/>
          <w:kern w:val="0"/>
          <w:sz w:val="72"/>
          <w:szCs w:val="72"/>
          <w:highlight w:val="none"/>
        </w:rPr>
        <w:t>施</w:t>
      </w:r>
      <w:r>
        <w:rPr>
          <w:rFonts w:hint="eastAsia" w:ascii="宋体" w:hAnsi="宋体"/>
          <w:color w:val="auto"/>
          <w:kern w:val="0"/>
          <w:sz w:val="72"/>
          <w:szCs w:val="72"/>
          <w:highlight w:val="none"/>
        </w:rPr>
        <w:t xml:space="preserve"> </w:t>
      </w:r>
      <w:r>
        <w:rPr>
          <w:rFonts w:ascii="宋体" w:hAnsi="宋体"/>
          <w:color w:val="auto"/>
          <w:kern w:val="0"/>
          <w:sz w:val="72"/>
          <w:szCs w:val="72"/>
          <w:highlight w:val="none"/>
        </w:rPr>
        <w:t>工</w:t>
      </w:r>
      <w:r>
        <w:rPr>
          <w:rFonts w:hint="eastAsia" w:ascii="宋体" w:hAnsi="宋体"/>
          <w:color w:val="auto"/>
          <w:kern w:val="0"/>
          <w:sz w:val="72"/>
          <w:szCs w:val="72"/>
          <w:highlight w:val="none"/>
        </w:rPr>
        <w:t xml:space="preserve"> </w:t>
      </w:r>
      <w:r>
        <w:rPr>
          <w:rFonts w:ascii="宋体" w:hAnsi="宋体"/>
          <w:color w:val="auto"/>
          <w:kern w:val="0"/>
          <w:sz w:val="72"/>
          <w:szCs w:val="72"/>
          <w:highlight w:val="none"/>
        </w:rPr>
        <w:t>招</w:t>
      </w:r>
      <w:r>
        <w:rPr>
          <w:rFonts w:hint="eastAsia" w:ascii="宋体" w:hAnsi="宋体"/>
          <w:color w:val="auto"/>
          <w:kern w:val="0"/>
          <w:sz w:val="72"/>
          <w:szCs w:val="72"/>
          <w:highlight w:val="none"/>
        </w:rPr>
        <w:t xml:space="preserve"> </w:t>
      </w:r>
      <w:r>
        <w:rPr>
          <w:rFonts w:ascii="宋体" w:hAnsi="宋体"/>
          <w:color w:val="auto"/>
          <w:kern w:val="0"/>
          <w:sz w:val="72"/>
          <w:szCs w:val="72"/>
          <w:highlight w:val="none"/>
        </w:rPr>
        <w:t>标</w:t>
      </w:r>
      <w:r>
        <w:rPr>
          <w:rFonts w:hint="eastAsia" w:ascii="宋体" w:hAnsi="宋体"/>
          <w:color w:val="auto"/>
          <w:kern w:val="0"/>
          <w:sz w:val="72"/>
          <w:szCs w:val="72"/>
          <w:highlight w:val="none"/>
        </w:rPr>
        <w:t xml:space="preserve"> </w:t>
      </w:r>
      <w:r>
        <w:rPr>
          <w:rFonts w:ascii="宋体" w:hAnsi="宋体"/>
          <w:color w:val="auto"/>
          <w:kern w:val="0"/>
          <w:sz w:val="72"/>
          <w:szCs w:val="72"/>
          <w:highlight w:val="none"/>
        </w:rPr>
        <w:t>文</w:t>
      </w:r>
      <w:r>
        <w:rPr>
          <w:rFonts w:hint="eastAsia" w:ascii="宋体" w:hAnsi="宋体"/>
          <w:color w:val="auto"/>
          <w:kern w:val="0"/>
          <w:sz w:val="72"/>
          <w:szCs w:val="72"/>
          <w:highlight w:val="none"/>
        </w:rPr>
        <w:t xml:space="preserve"> </w:t>
      </w:r>
      <w:r>
        <w:rPr>
          <w:rFonts w:ascii="宋体" w:hAnsi="宋体"/>
          <w:color w:val="auto"/>
          <w:kern w:val="0"/>
          <w:sz w:val="72"/>
          <w:szCs w:val="72"/>
          <w:highlight w:val="none"/>
        </w:rPr>
        <w:t>件</w:t>
      </w:r>
    </w:p>
    <w:p w14:paraId="120261AB">
      <w:pPr>
        <w:autoSpaceDE w:val="0"/>
        <w:autoSpaceDN w:val="0"/>
        <w:adjustRightInd w:val="0"/>
        <w:snapToGrid w:val="0"/>
        <w:spacing w:line="360" w:lineRule="auto"/>
        <w:jc w:val="left"/>
        <w:rPr>
          <w:rFonts w:ascii="宋体" w:hAnsi="宋体"/>
          <w:color w:val="auto"/>
          <w:kern w:val="0"/>
          <w:sz w:val="10"/>
          <w:szCs w:val="10"/>
          <w:highlight w:val="none"/>
        </w:rPr>
      </w:pPr>
    </w:p>
    <w:p w14:paraId="0D22A2D2">
      <w:pPr>
        <w:autoSpaceDE w:val="0"/>
        <w:autoSpaceDN w:val="0"/>
        <w:adjustRightInd w:val="0"/>
        <w:snapToGrid w:val="0"/>
        <w:spacing w:line="360" w:lineRule="auto"/>
        <w:jc w:val="left"/>
        <w:rPr>
          <w:rFonts w:ascii="宋体" w:hAnsi="宋体"/>
          <w:color w:val="auto"/>
          <w:kern w:val="0"/>
          <w:sz w:val="20"/>
          <w:szCs w:val="20"/>
          <w:highlight w:val="none"/>
        </w:rPr>
      </w:pPr>
    </w:p>
    <w:p w14:paraId="6CA3E396">
      <w:pPr>
        <w:autoSpaceDE w:val="0"/>
        <w:autoSpaceDN w:val="0"/>
        <w:adjustRightInd w:val="0"/>
        <w:snapToGrid w:val="0"/>
        <w:spacing w:line="360" w:lineRule="auto"/>
        <w:jc w:val="left"/>
        <w:rPr>
          <w:rFonts w:ascii="宋体" w:hAnsi="宋体"/>
          <w:color w:val="auto"/>
          <w:kern w:val="0"/>
          <w:sz w:val="20"/>
          <w:szCs w:val="20"/>
          <w:highlight w:val="none"/>
        </w:rPr>
      </w:pPr>
    </w:p>
    <w:p w14:paraId="06ECCA87">
      <w:pPr>
        <w:autoSpaceDE w:val="0"/>
        <w:autoSpaceDN w:val="0"/>
        <w:adjustRightInd w:val="0"/>
        <w:snapToGrid w:val="0"/>
        <w:spacing w:line="360" w:lineRule="auto"/>
        <w:jc w:val="left"/>
        <w:rPr>
          <w:rFonts w:ascii="宋体" w:hAnsi="宋体"/>
          <w:color w:val="auto"/>
          <w:kern w:val="0"/>
          <w:sz w:val="20"/>
          <w:szCs w:val="20"/>
          <w:highlight w:val="none"/>
        </w:rPr>
      </w:pPr>
    </w:p>
    <w:p w14:paraId="7EFC0C19">
      <w:pPr>
        <w:autoSpaceDE w:val="0"/>
        <w:autoSpaceDN w:val="0"/>
        <w:adjustRightInd w:val="0"/>
        <w:snapToGrid w:val="0"/>
        <w:spacing w:line="360" w:lineRule="auto"/>
        <w:jc w:val="left"/>
        <w:rPr>
          <w:rFonts w:ascii="宋体" w:hAnsi="宋体"/>
          <w:color w:val="auto"/>
          <w:kern w:val="0"/>
          <w:sz w:val="20"/>
          <w:szCs w:val="20"/>
          <w:highlight w:val="none"/>
        </w:rPr>
      </w:pPr>
    </w:p>
    <w:p w14:paraId="425D8759">
      <w:pPr>
        <w:autoSpaceDE w:val="0"/>
        <w:autoSpaceDN w:val="0"/>
        <w:adjustRightInd w:val="0"/>
        <w:snapToGrid w:val="0"/>
        <w:spacing w:line="360" w:lineRule="auto"/>
        <w:jc w:val="left"/>
        <w:rPr>
          <w:rFonts w:ascii="宋体" w:hAnsi="宋体"/>
          <w:color w:val="auto"/>
          <w:kern w:val="0"/>
          <w:sz w:val="20"/>
          <w:szCs w:val="20"/>
          <w:highlight w:val="none"/>
        </w:rPr>
      </w:pPr>
    </w:p>
    <w:p w14:paraId="77F576FE">
      <w:pPr>
        <w:autoSpaceDE w:val="0"/>
        <w:autoSpaceDN w:val="0"/>
        <w:adjustRightInd w:val="0"/>
        <w:snapToGrid w:val="0"/>
        <w:spacing w:line="360" w:lineRule="auto"/>
        <w:jc w:val="left"/>
        <w:rPr>
          <w:rFonts w:ascii="宋体" w:hAnsi="宋体"/>
          <w:color w:val="auto"/>
          <w:kern w:val="0"/>
          <w:sz w:val="20"/>
          <w:szCs w:val="20"/>
          <w:highlight w:val="none"/>
        </w:rPr>
      </w:pPr>
    </w:p>
    <w:p w14:paraId="505427A1">
      <w:pPr>
        <w:autoSpaceDE w:val="0"/>
        <w:autoSpaceDN w:val="0"/>
        <w:adjustRightInd w:val="0"/>
        <w:snapToGrid w:val="0"/>
        <w:spacing w:line="360" w:lineRule="auto"/>
        <w:jc w:val="left"/>
        <w:rPr>
          <w:rFonts w:ascii="宋体" w:hAnsi="宋体"/>
          <w:color w:val="auto"/>
          <w:kern w:val="0"/>
          <w:sz w:val="20"/>
          <w:szCs w:val="20"/>
          <w:highlight w:val="none"/>
        </w:rPr>
      </w:pPr>
    </w:p>
    <w:p w14:paraId="4D846E12">
      <w:pPr>
        <w:autoSpaceDE w:val="0"/>
        <w:autoSpaceDN w:val="0"/>
        <w:adjustRightInd w:val="0"/>
        <w:snapToGrid w:val="0"/>
        <w:spacing w:line="360" w:lineRule="auto"/>
        <w:rPr>
          <w:rFonts w:ascii="宋体" w:hAnsi="宋体"/>
          <w:color w:val="auto"/>
          <w:kern w:val="0"/>
          <w:sz w:val="20"/>
          <w:szCs w:val="20"/>
          <w:highlight w:val="none"/>
        </w:rPr>
      </w:pPr>
    </w:p>
    <w:p w14:paraId="028E6BFA">
      <w:pPr>
        <w:autoSpaceDE w:val="0"/>
        <w:autoSpaceDN w:val="0"/>
        <w:adjustRightInd w:val="0"/>
        <w:snapToGrid w:val="0"/>
        <w:spacing w:line="360" w:lineRule="auto"/>
        <w:jc w:val="left"/>
        <w:rPr>
          <w:rFonts w:ascii="宋体" w:hAnsi="宋体"/>
          <w:color w:val="auto"/>
          <w:kern w:val="0"/>
          <w:sz w:val="20"/>
          <w:szCs w:val="20"/>
          <w:highlight w:val="none"/>
        </w:rPr>
      </w:pPr>
    </w:p>
    <w:p w14:paraId="653C5078">
      <w:pPr>
        <w:autoSpaceDE w:val="0"/>
        <w:autoSpaceDN w:val="0"/>
        <w:adjustRightInd w:val="0"/>
        <w:snapToGrid w:val="0"/>
        <w:spacing w:line="360" w:lineRule="auto"/>
        <w:rPr>
          <w:rFonts w:ascii="宋体" w:hAnsi="宋体"/>
          <w:color w:val="auto"/>
          <w:kern w:val="0"/>
          <w:sz w:val="20"/>
          <w:szCs w:val="20"/>
          <w:highlight w:val="none"/>
        </w:rPr>
      </w:pPr>
    </w:p>
    <w:p w14:paraId="73698F4B">
      <w:pPr>
        <w:autoSpaceDE w:val="0"/>
        <w:autoSpaceDN w:val="0"/>
        <w:adjustRightInd w:val="0"/>
        <w:snapToGrid w:val="0"/>
        <w:spacing w:line="360" w:lineRule="auto"/>
        <w:rPr>
          <w:rFonts w:ascii="宋体" w:hAnsi="宋体"/>
          <w:color w:val="auto"/>
          <w:kern w:val="0"/>
          <w:sz w:val="20"/>
          <w:szCs w:val="20"/>
          <w:highlight w:val="none"/>
        </w:rPr>
      </w:pPr>
    </w:p>
    <w:p w14:paraId="120B5C26">
      <w:pPr>
        <w:autoSpaceDE w:val="0"/>
        <w:autoSpaceDN w:val="0"/>
        <w:adjustRightInd w:val="0"/>
        <w:snapToGrid w:val="0"/>
        <w:spacing w:line="360" w:lineRule="auto"/>
        <w:rPr>
          <w:rFonts w:ascii="宋体" w:hAnsi="宋体"/>
          <w:color w:val="auto"/>
          <w:kern w:val="0"/>
          <w:sz w:val="20"/>
          <w:szCs w:val="20"/>
          <w:highlight w:val="none"/>
        </w:rPr>
      </w:pPr>
    </w:p>
    <w:p w14:paraId="53E52D7D">
      <w:pPr>
        <w:tabs>
          <w:tab w:val="left" w:pos="6219"/>
        </w:tabs>
        <w:autoSpaceDE w:val="0"/>
        <w:autoSpaceDN w:val="0"/>
        <w:adjustRightInd w:val="0"/>
        <w:snapToGrid w:val="0"/>
        <w:spacing w:line="360" w:lineRule="auto"/>
        <w:jc w:val="center"/>
        <w:rPr>
          <w:rFonts w:ascii="宋体" w:hAnsi="宋体"/>
          <w:bCs/>
          <w:color w:val="auto"/>
          <w:w w:val="99"/>
          <w:kern w:val="0"/>
          <w:sz w:val="28"/>
          <w:szCs w:val="28"/>
          <w:highlight w:val="none"/>
        </w:rPr>
      </w:pPr>
      <w:r>
        <w:rPr>
          <w:rFonts w:ascii="宋体" w:hAnsi="宋体"/>
          <w:bCs/>
          <w:color w:val="auto"/>
          <w:w w:val="99"/>
          <w:kern w:val="0"/>
          <w:sz w:val="28"/>
          <w:szCs w:val="28"/>
          <w:highlight w:val="none"/>
        </w:rPr>
        <w:t>招</w:t>
      </w:r>
      <w:r>
        <w:rPr>
          <w:rFonts w:hint="eastAsia" w:ascii="宋体" w:hAnsi="宋体"/>
          <w:bCs/>
          <w:color w:val="auto"/>
          <w:w w:val="99"/>
          <w:kern w:val="0"/>
          <w:sz w:val="28"/>
          <w:szCs w:val="28"/>
          <w:highlight w:val="none"/>
        </w:rPr>
        <w:t xml:space="preserve">   </w:t>
      </w:r>
      <w:r>
        <w:rPr>
          <w:rFonts w:ascii="宋体" w:hAnsi="宋体"/>
          <w:bCs/>
          <w:color w:val="auto"/>
          <w:w w:val="99"/>
          <w:kern w:val="0"/>
          <w:sz w:val="28"/>
          <w:szCs w:val="28"/>
          <w:highlight w:val="none"/>
        </w:rPr>
        <w:t>标</w:t>
      </w:r>
      <w:r>
        <w:rPr>
          <w:rFonts w:hint="eastAsia" w:ascii="宋体" w:hAnsi="宋体"/>
          <w:bCs/>
          <w:color w:val="auto"/>
          <w:w w:val="99"/>
          <w:kern w:val="0"/>
          <w:sz w:val="28"/>
          <w:szCs w:val="28"/>
          <w:highlight w:val="none"/>
        </w:rPr>
        <w:t xml:space="preserve">   </w:t>
      </w:r>
      <w:r>
        <w:rPr>
          <w:rFonts w:ascii="宋体" w:hAnsi="宋体"/>
          <w:bCs/>
          <w:color w:val="auto"/>
          <w:w w:val="99"/>
          <w:kern w:val="0"/>
          <w:sz w:val="28"/>
          <w:szCs w:val="28"/>
          <w:highlight w:val="none"/>
        </w:rPr>
        <w:t>人：</w:t>
      </w:r>
      <w:r>
        <w:rPr>
          <w:rFonts w:hint="eastAsia" w:ascii="宋体" w:hAnsi="宋体"/>
          <w:bCs/>
          <w:color w:val="auto"/>
          <w:kern w:val="0"/>
          <w:sz w:val="28"/>
          <w:szCs w:val="28"/>
          <w:highlight w:val="none"/>
          <w:u w:val="single"/>
        </w:rPr>
        <w:t>重庆市体育设施建设维护中心</w:t>
      </w:r>
      <w:r>
        <w:rPr>
          <w:rFonts w:ascii="宋体" w:hAnsi="宋体"/>
          <w:bCs/>
          <w:color w:val="auto"/>
          <w:w w:val="99"/>
          <w:kern w:val="0"/>
          <w:sz w:val="28"/>
          <w:szCs w:val="28"/>
          <w:highlight w:val="none"/>
        </w:rPr>
        <w:t>（盖单位法人章）</w:t>
      </w:r>
    </w:p>
    <w:p w14:paraId="5350C80C">
      <w:pPr>
        <w:tabs>
          <w:tab w:val="left" w:pos="6252"/>
        </w:tabs>
        <w:autoSpaceDE w:val="0"/>
        <w:autoSpaceDN w:val="0"/>
        <w:adjustRightInd w:val="0"/>
        <w:snapToGrid w:val="0"/>
        <w:spacing w:line="360" w:lineRule="auto"/>
        <w:jc w:val="center"/>
        <w:rPr>
          <w:rFonts w:ascii="宋体" w:hAnsi="宋体"/>
          <w:bCs/>
          <w:color w:val="auto"/>
          <w:w w:val="99"/>
          <w:kern w:val="0"/>
          <w:sz w:val="28"/>
          <w:szCs w:val="28"/>
          <w:highlight w:val="none"/>
        </w:rPr>
      </w:pPr>
      <w:r>
        <w:rPr>
          <w:rFonts w:ascii="宋体" w:hAnsi="宋体"/>
          <w:bCs/>
          <w:color w:val="auto"/>
          <w:spacing w:val="8"/>
          <w:kern w:val="0"/>
          <w:sz w:val="28"/>
          <w:szCs w:val="28"/>
          <w:highlight w:val="none"/>
        </w:rPr>
        <w:t>招标代理机构：</w:t>
      </w:r>
      <w:r>
        <w:rPr>
          <w:rFonts w:hint="eastAsia" w:ascii="宋体" w:hAnsi="宋体"/>
          <w:bCs/>
          <w:color w:val="auto"/>
          <w:kern w:val="0"/>
          <w:sz w:val="28"/>
          <w:szCs w:val="28"/>
          <w:highlight w:val="none"/>
          <w:u w:val="single"/>
        </w:rPr>
        <w:t>中航技</w:t>
      </w:r>
      <w:r>
        <w:rPr>
          <w:rFonts w:ascii="宋体" w:hAnsi="宋体"/>
          <w:bCs/>
          <w:color w:val="auto"/>
          <w:kern w:val="0"/>
          <w:sz w:val="28"/>
          <w:szCs w:val="28"/>
          <w:highlight w:val="none"/>
          <w:u w:val="single"/>
        </w:rPr>
        <w:t>国际经贸发展有限公司</w:t>
      </w:r>
      <w:r>
        <w:rPr>
          <w:rFonts w:ascii="宋体" w:hAnsi="宋体"/>
          <w:bCs/>
          <w:color w:val="auto"/>
          <w:w w:val="99"/>
          <w:kern w:val="0"/>
          <w:sz w:val="28"/>
          <w:szCs w:val="28"/>
          <w:highlight w:val="none"/>
        </w:rPr>
        <w:t>（盖单位法人章）</w:t>
      </w:r>
    </w:p>
    <w:p w14:paraId="51929DF8">
      <w:pPr>
        <w:autoSpaceDE w:val="0"/>
        <w:autoSpaceDN w:val="0"/>
        <w:adjustRightInd w:val="0"/>
        <w:snapToGrid w:val="0"/>
        <w:spacing w:line="360" w:lineRule="auto"/>
        <w:jc w:val="center"/>
        <w:rPr>
          <w:rFonts w:ascii="宋体" w:hAnsi="宋体"/>
          <w:bCs/>
          <w:color w:val="auto"/>
          <w:kern w:val="0"/>
          <w:sz w:val="20"/>
          <w:szCs w:val="20"/>
          <w:highlight w:val="none"/>
        </w:rPr>
      </w:pPr>
    </w:p>
    <w:p w14:paraId="0A95F7A1">
      <w:pPr>
        <w:autoSpaceDE w:val="0"/>
        <w:autoSpaceDN w:val="0"/>
        <w:adjustRightInd w:val="0"/>
        <w:snapToGrid w:val="0"/>
        <w:spacing w:line="360" w:lineRule="auto"/>
        <w:jc w:val="center"/>
        <w:rPr>
          <w:rFonts w:ascii="宋体" w:hAnsi="宋体"/>
          <w:bCs/>
          <w:color w:val="auto"/>
          <w:kern w:val="0"/>
          <w:sz w:val="28"/>
          <w:szCs w:val="28"/>
          <w:highlight w:val="none"/>
        </w:rPr>
      </w:pPr>
    </w:p>
    <w:p w14:paraId="31928877">
      <w:pPr>
        <w:autoSpaceDE w:val="0"/>
        <w:autoSpaceDN w:val="0"/>
        <w:adjustRightInd w:val="0"/>
        <w:snapToGrid w:val="0"/>
        <w:spacing w:line="360" w:lineRule="auto"/>
        <w:jc w:val="center"/>
        <w:rPr>
          <w:rFonts w:ascii="宋体" w:hAnsi="宋体"/>
          <w:bCs/>
          <w:color w:val="auto"/>
          <w:kern w:val="0"/>
          <w:sz w:val="28"/>
          <w:szCs w:val="28"/>
          <w:highlight w:val="none"/>
        </w:rPr>
      </w:pPr>
    </w:p>
    <w:p w14:paraId="320AE1CC">
      <w:pPr>
        <w:autoSpaceDE w:val="0"/>
        <w:autoSpaceDN w:val="0"/>
        <w:adjustRightInd w:val="0"/>
        <w:snapToGrid w:val="0"/>
        <w:spacing w:line="360" w:lineRule="auto"/>
        <w:rPr>
          <w:rFonts w:ascii="宋体" w:hAnsi="宋体"/>
          <w:bCs/>
          <w:color w:val="auto"/>
          <w:kern w:val="0"/>
          <w:sz w:val="20"/>
          <w:szCs w:val="20"/>
          <w:highlight w:val="none"/>
        </w:rPr>
      </w:pPr>
    </w:p>
    <w:p w14:paraId="566E9694">
      <w:pPr>
        <w:tabs>
          <w:tab w:val="left" w:pos="6252"/>
        </w:tabs>
        <w:autoSpaceDE w:val="0"/>
        <w:autoSpaceDN w:val="0"/>
        <w:adjustRightInd w:val="0"/>
        <w:snapToGrid w:val="0"/>
        <w:spacing w:line="360" w:lineRule="auto"/>
        <w:jc w:val="center"/>
        <w:rPr>
          <w:rFonts w:ascii="宋体" w:hAnsi="宋体"/>
          <w:bCs/>
          <w:color w:val="auto"/>
          <w:spacing w:val="8"/>
          <w:kern w:val="0"/>
          <w:sz w:val="28"/>
          <w:szCs w:val="28"/>
          <w:highlight w:val="none"/>
        </w:rPr>
      </w:pPr>
      <w:bookmarkStart w:id="1" w:name="_Toc536797277"/>
      <w:bookmarkStart w:id="2" w:name="_Toc536621766"/>
      <w:bookmarkStart w:id="3" w:name="_Toc509218549"/>
      <w:bookmarkStart w:id="4" w:name="_Toc13210649"/>
      <w:bookmarkStart w:id="5" w:name="_Toc536796736"/>
      <w:r>
        <w:rPr>
          <w:rFonts w:hint="eastAsia" w:ascii="宋体" w:hAnsi="宋体"/>
          <w:bCs/>
          <w:color w:val="auto"/>
          <w:spacing w:val="8"/>
          <w:kern w:val="0"/>
          <w:sz w:val="28"/>
          <w:szCs w:val="28"/>
          <w:highlight w:val="none"/>
          <w:u w:val="single"/>
        </w:rPr>
        <w:t xml:space="preserve"> </w:t>
      </w:r>
      <w:r>
        <w:rPr>
          <w:rFonts w:ascii="宋体" w:hAnsi="宋体"/>
          <w:bCs/>
          <w:color w:val="auto"/>
          <w:spacing w:val="8"/>
          <w:kern w:val="0"/>
          <w:sz w:val="28"/>
          <w:szCs w:val="28"/>
          <w:highlight w:val="none"/>
          <w:u w:val="single"/>
        </w:rPr>
        <w:t>202</w:t>
      </w:r>
      <w:r>
        <w:rPr>
          <w:rFonts w:hint="eastAsia" w:ascii="宋体" w:hAnsi="宋体"/>
          <w:bCs/>
          <w:color w:val="auto"/>
          <w:spacing w:val="8"/>
          <w:kern w:val="0"/>
          <w:sz w:val="28"/>
          <w:szCs w:val="28"/>
          <w:highlight w:val="none"/>
          <w:u w:val="single"/>
          <w:lang w:val="en-US" w:eastAsia="zh-CN"/>
        </w:rPr>
        <w:t>3</w:t>
      </w:r>
      <w:r>
        <w:rPr>
          <w:rFonts w:ascii="宋体" w:hAnsi="宋体"/>
          <w:bCs/>
          <w:color w:val="auto"/>
          <w:spacing w:val="8"/>
          <w:kern w:val="0"/>
          <w:sz w:val="28"/>
          <w:szCs w:val="28"/>
          <w:highlight w:val="none"/>
          <w:u w:val="single"/>
        </w:rPr>
        <w:t xml:space="preserve"> </w:t>
      </w:r>
      <w:r>
        <w:rPr>
          <w:rFonts w:ascii="宋体" w:hAnsi="宋体"/>
          <w:bCs/>
          <w:color w:val="auto"/>
          <w:spacing w:val="8"/>
          <w:kern w:val="0"/>
          <w:sz w:val="28"/>
          <w:szCs w:val="28"/>
          <w:highlight w:val="none"/>
        </w:rPr>
        <w:t>年</w:t>
      </w:r>
      <w:r>
        <w:rPr>
          <w:rFonts w:hint="eastAsia" w:ascii="宋体" w:hAnsi="宋体"/>
          <w:bCs/>
          <w:color w:val="auto"/>
          <w:spacing w:val="8"/>
          <w:kern w:val="0"/>
          <w:sz w:val="28"/>
          <w:szCs w:val="28"/>
          <w:highlight w:val="none"/>
          <w:u w:val="single"/>
          <w:lang w:val="en-US" w:eastAsia="zh-CN"/>
        </w:rPr>
        <w:t xml:space="preserve"> 2 </w:t>
      </w:r>
      <w:r>
        <w:rPr>
          <w:rFonts w:ascii="宋体" w:hAnsi="宋体"/>
          <w:bCs/>
          <w:color w:val="auto"/>
          <w:spacing w:val="8"/>
          <w:kern w:val="0"/>
          <w:sz w:val="28"/>
          <w:szCs w:val="28"/>
          <w:highlight w:val="none"/>
        </w:rPr>
        <w:t>月</w:t>
      </w:r>
      <w:bookmarkEnd w:id="1"/>
      <w:bookmarkEnd w:id="2"/>
      <w:bookmarkEnd w:id="3"/>
      <w:bookmarkEnd w:id="4"/>
      <w:bookmarkEnd w:id="5"/>
    </w:p>
    <w:p w14:paraId="57F179A9">
      <w:pPr>
        <w:pStyle w:val="3"/>
        <w:spacing w:line="360" w:lineRule="auto"/>
        <w:rPr>
          <w:rFonts w:ascii="宋体" w:hAnsi="宋体"/>
          <w:color w:val="auto"/>
          <w:w w:val="99"/>
          <w:kern w:val="0"/>
          <w:sz w:val="24"/>
          <w:highlight w:val="none"/>
        </w:rPr>
        <w:sectPr>
          <w:pgSz w:w="11907" w:h="16840"/>
          <w:pgMar w:top="1304" w:right="1134" w:bottom="1304" w:left="1304" w:header="851" w:footer="992" w:gutter="0"/>
          <w:pgNumType w:fmt="numberInDash" w:start="1"/>
          <w:cols w:space="720" w:num="1"/>
          <w:docGrid w:linePitch="312" w:charSpace="0"/>
        </w:sectPr>
      </w:pPr>
    </w:p>
    <w:p w14:paraId="72BFAAFF">
      <w:pPr>
        <w:pStyle w:val="58"/>
        <w:jc w:val="center"/>
        <w:rPr>
          <w:rFonts w:ascii="宋体" w:hAnsi="宋体"/>
          <w:color w:val="auto"/>
          <w:sz w:val="44"/>
          <w:szCs w:val="44"/>
          <w:highlight w:val="none"/>
        </w:rPr>
      </w:pPr>
      <w:bookmarkStart w:id="6" w:name="_Toc23843"/>
      <w:r>
        <w:rPr>
          <w:rFonts w:ascii="宋体" w:hAnsi="宋体"/>
          <w:color w:val="auto"/>
          <w:sz w:val="44"/>
          <w:szCs w:val="44"/>
          <w:highlight w:val="none"/>
          <w:lang w:val="zh-CN"/>
        </w:rPr>
        <w:t>目</w:t>
      </w:r>
      <w:r>
        <w:rPr>
          <w:rFonts w:hint="eastAsia" w:ascii="宋体" w:hAnsi="宋体"/>
          <w:color w:val="auto"/>
          <w:sz w:val="44"/>
          <w:szCs w:val="44"/>
          <w:highlight w:val="none"/>
          <w:lang w:val="zh-CN"/>
        </w:rPr>
        <w:t xml:space="preserve"> </w:t>
      </w:r>
      <w:r>
        <w:rPr>
          <w:rFonts w:ascii="宋体" w:hAnsi="宋体"/>
          <w:color w:val="auto"/>
          <w:sz w:val="44"/>
          <w:szCs w:val="44"/>
          <w:highlight w:val="none"/>
          <w:lang w:val="zh-CN"/>
        </w:rPr>
        <w:t>录</w:t>
      </w:r>
      <w:bookmarkEnd w:id="6"/>
    </w:p>
    <w:p w14:paraId="363041AD">
      <w:pPr>
        <w:pStyle w:val="31"/>
        <w:tabs>
          <w:tab w:val="right" w:leader="dot" w:pos="9459"/>
        </w:tabs>
        <w:rPr>
          <w:rFonts w:asciiTheme="minorHAnsi" w:hAnsiTheme="minorHAnsi" w:eastAsiaTheme="minorEastAsia" w:cstheme="minorBidi"/>
          <w:b w:val="0"/>
          <w:bCs w:val="0"/>
          <w:caps w:val="0"/>
          <w:color w:val="auto"/>
          <w:sz w:val="21"/>
          <w:szCs w:val="22"/>
          <w:highlight w:val="none"/>
        </w:rPr>
      </w:pPr>
      <w:r>
        <w:rPr>
          <w:rFonts w:ascii="宋体" w:hAnsi="宋体"/>
          <w:color w:val="auto"/>
          <w:highlight w:val="none"/>
        </w:rPr>
        <w:fldChar w:fldCharType="begin"/>
      </w:r>
      <w:r>
        <w:rPr>
          <w:rFonts w:ascii="宋体" w:hAnsi="宋体"/>
          <w:color w:val="auto"/>
          <w:highlight w:val="none"/>
        </w:rPr>
        <w:instrText xml:space="preserve"> TOC \o "1-3" \h \z \u </w:instrText>
      </w:r>
      <w:r>
        <w:rPr>
          <w:rFonts w:ascii="宋体" w:hAnsi="宋体"/>
          <w:color w:val="auto"/>
          <w:highlight w:val="none"/>
        </w:rPr>
        <w:fldChar w:fldCharType="separate"/>
      </w:r>
      <w:r>
        <w:rPr>
          <w:color w:val="auto"/>
          <w:highlight w:val="none"/>
        </w:rPr>
        <w:fldChar w:fldCharType="begin"/>
      </w:r>
      <w:r>
        <w:rPr>
          <w:color w:val="auto"/>
          <w:highlight w:val="none"/>
        </w:rPr>
        <w:instrText xml:space="preserve"> HYPERLINK \l "_Toc117005176" </w:instrText>
      </w:r>
      <w:r>
        <w:rPr>
          <w:color w:val="auto"/>
          <w:highlight w:val="none"/>
        </w:rPr>
        <w:fldChar w:fldCharType="separate"/>
      </w:r>
      <w:r>
        <w:rPr>
          <w:rStyle w:val="54"/>
          <w:rFonts w:hint="eastAsia" w:ascii="宋体" w:hAnsi="宋体"/>
          <w:color w:val="auto"/>
          <w:highlight w:val="none"/>
        </w:rPr>
        <w:t>第</w:t>
      </w:r>
      <w:r>
        <w:rPr>
          <w:rStyle w:val="54"/>
          <w:rFonts w:ascii="宋体" w:hAnsi="宋体"/>
          <w:color w:val="auto"/>
          <w:highlight w:val="none"/>
        </w:rPr>
        <w:t xml:space="preserve"> </w:t>
      </w:r>
      <w:r>
        <w:rPr>
          <w:rStyle w:val="54"/>
          <w:rFonts w:hint="eastAsia" w:ascii="宋体" w:hAnsi="宋体"/>
          <w:color w:val="auto"/>
          <w:highlight w:val="none"/>
        </w:rPr>
        <w:t>一</w:t>
      </w:r>
      <w:r>
        <w:rPr>
          <w:rStyle w:val="54"/>
          <w:rFonts w:ascii="宋体" w:hAnsi="宋体"/>
          <w:color w:val="auto"/>
          <w:highlight w:val="none"/>
        </w:rPr>
        <w:t xml:space="preserve"> </w:t>
      </w:r>
      <w:r>
        <w:rPr>
          <w:rStyle w:val="54"/>
          <w:rFonts w:hint="eastAsia" w:ascii="宋体" w:hAnsi="宋体"/>
          <w:color w:val="auto"/>
          <w:highlight w:val="none"/>
        </w:rPr>
        <w:t>卷</w:t>
      </w:r>
      <w:r>
        <w:rPr>
          <w:color w:val="auto"/>
          <w:highlight w:val="none"/>
        </w:rPr>
        <w:tab/>
      </w:r>
      <w:r>
        <w:rPr>
          <w:color w:val="auto"/>
          <w:highlight w:val="none"/>
        </w:rPr>
        <w:fldChar w:fldCharType="begin"/>
      </w:r>
      <w:r>
        <w:rPr>
          <w:color w:val="auto"/>
          <w:highlight w:val="none"/>
        </w:rPr>
        <w:instrText xml:space="preserve"> PAGEREF _Toc117005176 \h </w:instrText>
      </w:r>
      <w:r>
        <w:rPr>
          <w:color w:val="auto"/>
          <w:highlight w:val="none"/>
        </w:rPr>
        <w:fldChar w:fldCharType="separate"/>
      </w:r>
      <w:r>
        <w:rPr>
          <w:color w:val="auto"/>
          <w:highlight w:val="none"/>
        </w:rPr>
        <w:t>3</w:t>
      </w:r>
      <w:r>
        <w:rPr>
          <w:color w:val="auto"/>
          <w:highlight w:val="none"/>
        </w:rPr>
        <w:fldChar w:fldCharType="end"/>
      </w:r>
      <w:r>
        <w:rPr>
          <w:color w:val="auto"/>
          <w:highlight w:val="none"/>
        </w:rPr>
        <w:fldChar w:fldCharType="end"/>
      </w:r>
    </w:p>
    <w:p w14:paraId="25F23E71">
      <w:pPr>
        <w:pStyle w:val="31"/>
        <w:tabs>
          <w:tab w:val="right" w:leader="dot" w:pos="9459"/>
        </w:tabs>
        <w:rPr>
          <w:rFonts w:asciiTheme="minorHAnsi" w:hAnsiTheme="minorHAnsi" w:eastAsiaTheme="minorEastAsia" w:cstheme="minorBidi"/>
          <w:b w:val="0"/>
          <w:bCs w:val="0"/>
          <w:caps w:val="0"/>
          <w:color w:val="auto"/>
          <w:sz w:val="21"/>
          <w:szCs w:val="22"/>
          <w:highlight w:val="none"/>
        </w:rPr>
      </w:pPr>
      <w:r>
        <w:rPr>
          <w:color w:val="auto"/>
          <w:highlight w:val="none"/>
        </w:rPr>
        <w:fldChar w:fldCharType="begin"/>
      </w:r>
      <w:r>
        <w:rPr>
          <w:color w:val="auto"/>
          <w:highlight w:val="none"/>
        </w:rPr>
        <w:instrText xml:space="preserve"> HYPERLINK \l "_Toc117005177" </w:instrText>
      </w:r>
      <w:r>
        <w:rPr>
          <w:color w:val="auto"/>
          <w:highlight w:val="none"/>
        </w:rPr>
        <w:fldChar w:fldCharType="separate"/>
      </w:r>
      <w:r>
        <w:rPr>
          <w:rStyle w:val="54"/>
          <w:rFonts w:hint="eastAsia" w:ascii="宋体" w:hAnsi="宋体"/>
          <w:snapToGrid w:val="0"/>
          <w:color w:val="auto"/>
          <w:kern w:val="0"/>
          <w:highlight w:val="none"/>
        </w:rPr>
        <w:t>第一章</w:t>
      </w:r>
      <w:r>
        <w:rPr>
          <w:rStyle w:val="54"/>
          <w:rFonts w:ascii="宋体" w:hAnsi="宋体"/>
          <w:snapToGrid w:val="0"/>
          <w:color w:val="auto"/>
          <w:kern w:val="0"/>
          <w:highlight w:val="none"/>
        </w:rPr>
        <w:t xml:space="preserve">  </w:t>
      </w:r>
      <w:r>
        <w:rPr>
          <w:rStyle w:val="54"/>
          <w:rFonts w:hint="eastAsia" w:ascii="宋体" w:hAnsi="宋体"/>
          <w:snapToGrid w:val="0"/>
          <w:color w:val="auto"/>
          <w:kern w:val="0"/>
          <w:highlight w:val="none"/>
        </w:rPr>
        <w:t>招标公告</w:t>
      </w:r>
      <w:r>
        <w:rPr>
          <w:color w:val="auto"/>
          <w:highlight w:val="none"/>
        </w:rPr>
        <w:tab/>
      </w:r>
      <w:r>
        <w:rPr>
          <w:color w:val="auto"/>
          <w:highlight w:val="none"/>
        </w:rPr>
        <w:fldChar w:fldCharType="begin"/>
      </w:r>
      <w:r>
        <w:rPr>
          <w:color w:val="auto"/>
          <w:highlight w:val="none"/>
        </w:rPr>
        <w:instrText xml:space="preserve"> PAGEREF _Toc117005177 \h </w:instrText>
      </w:r>
      <w:r>
        <w:rPr>
          <w:color w:val="auto"/>
          <w:highlight w:val="none"/>
        </w:rPr>
        <w:fldChar w:fldCharType="separate"/>
      </w:r>
      <w:r>
        <w:rPr>
          <w:color w:val="auto"/>
          <w:highlight w:val="none"/>
        </w:rPr>
        <w:t>4</w:t>
      </w:r>
      <w:r>
        <w:rPr>
          <w:color w:val="auto"/>
          <w:highlight w:val="none"/>
        </w:rPr>
        <w:fldChar w:fldCharType="end"/>
      </w:r>
      <w:r>
        <w:rPr>
          <w:color w:val="auto"/>
          <w:highlight w:val="none"/>
        </w:rPr>
        <w:fldChar w:fldCharType="end"/>
      </w:r>
    </w:p>
    <w:p w14:paraId="18EDBB3B">
      <w:pPr>
        <w:pStyle w:val="31"/>
        <w:tabs>
          <w:tab w:val="right" w:leader="dot" w:pos="9459"/>
        </w:tabs>
        <w:rPr>
          <w:rFonts w:asciiTheme="minorHAnsi" w:hAnsiTheme="minorHAnsi" w:eastAsiaTheme="minorEastAsia" w:cstheme="minorBidi"/>
          <w:b w:val="0"/>
          <w:bCs w:val="0"/>
          <w:caps w:val="0"/>
          <w:color w:val="auto"/>
          <w:sz w:val="21"/>
          <w:szCs w:val="22"/>
          <w:highlight w:val="none"/>
        </w:rPr>
      </w:pPr>
      <w:r>
        <w:rPr>
          <w:color w:val="auto"/>
          <w:highlight w:val="none"/>
        </w:rPr>
        <w:fldChar w:fldCharType="begin"/>
      </w:r>
      <w:r>
        <w:rPr>
          <w:color w:val="auto"/>
          <w:highlight w:val="none"/>
        </w:rPr>
        <w:instrText xml:space="preserve"> HYPERLINK \l "_Toc117005178" </w:instrText>
      </w:r>
      <w:r>
        <w:rPr>
          <w:color w:val="auto"/>
          <w:highlight w:val="none"/>
        </w:rPr>
        <w:fldChar w:fldCharType="separate"/>
      </w:r>
      <w:r>
        <w:rPr>
          <w:rStyle w:val="54"/>
          <w:rFonts w:hint="eastAsia" w:ascii="宋体" w:hAnsi="宋体"/>
          <w:snapToGrid w:val="0"/>
          <w:color w:val="auto"/>
          <w:kern w:val="0"/>
          <w:highlight w:val="none"/>
        </w:rPr>
        <w:t>第二章</w:t>
      </w:r>
      <w:r>
        <w:rPr>
          <w:rStyle w:val="54"/>
          <w:rFonts w:ascii="宋体" w:hAnsi="宋体"/>
          <w:snapToGrid w:val="0"/>
          <w:color w:val="auto"/>
          <w:kern w:val="0"/>
          <w:highlight w:val="none"/>
        </w:rPr>
        <w:t xml:space="preserve">  </w:t>
      </w:r>
      <w:r>
        <w:rPr>
          <w:rStyle w:val="54"/>
          <w:rFonts w:hint="eastAsia" w:ascii="宋体" w:hAnsi="宋体"/>
          <w:snapToGrid w:val="0"/>
          <w:color w:val="auto"/>
          <w:kern w:val="0"/>
          <w:highlight w:val="none"/>
        </w:rPr>
        <w:t>投标人须知</w:t>
      </w:r>
      <w:r>
        <w:rPr>
          <w:color w:val="auto"/>
          <w:highlight w:val="none"/>
        </w:rPr>
        <w:tab/>
      </w:r>
      <w:r>
        <w:rPr>
          <w:color w:val="auto"/>
          <w:highlight w:val="none"/>
        </w:rPr>
        <w:fldChar w:fldCharType="begin"/>
      </w:r>
      <w:r>
        <w:rPr>
          <w:color w:val="auto"/>
          <w:highlight w:val="none"/>
        </w:rPr>
        <w:instrText xml:space="preserve"> PAGEREF _Toc117005178 \h </w:instrText>
      </w:r>
      <w:r>
        <w:rPr>
          <w:color w:val="auto"/>
          <w:highlight w:val="none"/>
        </w:rPr>
        <w:fldChar w:fldCharType="separate"/>
      </w:r>
      <w:r>
        <w:rPr>
          <w:color w:val="auto"/>
          <w:highlight w:val="none"/>
        </w:rPr>
        <w:t>6</w:t>
      </w:r>
      <w:r>
        <w:rPr>
          <w:color w:val="auto"/>
          <w:highlight w:val="none"/>
        </w:rPr>
        <w:fldChar w:fldCharType="end"/>
      </w:r>
      <w:r>
        <w:rPr>
          <w:color w:val="auto"/>
          <w:highlight w:val="none"/>
        </w:rPr>
        <w:fldChar w:fldCharType="end"/>
      </w:r>
    </w:p>
    <w:p w14:paraId="5CBFA0A7">
      <w:pPr>
        <w:pStyle w:val="37"/>
        <w:tabs>
          <w:tab w:val="right" w:leader="dot" w:pos="9459"/>
        </w:tabs>
        <w:rPr>
          <w:rFonts w:asciiTheme="minorHAnsi" w:hAnsiTheme="minorHAnsi" w:eastAsiaTheme="minorEastAsia" w:cstheme="minorBidi"/>
          <w:smallCaps w:val="0"/>
          <w:color w:val="auto"/>
          <w:sz w:val="21"/>
          <w:szCs w:val="22"/>
          <w:highlight w:val="none"/>
        </w:rPr>
      </w:pPr>
      <w:r>
        <w:rPr>
          <w:color w:val="auto"/>
          <w:highlight w:val="none"/>
        </w:rPr>
        <w:fldChar w:fldCharType="begin"/>
      </w:r>
      <w:r>
        <w:rPr>
          <w:color w:val="auto"/>
          <w:highlight w:val="none"/>
        </w:rPr>
        <w:instrText xml:space="preserve"> HYPERLINK \l "_Toc117005179" </w:instrText>
      </w:r>
      <w:r>
        <w:rPr>
          <w:color w:val="auto"/>
          <w:highlight w:val="none"/>
        </w:rPr>
        <w:fldChar w:fldCharType="separate"/>
      </w:r>
      <w:r>
        <w:rPr>
          <w:rStyle w:val="54"/>
          <w:rFonts w:hint="eastAsia" w:ascii="宋体" w:hAnsi="宋体"/>
          <w:color w:val="auto"/>
          <w:highlight w:val="none"/>
        </w:rPr>
        <w:t>投标人须知前附表</w:t>
      </w:r>
      <w:r>
        <w:rPr>
          <w:color w:val="auto"/>
          <w:highlight w:val="none"/>
        </w:rPr>
        <w:tab/>
      </w:r>
      <w:r>
        <w:rPr>
          <w:color w:val="auto"/>
          <w:highlight w:val="none"/>
        </w:rPr>
        <w:fldChar w:fldCharType="begin"/>
      </w:r>
      <w:r>
        <w:rPr>
          <w:color w:val="auto"/>
          <w:highlight w:val="none"/>
        </w:rPr>
        <w:instrText xml:space="preserve"> PAGEREF _Toc117005179 \h </w:instrText>
      </w:r>
      <w:r>
        <w:rPr>
          <w:color w:val="auto"/>
          <w:highlight w:val="none"/>
        </w:rPr>
        <w:fldChar w:fldCharType="separate"/>
      </w:r>
      <w:r>
        <w:rPr>
          <w:color w:val="auto"/>
          <w:highlight w:val="none"/>
        </w:rPr>
        <w:t>6</w:t>
      </w:r>
      <w:r>
        <w:rPr>
          <w:color w:val="auto"/>
          <w:highlight w:val="none"/>
        </w:rPr>
        <w:fldChar w:fldCharType="end"/>
      </w:r>
      <w:r>
        <w:rPr>
          <w:color w:val="auto"/>
          <w:highlight w:val="none"/>
        </w:rPr>
        <w:fldChar w:fldCharType="end"/>
      </w:r>
    </w:p>
    <w:p w14:paraId="4BE39B98">
      <w:pPr>
        <w:pStyle w:val="37"/>
        <w:tabs>
          <w:tab w:val="right" w:leader="dot" w:pos="9459"/>
        </w:tabs>
        <w:rPr>
          <w:rFonts w:asciiTheme="minorHAnsi" w:hAnsiTheme="minorHAnsi" w:eastAsiaTheme="minorEastAsia" w:cstheme="minorBidi"/>
          <w:smallCaps w:val="0"/>
          <w:color w:val="auto"/>
          <w:sz w:val="21"/>
          <w:szCs w:val="22"/>
          <w:highlight w:val="none"/>
        </w:rPr>
      </w:pPr>
      <w:r>
        <w:rPr>
          <w:color w:val="auto"/>
          <w:highlight w:val="none"/>
        </w:rPr>
        <w:fldChar w:fldCharType="begin"/>
      </w:r>
      <w:r>
        <w:rPr>
          <w:color w:val="auto"/>
          <w:highlight w:val="none"/>
        </w:rPr>
        <w:instrText xml:space="preserve"> HYPERLINK \l "_Toc117005180" </w:instrText>
      </w:r>
      <w:r>
        <w:rPr>
          <w:color w:val="auto"/>
          <w:highlight w:val="none"/>
        </w:rPr>
        <w:fldChar w:fldCharType="separate"/>
      </w:r>
      <w:r>
        <w:rPr>
          <w:rStyle w:val="54"/>
          <w:rFonts w:ascii="宋体" w:hAnsi="宋体"/>
          <w:snapToGrid w:val="0"/>
          <w:color w:val="auto"/>
          <w:highlight w:val="none"/>
        </w:rPr>
        <w:t xml:space="preserve">1.  </w:t>
      </w:r>
      <w:r>
        <w:rPr>
          <w:rStyle w:val="54"/>
          <w:rFonts w:hint="eastAsia" w:ascii="宋体" w:hAnsi="宋体"/>
          <w:snapToGrid w:val="0"/>
          <w:color w:val="auto"/>
          <w:highlight w:val="none"/>
        </w:rPr>
        <w:t>总则</w:t>
      </w:r>
      <w:r>
        <w:rPr>
          <w:color w:val="auto"/>
          <w:highlight w:val="none"/>
        </w:rPr>
        <w:tab/>
      </w:r>
      <w:r>
        <w:rPr>
          <w:color w:val="auto"/>
          <w:highlight w:val="none"/>
        </w:rPr>
        <w:fldChar w:fldCharType="begin"/>
      </w:r>
      <w:r>
        <w:rPr>
          <w:color w:val="auto"/>
          <w:highlight w:val="none"/>
        </w:rPr>
        <w:instrText xml:space="preserve"> PAGEREF _Toc117005180 \h </w:instrText>
      </w:r>
      <w:r>
        <w:rPr>
          <w:color w:val="auto"/>
          <w:highlight w:val="none"/>
        </w:rPr>
        <w:fldChar w:fldCharType="separate"/>
      </w:r>
      <w:r>
        <w:rPr>
          <w:color w:val="auto"/>
          <w:highlight w:val="none"/>
        </w:rPr>
        <w:t>27</w:t>
      </w:r>
      <w:r>
        <w:rPr>
          <w:color w:val="auto"/>
          <w:highlight w:val="none"/>
        </w:rPr>
        <w:fldChar w:fldCharType="end"/>
      </w:r>
      <w:r>
        <w:rPr>
          <w:color w:val="auto"/>
          <w:highlight w:val="none"/>
        </w:rPr>
        <w:fldChar w:fldCharType="end"/>
      </w:r>
    </w:p>
    <w:p w14:paraId="37B6163D">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"_Toc117005181" </w:instrText>
      </w:r>
      <w:r>
        <w:rPr>
          <w:color w:val="auto"/>
          <w:highlight w:val="none"/>
        </w:rPr>
        <w:fldChar w:fldCharType="separate"/>
      </w:r>
      <w:r>
        <w:rPr>
          <w:rStyle w:val="54"/>
          <w:rFonts w:ascii="宋体" w:hAnsi="宋体"/>
          <w:snapToGrid w:val="0"/>
          <w:color w:val="auto"/>
          <w:highlight w:val="none"/>
        </w:rPr>
        <w:t xml:space="preserve">1.1  </w:t>
      </w:r>
      <w:r>
        <w:rPr>
          <w:rStyle w:val="54"/>
          <w:rFonts w:hint="eastAsia" w:ascii="宋体" w:hAnsi="宋体"/>
          <w:snapToGrid w:val="0"/>
          <w:color w:val="auto"/>
          <w:highlight w:val="none"/>
        </w:rPr>
        <w:t>项目概况</w:t>
      </w:r>
      <w:r>
        <w:rPr>
          <w:color w:val="auto"/>
          <w:highlight w:val="none"/>
        </w:rPr>
        <w:tab/>
      </w:r>
      <w:r>
        <w:rPr>
          <w:color w:val="auto"/>
          <w:highlight w:val="none"/>
        </w:rPr>
        <w:fldChar w:fldCharType="begin"/>
      </w:r>
      <w:r>
        <w:rPr>
          <w:color w:val="auto"/>
          <w:highlight w:val="none"/>
        </w:rPr>
        <w:instrText xml:space="preserve"> PAGEREF _Toc117005181 \h </w:instrText>
      </w:r>
      <w:r>
        <w:rPr>
          <w:color w:val="auto"/>
          <w:highlight w:val="none"/>
        </w:rPr>
        <w:fldChar w:fldCharType="separate"/>
      </w:r>
      <w:r>
        <w:rPr>
          <w:color w:val="auto"/>
          <w:highlight w:val="none"/>
        </w:rPr>
        <w:t>27</w:t>
      </w:r>
      <w:r>
        <w:rPr>
          <w:color w:val="auto"/>
          <w:highlight w:val="none"/>
        </w:rPr>
        <w:fldChar w:fldCharType="end"/>
      </w:r>
      <w:r>
        <w:rPr>
          <w:color w:val="auto"/>
          <w:highlight w:val="none"/>
        </w:rPr>
        <w:fldChar w:fldCharType="end"/>
      </w:r>
    </w:p>
    <w:p w14:paraId="1135544B">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"_Toc117005182" </w:instrText>
      </w:r>
      <w:r>
        <w:rPr>
          <w:color w:val="auto"/>
          <w:highlight w:val="none"/>
        </w:rPr>
        <w:fldChar w:fldCharType="separate"/>
      </w:r>
      <w:r>
        <w:rPr>
          <w:rStyle w:val="54"/>
          <w:rFonts w:ascii="宋体" w:hAnsi="宋体"/>
          <w:snapToGrid w:val="0"/>
          <w:color w:val="auto"/>
          <w:highlight w:val="none"/>
        </w:rPr>
        <w:t xml:space="preserve">1.2  </w:t>
      </w:r>
      <w:r>
        <w:rPr>
          <w:rStyle w:val="54"/>
          <w:rFonts w:hint="eastAsia" w:ascii="宋体" w:hAnsi="宋体"/>
          <w:snapToGrid w:val="0"/>
          <w:color w:val="auto"/>
          <w:highlight w:val="none"/>
        </w:rPr>
        <w:t>资金来源和落实情况</w:t>
      </w:r>
      <w:r>
        <w:rPr>
          <w:color w:val="auto"/>
          <w:highlight w:val="none"/>
        </w:rPr>
        <w:tab/>
      </w:r>
      <w:r>
        <w:rPr>
          <w:color w:val="auto"/>
          <w:highlight w:val="none"/>
        </w:rPr>
        <w:fldChar w:fldCharType="begin"/>
      </w:r>
      <w:r>
        <w:rPr>
          <w:color w:val="auto"/>
          <w:highlight w:val="none"/>
        </w:rPr>
        <w:instrText xml:space="preserve"> PAGEREF _Toc117005182 \h </w:instrText>
      </w:r>
      <w:r>
        <w:rPr>
          <w:color w:val="auto"/>
          <w:highlight w:val="none"/>
        </w:rPr>
        <w:fldChar w:fldCharType="separate"/>
      </w:r>
      <w:r>
        <w:rPr>
          <w:color w:val="auto"/>
          <w:highlight w:val="none"/>
        </w:rPr>
        <w:t>27</w:t>
      </w:r>
      <w:r>
        <w:rPr>
          <w:color w:val="auto"/>
          <w:highlight w:val="none"/>
        </w:rPr>
        <w:fldChar w:fldCharType="end"/>
      </w:r>
      <w:r>
        <w:rPr>
          <w:color w:val="auto"/>
          <w:highlight w:val="none"/>
        </w:rPr>
        <w:fldChar w:fldCharType="end"/>
      </w:r>
    </w:p>
    <w:p w14:paraId="6684748D">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"_Toc117005183" </w:instrText>
      </w:r>
      <w:r>
        <w:rPr>
          <w:color w:val="auto"/>
          <w:highlight w:val="none"/>
        </w:rPr>
        <w:fldChar w:fldCharType="separate"/>
      </w:r>
      <w:r>
        <w:rPr>
          <w:rStyle w:val="54"/>
          <w:rFonts w:ascii="宋体" w:hAnsi="宋体"/>
          <w:snapToGrid w:val="0"/>
          <w:color w:val="auto"/>
          <w:highlight w:val="none"/>
        </w:rPr>
        <w:t xml:space="preserve">1.3  </w:t>
      </w:r>
      <w:r>
        <w:rPr>
          <w:rStyle w:val="54"/>
          <w:rFonts w:hint="eastAsia" w:ascii="宋体" w:hAnsi="宋体"/>
          <w:snapToGrid w:val="0"/>
          <w:color w:val="auto"/>
          <w:highlight w:val="none"/>
        </w:rPr>
        <w:t>招标范围、计划工期和质量要求</w:t>
      </w:r>
      <w:r>
        <w:rPr>
          <w:color w:val="auto"/>
          <w:highlight w:val="none"/>
        </w:rPr>
        <w:tab/>
      </w:r>
      <w:r>
        <w:rPr>
          <w:color w:val="auto"/>
          <w:highlight w:val="none"/>
        </w:rPr>
        <w:fldChar w:fldCharType="begin"/>
      </w:r>
      <w:r>
        <w:rPr>
          <w:color w:val="auto"/>
          <w:highlight w:val="none"/>
        </w:rPr>
        <w:instrText xml:space="preserve"> PAGEREF _Toc117005183 \h </w:instrText>
      </w:r>
      <w:r>
        <w:rPr>
          <w:color w:val="auto"/>
          <w:highlight w:val="none"/>
        </w:rPr>
        <w:fldChar w:fldCharType="separate"/>
      </w:r>
      <w:r>
        <w:rPr>
          <w:color w:val="auto"/>
          <w:highlight w:val="none"/>
        </w:rPr>
        <w:t>27</w:t>
      </w:r>
      <w:r>
        <w:rPr>
          <w:color w:val="auto"/>
          <w:highlight w:val="none"/>
        </w:rPr>
        <w:fldChar w:fldCharType="end"/>
      </w:r>
      <w:r>
        <w:rPr>
          <w:color w:val="auto"/>
          <w:highlight w:val="none"/>
        </w:rPr>
        <w:fldChar w:fldCharType="end"/>
      </w:r>
    </w:p>
    <w:p w14:paraId="6B12EF46">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"_Toc117005184" </w:instrText>
      </w:r>
      <w:r>
        <w:rPr>
          <w:color w:val="auto"/>
          <w:highlight w:val="none"/>
        </w:rPr>
        <w:fldChar w:fldCharType="separate"/>
      </w:r>
      <w:r>
        <w:rPr>
          <w:rStyle w:val="54"/>
          <w:rFonts w:ascii="宋体" w:hAnsi="宋体"/>
          <w:snapToGrid w:val="0"/>
          <w:color w:val="auto"/>
          <w:highlight w:val="none"/>
        </w:rPr>
        <w:t xml:space="preserve">1.4 </w:t>
      </w:r>
      <w:r>
        <w:rPr>
          <w:rStyle w:val="54"/>
          <w:rFonts w:hint="eastAsia" w:ascii="宋体" w:hAnsi="宋体"/>
          <w:snapToGrid w:val="0"/>
          <w:color w:val="auto"/>
          <w:highlight w:val="none"/>
        </w:rPr>
        <w:t>投标人资格要求</w:t>
      </w:r>
      <w:r>
        <w:rPr>
          <w:color w:val="auto"/>
          <w:highlight w:val="none"/>
        </w:rPr>
        <w:tab/>
      </w:r>
      <w:r>
        <w:rPr>
          <w:color w:val="auto"/>
          <w:highlight w:val="none"/>
        </w:rPr>
        <w:fldChar w:fldCharType="begin"/>
      </w:r>
      <w:r>
        <w:rPr>
          <w:color w:val="auto"/>
          <w:highlight w:val="none"/>
        </w:rPr>
        <w:instrText xml:space="preserve"> PAGEREF _Toc117005184 \h </w:instrText>
      </w:r>
      <w:r>
        <w:rPr>
          <w:color w:val="auto"/>
          <w:highlight w:val="none"/>
        </w:rPr>
        <w:fldChar w:fldCharType="separate"/>
      </w:r>
      <w:r>
        <w:rPr>
          <w:color w:val="auto"/>
          <w:highlight w:val="none"/>
        </w:rPr>
        <w:t>27</w:t>
      </w:r>
      <w:r>
        <w:rPr>
          <w:color w:val="auto"/>
          <w:highlight w:val="none"/>
        </w:rPr>
        <w:fldChar w:fldCharType="end"/>
      </w:r>
      <w:r>
        <w:rPr>
          <w:color w:val="auto"/>
          <w:highlight w:val="none"/>
        </w:rPr>
        <w:fldChar w:fldCharType="end"/>
      </w:r>
    </w:p>
    <w:p w14:paraId="44FFAEFC">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"_Toc117005185" </w:instrText>
      </w:r>
      <w:r>
        <w:rPr>
          <w:color w:val="auto"/>
          <w:highlight w:val="none"/>
        </w:rPr>
        <w:fldChar w:fldCharType="separate"/>
      </w:r>
      <w:r>
        <w:rPr>
          <w:rStyle w:val="54"/>
          <w:rFonts w:ascii="宋体" w:hAnsi="宋体"/>
          <w:snapToGrid w:val="0"/>
          <w:color w:val="auto"/>
          <w:highlight w:val="none"/>
        </w:rPr>
        <w:t xml:space="preserve">1.5  </w:t>
      </w:r>
      <w:r>
        <w:rPr>
          <w:rStyle w:val="54"/>
          <w:rFonts w:hint="eastAsia" w:ascii="宋体" w:hAnsi="宋体"/>
          <w:snapToGrid w:val="0"/>
          <w:color w:val="auto"/>
          <w:highlight w:val="none"/>
        </w:rPr>
        <w:t>费用承担</w:t>
      </w:r>
      <w:r>
        <w:rPr>
          <w:color w:val="auto"/>
          <w:highlight w:val="none"/>
        </w:rPr>
        <w:tab/>
      </w:r>
      <w:r>
        <w:rPr>
          <w:color w:val="auto"/>
          <w:highlight w:val="none"/>
        </w:rPr>
        <w:fldChar w:fldCharType="begin"/>
      </w:r>
      <w:r>
        <w:rPr>
          <w:color w:val="auto"/>
          <w:highlight w:val="none"/>
        </w:rPr>
        <w:instrText xml:space="preserve"> PAGEREF _Toc117005185 \h </w:instrText>
      </w:r>
      <w:r>
        <w:rPr>
          <w:color w:val="auto"/>
          <w:highlight w:val="none"/>
        </w:rPr>
        <w:fldChar w:fldCharType="separate"/>
      </w:r>
      <w:r>
        <w:rPr>
          <w:color w:val="auto"/>
          <w:highlight w:val="none"/>
        </w:rPr>
        <w:t>28</w:t>
      </w:r>
      <w:r>
        <w:rPr>
          <w:color w:val="auto"/>
          <w:highlight w:val="none"/>
        </w:rPr>
        <w:fldChar w:fldCharType="end"/>
      </w:r>
      <w:r>
        <w:rPr>
          <w:color w:val="auto"/>
          <w:highlight w:val="none"/>
        </w:rPr>
        <w:fldChar w:fldCharType="end"/>
      </w:r>
    </w:p>
    <w:p w14:paraId="5AB7A6A1">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"_Toc117005186" </w:instrText>
      </w:r>
      <w:r>
        <w:rPr>
          <w:color w:val="auto"/>
          <w:highlight w:val="none"/>
        </w:rPr>
        <w:fldChar w:fldCharType="separate"/>
      </w:r>
      <w:r>
        <w:rPr>
          <w:rStyle w:val="54"/>
          <w:rFonts w:ascii="宋体" w:hAnsi="宋体"/>
          <w:snapToGrid w:val="0"/>
          <w:color w:val="auto"/>
          <w:highlight w:val="none"/>
        </w:rPr>
        <w:t xml:space="preserve">1.6  </w:t>
      </w:r>
      <w:r>
        <w:rPr>
          <w:rStyle w:val="54"/>
          <w:rFonts w:hint="eastAsia" w:ascii="宋体" w:hAnsi="宋体"/>
          <w:snapToGrid w:val="0"/>
          <w:color w:val="auto"/>
          <w:highlight w:val="none"/>
        </w:rPr>
        <w:t>保密</w:t>
      </w:r>
      <w:r>
        <w:rPr>
          <w:color w:val="auto"/>
          <w:highlight w:val="none"/>
        </w:rPr>
        <w:tab/>
      </w:r>
      <w:r>
        <w:rPr>
          <w:color w:val="auto"/>
          <w:highlight w:val="none"/>
        </w:rPr>
        <w:fldChar w:fldCharType="begin"/>
      </w:r>
      <w:r>
        <w:rPr>
          <w:color w:val="auto"/>
          <w:highlight w:val="none"/>
        </w:rPr>
        <w:instrText xml:space="preserve"> PAGEREF _Toc117005186 \h </w:instrText>
      </w:r>
      <w:r>
        <w:rPr>
          <w:color w:val="auto"/>
          <w:highlight w:val="none"/>
        </w:rPr>
        <w:fldChar w:fldCharType="separate"/>
      </w:r>
      <w:r>
        <w:rPr>
          <w:color w:val="auto"/>
          <w:highlight w:val="none"/>
        </w:rPr>
        <w:t>28</w:t>
      </w:r>
      <w:r>
        <w:rPr>
          <w:color w:val="auto"/>
          <w:highlight w:val="none"/>
        </w:rPr>
        <w:fldChar w:fldCharType="end"/>
      </w:r>
      <w:r>
        <w:rPr>
          <w:color w:val="auto"/>
          <w:highlight w:val="none"/>
        </w:rPr>
        <w:fldChar w:fldCharType="end"/>
      </w:r>
    </w:p>
    <w:p w14:paraId="5C02B177">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"_Toc117005187" </w:instrText>
      </w:r>
      <w:r>
        <w:rPr>
          <w:color w:val="auto"/>
          <w:highlight w:val="none"/>
        </w:rPr>
        <w:fldChar w:fldCharType="separate"/>
      </w:r>
      <w:r>
        <w:rPr>
          <w:rStyle w:val="54"/>
          <w:rFonts w:ascii="宋体" w:hAnsi="宋体"/>
          <w:snapToGrid w:val="0"/>
          <w:color w:val="auto"/>
          <w:highlight w:val="none"/>
        </w:rPr>
        <w:t xml:space="preserve">1.7  </w:t>
      </w:r>
      <w:r>
        <w:rPr>
          <w:rStyle w:val="54"/>
          <w:rFonts w:hint="eastAsia" w:ascii="宋体" w:hAnsi="宋体"/>
          <w:snapToGrid w:val="0"/>
          <w:color w:val="auto"/>
          <w:highlight w:val="none"/>
        </w:rPr>
        <w:t>语言文字</w:t>
      </w:r>
      <w:r>
        <w:rPr>
          <w:color w:val="auto"/>
          <w:highlight w:val="none"/>
        </w:rPr>
        <w:tab/>
      </w:r>
      <w:r>
        <w:rPr>
          <w:color w:val="auto"/>
          <w:highlight w:val="none"/>
        </w:rPr>
        <w:fldChar w:fldCharType="begin"/>
      </w:r>
      <w:r>
        <w:rPr>
          <w:color w:val="auto"/>
          <w:highlight w:val="none"/>
        </w:rPr>
        <w:instrText xml:space="preserve"> PAGEREF _Toc117005187 \h </w:instrText>
      </w:r>
      <w:r>
        <w:rPr>
          <w:color w:val="auto"/>
          <w:highlight w:val="none"/>
        </w:rPr>
        <w:fldChar w:fldCharType="separate"/>
      </w:r>
      <w:r>
        <w:rPr>
          <w:color w:val="auto"/>
          <w:highlight w:val="none"/>
        </w:rPr>
        <w:t>28</w:t>
      </w:r>
      <w:r>
        <w:rPr>
          <w:color w:val="auto"/>
          <w:highlight w:val="none"/>
        </w:rPr>
        <w:fldChar w:fldCharType="end"/>
      </w:r>
      <w:r>
        <w:rPr>
          <w:color w:val="auto"/>
          <w:highlight w:val="none"/>
        </w:rPr>
        <w:fldChar w:fldCharType="end"/>
      </w:r>
    </w:p>
    <w:p w14:paraId="78683DD4">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"_Toc117005188" </w:instrText>
      </w:r>
      <w:r>
        <w:rPr>
          <w:color w:val="auto"/>
          <w:highlight w:val="none"/>
        </w:rPr>
        <w:fldChar w:fldCharType="separate"/>
      </w:r>
      <w:r>
        <w:rPr>
          <w:rStyle w:val="54"/>
          <w:rFonts w:ascii="宋体" w:hAnsi="宋体"/>
          <w:snapToGrid w:val="0"/>
          <w:color w:val="auto"/>
          <w:highlight w:val="none"/>
        </w:rPr>
        <w:t xml:space="preserve">1.8  </w:t>
      </w:r>
      <w:r>
        <w:rPr>
          <w:rStyle w:val="54"/>
          <w:rFonts w:hint="eastAsia" w:ascii="宋体" w:hAnsi="宋体"/>
          <w:snapToGrid w:val="0"/>
          <w:color w:val="auto"/>
          <w:highlight w:val="none"/>
        </w:rPr>
        <w:t>计量单位</w:t>
      </w:r>
      <w:r>
        <w:rPr>
          <w:color w:val="auto"/>
          <w:highlight w:val="none"/>
        </w:rPr>
        <w:tab/>
      </w:r>
      <w:r>
        <w:rPr>
          <w:color w:val="auto"/>
          <w:highlight w:val="none"/>
        </w:rPr>
        <w:fldChar w:fldCharType="begin"/>
      </w:r>
      <w:r>
        <w:rPr>
          <w:color w:val="auto"/>
          <w:highlight w:val="none"/>
        </w:rPr>
        <w:instrText xml:space="preserve"> PAGEREF _Toc117005188 \h </w:instrText>
      </w:r>
      <w:r>
        <w:rPr>
          <w:color w:val="auto"/>
          <w:highlight w:val="none"/>
        </w:rPr>
        <w:fldChar w:fldCharType="separate"/>
      </w:r>
      <w:r>
        <w:rPr>
          <w:color w:val="auto"/>
          <w:highlight w:val="none"/>
        </w:rPr>
        <w:t>28</w:t>
      </w:r>
      <w:r>
        <w:rPr>
          <w:color w:val="auto"/>
          <w:highlight w:val="none"/>
        </w:rPr>
        <w:fldChar w:fldCharType="end"/>
      </w:r>
      <w:r>
        <w:rPr>
          <w:color w:val="auto"/>
          <w:highlight w:val="none"/>
        </w:rPr>
        <w:fldChar w:fldCharType="end"/>
      </w:r>
    </w:p>
    <w:p w14:paraId="720079F6">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"_Toc117005189" </w:instrText>
      </w:r>
      <w:r>
        <w:rPr>
          <w:color w:val="auto"/>
          <w:highlight w:val="none"/>
        </w:rPr>
        <w:fldChar w:fldCharType="separate"/>
      </w:r>
      <w:r>
        <w:rPr>
          <w:rStyle w:val="54"/>
          <w:rFonts w:ascii="宋体" w:hAnsi="宋体"/>
          <w:snapToGrid w:val="0"/>
          <w:color w:val="auto"/>
          <w:highlight w:val="none"/>
        </w:rPr>
        <w:t xml:space="preserve">1.9  </w:t>
      </w:r>
      <w:r>
        <w:rPr>
          <w:rStyle w:val="54"/>
          <w:rFonts w:hint="eastAsia" w:ascii="宋体" w:hAnsi="宋体"/>
          <w:snapToGrid w:val="0"/>
          <w:color w:val="auto"/>
          <w:highlight w:val="none"/>
        </w:rPr>
        <w:t>踏勘现场</w:t>
      </w:r>
      <w:r>
        <w:rPr>
          <w:color w:val="auto"/>
          <w:highlight w:val="none"/>
        </w:rPr>
        <w:tab/>
      </w:r>
      <w:r>
        <w:rPr>
          <w:color w:val="auto"/>
          <w:highlight w:val="none"/>
        </w:rPr>
        <w:fldChar w:fldCharType="begin"/>
      </w:r>
      <w:r>
        <w:rPr>
          <w:color w:val="auto"/>
          <w:highlight w:val="none"/>
        </w:rPr>
        <w:instrText xml:space="preserve"> PAGEREF _Toc117005189 \h </w:instrText>
      </w:r>
      <w:r>
        <w:rPr>
          <w:color w:val="auto"/>
          <w:highlight w:val="none"/>
        </w:rPr>
        <w:fldChar w:fldCharType="separate"/>
      </w:r>
      <w:r>
        <w:rPr>
          <w:color w:val="auto"/>
          <w:highlight w:val="none"/>
        </w:rPr>
        <w:t>28</w:t>
      </w:r>
      <w:r>
        <w:rPr>
          <w:color w:val="auto"/>
          <w:highlight w:val="none"/>
        </w:rPr>
        <w:fldChar w:fldCharType="end"/>
      </w:r>
      <w:r>
        <w:rPr>
          <w:color w:val="auto"/>
          <w:highlight w:val="none"/>
        </w:rPr>
        <w:fldChar w:fldCharType="end"/>
      </w:r>
    </w:p>
    <w:p w14:paraId="082772F1">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"_Toc117005190" </w:instrText>
      </w:r>
      <w:r>
        <w:rPr>
          <w:color w:val="auto"/>
          <w:highlight w:val="none"/>
        </w:rPr>
        <w:fldChar w:fldCharType="separate"/>
      </w:r>
      <w:r>
        <w:rPr>
          <w:rStyle w:val="54"/>
          <w:rFonts w:ascii="宋体" w:hAnsi="宋体"/>
          <w:snapToGrid w:val="0"/>
          <w:color w:val="auto"/>
          <w:highlight w:val="none"/>
        </w:rPr>
        <w:t xml:space="preserve">1.10  </w:t>
      </w:r>
      <w:r>
        <w:rPr>
          <w:rStyle w:val="54"/>
          <w:rFonts w:hint="eastAsia" w:ascii="宋体" w:hAnsi="宋体"/>
          <w:snapToGrid w:val="0"/>
          <w:color w:val="auto"/>
          <w:highlight w:val="none"/>
        </w:rPr>
        <w:t>投标预备会</w:t>
      </w:r>
      <w:r>
        <w:rPr>
          <w:color w:val="auto"/>
          <w:highlight w:val="none"/>
        </w:rPr>
        <w:tab/>
      </w:r>
      <w:r>
        <w:rPr>
          <w:color w:val="auto"/>
          <w:highlight w:val="none"/>
        </w:rPr>
        <w:fldChar w:fldCharType="begin"/>
      </w:r>
      <w:r>
        <w:rPr>
          <w:color w:val="auto"/>
          <w:highlight w:val="none"/>
        </w:rPr>
        <w:instrText xml:space="preserve"> PAGEREF _Toc117005190 \h </w:instrText>
      </w:r>
      <w:r>
        <w:rPr>
          <w:color w:val="auto"/>
          <w:highlight w:val="none"/>
        </w:rPr>
        <w:fldChar w:fldCharType="separate"/>
      </w:r>
      <w:r>
        <w:rPr>
          <w:color w:val="auto"/>
          <w:highlight w:val="none"/>
        </w:rPr>
        <w:t>28</w:t>
      </w:r>
      <w:r>
        <w:rPr>
          <w:color w:val="auto"/>
          <w:highlight w:val="none"/>
        </w:rPr>
        <w:fldChar w:fldCharType="end"/>
      </w:r>
      <w:r>
        <w:rPr>
          <w:color w:val="auto"/>
          <w:highlight w:val="none"/>
        </w:rPr>
        <w:fldChar w:fldCharType="end"/>
      </w:r>
    </w:p>
    <w:p w14:paraId="0D1042D3">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"_Toc117005191" </w:instrText>
      </w:r>
      <w:r>
        <w:rPr>
          <w:color w:val="auto"/>
          <w:highlight w:val="none"/>
        </w:rPr>
        <w:fldChar w:fldCharType="separate"/>
      </w:r>
      <w:r>
        <w:rPr>
          <w:rStyle w:val="54"/>
          <w:rFonts w:ascii="宋体" w:hAnsi="宋体"/>
          <w:snapToGrid w:val="0"/>
          <w:color w:val="auto"/>
          <w:highlight w:val="none"/>
        </w:rPr>
        <w:t xml:space="preserve">1.11  </w:t>
      </w:r>
      <w:r>
        <w:rPr>
          <w:rStyle w:val="54"/>
          <w:rFonts w:hint="eastAsia" w:ascii="宋体" w:hAnsi="宋体"/>
          <w:snapToGrid w:val="0"/>
          <w:color w:val="auto"/>
          <w:highlight w:val="none"/>
        </w:rPr>
        <w:t>分包</w:t>
      </w:r>
      <w:r>
        <w:rPr>
          <w:color w:val="auto"/>
          <w:highlight w:val="none"/>
        </w:rPr>
        <w:tab/>
      </w:r>
      <w:r>
        <w:rPr>
          <w:color w:val="auto"/>
          <w:highlight w:val="none"/>
        </w:rPr>
        <w:fldChar w:fldCharType="begin"/>
      </w:r>
      <w:r>
        <w:rPr>
          <w:color w:val="auto"/>
          <w:highlight w:val="none"/>
        </w:rPr>
        <w:instrText xml:space="preserve"> PAGEREF _Toc117005191 \h </w:instrText>
      </w:r>
      <w:r>
        <w:rPr>
          <w:color w:val="auto"/>
          <w:highlight w:val="none"/>
        </w:rPr>
        <w:fldChar w:fldCharType="separate"/>
      </w:r>
      <w:r>
        <w:rPr>
          <w:color w:val="auto"/>
          <w:highlight w:val="none"/>
        </w:rPr>
        <w:t>29</w:t>
      </w:r>
      <w:r>
        <w:rPr>
          <w:color w:val="auto"/>
          <w:highlight w:val="none"/>
        </w:rPr>
        <w:fldChar w:fldCharType="end"/>
      </w:r>
      <w:r>
        <w:rPr>
          <w:color w:val="auto"/>
          <w:highlight w:val="none"/>
        </w:rPr>
        <w:fldChar w:fldCharType="end"/>
      </w:r>
    </w:p>
    <w:p w14:paraId="4149C552">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"_Toc117005192" </w:instrText>
      </w:r>
      <w:r>
        <w:rPr>
          <w:color w:val="auto"/>
          <w:highlight w:val="none"/>
        </w:rPr>
        <w:fldChar w:fldCharType="separate"/>
      </w:r>
      <w:r>
        <w:rPr>
          <w:rStyle w:val="54"/>
          <w:rFonts w:ascii="宋体" w:hAnsi="宋体"/>
          <w:snapToGrid w:val="0"/>
          <w:color w:val="auto"/>
          <w:highlight w:val="none"/>
        </w:rPr>
        <w:t xml:space="preserve">1.12  </w:t>
      </w:r>
      <w:r>
        <w:rPr>
          <w:rStyle w:val="54"/>
          <w:rFonts w:hint="eastAsia" w:ascii="宋体" w:hAnsi="宋体"/>
          <w:snapToGrid w:val="0"/>
          <w:color w:val="auto"/>
          <w:highlight w:val="none"/>
        </w:rPr>
        <w:t>偏离</w:t>
      </w:r>
      <w:r>
        <w:rPr>
          <w:color w:val="auto"/>
          <w:highlight w:val="none"/>
        </w:rPr>
        <w:tab/>
      </w:r>
      <w:r>
        <w:rPr>
          <w:color w:val="auto"/>
          <w:highlight w:val="none"/>
        </w:rPr>
        <w:fldChar w:fldCharType="begin"/>
      </w:r>
      <w:r>
        <w:rPr>
          <w:color w:val="auto"/>
          <w:highlight w:val="none"/>
        </w:rPr>
        <w:instrText xml:space="preserve"> PAGEREF _Toc117005192 \h </w:instrText>
      </w:r>
      <w:r>
        <w:rPr>
          <w:color w:val="auto"/>
          <w:highlight w:val="none"/>
        </w:rPr>
        <w:fldChar w:fldCharType="separate"/>
      </w:r>
      <w:r>
        <w:rPr>
          <w:color w:val="auto"/>
          <w:highlight w:val="none"/>
        </w:rPr>
        <w:t>29</w:t>
      </w:r>
      <w:r>
        <w:rPr>
          <w:color w:val="auto"/>
          <w:highlight w:val="none"/>
        </w:rPr>
        <w:fldChar w:fldCharType="end"/>
      </w:r>
      <w:r>
        <w:rPr>
          <w:color w:val="auto"/>
          <w:highlight w:val="none"/>
        </w:rPr>
        <w:fldChar w:fldCharType="end"/>
      </w:r>
    </w:p>
    <w:p w14:paraId="1C8D98EF">
      <w:pPr>
        <w:pStyle w:val="37"/>
        <w:tabs>
          <w:tab w:val="right" w:leader="dot" w:pos="9459"/>
        </w:tabs>
        <w:rPr>
          <w:rFonts w:asciiTheme="minorHAnsi" w:hAnsiTheme="minorHAnsi" w:eastAsiaTheme="minorEastAsia" w:cstheme="minorBidi"/>
          <w:smallCaps w:val="0"/>
          <w:color w:val="auto"/>
          <w:sz w:val="21"/>
          <w:szCs w:val="22"/>
          <w:highlight w:val="none"/>
        </w:rPr>
      </w:pPr>
      <w:r>
        <w:rPr>
          <w:color w:val="auto"/>
          <w:highlight w:val="none"/>
        </w:rPr>
        <w:fldChar w:fldCharType="begin"/>
      </w:r>
      <w:r>
        <w:rPr>
          <w:color w:val="auto"/>
          <w:highlight w:val="none"/>
        </w:rPr>
        <w:instrText xml:space="preserve"> HYPERLINK \l "_Toc117005193" </w:instrText>
      </w:r>
      <w:r>
        <w:rPr>
          <w:color w:val="auto"/>
          <w:highlight w:val="none"/>
        </w:rPr>
        <w:fldChar w:fldCharType="separate"/>
      </w:r>
      <w:r>
        <w:rPr>
          <w:rStyle w:val="54"/>
          <w:rFonts w:ascii="宋体" w:hAnsi="宋体"/>
          <w:snapToGrid w:val="0"/>
          <w:color w:val="auto"/>
          <w:highlight w:val="none"/>
        </w:rPr>
        <w:t xml:space="preserve">2.  </w:t>
      </w:r>
      <w:r>
        <w:rPr>
          <w:rStyle w:val="54"/>
          <w:rFonts w:hint="eastAsia" w:ascii="宋体" w:hAnsi="宋体"/>
          <w:snapToGrid w:val="0"/>
          <w:color w:val="auto"/>
          <w:highlight w:val="none"/>
        </w:rPr>
        <w:t>招标文件</w:t>
      </w:r>
      <w:r>
        <w:rPr>
          <w:color w:val="auto"/>
          <w:highlight w:val="none"/>
        </w:rPr>
        <w:tab/>
      </w:r>
      <w:r>
        <w:rPr>
          <w:color w:val="auto"/>
          <w:highlight w:val="none"/>
        </w:rPr>
        <w:fldChar w:fldCharType="begin"/>
      </w:r>
      <w:r>
        <w:rPr>
          <w:color w:val="auto"/>
          <w:highlight w:val="none"/>
        </w:rPr>
        <w:instrText xml:space="preserve"> PAGEREF _Toc117005193 \h </w:instrText>
      </w:r>
      <w:r>
        <w:rPr>
          <w:color w:val="auto"/>
          <w:highlight w:val="none"/>
        </w:rPr>
        <w:fldChar w:fldCharType="separate"/>
      </w:r>
      <w:r>
        <w:rPr>
          <w:color w:val="auto"/>
          <w:highlight w:val="none"/>
        </w:rPr>
        <w:t>29</w:t>
      </w:r>
      <w:r>
        <w:rPr>
          <w:color w:val="auto"/>
          <w:highlight w:val="none"/>
        </w:rPr>
        <w:fldChar w:fldCharType="end"/>
      </w:r>
      <w:r>
        <w:rPr>
          <w:color w:val="auto"/>
          <w:highlight w:val="none"/>
        </w:rPr>
        <w:fldChar w:fldCharType="end"/>
      </w:r>
    </w:p>
    <w:p w14:paraId="12C684FF">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"_Toc117005194" </w:instrText>
      </w:r>
      <w:r>
        <w:rPr>
          <w:color w:val="auto"/>
          <w:highlight w:val="none"/>
        </w:rPr>
        <w:fldChar w:fldCharType="separate"/>
      </w:r>
      <w:r>
        <w:rPr>
          <w:rStyle w:val="54"/>
          <w:rFonts w:ascii="宋体" w:hAnsi="宋体"/>
          <w:snapToGrid w:val="0"/>
          <w:color w:val="auto"/>
          <w:highlight w:val="none"/>
        </w:rPr>
        <w:t xml:space="preserve">2.1  </w:t>
      </w:r>
      <w:r>
        <w:rPr>
          <w:rStyle w:val="54"/>
          <w:rFonts w:hint="eastAsia" w:ascii="宋体" w:hAnsi="宋体"/>
          <w:snapToGrid w:val="0"/>
          <w:color w:val="auto"/>
          <w:highlight w:val="none"/>
        </w:rPr>
        <w:t>招标文件的组成</w:t>
      </w:r>
      <w:r>
        <w:rPr>
          <w:color w:val="auto"/>
          <w:highlight w:val="none"/>
        </w:rPr>
        <w:tab/>
      </w:r>
      <w:r>
        <w:rPr>
          <w:color w:val="auto"/>
          <w:highlight w:val="none"/>
        </w:rPr>
        <w:fldChar w:fldCharType="begin"/>
      </w:r>
      <w:r>
        <w:rPr>
          <w:color w:val="auto"/>
          <w:highlight w:val="none"/>
        </w:rPr>
        <w:instrText xml:space="preserve"> PAGEREF _Toc117005194 \h </w:instrText>
      </w:r>
      <w:r>
        <w:rPr>
          <w:color w:val="auto"/>
          <w:highlight w:val="none"/>
        </w:rPr>
        <w:fldChar w:fldCharType="separate"/>
      </w:r>
      <w:r>
        <w:rPr>
          <w:color w:val="auto"/>
          <w:highlight w:val="none"/>
        </w:rPr>
        <w:t>29</w:t>
      </w:r>
      <w:r>
        <w:rPr>
          <w:color w:val="auto"/>
          <w:highlight w:val="none"/>
        </w:rPr>
        <w:fldChar w:fldCharType="end"/>
      </w:r>
      <w:r>
        <w:rPr>
          <w:color w:val="auto"/>
          <w:highlight w:val="none"/>
        </w:rPr>
        <w:fldChar w:fldCharType="end"/>
      </w:r>
    </w:p>
    <w:p w14:paraId="07329879">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"_Toc117005195" </w:instrText>
      </w:r>
      <w:r>
        <w:rPr>
          <w:color w:val="auto"/>
          <w:highlight w:val="none"/>
        </w:rPr>
        <w:fldChar w:fldCharType="separate"/>
      </w:r>
      <w:r>
        <w:rPr>
          <w:rStyle w:val="54"/>
          <w:rFonts w:ascii="宋体" w:hAnsi="宋体"/>
          <w:snapToGrid w:val="0"/>
          <w:color w:val="auto"/>
          <w:highlight w:val="none"/>
        </w:rPr>
        <w:t xml:space="preserve">2.2  </w:t>
      </w:r>
      <w:r>
        <w:rPr>
          <w:rStyle w:val="54"/>
          <w:rFonts w:hint="eastAsia" w:ascii="宋体" w:hAnsi="宋体"/>
          <w:snapToGrid w:val="0"/>
          <w:color w:val="auto"/>
          <w:highlight w:val="none"/>
        </w:rPr>
        <w:t>招标文件的澄清</w:t>
      </w:r>
      <w:r>
        <w:rPr>
          <w:color w:val="auto"/>
          <w:highlight w:val="none"/>
        </w:rPr>
        <w:tab/>
      </w:r>
      <w:r>
        <w:rPr>
          <w:color w:val="auto"/>
          <w:highlight w:val="none"/>
        </w:rPr>
        <w:fldChar w:fldCharType="begin"/>
      </w:r>
      <w:r>
        <w:rPr>
          <w:color w:val="auto"/>
          <w:highlight w:val="none"/>
        </w:rPr>
        <w:instrText xml:space="preserve"> PAGEREF _Toc117005195 \h </w:instrText>
      </w:r>
      <w:r>
        <w:rPr>
          <w:color w:val="auto"/>
          <w:highlight w:val="none"/>
        </w:rPr>
        <w:fldChar w:fldCharType="separate"/>
      </w:r>
      <w:r>
        <w:rPr>
          <w:color w:val="auto"/>
          <w:highlight w:val="none"/>
        </w:rPr>
        <w:t>29</w:t>
      </w:r>
      <w:r>
        <w:rPr>
          <w:color w:val="auto"/>
          <w:highlight w:val="none"/>
        </w:rPr>
        <w:fldChar w:fldCharType="end"/>
      </w:r>
      <w:r>
        <w:rPr>
          <w:color w:val="auto"/>
          <w:highlight w:val="none"/>
        </w:rPr>
        <w:fldChar w:fldCharType="end"/>
      </w:r>
    </w:p>
    <w:p w14:paraId="6B82D5EB">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"_Toc117005196" </w:instrText>
      </w:r>
      <w:r>
        <w:rPr>
          <w:color w:val="auto"/>
          <w:highlight w:val="none"/>
        </w:rPr>
        <w:fldChar w:fldCharType="separate"/>
      </w:r>
      <w:r>
        <w:rPr>
          <w:rStyle w:val="54"/>
          <w:rFonts w:ascii="宋体" w:hAnsi="宋体"/>
          <w:snapToGrid w:val="0"/>
          <w:color w:val="auto"/>
          <w:highlight w:val="none"/>
        </w:rPr>
        <w:t xml:space="preserve">2.3  </w:t>
      </w:r>
      <w:r>
        <w:rPr>
          <w:rStyle w:val="54"/>
          <w:rFonts w:hint="eastAsia" w:ascii="宋体" w:hAnsi="宋体"/>
          <w:snapToGrid w:val="0"/>
          <w:color w:val="auto"/>
          <w:highlight w:val="none"/>
        </w:rPr>
        <w:t>招标文件的修改</w:t>
      </w:r>
      <w:r>
        <w:rPr>
          <w:color w:val="auto"/>
          <w:highlight w:val="none"/>
        </w:rPr>
        <w:tab/>
      </w:r>
      <w:r>
        <w:rPr>
          <w:color w:val="auto"/>
          <w:highlight w:val="none"/>
        </w:rPr>
        <w:fldChar w:fldCharType="begin"/>
      </w:r>
      <w:r>
        <w:rPr>
          <w:color w:val="auto"/>
          <w:highlight w:val="none"/>
        </w:rPr>
        <w:instrText xml:space="preserve"> PAGEREF _Toc117005196 \h </w:instrText>
      </w:r>
      <w:r>
        <w:rPr>
          <w:color w:val="auto"/>
          <w:highlight w:val="none"/>
        </w:rPr>
        <w:fldChar w:fldCharType="separate"/>
      </w:r>
      <w:r>
        <w:rPr>
          <w:color w:val="auto"/>
          <w:highlight w:val="none"/>
        </w:rPr>
        <w:t>29</w:t>
      </w:r>
      <w:r>
        <w:rPr>
          <w:color w:val="auto"/>
          <w:highlight w:val="none"/>
        </w:rPr>
        <w:fldChar w:fldCharType="end"/>
      </w:r>
      <w:r>
        <w:rPr>
          <w:color w:val="auto"/>
          <w:highlight w:val="none"/>
        </w:rPr>
        <w:fldChar w:fldCharType="end"/>
      </w:r>
    </w:p>
    <w:p w14:paraId="1E08A881">
      <w:pPr>
        <w:pStyle w:val="37"/>
        <w:tabs>
          <w:tab w:val="right" w:leader="dot" w:pos="9459"/>
        </w:tabs>
        <w:rPr>
          <w:rFonts w:asciiTheme="minorHAnsi" w:hAnsiTheme="minorHAnsi" w:eastAsiaTheme="minorEastAsia" w:cstheme="minorBidi"/>
          <w:smallCaps w:val="0"/>
          <w:color w:val="auto"/>
          <w:sz w:val="21"/>
          <w:szCs w:val="22"/>
          <w:highlight w:val="none"/>
        </w:rPr>
      </w:pPr>
      <w:r>
        <w:rPr>
          <w:color w:val="auto"/>
          <w:highlight w:val="none"/>
        </w:rPr>
        <w:fldChar w:fldCharType="begin"/>
      </w:r>
      <w:r>
        <w:rPr>
          <w:color w:val="auto"/>
          <w:highlight w:val="none"/>
        </w:rPr>
        <w:instrText xml:space="preserve"> HYPERLINK \l "_Toc117005197" </w:instrText>
      </w:r>
      <w:r>
        <w:rPr>
          <w:color w:val="auto"/>
          <w:highlight w:val="none"/>
        </w:rPr>
        <w:fldChar w:fldCharType="separate"/>
      </w:r>
      <w:r>
        <w:rPr>
          <w:rStyle w:val="54"/>
          <w:rFonts w:ascii="宋体" w:hAnsi="宋体"/>
          <w:snapToGrid w:val="0"/>
          <w:color w:val="auto"/>
          <w:highlight w:val="none"/>
        </w:rPr>
        <w:t xml:space="preserve">3.  </w:t>
      </w:r>
      <w:r>
        <w:rPr>
          <w:rStyle w:val="54"/>
          <w:rFonts w:hint="eastAsia" w:ascii="宋体" w:hAnsi="宋体"/>
          <w:snapToGrid w:val="0"/>
          <w:color w:val="auto"/>
          <w:highlight w:val="none"/>
        </w:rPr>
        <w:t>投标文件</w:t>
      </w:r>
      <w:r>
        <w:rPr>
          <w:color w:val="auto"/>
          <w:highlight w:val="none"/>
        </w:rPr>
        <w:tab/>
      </w:r>
      <w:r>
        <w:rPr>
          <w:color w:val="auto"/>
          <w:highlight w:val="none"/>
        </w:rPr>
        <w:fldChar w:fldCharType="begin"/>
      </w:r>
      <w:r>
        <w:rPr>
          <w:color w:val="auto"/>
          <w:highlight w:val="none"/>
        </w:rPr>
        <w:instrText xml:space="preserve"> PAGEREF _Toc117005197 \h </w:instrText>
      </w:r>
      <w:r>
        <w:rPr>
          <w:color w:val="auto"/>
          <w:highlight w:val="none"/>
        </w:rPr>
        <w:fldChar w:fldCharType="separate"/>
      </w:r>
      <w:r>
        <w:rPr>
          <w:color w:val="auto"/>
          <w:highlight w:val="none"/>
        </w:rPr>
        <w:t>30</w:t>
      </w:r>
      <w:r>
        <w:rPr>
          <w:color w:val="auto"/>
          <w:highlight w:val="none"/>
        </w:rPr>
        <w:fldChar w:fldCharType="end"/>
      </w:r>
      <w:r>
        <w:rPr>
          <w:color w:val="auto"/>
          <w:highlight w:val="none"/>
        </w:rPr>
        <w:fldChar w:fldCharType="end"/>
      </w:r>
    </w:p>
    <w:p w14:paraId="218C83EE">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"_Toc117005198" </w:instrText>
      </w:r>
      <w:r>
        <w:rPr>
          <w:color w:val="auto"/>
          <w:highlight w:val="none"/>
        </w:rPr>
        <w:fldChar w:fldCharType="separate"/>
      </w:r>
      <w:r>
        <w:rPr>
          <w:rStyle w:val="54"/>
          <w:rFonts w:ascii="宋体" w:hAnsi="宋体"/>
          <w:snapToGrid w:val="0"/>
          <w:color w:val="auto"/>
          <w:highlight w:val="none"/>
        </w:rPr>
        <w:t xml:space="preserve">3.1  </w:t>
      </w:r>
      <w:r>
        <w:rPr>
          <w:rStyle w:val="54"/>
          <w:rFonts w:hint="eastAsia" w:ascii="宋体" w:hAnsi="宋体"/>
          <w:snapToGrid w:val="0"/>
          <w:color w:val="auto"/>
          <w:highlight w:val="none"/>
        </w:rPr>
        <w:t>投标文件的组成</w:t>
      </w:r>
      <w:r>
        <w:rPr>
          <w:color w:val="auto"/>
          <w:highlight w:val="none"/>
        </w:rPr>
        <w:tab/>
      </w:r>
      <w:r>
        <w:rPr>
          <w:color w:val="auto"/>
          <w:highlight w:val="none"/>
        </w:rPr>
        <w:fldChar w:fldCharType="begin"/>
      </w:r>
      <w:r>
        <w:rPr>
          <w:color w:val="auto"/>
          <w:highlight w:val="none"/>
        </w:rPr>
        <w:instrText xml:space="preserve"> PAGEREF _Toc117005198 \h </w:instrText>
      </w:r>
      <w:r>
        <w:rPr>
          <w:color w:val="auto"/>
          <w:highlight w:val="none"/>
        </w:rPr>
        <w:fldChar w:fldCharType="separate"/>
      </w:r>
      <w:r>
        <w:rPr>
          <w:color w:val="auto"/>
          <w:highlight w:val="none"/>
        </w:rPr>
        <w:t>30</w:t>
      </w:r>
      <w:r>
        <w:rPr>
          <w:color w:val="auto"/>
          <w:highlight w:val="none"/>
        </w:rPr>
        <w:fldChar w:fldCharType="end"/>
      </w:r>
      <w:r>
        <w:rPr>
          <w:color w:val="auto"/>
          <w:highlight w:val="none"/>
        </w:rPr>
        <w:fldChar w:fldCharType="end"/>
      </w:r>
    </w:p>
    <w:p w14:paraId="61F14AD7">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"_Toc117005199" </w:instrText>
      </w:r>
      <w:r>
        <w:rPr>
          <w:color w:val="auto"/>
          <w:highlight w:val="none"/>
        </w:rPr>
        <w:fldChar w:fldCharType="separate"/>
      </w:r>
      <w:r>
        <w:rPr>
          <w:rStyle w:val="54"/>
          <w:rFonts w:ascii="宋体" w:hAnsi="宋体"/>
          <w:snapToGrid w:val="0"/>
          <w:color w:val="auto"/>
          <w:highlight w:val="none"/>
        </w:rPr>
        <w:t xml:space="preserve">3.2  </w:t>
      </w:r>
      <w:r>
        <w:rPr>
          <w:rStyle w:val="54"/>
          <w:rFonts w:hint="eastAsia" w:ascii="宋体" w:hAnsi="宋体"/>
          <w:snapToGrid w:val="0"/>
          <w:color w:val="auto"/>
          <w:highlight w:val="none"/>
        </w:rPr>
        <w:t>投标报价</w:t>
      </w:r>
      <w:r>
        <w:rPr>
          <w:color w:val="auto"/>
          <w:highlight w:val="none"/>
        </w:rPr>
        <w:tab/>
      </w:r>
      <w:r>
        <w:rPr>
          <w:color w:val="auto"/>
          <w:highlight w:val="none"/>
        </w:rPr>
        <w:fldChar w:fldCharType="begin"/>
      </w:r>
      <w:r>
        <w:rPr>
          <w:color w:val="auto"/>
          <w:highlight w:val="none"/>
        </w:rPr>
        <w:instrText xml:space="preserve"> PAGEREF _Toc117005199 \h </w:instrText>
      </w:r>
      <w:r>
        <w:rPr>
          <w:color w:val="auto"/>
          <w:highlight w:val="none"/>
        </w:rPr>
        <w:fldChar w:fldCharType="separate"/>
      </w:r>
      <w:r>
        <w:rPr>
          <w:color w:val="auto"/>
          <w:highlight w:val="none"/>
        </w:rPr>
        <w:t>30</w:t>
      </w:r>
      <w:r>
        <w:rPr>
          <w:color w:val="auto"/>
          <w:highlight w:val="none"/>
        </w:rPr>
        <w:fldChar w:fldCharType="end"/>
      </w:r>
      <w:r>
        <w:rPr>
          <w:color w:val="auto"/>
          <w:highlight w:val="none"/>
        </w:rPr>
        <w:fldChar w:fldCharType="end"/>
      </w:r>
    </w:p>
    <w:p w14:paraId="2C4E68F4">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"_Toc117005200" </w:instrText>
      </w:r>
      <w:r>
        <w:rPr>
          <w:color w:val="auto"/>
          <w:highlight w:val="none"/>
        </w:rPr>
        <w:fldChar w:fldCharType="separate"/>
      </w:r>
      <w:r>
        <w:rPr>
          <w:rStyle w:val="54"/>
          <w:rFonts w:ascii="宋体" w:hAnsi="宋体"/>
          <w:snapToGrid w:val="0"/>
          <w:color w:val="auto"/>
          <w:highlight w:val="none"/>
        </w:rPr>
        <w:t xml:space="preserve">3.3  </w:t>
      </w:r>
      <w:r>
        <w:rPr>
          <w:rStyle w:val="54"/>
          <w:rFonts w:hint="eastAsia" w:ascii="宋体" w:hAnsi="宋体"/>
          <w:snapToGrid w:val="0"/>
          <w:color w:val="auto"/>
          <w:highlight w:val="none"/>
        </w:rPr>
        <w:t>投标有效期</w:t>
      </w:r>
      <w:r>
        <w:rPr>
          <w:color w:val="auto"/>
          <w:highlight w:val="none"/>
        </w:rPr>
        <w:tab/>
      </w:r>
      <w:r>
        <w:rPr>
          <w:color w:val="auto"/>
          <w:highlight w:val="none"/>
        </w:rPr>
        <w:fldChar w:fldCharType="begin"/>
      </w:r>
      <w:r>
        <w:rPr>
          <w:color w:val="auto"/>
          <w:highlight w:val="none"/>
        </w:rPr>
        <w:instrText xml:space="preserve"> PAGEREF _Toc117005200 \h </w:instrText>
      </w:r>
      <w:r>
        <w:rPr>
          <w:color w:val="auto"/>
          <w:highlight w:val="none"/>
        </w:rPr>
        <w:fldChar w:fldCharType="separate"/>
      </w:r>
      <w:r>
        <w:rPr>
          <w:color w:val="auto"/>
          <w:highlight w:val="none"/>
        </w:rPr>
        <w:t>30</w:t>
      </w:r>
      <w:r>
        <w:rPr>
          <w:color w:val="auto"/>
          <w:highlight w:val="none"/>
        </w:rPr>
        <w:fldChar w:fldCharType="end"/>
      </w:r>
      <w:r>
        <w:rPr>
          <w:color w:val="auto"/>
          <w:highlight w:val="none"/>
        </w:rPr>
        <w:fldChar w:fldCharType="end"/>
      </w:r>
    </w:p>
    <w:p w14:paraId="3B0E2669">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"_Toc117005201" </w:instrText>
      </w:r>
      <w:r>
        <w:rPr>
          <w:color w:val="auto"/>
          <w:highlight w:val="none"/>
        </w:rPr>
        <w:fldChar w:fldCharType="separate"/>
      </w:r>
      <w:r>
        <w:rPr>
          <w:rStyle w:val="54"/>
          <w:rFonts w:ascii="宋体" w:hAnsi="宋体"/>
          <w:snapToGrid w:val="0"/>
          <w:color w:val="auto"/>
          <w:highlight w:val="none"/>
        </w:rPr>
        <w:t xml:space="preserve">3.4  </w:t>
      </w:r>
      <w:r>
        <w:rPr>
          <w:rStyle w:val="54"/>
          <w:rFonts w:hint="eastAsia" w:ascii="宋体" w:hAnsi="宋体"/>
          <w:snapToGrid w:val="0"/>
          <w:color w:val="auto"/>
          <w:highlight w:val="none"/>
        </w:rPr>
        <w:t>投标保证金</w:t>
      </w:r>
      <w:r>
        <w:rPr>
          <w:color w:val="auto"/>
          <w:highlight w:val="none"/>
        </w:rPr>
        <w:tab/>
      </w:r>
      <w:r>
        <w:rPr>
          <w:color w:val="auto"/>
          <w:highlight w:val="none"/>
        </w:rPr>
        <w:fldChar w:fldCharType="begin"/>
      </w:r>
      <w:r>
        <w:rPr>
          <w:color w:val="auto"/>
          <w:highlight w:val="none"/>
        </w:rPr>
        <w:instrText xml:space="preserve"> PAGEREF _Toc117005201 \h </w:instrText>
      </w:r>
      <w:r>
        <w:rPr>
          <w:color w:val="auto"/>
          <w:highlight w:val="none"/>
        </w:rPr>
        <w:fldChar w:fldCharType="separate"/>
      </w:r>
      <w:r>
        <w:rPr>
          <w:color w:val="auto"/>
          <w:highlight w:val="none"/>
        </w:rPr>
        <w:t>31</w:t>
      </w:r>
      <w:r>
        <w:rPr>
          <w:color w:val="auto"/>
          <w:highlight w:val="none"/>
        </w:rPr>
        <w:fldChar w:fldCharType="end"/>
      </w:r>
      <w:r>
        <w:rPr>
          <w:color w:val="auto"/>
          <w:highlight w:val="none"/>
        </w:rPr>
        <w:fldChar w:fldCharType="end"/>
      </w:r>
    </w:p>
    <w:p w14:paraId="7E78107C">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"_Toc117005202" </w:instrText>
      </w:r>
      <w:r>
        <w:rPr>
          <w:color w:val="auto"/>
          <w:highlight w:val="none"/>
        </w:rPr>
        <w:fldChar w:fldCharType="separate"/>
      </w:r>
      <w:r>
        <w:rPr>
          <w:rStyle w:val="54"/>
          <w:rFonts w:ascii="宋体" w:hAnsi="宋体"/>
          <w:snapToGrid w:val="0"/>
          <w:color w:val="auto"/>
          <w:highlight w:val="none"/>
        </w:rPr>
        <w:t xml:space="preserve">3.5  </w:t>
      </w:r>
      <w:r>
        <w:rPr>
          <w:rStyle w:val="54"/>
          <w:rFonts w:hint="eastAsia" w:ascii="宋体" w:hAnsi="宋体"/>
          <w:snapToGrid w:val="0"/>
          <w:color w:val="auto"/>
          <w:highlight w:val="none"/>
        </w:rPr>
        <w:t>资格审查资料</w:t>
      </w:r>
      <w:r>
        <w:rPr>
          <w:color w:val="auto"/>
          <w:highlight w:val="none"/>
        </w:rPr>
        <w:tab/>
      </w:r>
      <w:r>
        <w:rPr>
          <w:color w:val="auto"/>
          <w:highlight w:val="none"/>
        </w:rPr>
        <w:fldChar w:fldCharType="begin"/>
      </w:r>
      <w:r>
        <w:rPr>
          <w:color w:val="auto"/>
          <w:highlight w:val="none"/>
        </w:rPr>
        <w:instrText xml:space="preserve"> PAGEREF _Toc117005202 \h </w:instrText>
      </w:r>
      <w:r>
        <w:rPr>
          <w:color w:val="auto"/>
          <w:highlight w:val="none"/>
        </w:rPr>
        <w:fldChar w:fldCharType="separate"/>
      </w:r>
      <w:r>
        <w:rPr>
          <w:color w:val="auto"/>
          <w:highlight w:val="none"/>
        </w:rPr>
        <w:t>31</w:t>
      </w:r>
      <w:r>
        <w:rPr>
          <w:color w:val="auto"/>
          <w:highlight w:val="none"/>
        </w:rPr>
        <w:fldChar w:fldCharType="end"/>
      </w:r>
      <w:r>
        <w:rPr>
          <w:color w:val="auto"/>
          <w:highlight w:val="none"/>
        </w:rPr>
        <w:fldChar w:fldCharType="end"/>
      </w:r>
    </w:p>
    <w:p w14:paraId="2D7AD608">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"_Toc117005203" </w:instrText>
      </w:r>
      <w:r>
        <w:rPr>
          <w:color w:val="auto"/>
          <w:highlight w:val="none"/>
        </w:rPr>
        <w:fldChar w:fldCharType="separate"/>
      </w:r>
      <w:r>
        <w:rPr>
          <w:rStyle w:val="54"/>
          <w:rFonts w:ascii="宋体" w:hAnsi="宋体"/>
          <w:snapToGrid w:val="0"/>
          <w:color w:val="auto"/>
          <w:highlight w:val="none"/>
        </w:rPr>
        <w:t xml:space="preserve">3.6  </w:t>
      </w:r>
      <w:r>
        <w:rPr>
          <w:rStyle w:val="54"/>
          <w:rFonts w:hint="eastAsia" w:ascii="宋体" w:hAnsi="宋体"/>
          <w:snapToGrid w:val="0"/>
          <w:color w:val="auto"/>
          <w:highlight w:val="none"/>
        </w:rPr>
        <w:t>备选投标方案</w:t>
      </w:r>
      <w:r>
        <w:rPr>
          <w:color w:val="auto"/>
          <w:highlight w:val="none"/>
        </w:rPr>
        <w:tab/>
      </w:r>
      <w:r>
        <w:rPr>
          <w:color w:val="auto"/>
          <w:highlight w:val="none"/>
        </w:rPr>
        <w:fldChar w:fldCharType="begin"/>
      </w:r>
      <w:r>
        <w:rPr>
          <w:color w:val="auto"/>
          <w:highlight w:val="none"/>
        </w:rPr>
        <w:instrText xml:space="preserve"> PAGEREF _Toc117005203 \h </w:instrText>
      </w:r>
      <w:r>
        <w:rPr>
          <w:color w:val="auto"/>
          <w:highlight w:val="none"/>
        </w:rPr>
        <w:fldChar w:fldCharType="separate"/>
      </w:r>
      <w:r>
        <w:rPr>
          <w:color w:val="auto"/>
          <w:highlight w:val="none"/>
        </w:rPr>
        <w:t>31</w:t>
      </w:r>
      <w:r>
        <w:rPr>
          <w:color w:val="auto"/>
          <w:highlight w:val="none"/>
        </w:rPr>
        <w:fldChar w:fldCharType="end"/>
      </w:r>
      <w:r>
        <w:rPr>
          <w:color w:val="auto"/>
          <w:highlight w:val="none"/>
        </w:rPr>
        <w:fldChar w:fldCharType="end"/>
      </w:r>
    </w:p>
    <w:p w14:paraId="1A1F9AB4">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"_Toc117005204" </w:instrText>
      </w:r>
      <w:r>
        <w:rPr>
          <w:color w:val="auto"/>
          <w:highlight w:val="none"/>
        </w:rPr>
        <w:fldChar w:fldCharType="separate"/>
      </w:r>
      <w:r>
        <w:rPr>
          <w:rStyle w:val="54"/>
          <w:rFonts w:ascii="宋体" w:hAnsi="宋体"/>
          <w:snapToGrid w:val="0"/>
          <w:color w:val="auto"/>
          <w:highlight w:val="none"/>
        </w:rPr>
        <w:t xml:space="preserve">3.7  </w:t>
      </w:r>
      <w:r>
        <w:rPr>
          <w:rStyle w:val="54"/>
          <w:rFonts w:hint="eastAsia" w:ascii="宋体" w:hAnsi="宋体"/>
          <w:snapToGrid w:val="0"/>
          <w:color w:val="auto"/>
          <w:highlight w:val="none"/>
        </w:rPr>
        <w:t>投标文件的编制</w:t>
      </w:r>
      <w:r>
        <w:rPr>
          <w:color w:val="auto"/>
          <w:highlight w:val="none"/>
        </w:rPr>
        <w:tab/>
      </w:r>
      <w:r>
        <w:rPr>
          <w:color w:val="auto"/>
          <w:highlight w:val="none"/>
        </w:rPr>
        <w:fldChar w:fldCharType="begin"/>
      </w:r>
      <w:r>
        <w:rPr>
          <w:color w:val="auto"/>
          <w:highlight w:val="none"/>
        </w:rPr>
        <w:instrText xml:space="preserve"> PAGEREF _Toc117005204 \h </w:instrText>
      </w:r>
      <w:r>
        <w:rPr>
          <w:color w:val="auto"/>
          <w:highlight w:val="none"/>
        </w:rPr>
        <w:fldChar w:fldCharType="separate"/>
      </w:r>
      <w:r>
        <w:rPr>
          <w:color w:val="auto"/>
          <w:highlight w:val="none"/>
        </w:rPr>
        <w:t>31</w:t>
      </w:r>
      <w:r>
        <w:rPr>
          <w:color w:val="auto"/>
          <w:highlight w:val="none"/>
        </w:rPr>
        <w:fldChar w:fldCharType="end"/>
      </w:r>
      <w:r>
        <w:rPr>
          <w:color w:val="auto"/>
          <w:highlight w:val="none"/>
        </w:rPr>
        <w:fldChar w:fldCharType="end"/>
      </w:r>
    </w:p>
    <w:p w14:paraId="2277F4FF">
      <w:pPr>
        <w:pStyle w:val="37"/>
        <w:tabs>
          <w:tab w:val="right" w:leader="dot" w:pos="9459"/>
        </w:tabs>
        <w:rPr>
          <w:rFonts w:asciiTheme="minorHAnsi" w:hAnsiTheme="minorHAnsi" w:eastAsiaTheme="minorEastAsia" w:cstheme="minorBidi"/>
          <w:smallCaps w:val="0"/>
          <w:color w:val="auto"/>
          <w:sz w:val="21"/>
          <w:szCs w:val="22"/>
          <w:highlight w:val="none"/>
        </w:rPr>
      </w:pPr>
      <w:r>
        <w:rPr>
          <w:color w:val="auto"/>
          <w:highlight w:val="none"/>
        </w:rPr>
        <w:fldChar w:fldCharType="begin"/>
      </w:r>
      <w:r>
        <w:rPr>
          <w:color w:val="auto"/>
          <w:highlight w:val="none"/>
        </w:rPr>
        <w:instrText xml:space="preserve"> HYPERLINK \l "_Toc117005205" </w:instrText>
      </w:r>
      <w:r>
        <w:rPr>
          <w:color w:val="auto"/>
          <w:highlight w:val="none"/>
        </w:rPr>
        <w:fldChar w:fldCharType="separate"/>
      </w:r>
      <w:r>
        <w:rPr>
          <w:rStyle w:val="54"/>
          <w:rFonts w:ascii="宋体" w:hAnsi="宋体"/>
          <w:snapToGrid w:val="0"/>
          <w:color w:val="auto"/>
          <w:highlight w:val="none"/>
        </w:rPr>
        <w:t xml:space="preserve">4.  </w:t>
      </w:r>
      <w:r>
        <w:rPr>
          <w:rStyle w:val="54"/>
          <w:rFonts w:hint="eastAsia" w:ascii="宋体" w:hAnsi="宋体"/>
          <w:snapToGrid w:val="0"/>
          <w:color w:val="auto"/>
          <w:highlight w:val="none"/>
        </w:rPr>
        <w:t>投标</w:t>
      </w:r>
      <w:r>
        <w:rPr>
          <w:color w:val="auto"/>
          <w:highlight w:val="none"/>
        </w:rPr>
        <w:tab/>
      </w:r>
      <w:r>
        <w:rPr>
          <w:color w:val="auto"/>
          <w:highlight w:val="none"/>
        </w:rPr>
        <w:fldChar w:fldCharType="begin"/>
      </w:r>
      <w:r>
        <w:rPr>
          <w:color w:val="auto"/>
          <w:highlight w:val="none"/>
        </w:rPr>
        <w:instrText xml:space="preserve"> PAGEREF _Toc117005205 \h </w:instrText>
      </w:r>
      <w:r>
        <w:rPr>
          <w:color w:val="auto"/>
          <w:highlight w:val="none"/>
        </w:rPr>
        <w:fldChar w:fldCharType="separate"/>
      </w:r>
      <w:r>
        <w:rPr>
          <w:color w:val="auto"/>
          <w:highlight w:val="none"/>
        </w:rPr>
        <w:t>32</w:t>
      </w:r>
      <w:r>
        <w:rPr>
          <w:color w:val="auto"/>
          <w:highlight w:val="none"/>
        </w:rPr>
        <w:fldChar w:fldCharType="end"/>
      </w:r>
      <w:r>
        <w:rPr>
          <w:color w:val="auto"/>
          <w:highlight w:val="none"/>
        </w:rPr>
        <w:fldChar w:fldCharType="end"/>
      </w:r>
    </w:p>
    <w:p w14:paraId="3CD095A6">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"_Toc117005206" </w:instrText>
      </w:r>
      <w:r>
        <w:rPr>
          <w:color w:val="auto"/>
          <w:highlight w:val="none"/>
        </w:rPr>
        <w:fldChar w:fldCharType="separate"/>
      </w:r>
      <w:r>
        <w:rPr>
          <w:rStyle w:val="54"/>
          <w:rFonts w:ascii="宋体" w:hAnsi="宋体"/>
          <w:snapToGrid w:val="0"/>
          <w:color w:val="auto"/>
          <w:highlight w:val="none"/>
        </w:rPr>
        <w:t xml:space="preserve">4.1  </w:t>
      </w:r>
      <w:r>
        <w:rPr>
          <w:rStyle w:val="54"/>
          <w:rFonts w:hint="eastAsia" w:ascii="宋体" w:hAnsi="宋体"/>
          <w:snapToGrid w:val="0"/>
          <w:color w:val="auto"/>
          <w:highlight w:val="none"/>
        </w:rPr>
        <w:t>投标文件的密封和标记</w:t>
      </w:r>
      <w:r>
        <w:rPr>
          <w:color w:val="auto"/>
          <w:highlight w:val="none"/>
        </w:rPr>
        <w:tab/>
      </w:r>
      <w:r>
        <w:rPr>
          <w:color w:val="auto"/>
          <w:highlight w:val="none"/>
        </w:rPr>
        <w:fldChar w:fldCharType="begin"/>
      </w:r>
      <w:r>
        <w:rPr>
          <w:color w:val="auto"/>
          <w:highlight w:val="none"/>
        </w:rPr>
        <w:instrText xml:space="preserve"> PAGEREF _Toc117005206 \h </w:instrText>
      </w:r>
      <w:r>
        <w:rPr>
          <w:color w:val="auto"/>
          <w:highlight w:val="none"/>
        </w:rPr>
        <w:fldChar w:fldCharType="separate"/>
      </w:r>
      <w:r>
        <w:rPr>
          <w:color w:val="auto"/>
          <w:highlight w:val="none"/>
        </w:rPr>
        <w:t>32</w:t>
      </w:r>
      <w:r>
        <w:rPr>
          <w:color w:val="auto"/>
          <w:highlight w:val="none"/>
        </w:rPr>
        <w:fldChar w:fldCharType="end"/>
      </w:r>
      <w:r>
        <w:rPr>
          <w:color w:val="auto"/>
          <w:highlight w:val="none"/>
        </w:rPr>
        <w:fldChar w:fldCharType="end"/>
      </w:r>
    </w:p>
    <w:p w14:paraId="2BB16487">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"_Toc117005207" </w:instrText>
      </w:r>
      <w:r>
        <w:rPr>
          <w:color w:val="auto"/>
          <w:highlight w:val="none"/>
        </w:rPr>
        <w:fldChar w:fldCharType="separate"/>
      </w:r>
      <w:r>
        <w:rPr>
          <w:rStyle w:val="54"/>
          <w:rFonts w:ascii="宋体" w:hAnsi="宋体"/>
          <w:snapToGrid w:val="0"/>
          <w:color w:val="auto"/>
          <w:highlight w:val="none"/>
        </w:rPr>
        <w:t xml:space="preserve">4.2  </w:t>
      </w:r>
      <w:r>
        <w:rPr>
          <w:rStyle w:val="54"/>
          <w:rFonts w:hint="eastAsia" w:ascii="宋体" w:hAnsi="宋体"/>
          <w:snapToGrid w:val="0"/>
          <w:color w:val="auto"/>
          <w:highlight w:val="none"/>
        </w:rPr>
        <w:t>投标文件的递交</w:t>
      </w:r>
      <w:r>
        <w:rPr>
          <w:color w:val="auto"/>
          <w:highlight w:val="none"/>
        </w:rPr>
        <w:tab/>
      </w:r>
      <w:r>
        <w:rPr>
          <w:color w:val="auto"/>
          <w:highlight w:val="none"/>
        </w:rPr>
        <w:fldChar w:fldCharType="begin"/>
      </w:r>
      <w:r>
        <w:rPr>
          <w:color w:val="auto"/>
          <w:highlight w:val="none"/>
        </w:rPr>
        <w:instrText xml:space="preserve"> PAGEREF _Toc117005207 \h </w:instrText>
      </w:r>
      <w:r>
        <w:rPr>
          <w:color w:val="auto"/>
          <w:highlight w:val="none"/>
        </w:rPr>
        <w:fldChar w:fldCharType="separate"/>
      </w:r>
      <w:r>
        <w:rPr>
          <w:color w:val="auto"/>
          <w:highlight w:val="none"/>
        </w:rPr>
        <w:t>32</w:t>
      </w:r>
      <w:r>
        <w:rPr>
          <w:color w:val="auto"/>
          <w:highlight w:val="none"/>
        </w:rPr>
        <w:fldChar w:fldCharType="end"/>
      </w:r>
      <w:r>
        <w:rPr>
          <w:color w:val="auto"/>
          <w:highlight w:val="none"/>
        </w:rPr>
        <w:fldChar w:fldCharType="end"/>
      </w:r>
    </w:p>
    <w:p w14:paraId="75265F57">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"_Toc117005208" </w:instrText>
      </w:r>
      <w:r>
        <w:rPr>
          <w:color w:val="auto"/>
          <w:highlight w:val="none"/>
        </w:rPr>
        <w:fldChar w:fldCharType="separate"/>
      </w:r>
      <w:r>
        <w:rPr>
          <w:rStyle w:val="54"/>
          <w:rFonts w:ascii="宋体" w:hAnsi="宋体"/>
          <w:snapToGrid w:val="0"/>
          <w:color w:val="auto"/>
          <w:highlight w:val="none"/>
        </w:rPr>
        <w:t xml:space="preserve">4.3  </w:t>
      </w:r>
      <w:r>
        <w:rPr>
          <w:rStyle w:val="54"/>
          <w:rFonts w:hint="eastAsia" w:ascii="宋体" w:hAnsi="宋体"/>
          <w:snapToGrid w:val="0"/>
          <w:color w:val="auto"/>
          <w:highlight w:val="none"/>
        </w:rPr>
        <w:t>投标文件的修改与撤回</w:t>
      </w:r>
      <w:r>
        <w:rPr>
          <w:color w:val="auto"/>
          <w:highlight w:val="none"/>
        </w:rPr>
        <w:tab/>
      </w:r>
      <w:r>
        <w:rPr>
          <w:color w:val="auto"/>
          <w:highlight w:val="none"/>
        </w:rPr>
        <w:fldChar w:fldCharType="begin"/>
      </w:r>
      <w:r>
        <w:rPr>
          <w:color w:val="auto"/>
          <w:highlight w:val="none"/>
        </w:rPr>
        <w:instrText xml:space="preserve"> PAGEREF _Toc117005208 \h </w:instrText>
      </w:r>
      <w:r>
        <w:rPr>
          <w:color w:val="auto"/>
          <w:highlight w:val="none"/>
        </w:rPr>
        <w:fldChar w:fldCharType="separate"/>
      </w:r>
      <w:r>
        <w:rPr>
          <w:color w:val="auto"/>
          <w:highlight w:val="none"/>
        </w:rPr>
        <w:t>32</w:t>
      </w:r>
      <w:r>
        <w:rPr>
          <w:color w:val="auto"/>
          <w:highlight w:val="none"/>
        </w:rPr>
        <w:fldChar w:fldCharType="end"/>
      </w:r>
      <w:r>
        <w:rPr>
          <w:color w:val="auto"/>
          <w:highlight w:val="none"/>
        </w:rPr>
        <w:fldChar w:fldCharType="end"/>
      </w:r>
    </w:p>
    <w:p w14:paraId="42C89F7F">
      <w:pPr>
        <w:pStyle w:val="37"/>
        <w:tabs>
          <w:tab w:val="right" w:leader="dot" w:pos="9459"/>
        </w:tabs>
        <w:rPr>
          <w:rFonts w:asciiTheme="minorHAnsi" w:hAnsiTheme="minorHAnsi" w:eastAsiaTheme="minorEastAsia" w:cstheme="minorBidi"/>
          <w:smallCaps w:val="0"/>
          <w:color w:val="auto"/>
          <w:sz w:val="21"/>
          <w:szCs w:val="22"/>
          <w:highlight w:val="none"/>
        </w:rPr>
      </w:pPr>
      <w:r>
        <w:rPr>
          <w:color w:val="auto"/>
          <w:highlight w:val="none"/>
        </w:rPr>
        <w:fldChar w:fldCharType="begin"/>
      </w:r>
      <w:r>
        <w:rPr>
          <w:color w:val="auto"/>
          <w:highlight w:val="none"/>
        </w:rPr>
        <w:instrText xml:space="preserve"> HYPERLINK \l "_Toc117005209" </w:instrText>
      </w:r>
      <w:r>
        <w:rPr>
          <w:color w:val="auto"/>
          <w:highlight w:val="none"/>
        </w:rPr>
        <w:fldChar w:fldCharType="separate"/>
      </w:r>
      <w:r>
        <w:rPr>
          <w:rStyle w:val="54"/>
          <w:rFonts w:ascii="宋体" w:hAnsi="宋体"/>
          <w:snapToGrid w:val="0"/>
          <w:color w:val="auto"/>
          <w:highlight w:val="none"/>
        </w:rPr>
        <w:t xml:space="preserve">5.  </w:t>
      </w:r>
      <w:r>
        <w:rPr>
          <w:rStyle w:val="54"/>
          <w:rFonts w:hint="eastAsia" w:ascii="宋体" w:hAnsi="宋体"/>
          <w:snapToGrid w:val="0"/>
          <w:color w:val="auto"/>
          <w:highlight w:val="none"/>
        </w:rPr>
        <w:t>开标</w:t>
      </w:r>
      <w:r>
        <w:rPr>
          <w:color w:val="auto"/>
          <w:highlight w:val="none"/>
        </w:rPr>
        <w:tab/>
      </w:r>
      <w:r>
        <w:rPr>
          <w:color w:val="auto"/>
          <w:highlight w:val="none"/>
        </w:rPr>
        <w:fldChar w:fldCharType="begin"/>
      </w:r>
      <w:r>
        <w:rPr>
          <w:color w:val="auto"/>
          <w:highlight w:val="none"/>
        </w:rPr>
        <w:instrText xml:space="preserve"> PAGEREF _Toc117005209 \h </w:instrText>
      </w:r>
      <w:r>
        <w:rPr>
          <w:color w:val="auto"/>
          <w:highlight w:val="none"/>
        </w:rPr>
        <w:fldChar w:fldCharType="separate"/>
      </w:r>
      <w:r>
        <w:rPr>
          <w:color w:val="auto"/>
          <w:highlight w:val="none"/>
        </w:rPr>
        <w:t>32</w:t>
      </w:r>
      <w:r>
        <w:rPr>
          <w:color w:val="auto"/>
          <w:highlight w:val="none"/>
        </w:rPr>
        <w:fldChar w:fldCharType="end"/>
      </w:r>
      <w:r>
        <w:rPr>
          <w:color w:val="auto"/>
          <w:highlight w:val="none"/>
        </w:rPr>
        <w:fldChar w:fldCharType="end"/>
      </w:r>
    </w:p>
    <w:p w14:paraId="19CB0757">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"_Toc117005210" </w:instrText>
      </w:r>
      <w:r>
        <w:rPr>
          <w:color w:val="auto"/>
          <w:highlight w:val="none"/>
        </w:rPr>
        <w:fldChar w:fldCharType="separate"/>
      </w:r>
      <w:r>
        <w:rPr>
          <w:rStyle w:val="54"/>
          <w:rFonts w:ascii="宋体" w:hAnsi="宋体"/>
          <w:snapToGrid w:val="0"/>
          <w:color w:val="auto"/>
          <w:highlight w:val="none"/>
        </w:rPr>
        <w:t xml:space="preserve">5.1  </w:t>
      </w:r>
      <w:r>
        <w:rPr>
          <w:rStyle w:val="54"/>
          <w:rFonts w:hint="eastAsia" w:ascii="宋体" w:hAnsi="宋体"/>
          <w:snapToGrid w:val="0"/>
          <w:color w:val="auto"/>
          <w:highlight w:val="none"/>
        </w:rPr>
        <w:t>开标时间和地点</w:t>
      </w:r>
      <w:r>
        <w:rPr>
          <w:color w:val="auto"/>
          <w:highlight w:val="none"/>
        </w:rPr>
        <w:tab/>
      </w:r>
      <w:r>
        <w:rPr>
          <w:color w:val="auto"/>
          <w:highlight w:val="none"/>
        </w:rPr>
        <w:fldChar w:fldCharType="begin"/>
      </w:r>
      <w:r>
        <w:rPr>
          <w:color w:val="auto"/>
          <w:highlight w:val="none"/>
        </w:rPr>
        <w:instrText xml:space="preserve"> PAGEREF _Toc117005210 \h </w:instrText>
      </w:r>
      <w:r>
        <w:rPr>
          <w:color w:val="auto"/>
          <w:highlight w:val="none"/>
        </w:rPr>
        <w:fldChar w:fldCharType="separate"/>
      </w:r>
      <w:r>
        <w:rPr>
          <w:color w:val="auto"/>
          <w:highlight w:val="none"/>
        </w:rPr>
        <w:t>32</w:t>
      </w:r>
      <w:r>
        <w:rPr>
          <w:color w:val="auto"/>
          <w:highlight w:val="none"/>
        </w:rPr>
        <w:fldChar w:fldCharType="end"/>
      </w:r>
      <w:r>
        <w:rPr>
          <w:color w:val="auto"/>
          <w:highlight w:val="none"/>
        </w:rPr>
        <w:fldChar w:fldCharType="end"/>
      </w:r>
    </w:p>
    <w:p w14:paraId="15547233">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"_Toc117005211" </w:instrText>
      </w:r>
      <w:r>
        <w:rPr>
          <w:color w:val="auto"/>
          <w:highlight w:val="none"/>
        </w:rPr>
        <w:fldChar w:fldCharType="separate"/>
      </w:r>
      <w:r>
        <w:rPr>
          <w:rStyle w:val="54"/>
          <w:rFonts w:ascii="宋体" w:hAnsi="宋体"/>
          <w:snapToGrid w:val="0"/>
          <w:color w:val="auto"/>
          <w:highlight w:val="none"/>
        </w:rPr>
        <w:t xml:space="preserve">5.2  </w:t>
      </w:r>
      <w:r>
        <w:rPr>
          <w:rStyle w:val="54"/>
          <w:rFonts w:hint="eastAsia" w:ascii="宋体" w:hAnsi="宋体"/>
          <w:snapToGrid w:val="0"/>
          <w:color w:val="auto"/>
          <w:highlight w:val="none"/>
        </w:rPr>
        <w:t>开标程序</w:t>
      </w:r>
      <w:r>
        <w:rPr>
          <w:color w:val="auto"/>
          <w:highlight w:val="none"/>
        </w:rPr>
        <w:tab/>
      </w:r>
      <w:r>
        <w:rPr>
          <w:color w:val="auto"/>
          <w:highlight w:val="none"/>
        </w:rPr>
        <w:fldChar w:fldCharType="begin"/>
      </w:r>
      <w:r>
        <w:rPr>
          <w:color w:val="auto"/>
          <w:highlight w:val="none"/>
        </w:rPr>
        <w:instrText xml:space="preserve"> PAGEREF _Toc117005211 \h </w:instrText>
      </w:r>
      <w:r>
        <w:rPr>
          <w:color w:val="auto"/>
          <w:highlight w:val="none"/>
        </w:rPr>
        <w:fldChar w:fldCharType="separate"/>
      </w:r>
      <w:r>
        <w:rPr>
          <w:color w:val="auto"/>
          <w:highlight w:val="none"/>
        </w:rPr>
        <w:t>32</w:t>
      </w:r>
      <w:r>
        <w:rPr>
          <w:color w:val="auto"/>
          <w:highlight w:val="none"/>
        </w:rPr>
        <w:fldChar w:fldCharType="end"/>
      </w:r>
      <w:r>
        <w:rPr>
          <w:color w:val="auto"/>
          <w:highlight w:val="none"/>
        </w:rPr>
        <w:fldChar w:fldCharType="end"/>
      </w:r>
    </w:p>
    <w:p w14:paraId="7960753C">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"_Toc117005212" </w:instrText>
      </w:r>
      <w:r>
        <w:rPr>
          <w:color w:val="auto"/>
          <w:highlight w:val="none"/>
        </w:rPr>
        <w:fldChar w:fldCharType="separate"/>
      </w:r>
      <w:r>
        <w:rPr>
          <w:rStyle w:val="54"/>
          <w:rFonts w:ascii="宋体" w:hAnsi="宋体"/>
          <w:snapToGrid w:val="0"/>
          <w:color w:val="auto"/>
          <w:highlight w:val="none"/>
        </w:rPr>
        <w:t xml:space="preserve">5.3  </w:t>
      </w:r>
      <w:r>
        <w:rPr>
          <w:rStyle w:val="54"/>
          <w:rFonts w:hint="eastAsia" w:ascii="宋体" w:hAnsi="宋体"/>
          <w:snapToGrid w:val="0"/>
          <w:color w:val="auto"/>
          <w:highlight w:val="none"/>
        </w:rPr>
        <w:t>开标异议</w:t>
      </w:r>
      <w:r>
        <w:rPr>
          <w:color w:val="auto"/>
          <w:highlight w:val="none"/>
        </w:rPr>
        <w:tab/>
      </w:r>
      <w:r>
        <w:rPr>
          <w:color w:val="auto"/>
          <w:highlight w:val="none"/>
        </w:rPr>
        <w:fldChar w:fldCharType="begin"/>
      </w:r>
      <w:r>
        <w:rPr>
          <w:color w:val="auto"/>
          <w:highlight w:val="none"/>
        </w:rPr>
        <w:instrText xml:space="preserve"> PAGEREF _Toc117005212 \h </w:instrText>
      </w:r>
      <w:r>
        <w:rPr>
          <w:color w:val="auto"/>
          <w:highlight w:val="none"/>
        </w:rPr>
        <w:fldChar w:fldCharType="separate"/>
      </w:r>
      <w:r>
        <w:rPr>
          <w:color w:val="auto"/>
          <w:highlight w:val="none"/>
        </w:rPr>
        <w:t>32</w:t>
      </w:r>
      <w:r>
        <w:rPr>
          <w:color w:val="auto"/>
          <w:highlight w:val="none"/>
        </w:rPr>
        <w:fldChar w:fldCharType="end"/>
      </w:r>
      <w:r>
        <w:rPr>
          <w:color w:val="auto"/>
          <w:highlight w:val="none"/>
        </w:rPr>
        <w:fldChar w:fldCharType="end"/>
      </w:r>
    </w:p>
    <w:p w14:paraId="0CC32302">
      <w:pPr>
        <w:pStyle w:val="37"/>
        <w:tabs>
          <w:tab w:val="right" w:leader="dot" w:pos="9459"/>
        </w:tabs>
        <w:rPr>
          <w:rFonts w:asciiTheme="minorHAnsi" w:hAnsiTheme="minorHAnsi" w:eastAsiaTheme="minorEastAsia" w:cstheme="minorBidi"/>
          <w:smallCaps w:val="0"/>
          <w:color w:val="auto"/>
          <w:sz w:val="21"/>
          <w:szCs w:val="22"/>
          <w:highlight w:val="none"/>
        </w:rPr>
      </w:pPr>
      <w:r>
        <w:rPr>
          <w:color w:val="auto"/>
          <w:highlight w:val="none"/>
        </w:rPr>
        <w:fldChar w:fldCharType="begin"/>
      </w:r>
      <w:r>
        <w:rPr>
          <w:color w:val="auto"/>
          <w:highlight w:val="none"/>
        </w:rPr>
        <w:instrText xml:space="preserve"> HYPERLINK \l "_Toc117005213" </w:instrText>
      </w:r>
      <w:r>
        <w:rPr>
          <w:color w:val="auto"/>
          <w:highlight w:val="none"/>
        </w:rPr>
        <w:fldChar w:fldCharType="separate"/>
      </w:r>
      <w:r>
        <w:rPr>
          <w:rStyle w:val="54"/>
          <w:rFonts w:ascii="宋体" w:hAnsi="宋体"/>
          <w:snapToGrid w:val="0"/>
          <w:color w:val="auto"/>
          <w:highlight w:val="none"/>
        </w:rPr>
        <w:t xml:space="preserve">6.  </w:t>
      </w:r>
      <w:r>
        <w:rPr>
          <w:rStyle w:val="54"/>
          <w:rFonts w:hint="eastAsia" w:ascii="宋体" w:hAnsi="宋体"/>
          <w:snapToGrid w:val="0"/>
          <w:color w:val="auto"/>
          <w:highlight w:val="none"/>
        </w:rPr>
        <w:t>评标</w:t>
      </w:r>
      <w:r>
        <w:rPr>
          <w:color w:val="auto"/>
          <w:highlight w:val="none"/>
        </w:rPr>
        <w:tab/>
      </w:r>
      <w:r>
        <w:rPr>
          <w:color w:val="auto"/>
          <w:highlight w:val="none"/>
        </w:rPr>
        <w:fldChar w:fldCharType="begin"/>
      </w:r>
      <w:r>
        <w:rPr>
          <w:color w:val="auto"/>
          <w:highlight w:val="none"/>
        </w:rPr>
        <w:instrText xml:space="preserve"> PAGEREF _Toc117005213 \h </w:instrText>
      </w:r>
      <w:r>
        <w:rPr>
          <w:color w:val="auto"/>
          <w:highlight w:val="none"/>
        </w:rPr>
        <w:fldChar w:fldCharType="separate"/>
      </w:r>
      <w:r>
        <w:rPr>
          <w:color w:val="auto"/>
          <w:highlight w:val="none"/>
        </w:rPr>
        <w:t>33</w:t>
      </w:r>
      <w:r>
        <w:rPr>
          <w:color w:val="auto"/>
          <w:highlight w:val="none"/>
        </w:rPr>
        <w:fldChar w:fldCharType="end"/>
      </w:r>
      <w:r>
        <w:rPr>
          <w:color w:val="auto"/>
          <w:highlight w:val="none"/>
        </w:rPr>
        <w:fldChar w:fldCharType="end"/>
      </w:r>
    </w:p>
    <w:p w14:paraId="0BAD7465">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"_Toc117005214" </w:instrText>
      </w:r>
      <w:r>
        <w:rPr>
          <w:color w:val="auto"/>
          <w:highlight w:val="none"/>
        </w:rPr>
        <w:fldChar w:fldCharType="separate"/>
      </w:r>
      <w:r>
        <w:rPr>
          <w:rStyle w:val="54"/>
          <w:rFonts w:ascii="宋体" w:hAnsi="宋体"/>
          <w:snapToGrid w:val="0"/>
          <w:color w:val="auto"/>
          <w:highlight w:val="none"/>
        </w:rPr>
        <w:t xml:space="preserve">6.1  </w:t>
      </w:r>
      <w:r>
        <w:rPr>
          <w:rStyle w:val="54"/>
          <w:rFonts w:hint="eastAsia" w:ascii="宋体" w:hAnsi="宋体"/>
          <w:snapToGrid w:val="0"/>
          <w:color w:val="auto"/>
          <w:highlight w:val="none"/>
        </w:rPr>
        <w:t>评标委员会</w:t>
      </w:r>
      <w:r>
        <w:rPr>
          <w:color w:val="auto"/>
          <w:highlight w:val="none"/>
        </w:rPr>
        <w:tab/>
      </w:r>
      <w:r>
        <w:rPr>
          <w:color w:val="auto"/>
          <w:highlight w:val="none"/>
        </w:rPr>
        <w:fldChar w:fldCharType="begin"/>
      </w:r>
      <w:r>
        <w:rPr>
          <w:color w:val="auto"/>
          <w:highlight w:val="none"/>
        </w:rPr>
        <w:instrText xml:space="preserve"> PAGEREF _Toc117005214 \h </w:instrText>
      </w:r>
      <w:r>
        <w:rPr>
          <w:color w:val="auto"/>
          <w:highlight w:val="none"/>
        </w:rPr>
        <w:fldChar w:fldCharType="separate"/>
      </w:r>
      <w:r>
        <w:rPr>
          <w:color w:val="auto"/>
          <w:highlight w:val="none"/>
        </w:rPr>
        <w:t>33</w:t>
      </w:r>
      <w:r>
        <w:rPr>
          <w:color w:val="auto"/>
          <w:highlight w:val="none"/>
        </w:rPr>
        <w:fldChar w:fldCharType="end"/>
      </w:r>
      <w:r>
        <w:rPr>
          <w:color w:val="auto"/>
          <w:highlight w:val="none"/>
        </w:rPr>
        <w:fldChar w:fldCharType="end"/>
      </w:r>
    </w:p>
    <w:p w14:paraId="47695F55">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"_Toc117005215" </w:instrText>
      </w:r>
      <w:r>
        <w:rPr>
          <w:color w:val="auto"/>
          <w:highlight w:val="none"/>
        </w:rPr>
        <w:fldChar w:fldCharType="separate"/>
      </w:r>
      <w:r>
        <w:rPr>
          <w:rStyle w:val="54"/>
          <w:rFonts w:ascii="宋体" w:hAnsi="宋体"/>
          <w:snapToGrid w:val="0"/>
          <w:color w:val="auto"/>
          <w:highlight w:val="none"/>
        </w:rPr>
        <w:t xml:space="preserve">6.2  </w:t>
      </w:r>
      <w:r>
        <w:rPr>
          <w:rStyle w:val="54"/>
          <w:rFonts w:hint="eastAsia" w:ascii="宋体" w:hAnsi="宋体"/>
          <w:snapToGrid w:val="0"/>
          <w:color w:val="auto"/>
          <w:highlight w:val="none"/>
        </w:rPr>
        <w:t>评标原则</w:t>
      </w:r>
      <w:r>
        <w:rPr>
          <w:color w:val="auto"/>
          <w:highlight w:val="none"/>
        </w:rPr>
        <w:tab/>
      </w:r>
      <w:r>
        <w:rPr>
          <w:color w:val="auto"/>
          <w:highlight w:val="none"/>
        </w:rPr>
        <w:fldChar w:fldCharType="begin"/>
      </w:r>
      <w:r>
        <w:rPr>
          <w:color w:val="auto"/>
          <w:highlight w:val="none"/>
        </w:rPr>
        <w:instrText xml:space="preserve"> PAGEREF _Toc117005215 \h </w:instrText>
      </w:r>
      <w:r>
        <w:rPr>
          <w:color w:val="auto"/>
          <w:highlight w:val="none"/>
        </w:rPr>
        <w:fldChar w:fldCharType="separate"/>
      </w:r>
      <w:r>
        <w:rPr>
          <w:color w:val="auto"/>
          <w:highlight w:val="none"/>
        </w:rPr>
        <w:t>33</w:t>
      </w:r>
      <w:r>
        <w:rPr>
          <w:color w:val="auto"/>
          <w:highlight w:val="none"/>
        </w:rPr>
        <w:fldChar w:fldCharType="end"/>
      </w:r>
      <w:r>
        <w:rPr>
          <w:color w:val="auto"/>
          <w:highlight w:val="none"/>
        </w:rPr>
        <w:fldChar w:fldCharType="end"/>
      </w:r>
    </w:p>
    <w:p w14:paraId="035DCAFD">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"_Toc117005216" </w:instrText>
      </w:r>
      <w:r>
        <w:rPr>
          <w:color w:val="auto"/>
          <w:highlight w:val="none"/>
        </w:rPr>
        <w:fldChar w:fldCharType="separate"/>
      </w:r>
      <w:r>
        <w:rPr>
          <w:rStyle w:val="54"/>
          <w:rFonts w:ascii="宋体" w:hAnsi="宋体"/>
          <w:snapToGrid w:val="0"/>
          <w:color w:val="auto"/>
          <w:highlight w:val="none"/>
        </w:rPr>
        <w:t xml:space="preserve">6.3  </w:t>
      </w:r>
      <w:r>
        <w:rPr>
          <w:rStyle w:val="54"/>
          <w:rFonts w:hint="eastAsia" w:ascii="宋体" w:hAnsi="宋体"/>
          <w:snapToGrid w:val="0"/>
          <w:color w:val="auto"/>
          <w:highlight w:val="none"/>
        </w:rPr>
        <w:t>评标</w:t>
      </w:r>
      <w:r>
        <w:rPr>
          <w:color w:val="auto"/>
          <w:highlight w:val="none"/>
        </w:rPr>
        <w:tab/>
      </w:r>
      <w:r>
        <w:rPr>
          <w:color w:val="auto"/>
          <w:highlight w:val="none"/>
        </w:rPr>
        <w:fldChar w:fldCharType="begin"/>
      </w:r>
      <w:r>
        <w:rPr>
          <w:color w:val="auto"/>
          <w:highlight w:val="none"/>
        </w:rPr>
        <w:instrText xml:space="preserve"> PAGEREF _Toc117005216 \h </w:instrText>
      </w:r>
      <w:r>
        <w:rPr>
          <w:color w:val="auto"/>
          <w:highlight w:val="none"/>
        </w:rPr>
        <w:fldChar w:fldCharType="separate"/>
      </w:r>
      <w:r>
        <w:rPr>
          <w:color w:val="auto"/>
          <w:highlight w:val="none"/>
        </w:rPr>
        <w:t>33</w:t>
      </w:r>
      <w:r>
        <w:rPr>
          <w:color w:val="auto"/>
          <w:highlight w:val="none"/>
        </w:rPr>
        <w:fldChar w:fldCharType="end"/>
      </w:r>
      <w:r>
        <w:rPr>
          <w:color w:val="auto"/>
          <w:highlight w:val="none"/>
        </w:rPr>
        <w:fldChar w:fldCharType="end"/>
      </w:r>
    </w:p>
    <w:p w14:paraId="1D6CC22B">
      <w:pPr>
        <w:pStyle w:val="37"/>
        <w:tabs>
          <w:tab w:val="right" w:leader="dot" w:pos="9459"/>
        </w:tabs>
        <w:rPr>
          <w:rFonts w:asciiTheme="minorHAnsi" w:hAnsiTheme="minorHAnsi" w:eastAsiaTheme="minorEastAsia" w:cstheme="minorBidi"/>
          <w:smallCaps w:val="0"/>
          <w:color w:val="auto"/>
          <w:sz w:val="21"/>
          <w:szCs w:val="22"/>
          <w:highlight w:val="none"/>
        </w:rPr>
      </w:pPr>
      <w:r>
        <w:rPr>
          <w:color w:val="auto"/>
          <w:highlight w:val="none"/>
        </w:rPr>
        <w:fldChar w:fldCharType="begin"/>
      </w:r>
      <w:r>
        <w:rPr>
          <w:color w:val="auto"/>
          <w:highlight w:val="none"/>
        </w:rPr>
        <w:instrText xml:space="preserve"> HYPERLINK \l "_Toc117005217" </w:instrText>
      </w:r>
      <w:r>
        <w:rPr>
          <w:color w:val="auto"/>
          <w:highlight w:val="none"/>
        </w:rPr>
        <w:fldChar w:fldCharType="separate"/>
      </w:r>
      <w:r>
        <w:rPr>
          <w:rStyle w:val="54"/>
          <w:rFonts w:ascii="宋体" w:hAnsi="宋体"/>
          <w:snapToGrid w:val="0"/>
          <w:color w:val="auto"/>
          <w:highlight w:val="none"/>
        </w:rPr>
        <w:t xml:space="preserve">7.  </w:t>
      </w:r>
      <w:r>
        <w:rPr>
          <w:rStyle w:val="54"/>
          <w:rFonts w:hint="eastAsia" w:ascii="宋体" w:hAnsi="宋体"/>
          <w:snapToGrid w:val="0"/>
          <w:color w:val="auto"/>
          <w:highlight w:val="none"/>
        </w:rPr>
        <w:t>合同授予</w:t>
      </w:r>
      <w:r>
        <w:rPr>
          <w:color w:val="auto"/>
          <w:highlight w:val="none"/>
        </w:rPr>
        <w:tab/>
      </w:r>
      <w:r>
        <w:rPr>
          <w:color w:val="auto"/>
          <w:highlight w:val="none"/>
        </w:rPr>
        <w:fldChar w:fldCharType="begin"/>
      </w:r>
      <w:r>
        <w:rPr>
          <w:color w:val="auto"/>
          <w:highlight w:val="none"/>
        </w:rPr>
        <w:instrText xml:space="preserve"> PAGEREF _Toc117005217 \h </w:instrText>
      </w:r>
      <w:r>
        <w:rPr>
          <w:color w:val="auto"/>
          <w:highlight w:val="none"/>
        </w:rPr>
        <w:fldChar w:fldCharType="separate"/>
      </w:r>
      <w:r>
        <w:rPr>
          <w:color w:val="auto"/>
          <w:highlight w:val="none"/>
        </w:rPr>
        <w:t>33</w:t>
      </w:r>
      <w:r>
        <w:rPr>
          <w:color w:val="auto"/>
          <w:highlight w:val="none"/>
        </w:rPr>
        <w:fldChar w:fldCharType="end"/>
      </w:r>
      <w:r>
        <w:rPr>
          <w:color w:val="auto"/>
          <w:highlight w:val="none"/>
        </w:rPr>
        <w:fldChar w:fldCharType="end"/>
      </w:r>
    </w:p>
    <w:p w14:paraId="3A16FA79">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"_Toc117005218" </w:instrText>
      </w:r>
      <w:r>
        <w:rPr>
          <w:color w:val="auto"/>
          <w:highlight w:val="none"/>
        </w:rPr>
        <w:fldChar w:fldCharType="separate"/>
      </w:r>
      <w:r>
        <w:rPr>
          <w:rStyle w:val="54"/>
          <w:rFonts w:ascii="宋体" w:hAnsi="宋体"/>
          <w:snapToGrid w:val="0"/>
          <w:color w:val="auto"/>
          <w:highlight w:val="none"/>
        </w:rPr>
        <w:t xml:space="preserve">7.1  </w:t>
      </w:r>
      <w:r>
        <w:rPr>
          <w:rStyle w:val="54"/>
          <w:rFonts w:hint="eastAsia" w:ascii="宋体" w:hAnsi="宋体"/>
          <w:snapToGrid w:val="0"/>
          <w:color w:val="auto"/>
          <w:highlight w:val="none"/>
        </w:rPr>
        <w:t>定标方式</w:t>
      </w:r>
      <w:r>
        <w:rPr>
          <w:color w:val="auto"/>
          <w:highlight w:val="none"/>
        </w:rPr>
        <w:tab/>
      </w:r>
      <w:r>
        <w:rPr>
          <w:color w:val="auto"/>
          <w:highlight w:val="none"/>
        </w:rPr>
        <w:fldChar w:fldCharType="begin"/>
      </w:r>
      <w:r>
        <w:rPr>
          <w:color w:val="auto"/>
          <w:highlight w:val="none"/>
        </w:rPr>
        <w:instrText xml:space="preserve"> PAGEREF _Toc117005218 \h </w:instrText>
      </w:r>
      <w:r>
        <w:rPr>
          <w:color w:val="auto"/>
          <w:highlight w:val="none"/>
        </w:rPr>
        <w:fldChar w:fldCharType="separate"/>
      </w:r>
      <w:r>
        <w:rPr>
          <w:color w:val="auto"/>
          <w:highlight w:val="none"/>
        </w:rPr>
        <w:t>33</w:t>
      </w:r>
      <w:r>
        <w:rPr>
          <w:color w:val="auto"/>
          <w:highlight w:val="none"/>
        </w:rPr>
        <w:fldChar w:fldCharType="end"/>
      </w:r>
      <w:r>
        <w:rPr>
          <w:color w:val="auto"/>
          <w:highlight w:val="none"/>
        </w:rPr>
        <w:fldChar w:fldCharType="end"/>
      </w:r>
    </w:p>
    <w:p w14:paraId="5ADAA1BA">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"_Toc117005219" </w:instrText>
      </w:r>
      <w:r>
        <w:rPr>
          <w:color w:val="auto"/>
          <w:highlight w:val="none"/>
        </w:rPr>
        <w:fldChar w:fldCharType="separate"/>
      </w:r>
      <w:r>
        <w:rPr>
          <w:rStyle w:val="54"/>
          <w:rFonts w:ascii="宋体" w:hAnsi="宋体"/>
          <w:snapToGrid w:val="0"/>
          <w:color w:val="auto"/>
          <w:highlight w:val="none"/>
        </w:rPr>
        <w:t xml:space="preserve">7.2  </w:t>
      </w:r>
      <w:r>
        <w:rPr>
          <w:rStyle w:val="54"/>
          <w:rFonts w:hint="eastAsia" w:ascii="宋体" w:hAnsi="宋体"/>
          <w:snapToGrid w:val="0"/>
          <w:color w:val="auto"/>
          <w:highlight w:val="none"/>
        </w:rPr>
        <w:t>中标公示及中标通知</w:t>
      </w:r>
      <w:r>
        <w:rPr>
          <w:color w:val="auto"/>
          <w:highlight w:val="none"/>
        </w:rPr>
        <w:tab/>
      </w:r>
      <w:r>
        <w:rPr>
          <w:color w:val="auto"/>
          <w:highlight w:val="none"/>
        </w:rPr>
        <w:fldChar w:fldCharType="begin"/>
      </w:r>
      <w:r>
        <w:rPr>
          <w:color w:val="auto"/>
          <w:highlight w:val="none"/>
        </w:rPr>
        <w:instrText xml:space="preserve"> PAGEREF _Toc117005219 \h </w:instrText>
      </w:r>
      <w:r>
        <w:rPr>
          <w:color w:val="auto"/>
          <w:highlight w:val="none"/>
        </w:rPr>
        <w:fldChar w:fldCharType="separate"/>
      </w:r>
      <w:r>
        <w:rPr>
          <w:color w:val="auto"/>
          <w:highlight w:val="none"/>
        </w:rPr>
        <w:t>33</w:t>
      </w:r>
      <w:r>
        <w:rPr>
          <w:color w:val="auto"/>
          <w:highlight w:val="none"/>
        </w:rPr>
        <w:fldChar w:fldCharType="end"/>
      </w:r>
      <w:r>
        <w:rPr>
          <w:color w:val="auto"/>
          <w:highlight w:val="none"/>
        </w:rPr>
        <w:fldChar w:fldCharType="end"/>
      </w:r>
    </w:p>
    <w:p w14:paraId="7BF8CDF0">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"_Toc117005220" </w:instrText>
      </w:r>
      <w:r>
        <w:rPr>
          <w:color w:val="auto"/>
          <w:highlight w:val="none"/>
        </w:rPr>
        <w:fldChar w:fldCharType="separate"/>
      </w:r>
      <w:r>
        <w:rPr>
          <w:rStyle w:val="54"/>
          <w:rFonts w:ascii="宋体" w:hAnsi="宋体"/>
          <w:snapToGrid w:val="0"/>
          <w:color w:val="auto"/>
          <w:highlight w:val="none"/>
        </w:rPr>
        <w:t xml:space="preserve">7.3  </w:t>
      </w:r>
      <w:r>
        <w:rPr>
          <w:rStyle w:val="54"/>
          <w:rFonts w:hint="eastAsia" w:ascii="宋体" w:hAnsi="宋体"/>
          <w:snapToGrid w:val="0"/>
          <w:color w:val="auto"/>
          <w:highlight w:val="none"/>
        </w:rPr>
        <w:t>履约担保</w:t>
      </w:r>
      <w:r>
        <w:rPr>
          <w:color w:val="auto"/>
          <w:highlight w:val="none"/>
        </w:rPr>
        <w:tab/>
      </w:r>
      <w:r>
        <w:rPr>
          <w:color w:val="auto"/>
          <w:highlight w:val="none"/>
        </w:rPr>
        <w:fldChar w:fldCharType="begin"/>
      </w:r>
      <w:r>
        <w:rPr>
          <w:color w:val="auto"/>
          <w:highlight w:val="none"/>
        </w:rPr>
        <w:instrText xml:space="preserve"> PAGEREF _Toc117005220 \h </w:instrText>
      </w:r>
      <w:r>
        <w:rPr>
          <w:color w:val="auto"/>
          <w:highlight w:val="none"/>
        </w:rPr>
        <w:fldChar w:fldCharType="separate"/>
      </w:r>
      <w:r>
        <w:rPr>
          <w:color w:val="auto"/>
          <w:highlight w:val="none"/>
        </w:rPr>
        <w:t>33</w:t>
      </w:r>
      <w:r>
        <w:rPr>
          <w:color w:val="auto"/>
          <w:highlight w:val="none"/>
        </w:rPr>
        <w:fldChar w:fldCharType="end"/>
      </w:r>
      <w:r>
        <w:rPr>
          <w:color w:val="auto"/>
          <w:highlight w:val="none"/>
        </w:rPr>
        <w:fldChar w:fldCharType="end"/>
      </w:r>
    </w:p>
    <w:p w14:paraId="7E773498">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"_Toc117005221" </w:instrText>
      </w:r>
      <w:r>
        <w:rPr>
          <w:color w:val="auto"/>
          <w:highlight w:val="none"/>
        </w:rPr>
        <w:fldChar w:fldCharType="separate"/>
      </w:r>
      <w:r>
        <w:rPr>
          <w:rStyle w:val="54"/>
          <w:rFonts w:ascii="宋体" w:hAnsi="宋体"/>
          <w:snapToGrid w:val="0"/>
          <w:color w:val="auto"/>
          <w:highlight w:val="none"/>
        </w:rPr>
        <w:t xml:space="preserve">7.4  </w:t>
      </w:r>
      <w:r>
        <w:rPr>
          <w:rStyle w:val="54"/>
          <w:rFonts w:hint="eastAsia" w:ascii="宋体" w:hAnsi="宋体"/>
          <w:snapToGrid w:val="0"/>
          <w:color w:val="auto"/>
          <w:highlight w:val="none"/>
        </w:rPr>
        <w:t>签订合同</w:t>
      </w:r>
      <w:r>
        <w:rPr>
          <w:color w:val="auto"/>
          <w:highlight w:val="none"/>
        </w:rPr>
        <w:tab/>
      </w:r>
      <w:r>
        <w:rPr>
          <w:color w:val="auto"/>
          <w:highlight w:val="none"/>
        </w:rPr>
        <w:fldChar w:fldCharType="begin"/>
      </w:r>
      <w:r>
        <w:rPr>
          <w:color w:val="auto"/>
          <w:highlight w:val="none"/>
        </w:rPr>
        <w:instrText xml:space="preserve"> PAGEREF _Toc117005221 \h </w:instrText>
      </w:r>
      <w:r>
        <w:rPr>
          <w:color w:val="auto"/>
          <w:highlight w:val="none"/>
        </w:rPr>
        <w:fldChar w:fldCharType="separate"/>
      </w:r>
      <w:r>
        <w:rPr>
          <w:color w:val="auto"/>
          <w:highlight w:val="none"/>
        </w:rPr>
        <w:t>34</w:t>
      </w:r>
      <w:r>
        <w:rPr>
          <w:color w:val="auto"/>
          <w:highlight w:val="none"/>
        </w:rPr>
        <w:fldChar w:fldCharType="end"/>
      </w:r>
      <w:r>
        <w:rPr>
          <w:color w:val="auto"/>
          <w:highlight w:val="none"/>
        </w:rPr>
        <w:fldChar w:fldCharType="end"/>
      </w:r>
    </w:p>
    <w:p w14:paraId="2B0929A7">
      <w:pPr>
        <w:pStyle w:val="37"/>
        <w:tabs>
          <w:tab w:val="right" w:leader="dot" w:pos="9459"/>
        </w:tabs>
        <w:rPr>
          <w:rFonts w:asciiTheme="minorHAnsi" w:hAnsiTheme="minorHAnsi" w:eastAsiaTheme="minorEastAsia" w:cstheme="minorBidi"/>
          <w:smallCaps w:val="0"/>
          <w:color w:val="auto"/>
          <w:sz w:val="21"/>
          <w:szCs w:val="22"/>
          <w:highlight w:val="none"/>
        </w:rPr>
      </w:pPr>
      <w:r>
        <w:rPr>
          <w:color w:val="auto"/>
          <w:highlight w:val="none"/>
        </w:rPr>
        <w:fldChar w:fldCharType="begin"/>
      </w:r>
      <w:r>
        <w:rPr>
          <w:color w:val="auto"/>
          <w:highlight w:val="none"/>
        </w:rPr>
        <w:instrText xml:space="preserve"> HYPERLINK \l "_Toc117005222" </w:instrText>
      </w:r>
      <w:r>
        <w:rPr>
          <w:color w:val="auto"/>
          <w:highlight w:val="none"/>
        </w:rPr>
        <w:fldChar w:fldCharType="separate"/>
      </w:r>
      <w:r>
        <w:rPr>
          <w:rStyle w:val="54"/>
          <w:rFonts w:ascii="宋体" w:hAnsi="宋体"/>
          <w:snapToGrid w:val="0"/>
          <w:color w:val="auto"/>
          <w:highlight w:val="none"/>
        </w:rPr>
        <w:t xml:space="preserve">8.  </w:t>
      </w:r>
      <w:r>
        <w:rPr>
          <w:rStyle w:val="54"/>
          <w:rFonts w:hint="eastAsia" w:ascii="宋体" w:hAnsi="宋体"/>
          <w:snapToGrid w:val="0"/>
          <w:color w:val="auto"/>
          <w:highlight w:val="none"/>
        </w:rPr>
        <w:t>重新招标和不再招标</w:t>
      </w:r>
      <w:r>
        <w:rPr>
          <w:color w:val="auto"/>
          <w:highlight w:val="none"/>
        </w:rPr>
        <w:tab/>
      </w:r>
      <w:r>
        <w:rPr>
          <w:color w:val="auto"/>
          <w:highlight w:val="none"/>
        </w:rPr>
        <w:fldChar w:fldCharType="begin"/>
      </w:r>
      <w:r>
        <w:rPr>
          <w:color w:val="auto"/>
          <w:highlight w:val="none"/>
        </w:rPr>
        <w:instrText xml:space="preserve"> PAGEREF _Toc117005222 \h </w:instrText>
      </w:r>
      <w:r>
        <w:rPr>
          <w:color w:val="auto"/>
          <w:highlight w:val="none"/>
        </w:rPr>
        <w:fldChar w:fldCharType="separate"/>
      </w:r>
      <w:r>
        <w:rPr>
          <w:color w:val="auto"/>
          <w:highlight w:val="none"/>
        </w:rPr>
        <w:t>34</w:t>
      </w:r>
      <w:r>
        <w:rPr>
          <w:color w:val="auto"/>
          <w:highlight w:val="none"/>
        </w:rPr>
        <w:fldChar w:fldCharType="end"/>
      </w:r>
      <w:r>
        <w:rPr>
          <w:color w:val="auto"/>
          <w:highlight w:val="none"/>
        </w:rPr>
        <w:fldChar w:fldCharType="end"/>
      </w:r>
    </w:p>
    <w:p w14:paraId="3FA2070A">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"_Toc117005223" </w:instrText>
      </w:r>
      <w:r>
        <w:rPr>
          <w:color w:val="auto"/>
          <w:highlight w:val="none"/>
        </w:rPr>
        <w:fldChar w:fldCharType="separate"/>
      </w:r>
      <w:r>
        <w:rPr>
          <w:rStyle w:val="54"/>
          <w:rFonts w:ascii="宋体" w:hAnsi="宋体"/>
          <w:snapToGrid w:val="0"/>
          <w:color w:val="auto"/>
          <w:highlight w:val="none"/>
        </w:rPr>
        <w:t xml:space="preserve">8.1  </w:t>
      </w:r>
      <w:r>
        <w:rPr>
          <w:rStyle w:val="54"/>
          <w:rFonts w:hint="eastAsia" w:ascii="宋体" w:hAnsi="宋体"/>
          <w:snapToGrid w:val="0"/>
          <w:color w:val="auto"/>
          <w:highlight w:val="none"/>
        </w:rPr>
        <w:t>重新招标的情形</w:t>
      </w:r>
      <w:r>
        <w:rPr>
          <w:color w:val="auto"/>
          <w:highlight w:val="none"/>
        </w:rPr>
        <w:tab/>
      </w:r>
      <w:r>
        <w:rPr>
          <w:color w:val="auto"/>
          <w:highlight w:val="none"/>
        </w:rPr>
        <w:fldChar w:fldCharType="begin"/>
      </w:r>
      <w:r>
        <w:rPr>
          <w:color w:val="auto"/>
          <w:highlight w:val="none"/>
        </w:rPr>
        <w:instrText xml:space="preserve"> PAGEREF _Toc117005223 \h </w:instrText>
      </w:r>
      <w:r>
        <w:rPr>
          <w:color w:val="auto"/>
          <w:highlight w:val="none"/>
        </w:rPr>
        <w:fldChar w:fldCharType="separate"/>
      </w:r>
      <w:r>
        <w:rPr>
          <w:color w:val="auto"/>
          <w:highlight w:val="none"/>
        </w:rPr>
        <w:t>34</w:t>
      </w:r>
      <w:r>
        <w:rPr>
          <w:color w:val="auto"/>
          <w:highlight w:val="none"/>
        </w:rPr>
        <w:fldChar w:fldCharType="end"/>
      </w:r>
      <w:r>
        <w:rPr>
          <w:color w:val="auto"/>
          <w:highlight w:val="none"/>
        </w:rPr>
        <w:fldChar w:fldCharType="end"/>
      </w:r>
    </w:p>
    <w:p w14:paraId="3A032C47">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"_Toc117005224" </w:instrText>
      </w:r>
      <w:r>
        <w:rPr>
          <w:color w:val="auto"/>
          <w:highlight w:val="none"/>
        </w:rPr>
        <w:fldChar w:fldCharType="separate"/>
      </w:r>
      <w:r>
        <w:rPr>
          <w:rStyle w:val="54"/>
          <w:rFonts w:ascii="宋体" w:hAnsi="宋体"/>
          <w:snapToGrid w:val="0"/>
          <w:color w:val="auto"/>
          <w:highlight w:val="none"/>
        </w:rPr>
        <w:t xml:space="preserve">8.2  </w:t>
      </w:r>
      <w:r>
        <w:rPr>
          <w:rStyle w:val="54"/>
          <w:rFonts w:hint="eastAsia" w:ascii="宋体" w:hAnsi="宋体"/>
          <w:snapToGrid w:val="0"/>
          <w:color w:val="auto"/>
          <w:highlight w:val="none"/>
        </w:rPr>
        <w:t>重新招标和不再招标</w:t>
      </w:r>
      <w:r>
        <w:rPr>
          <w:color w:val="auto"/>
          <w:highlight w:val="none"/>
        </w:rPr>
        <w:tab/>
      </w:r>
      <w:r>
        <w:rPr>
          <w:color w:val="auto"/>
          <w:highlight w:val="none"/>
        </w:rPr>
        <w:fldChar w:fldCharType="begin"/>
      </w:r>
      <w:r>
        <w:rPr>
          <w:color w:val="auto"/>
          <w:highlight w:val="none"/>
        </w:rPr>
        <w:instrText xml:space="preserve"> PAGEREF _Toc117005224 \h </w:instrText>
      </w:r>
      <w:r>
        <w:rPr>
          <w:color w:val="auto"/>
          <w:highlight w:val="none"/>
        </w:rPr>
        <w:fldChar w:fldCharType="separate"/>
      </w:r>
      <w:r>
        <w:rPr>
          <w:color w:val="auto"/>
          <w:highlight w:val="none"/>
        </w:rPr>
        <w:t>34</w:t>
      </w:r>
      <w:r>
        <w:rPr>
          <w:color w:val="auto"/>
          <w:highlight w:val="none"/>
        </w:rPr>
        <w:fldChar w:fldCharType="end"/>
      </w:r>
      <w:r>
        <w:rPr>
          <w:color w:val="auto"/>
          <w:highlight w:val="none"/>
        </w:rPr>
        <w:fldChar w:fldCharType="end"/>
      </w:r>
    </w:p>
    <w:p w14:paraId="7D083D56">
      <w:pPr>
        <w:pStyle w:val="37"/>
        <w:tabs>
          <w:tab w:val="right" w:leader="dot" w:pos="9459"/>
        </w:tabs>
        <w:rPr>
          <w:rFonts w:asciiTheme="minorHAnsi" w:hAnsiTheme="minorHAnsi" w:eastAsiaTheme="minorEastAsia" w:cstheme="minorBidi"/>
          <w:smallCaps w:val="0"/>
          <w:color w:val="auto"/>
          <w:sz w:val="21"/>
          <w:szCs w:val="22"/>
          <w:highlight w:val="none"/>
        </w:rPr>
      </w:pPr>
      <w:r>
        <w:rPr>
          <w:color w:val="auto"/>
          <w:highlight w:val="none"/>
        </w:rPr>
        <w:fldChar w:fldCharType="begin"/>
      </w:r>
      <w:r>
        <w:rPr>
          <w:color w:val="auto"/>
          <w:highlight w:val="none"/>
        </w:rPr>
        <w:instrText xml:space="preserve"> HYPERLINK \l "_Toc117005225" </w:instrText>
      </w:r>
      <w:r>
        <w:rPr>
          <w:color w:val="auto"/>
          <w:highlight w:val="none"/>
        </w:rPr>
        <w:fldChar w:fldCharType="separate"/>
      </w:r>
      <w:r>
        <w:rPr>
          <w:rStyle w:val="54"/>
          <w:rFonts w:ascii="宋体" w:hAnsi="宋体"/>
          <w:snapToGrid w:val="0"/>
          <w:color w:val="auto"/>
          <w:highlight w:val="none"/>
        </w:rPr>
        <w:t xml:space="preserve">9.  </w:t>
      </w:r>
      <w:r>
        <w:rPr>
          <w:rStyle w:val="54"/>
          <w:rFonts w:hint="eastAsia" w:ascii="宋体" w:hAnsi="宋体"/>
          <w:snapToGrid w:val="0"/>
          <w:color w:val="auto"/>
          <w:highlight w:val="none"/>
        </w:rPr>
        <w:t>纪律和监督</w:t>
      </w:r>
      <w:r>
        <w:rPr>
          <w:color w:val="auto"/>
          <w:highlight w:val="none"/>
        </w:rPr>
        <w:tab/>
      </w:r>
      <w:r>
        <w:rPr>
          <w:color w:val="auto"/>
          <w:highlight w:val="none"/>
        </w:rPr>
        <w:fldChar w:fldCharType="begin"/>
      </w:r>
      <w:r>
        <w:rPr>
          <w:color w:val="auto"/>
          <w:highlight w:val="none"/>
        </w:rPr>
        <w:instrText xml:space="preserve"> PAGEREF _Toc117005225 \h </w:instrText>
      </w:r>
      <w:r>
        <w:rPr>
          <w:color w:val="auto"/>
          <w:highlight w:val="none"/>
        </w:rPr>
        <w:fldChar w:fldCharType="separate"/>
      </w:r>
      <w:r>
        <w:rPr>
          <w:color w:val="auto"/>
          <w:highlight w:val="none"/>
        </w:rPr>
        <w:t>34</w:t>
      </w:r>
      <w:r>
        <w:rPr>
          <w:color w:val="auto"/>
          <w:highlight w:val="none"/>
        </w:rPr>
        <w:fldChar w:fldCharType="end"/>
      </w:r>
      <w:r>
        <w:rPr>
          <w:color w:val="auto"/>
          <w:highlight w:val="none"/>
        </w:rPr>
        <w:fldChar w:fldCharType="end"/>
      </w:r>
    </w:p>
    <w:p w14:paraId="5598E88A">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"_Toc117005226" </w:instrText>
      </w:r>
      <w:r>
        <w:rPr>
          <w:color w:val="auto"/>
          <w:highlight w:val="none"/>
        </w:rPr>
        <w:fldChar w:fldCharType="separate"/>
      </w:r>
      <w:r>
        <w:rPr>
          <w:rStyle w:val="54"/>
          <w:rFonts w:ascii="宋体" w:hAnsi="宋体"/>
          <w:snapToGrid w:val="0"/>
          <w:color w:val="auto"/>
          <w:highlight w:val="none"/>
        </w:rPr>
        <w:t xml:space="preserve">9.1  </w:t>
      </w:r>
      <w:r>
        <w:rPr>
          <w:rStyle w:val="54"/>
          <w:rFonts w:hint="eastAsia" w:ascii="宋体" w:hAnsi="宋体"/>
          <w:snapToGrid w:val="0"/>
          <w:color w:val="auto"/>
          <w:highlight w:val="none"/>
        </w:rPr>
        <w:t>对招标人的纪律要求</w:t>
      </w:r>
      <w:r>
        <w:rPr>
          <w:color w:val="auto"/>
          <w:highlight w:val="none"/>
        </w:rPr>
        <w:tab/>
      </w:r>
      <w:r>
        <w:rPr>
          <w:color w:val="auto"/>
          <w:highlight w:val="none"/>
        </w:rPr>
        <w:fldChar w:fldCharType="begin"/>
      </w:r>
      <w:r>
        <w:rPr>
          <w:color w:val="auto"/>
          <w:highlight w:val="none"/>
        </w:rPr>
        <w:instrText xml:space="preserve"> PAGEREF _Toc117005226 \h </w:instrText>
      </w:r>
      <w:r>
        <w:rPr>
          <w:color w:val="auto"/>
          <w:highlight w:val="none"/>
        </w:rPr>
        <w:fldChar w:fldCharType="separate"/>
      </w:r>
      <w:r>
        <w:rPr>
          <w:color w:val="auto"/>
          <w:highlight w:val="none"/>
        </w:rPr>
        <w:t>34</w:t>
      </w:r>
      <w:r>
        <w:rPr>
          <w:color w:val="auto"/>
          <w:highlight w:val="none"/>
        </w:rPr>
        <w:fldChar w:fldCharType="end"/>
      </w:r>
      <w:r>
        <w:rPr>
          <w:color w:val="auto"/>
          <w:highlight w:val="none"/>
        </w:rPr>
        <w:fldChar w:fldCharType="end"/>
      </w:r>
    </w:p>
    <w:p w14:paraId="4FBAD4EB">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"_Toc117005227" </w:instrText>
      </w:r>
      <w:r>
        <w:rPr>
          <w:color w:val="auto"/>
          <w:highlight w:val="none"/>
        </w:rPr>
        <w:fldChar w:fldCharType="separate"/>
      </w:r>
      <w:r>
        <w:rPr>
          <w:rStyle w:val="54"/>
          <w:rFonts w:ascii="宋体" w:hAnsi="宋体"/>
          <w:snapToGrid w:val="0"/>
          <w:color w:val="auto"/>
          <w:highlight w:val="none"/>
        </w:rPr>
        <w:t xml:space="preserve">9.2  </w:t>
      </w:r>
      <w:r>
        <w:rPr>
          <w:rStyle w:val="54"/>
          <w:rFonts w:hint="eastAsia" w:ascii="宋体" w:hAnsi="宋体"/>
          <w:snapToGrid w:val="0"/>
          <w:color w:val="auto"/>
          <w:highlight w:val="none"/>
        </w:rPr>
        <w:t>对投标人的纪律要求</w:t>
      </w:r>
      <w:r>
        <w:rPr>
          <w:color w:val="auto"/>
          <w:highlight w:val="none"/>
        </w:rPr>
        <w:tab/>
      </w:r>
      <w:r>
        <w:rPr>
          <w:color w:val="auto"/>
          <w:highlight w:val="none"/>
        </w:rPr>
        <w:fldChar w:fldCharType="begin"/>
      </w:r>
      <w:r>
        <w:rPr>
          <w:color w:val="auto"/>
          <w:highlight w:val="none"/>
        </w:rPr>
        <w:instrText xml:space="preserve"> PAGEREF _Toc117005227 \h </w:instrText>
      </w:r>
      <w:r>
        <w:rPr>
          <w:color w:val="auto"/>
          <w:highlight w:val="none"/>
        </w:rPr>
        <w:fldChar w:fldCharType="separate"/>
      </w:r>
      <w:r>
        <w:rPr>
          <w:color w:val="auto"/>
          <w:highlight w:val="none"/>
        </w:rPr>
        <w:t>35</w:t>
      </w:r>
      <w:r>
        <w:rPr>
          <w:color w:val="auto"/>
          <w:highlight w:val="none"/>
        </w:rPr>
        <w:fldChar w:fldCharType="end"/>
      </w:r>
      <w:r>
        <w:rPr>
          <w:color w:val="auto"/>
          <w:highlight w:val="none"/>
        </w:rPr>
        <w:fldChar w:fldCharType="end"/>
      </w:r>
    </w:p>
    <w:p w14:paraId="00F15F49">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"_Toc117005228" </w:instrText>
      </w:r>
      <w:r>
        <w:rPr>
          <w:color w:val="auto"/>
          <w:highlight w:val="none"/>
        </w:rPr>
        <w:fldChar w:fldCharType="separate"/>
      </w:r>
      <w:r>
        <w:rPr>
          <w:rStyle w:val="54"/>
          <w:rFonts w:ascii="宋体" w:hAnsi="宋体"/>
          <w:snapToGrid w:val="0"/>
          <w:color w:val="auto"/>
          <w:highlight w:val="none"/>
        </w:rPr>
        <w:t xml:space="preserve">9.3  </w:t>
      </w:r>
      <w:r>
        <w:rPr>
          <w:rStyle w:val="54"/>
          <w:rFonts w:hint="eastAsia" w:ascii="宋体" w:hAnsi="宋体"/>
          <w:snapToGrid w:val="0"/>
          <w:color w:val="auto"/>
          <w:highlight w:val="none"/>
        </w:rPr>
        <w:t>对评标委员会成员的纪律要求</w:t>
      </w:r>
      <w:r>
        <w:rPr>
          <w:color w:val="auto"/>
          <w:highlight w:val="none"/>
        </w:rPr>
        <w:tab/>
      </w:r>
      <w:r>
        <w:rPr>
          <w:color w:val="auto"/>
          <w:highlight w:val="none"/>
        </w:rPr>
        <w:fldChar w:fldCharType="begin"/>
      </w:r>
      <w:r>
        <w:rPr>
          <w:color w:val="auto"/>
          <w:highlight w:val="none"/>
        </w:rPr>
        <w:instrText xml:space="preserve"> PAGEREF _Toc117005228 \h </w:instrText>
      </w:r>
      <w:r>
        <w:rPr>
          <w:color w:val="auto"/>
          <w:highlight w:val="none"/>
        </w:rPr>
        <w:fldChar w:fldCharType="separate"/>
      </w:r>
      <w:r>
        <w:rPr>
          <w:color w:val="auto"/>
          <w:highlight w:val="none"/>
        </w:rPr>
        <w:t>35</w:t>
      </w:r>
      <w:r>
        <w:rPr>
          <w:color w:val="auto"/>
          <w:highlight w:val="none"/>
        </w:rPr>
        <w:fldChar w:fldCharType="end"/>
      </w:r>
      <w:r>
        <w:rPr>
          <w:color w:val="auto"/>
          <w:highlight w:val="none"/>
        </w:rPr>
        <w:fldChar w:fldCharType="end"/>
      </w:r>
    </w:p>
    <w:p w14:paraId="47244928">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"_Toc117005229" </w:instrText>
      </w:r>
      <w:r>
        <w:rPr>
          <w:color w:val="auto"/>
          <w:highlight w:val="none"/>
        </w:rPr>
        <w:fldChar w:fldCharType="separate"/>
      </w:r>
      <w:r>
        <w:rPr>
          <w:rStyle w:val="54"/>
          <w:rFonts w:ascii="宋体" w:hAnsi="宋体"/>
          <w:snapToGrid w:val="0"/>
          <w:color w:val="auto"/>
          <w:highlight w:val="none"/>
        </w:rPr>
        <w:t xml:space="preserve">9.4  </w:t>
      </w:r>
      <w:r>
        <w:rPr>
          <w:rStyle w:val="54"/>
          <w:rFonts w:hint="eastAsia" w:ascii="宋体" w:hAnsi="宋体"/>
          <w:snapToGrid w:val="0"/>
          <w:color w:val="auto"/>
          <w:highlight w:val="none"/>
        </w:rPr>
        <w:t>对与评标活动有关的工作人员的纪律要求</w:t>
      </w:r>
      <w:r>
        <w:rPr>
          <w:color w:val="auto"/>
          <w:highlight w:val="none"/>
        </w:rPr>
        <w:tab/>
      </w:r>
      <w:r>
        <w:rPr>
          <w:color w:val="auto"/>
          <w:highlight w:val="none"/>
        </w:rPr>
        <w:fldChar w:fldCharType="begin"/>
      </w:r>
      <w:r>
        <w:rPr>
          <w:color w:val="auto"/>
          <w:highlight w:val="none"/>
        </w:rPr>
        <w:instrText xml:space="preserve"> PAGEREF _Toc117005229 \h </w:instrText>
      </w:r>
      <w:r>
        <w:rPr>
          <w:color w:val="auto"/>
          <w:highlight w:val="none"/>
        </w:rPr>
        <w:fldChar w:fldCharType="separate"/>
      </w:r>
      <w:r>
        <w:rPr>
          <w:color w:val="auto"/>
          <w:highlight w:val="none"/>
        </w:rPr>
        <w:t>36</w:t>
      </w:r>
      <w:r>
        <w:rPr>
          <w:color w:val="auto"/>
          <w:highlight w:val="none"/>
        </w:rPr>
        <w:fldChar w:fldCharType="end"/>
      </w:r>
      <w:r>
        <w:rPr>
          <w:color w:val="auto"/>
          <w:highlight w:val="none"/>
        </w:rPr>
        <w:fldChar w:fldCharType="end"/>
      </w:r>
    </w:p>
    <w:p w14:paraId="411B2DD0">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"_Toc117005230" </w:instrText>
      </w:r>
      <w:r>
        <w:rPr>
          <w:color w:val="auto"/>
          <w:highlight w:val="none"/>
        </w:rPr>
        <w:fldChar w:fldCharType="separate"/>
      </w:r>
      <w:r>
        <w:rPr>
          <w:rStyle w:val="54"/>
          <w:rFonts w:ascii="宋体" w:hAnsi="宋体"/>
          <w:snapToGrid w:val="0"/>
          <w:color w:val="auto"/>
          <w:highlight w:val="none"/>
        </w:rPr>
        <w:t xml:space="preserve">9.5  </w:t>
      </w:r>
      <w:r>
        <w:rPr>
          <w:rStyle w:val="54"/>
          <w:rFonts w:hint="eastAsia" w:ascii="宋体" w:hAnsi="宋体"/>
          <w:snapToGrid w:val="0"/>
          <w:color w:val="auto"/>
          <w:highlight w:val="none"/>
        </w:rPr>
        <w:t>投诉</w:t>
      </w:r>
      <w:r>
        <w:rPr>
          <w:color w:val="auto"/>
          <w:highlight w:val="none"/>
        </w:rPr>
        <w:tab/>
      </w:r>
      <w:r>
        <w:rPr>
          <w:color w:val="auto"/>
          <w:highlight w:val="none"/>
        </w:rPr>
        <w:fldChar w:fldCharType="begin"/>
      </w:r>
      <w:r>
        <w:rPr>
          <w:color w:val="auto"/>
          <w:highlight w:val="none"/>
        </w:rPr>
        <w:instrText xml:space="preserve"> PAGEREF _Toc117005230 \h </w:instrText>
      </w:r>
      <w:r>
        <w:rPr>
          <w:color w:val="auto"/>
          <w:highlight w:val="none"/>
        </w:rPr>
        <w:fldChar w:fldCharType="separate"/>
      </w:r>
      <w:r>
        <w:rPr>
          <w:color w:val="auto"/>
          <w:highlight w:val="none"/>
        </w:rPr>
        <w:t>36</w:t>
      </w:r>
      <w:r>
        <w:rPr>
          <w:color w:val="auto"/>
          <w:highlight w:val="none"/>
        </w:rPr>
        <w:fldChar w:fldCharType="end"/>
      </w:r>
      <w:r>
        <w:rPr>
          <w:color w:val="auto"/>
          <w:highlight w:val="none"/>
        </w:rPr>
        <w:fldChar w:fldCharType="end"/>
      </w:r>
    </w:p>
    <w:p w14:paraId="34B87DFD">
      <w:pPr>
        <w:pStyle w:val="37"/>
        <w:tabs>
          <w:tab w:val="right" w:leader="dot" w:pos="9459"/>
        </w:tabs>
        <w:rPr>
          <w:rFonts w:asciiTheme="minorHAnsi" w:hAnsiTheme="minorHAnsi" w:eastAsiaTheme="minorEastAsia" w:cstheme="minorBidi"/>
          <w:smallCaps w:val="0"/>
          <w:color w:val="auto"/>
          <w:sz w:val="21"/>
          <w:szCs w:val="22"/>
          <w:highlight w:val="none"/>
        </w:rPr>
      </w:pPr>
      <w:r>
        <w:rPr>
          <w:color w:val="auto"/>
          <w:highlight w:val="none"/>
        </w:rPr>
        <w:fldChar w:fldCharType="begin"/>
      </w:r>
      <w:r>
        <w:rPr>
          <w:color w:val="auto"/>
          <w:highlight w:val="none"/>
        </w:rPr>
        <w:instrText xml:space="preserve"> HYPERLINK \l "_Toc117005231" </w:instrText>
      </w:r>
      <w:r>
        <w:rPr>
          <w:color w:val="auto"/>
          <w:highlight w:val="none"/>
        </w:rPr>
        <w:fldChar w:fldCharType="separate"/>
      </w:r>
      <w:r>
        <w:rPr>
          <w:rStyle w:val="54"/>
          <w:rFonts w:ascii="宋体" w:hAnsi="宋体"/>
          <w:snapToGrid w:val="0"/>
          <w:color w:val="auto"/>
          <w:highlight w:val="none"/>
        </w:rPr>
        <w:t xml:space="preserve">10. </w:t>
      </w:r>
      <w:r>
        <w:rPr>
          <w:rStyle w:val="54"/>
          <w:rFonts w:hint="eastAsia" w:ascii="宋体" w:hAnsi="宋体"/>
          <w:snapToGrid w:val="0"/>
          <w:color w:val="auto"/>
          <w:highlight w:val="none"/>
        </w:rPr>
        <w:t>需要补充的其他内容</w:t>
      </w:r>
      <w:r>
        <w:rPr>
          <w:color w:val="auto"/>
          <w:highlight w:val="none"/>
        </w:rPr>
        <w:tab/>
      </w:r>
      <w:r>
        <w:rPr>
          <w:color w:val="auto"/>
          <w:highlight w:val="none"/>
        </w:rPr>
        <w:fldChar w:fldCharType="begin"/>
      </w:r>
      <w:r>
        <w:rPr>
          <w:color w:val="auto"/>
          <w:highlight w:val="none"/>
        </w:rPr>
        <w:instrText xml:space="preserve"> PAGEREF _Toc117005231 \h </w:instrText>
      </w:r>
      <w:r>
        <w:rPr>
          <w:color w:val="auto"/>
          <w:highlight w:val="none"/>
        </w:rPr>
        <w:fldChar w:fldCharType="separate"/>
      </w:r>
      <w:r>
        <w:rPr>
          <w:color w:val="auto"/>
          <w:highlight w:val="none"/>
        </w:rPr>
        <w:t>36</w:t>
      </w:r>
      <w:r>
        <w:rPr>
          <w:color w:val="auto"/>
          <w:highlight w:val="none"/>
        </w:rPr>
        <w:fldChar w:fldCharType="end"/>
      </w:r>
      <w:r>
        <w:rPr>
          <w:color w:val="auto"/>
          <w:highlight w:val="none"/>
        </w:rPr>
        <w:fldChar w:fldCharType="end"/>
      </w:r>
    </w:p>
    <w:p w14:paraId="379F8F55">
      <w:pPr>
        <w:pStyle w:val="31"/>
        <w:tabs>
          <w:tab w:val="right" w:leader="dot" w:pos="9459"/>
        </w:tabs>
        <w:rPr>
          <w:rFonts w:asciiTheme="minorHAnsi" w:hAnsiTheme="minorHAnsi" w:eastAsiaTheme="minorEastAsia" w:cstheme="minorBidi"/>
          <w:b w:val="0"/>
          <w:bCs w:val="0"/>
          <w:caps w:val="0"/>
          <w:color w:val="auto"/>
          <w:sz w:val="21"/>
          <w:szCs w:val="22"/>
          <w:highlight w:val="none"/>
        </w:rPr>
      </w:pPr>
      <w:r>
        <w:rPr>
          <w:color w:val="auto"/>
          <w:highlight w:val="none"/>
        </w:rPr>
        <w:fldChar w:fldCharType="begin"/>
      </w:r>
      <w:r>
        <w:rPr>
          <w:color w:val="auto"/>
          <w:highlight w:val="none"/>
        </w:rPr>
        <w:instrText xml:space="preserve"> HYPERLINK \l "_Toc117005232" </w:instrText>
      </w:r>
      <w:r>
        <w:rPr>
          <w:color w:val="auto"/>
          <w:highlight w:val="none"/>
        </w:rPr>
        <w:fldChar w:fldCharType="separate"/>
      </w:r>
      <w:r>
        <w:rPr>
          <w:rStyle w:val="54"/>
          <w:rFonts w:hint="eastAsia" w:ascii="宋体" w:hAnsi="宋体"/>
          <w:color w:val="auto"/>
          <w:highlight w:val="none"/>
        </w:rPr>
        <w:t>第三章</w:t>
      </w:r>
      <w:r>
        <w:rPr>
          <w:rStyle w:val="54"/>
          <w:rFonts w:ascii="宋体" w:hAnsi="宋体"/>
          <w:color w:val="auto"/>
          <w:highlight w:val="none"/>
        </w:rPr>
        <w:t xml:space="preserve">  </w:t>
      </w:r>
      <w:r>
        <w:rPr>
          <w:rStyle w:val="54"/>
          <w:rFonts w:hint="eastAsia" w:ascii="宋体" w:hAnsi="宋体"/>
          <w:color w:val="auto"/>
          <w:highlight w:val="none"/>
        </w:rPr>
        <w:t>评标办法（综合评估法）</w:t>
      </w:r>
      <w:r>
        <w:rPr>
          <w:color w:val="auto"/>
          <w:highlight w:val="none"/>
        </w:rPr>
        <w:tab/>
      </w:r>
      <w:r>
        <w:rPr>
          <w:color w:val="auto"/>
          <w:highlight w:val="none"/>
        </w:rPr>
        <w:fldChar w:fldCharType="begin"/>
      </w:r>
      <w:r>
        <w:rPr>
          <w:color w:val="auto"/>
          <w:highlight w:val="none"/>
        </w:rPr>
        <w:instrText xml:space="preserve"> PAGEREF _Toc117005232 \h </w:instrText>
      </w:r>
      <w:r>
        <w:rPr>
          <w:color w:val="auto"/>
          <w:highlight w:val="none"/>
        </w:rPr>
        <w:fldChar w:fldCharType="separate"/>
      </w:r>
      <w:r>
        <w:rPr>
          <w:color w:val="auto"/>
          <w:highlight w:val="none"/>
        </w:rPr>
        <w:t>42</w:t>
      </w:r>
      <w:r>
        <w:rPr>
          <w:color w:val="auto"/>
          <w:highlight w:val="none"/>
        </w:rPr>
        <w:fldChar w:fldCharType="end"/>
      </w:r>
      <w:r>
        <w:rPr>
          <w:color w:val="auto"/>
          <w:highlight w:val="none"/>
        </w:rPr>
        <w:fldChar w:fldCharType="end"/>
      </w:r>
    </w:p>
    <w:p w14:paraId="695AB6F8">
      <w:pPr>
        <w:pStyle w:val="37"/>
        <w:tabs>
          <w:tab w:val="right" w:leader="dot" w:pos="9459"/>
        </w:tabs>
        <w:rPr>
          <w:rFonts w:asciiTheme="minorHAnsi" w:hAnsiTheme="minorHAnsi" w:eastAsiaTheme="minorEastAsia" w:cstheme="minorBidi"/>
          <w:smallCaps w:val="0"/>
          <w:color w:val="auto"/>
          <w:sz w:val="21"/>
          <w:szCs w:val="22"/>
          <w:highlight w:val="none"/>
        </w:rPr>
      </w:pPr>
      <w:r>
        <w:rPr>
          <w:color w:val="auto"/>
          <w:highlight w:val="none"/>
        </w:rPr>
        <w:fldChar w:fldCharType="begin"/>
      </w:r>
      <w:r>
        <w:rPr>
          <w:color w:val="auto"/>
          <w:highlight w:val="none"/>
        </w:rPr>
        <w:instrText xml:space="preserve"> HYPERLINK \l "_Toc117005233" </w:instrText>
      </w:r>
      <w:r>
        <w:rPr>
          <w:color w:val="auto"/>
          <w:highlight w:val="none"/>
        </w:rPr>
        <w:fldChar w:fldCharType="separate"/>
      </w:r>
      <w:r>
        <w:rPr>
          <w:rStyle w:val="54"/>
          <w:rFonts w:hint="eastAsia" w:ascii="宋体" w:hAnsi="宋体"/>
          <w:color w:val="auto"/>
          <w:highlight w:val="none"/>
        </w:rPr>
        <w:t>评标办法前附表</w:t>
      </w:r>
      <w:r>
        <w:rPr>
          <w:color w:val="auto"/>
          <w:highlight w:val="none"/>
        </w:rPr>
        <w:tab/>
      </w:r>
      <w:r>
        <w:rPr>
          <w:color w:val="auto"/>
          <w:highlight w:val="none"/>
        </w:rPr>
        <w:fldChar w:fldCharType="begin"/>
      </w:r>
      <w:r>
        <w:rPr>
          <w:color w:val="auto"/>
          <w:highlight w:val="none"/>
        </w:rPr>
        <w:instrText xml:space="preserve"> PAGEREF _Toc117005233 \h </w:instrText>
      </w:r>
      <w:r>
        <w:rPr>
          <w:color w:val="auto"/>
          <w:highlight w:val="none"/>
        </w:rPr>
        <w:fldChar w:fldCharType="separate"/>
      </w:r>
      <w:r>
        <w:rPr>
          <w:color w:val="auto"/>
          <w:highlight w:val="none"/>
        </w:rPr>
        <w:t>42</w:t>
      </w:r>
      <w:r>
        <w:rPr>
          <w:color w:val="auto"/>
          <w:highlight w:val="none"/>
        </w:rPr>
        <w:fldChar w:fldCharType="end"/>
      </w:r>
      <w:r>
        <w:rPr>
          <w:color w:val="auto"/>
          <w:highlight w:val="none"/>
        </w:rPr>
        <w:fldChar w:fldCharType="end"/>
      </w:r>
    </w:p>
    <w:p w14:paraId="6BFFB624">
      <w:pPr>
        <w:pStyle w:val="37"/>
        <w:tabs>
          <w:tab w:val="right" w:leader="dot" w:pos="9459"/>
        </w:tabs>
        <w:rPr>
          <w:rFonts w:asciiTheme="minorHAnsi" w:hAnsiTheme="minorHAnsi" w:eastAsiaTheme="minorEastAsia" w:cstheme="minorBidi"/>
          <w:smallCaps w:val="0"/>
          <w:color w:val="auto"/>
          <w:sz w:val="21"/>
          <w:szCs w:val="22"/>
          <w:highlight w:val="none"/>
        </w:rPr>
      </w:pPr>
      <w:r>
        <w:rPr>
          <w:color w:val="auto"/>
          <w:highlight w:val="none"/>
        </w:rPr>
        <w:fldChar w:fldCharType="begin"/>
      </w:r>
      <w:r>
        <w:rPr>
          <w:color w:val="auto"/>
          <w:highlight w:val="none"/>
        </w:rPr>
        <w:instrText xml:space="preserve"> HYPERLINK \l "_Toc117005234" </w:instrText>
      </w:r>
      <w:r>
        <w:rPr>
          <w:color w:val="auto"/>
          <w:highlight w:val="none"/>
        </w:rPr>
        <w:fldChar w:fldCharType="separate"/>
      </w:r>
      <w:r>
        <w:rPr>
          <w:rStyle w:val="54"/>
          <w:rFonts w:ascii="宋体" w:hAnsi="宋体"/>
          <w:snapToGrid w:val="0"/>
          <w:color w:val="auto"/>
          <w:highlight w:val="none"/>
        </w:rPr>
        <w:t xml:space="preserve">1.  </w:t>
      </w:r>
      <w:r>
        <w:rPr>
          <w:rStyle w:val="54"/>
          <w:rFonts w:hint="eastAsia" w:ascii="宋体" w:hAnsi="宋体"/>
          <w:snapToGrid w:val="0"/>
          <w:color w:val="auto"/>
          <w:highlight w:val="none"/>
        </w:rPr>
        <w:t>评标方法</w:t>
      </w:r>
      <w:r>
        <w:rPr>
          <w:color w:val="auto"/>
          <w:highlight w:val="none"/>
        </w:rPr>
        <w:tab/>
      </w:r>
      <w:r>
        <w:rPr>
          <w:color w:val="auto"/>
          <w:highlight w:val="none"/>
        </w:rPr>
        <w:fldChar w:fldCharType="begin"/>
      </w:r>
      <w:r>
        <w:rPr>
          <w:color w:val="auto"/>
          <w:highlight w:val="none"/>
        </w:rPr>
        <w:instrText xml:space="preserve"> PAGEREF _Toc117005234 \h </w:instrText>
      </w:r>
      <w:r>
        <w:rPr>
          <w:color w:val="auto"/>
          <w:highlight w:val="none"/>
        </w:rPr>
        <w:fldChar w:fldCharType="separate"/>
      </w:r>
      <w:r>
        <w:rPr>
          <w:color w:val="auto"/>
          <w:highlight w:val="none"/>
        </w:rPr>
        <w:t>48</w:t>
      </w:r>
      <w:r>
        <w:rPr>
          <w:color w:val="auto"/>
          <w:highlight w:val="none"/>
        </w:rPr>
        <w:fldChar w:fldCharType="end"/>
      </w:r>
      <w:r>
        <w:rPr>
          <w:color w:val="auto"/>
          <w:highlight w:val="none"/>
        </w:rPr>
        <w:fldChar w:fldCharType="end"/>
      </w:r>
    </w:p>
    <w:p w14:paraId="0BC1AA04">
      <w:pPr>
        <w:pStyle w:val="37"/>
        <w:tabs>
          <w:tab w:val="right" w:leader="dot" w:pos="9459"/>
        </w:tabs>
        <w:rPr>
          <w:rFonts w:asciiTheme="minorHAnsi" w:hAnsiTheme="minorHAnsi" w:eastAsiaTheme="minorEastAsia" w:cstheme="minorBidi"/>
          <w:smallCaps w:val="0"/>
          <w:color w:val="auto"/>
          <w:sz w:val="21"/>
          <w:szCs w:val="22"/>
          <w:highlight w:val="none"/>
        </w:rPr>
      </w:pPr>
      <w:r>
        <w:rPr>
          <w:color w:val="auto"/>
          <w:highlight w:val="none"/>
        </w:rPr>
        <w:fldChar w:fldCharType="begin"/>
      </w:r>
      <w:r>
        <w:rPr>
          <w:color w:val="auto"/>
          <w:highlight w:val="none"/>
        </w:rPr>
        <w:instrText xml:space="preserve"> HYPERLINK \l "_Toc117005235" </w:instrText>
      </w:r>
      <w:r>
        <w:rPr>
          <w:color w:val="auto"/>
          <w:highlight w:val="none"/>
        </w:rPr>
        <w:fldChar w:fldCharType="separate"/>
      </w:r>
      <w:r>
        <w:rPr>
          <w:rStyle w:val="54"/>
          <w:rFonts w:ascii="宋体" w:hAnsi="宋体"/>
          <w:snapToGrid w:val="0"/>
          <w:color w:val="auto"/>
          <w:highlight w:val="none"/>
        </w:rPr>
        <w:t xml:space="preserve">2.  </w:t>
      </w:r>
      <w:r>
        <w:rPr>
          <w:rStyle w:val="54"/>
          <w:rFonts w:hint="eastAsia" w:ascii="宋体" w:hAnsi="宋体"/>
          <w:snapToGrid w:val="0"/>
          <w:color w:val="auto"/>
          <w:highlight w:val="none"/>
        </w:rPr>
        <w:t>评审标准</w:t>
      </w:r>
      <w:r>
        <w:rPr>
          <w:color w:val="auto"/>
          <w:highlight w:val="none"/>
        </w:rPr>
        <w:tab/>
      </w:r>
      <w:r>
        <w:rPr>
          <w:color w:val="auto"/>
          <w:highlight w:val="none"/>
        </w:rPr>
        <w:fldChar w:fldCharType="begin"/>
      </w:r>
      <w:r>
        <w:rPr>
          <w:color w:val="auto"/>
          <w:highlight w:val="none"/>
        </w:rPr>
        <w:instrText xml:space="preserve"> PAGEREF _Toc117005235 \h </w:instrText>
      </w:r>
      <w:r>
        <w:rPr>
          <w:color w:val="auto"/>
          <w:highlight w:val="none"/>
        </w:rPr>
        <w:fldChar w:fldCharType="separate"/>
      </w:r>
      <w:r>
        <w:rPr>
          <w:color w:val="auto"/>
          <w:highlight w:val="none"/>
        </w:rPr>
        <w:t>48</w:t>
      </w:r>
      <w:r>
        <w:rPr>
          <w:color w:val="auto"/>
          <w:highlight w:val="none"/>
        </w:rPr>
        <w:fldChar w:fldCharType="end"/>
      </w:r>
      <w:r>
        <w:rPr>
          <w:color w:val="auto"/>
          <w:highlight w:val="none"/>
        </w:rPr>
        <w:fldChar w:fldCharType="end"/>
      </w:r>
    </w:p>
    <w:p w14:paraId="25FE2997">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"_Toc117005236" </w:instrText>
      </w:r>
      <w:r>
        <w:rPr>
          <w:color w:val="auto"/>
          <w:highlight w:val="none"/>
        </w:rPr>
        <w:fldChar w:fldCharType="separate"/>
      </w:r>
      <w:r>
        <w:rPr>
          <w:rStyle w:val="54"/>
          <w:rFonts w:ascii="宋体" w:hAnsi="宋体"/>
          <w:snapToGrid w:val="0"/>
          <w:color w:val="auto"/>
          <w:highlight w:val="none"/>
        </w:rPr>
        <w:t xml:space="preserve">2.1  </w:t>
      </w:r>
      <w:r>
        <w:rPr>
          <w:rStyle w:val="54"/>
          <w:rFonts w:hint="eastAsia" w:ascii="宋体" w:hAnsi="宋体"/>
          <w:snapToGrid w:val="0"/>
          <w:color w:val="auto"/>
          <w:highlight w:val="none"/>
        </w:rPr>
        <w:t>初步评审标准</w:t>
      </w:r>
      <w:r>
        <w:rPr>
          <w:color w:val="auto"/>
          <w:highlight w:val="none"/>
        </w:rPr>
        <w:tab/>
      </w:r>
      <w:r>
        <w:rPr>
          <w:color w:val="auto"/>
          <w:highlight w:val="none"/>
        </w:rPr>
        <w:fldChar w:fldCharType="begin"/>
      </w:r>
      <w:r>
        <w:rPr>
          <w:color w:val="auto"/>
          <w:highlight w:val="none"/>
        </w:rPr>
        <w:instrText xml:space="preserve"> PAGEREF _Toc117005236 \h </w:instrText>
      </w:r>
      <w:r>
        <w:rPr>
          <w:color w:val="auto"/>
          <w:highlight w:val="none"/>
        </w:rPr>
        <w:fldChar w:fldCharType="separate"/>
      </w:r>
      <w:r>
        <w:rPr>
          <w:color w:val="auto"/>
          <w:highlight w:val="none"/>
        </w:rPr>
        <w:t>48</w:t>
      </w:r>
      <w:r>
        <w:rPr>
          <w:color w:val="auto"/>
          <w:highlight w:val="none"/>
        </w:rPr>
        <w:fldChar w:fldCharType="end"/>
      </w:r>
      <w:r>
        <w:rPr>
          <w:color w:val="auto"/>
          <w:highlight w:val="none"/>
        </w:rPr>
        <w:fldChar w:fldCharType="end"/>
      </w:r>
    </w:p>
    <w:p w14:paraId="5D8AAEAF">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"_Toc117005237" </w:instrText>
      </w:r>
      <w:r>
        <w:rPr>
          <w:color w:val="auto"/>
          <w:highlight w:val="none"/>
        </w:rPr>
        <w:fldChar w:fldCharType="separate"/>
      </w:r>
      <w:r>
        <w:rPr>
          <w:rStyle w:val="54"/>
          <w:rFonts w:ascii="宋体" w:hAnsi="宋体"/>
          <w:snapToGrid w:val="0"/>
          <w:color w:val="auto"/>
          <w:highlight w:val="none"/>
        </w:rPr>
        <w:t xml:space="preserve">2.2  </w:t>
      </w:r>
      <w:r>
        <w:rPr>
          <w:rStyle w:val="54"/>
          <w:rFonts w:hint="eastAsia" w:ascii="宋体" w:hAnsi="宋体"/>
          <w:snapToGrid w:val="0"/>
          <w:color w:val="auto"/>
          <w:highlight w:val="none"/>
        </w:rPr>
        <w:t>分值构成与评分标准</w:t>
      </w:r>
      <w:r>
        <w:rPr>
          <w:color w:val="auto"/>
          <w:highlight w:val="none"/>
        </w:rPr>
        <w:tab/>
      </w:r>
      <w:r>
        <w:rPr>
          <w:color w:val="auto"/>
          <w:highlight w:val="none"/>
        </w:rPr>
        <w:fldChar w:fldCharType="begin"/>
      </w:r>
      <w:r>
        <w:rPr>
          <w:color w:val="auto"/>
          <w:highlight w:val="none"/>
        </w:rPr>
        <w:instrText xml:space="preserve"> PAGEREF _Toc117005237 \h </w:instrText>
      </w:r>
      <w:r>
        <w:rPr>
          <w:color w:val="auto"/>
          <w:highlight w:val="none"/>
        </w:rPr>
        <w:fldChar w:fldCharType="separate"/>
      </w:r>
      <w:r>
        <w:rPr>
          <w:color w:val="auto"/>
          <w:highlight w:val="none"/>
        </w:rPr>
        <w:t>48</w:t>
      </w:r>
      <w:r>
        <w:rPr>
          <w:color w:val="auto"/>
          <w:highlight w:val="none"/>
        </w:rPr>
        <w:fldChar w:fldCharType="end"/>
      </w:r>
      <w:r>
        <w:rPr>
          <w:color w:val="auto"/>
          <w:highlight w:val="none"/>
        </w:rPr>
        <w:fldChar w:fldCharType="end"/>
      </w:r>
    </w:p>
    <w:p w14:paraId="29C766C3">
      <w:pPr>
        <w:pStyle w:val="37"/>
        <w:tabs>
          <w:tab w:val="right" w:leader="dot" w:pos="9459"/>
        </w:tabs>
        <w:rPr>
          <w:rFonts w:asciiTheme="minorHAnsi" w:hAnsiTheme="minorHAnsi" w:eastAsiaTheme="minorEastAsia" w:cstheme="minorBidi"/>
          <w:smallCaps w:val="0"/>
          <w:color w:val="auto"/>
          <w:sz w:val="21"/>
          <w:szCs w:val="22"/>
          <w:highlight w:val="none"/>
        </w:rPr>
      </w:pPr>
      <w:r>
        <w:rPr>
          <w:color w:val="auto"/>
          <w:highlight w:val="none"/>
        </w:rPr>
        <w:fldChar w:fldCharType="begin"/>
      </w:r>
      <w:r>
        <w:rPr>
          <w:color w:val="auto"/>
          <w:highlight w:val="none"/>
        </w:rPr>
        <w:instrText xml:space="preserve"> HYPERLINK \l "_Toc117005238" </w:instrText>
      </w:r>
      <w:r>
        <w:rPr>
          <w:color w:val="auto"/>
          <w:highlight w:val="none"/>
        </w:rPr>
        <w:fldChar w:fldCharType="separate"/>
      </w:r>
      <w:r>
        <w:rPr>
          <w:rStyle w:val="54"/>
          <w:rFonts w:ascii="宋体" w:hAnsi="宋体"/>
          <w:snapToGrid w:val="0"/>
          <w:color w:val="auto"/>
          <w:highlight w:val="none"/>
        </w:rPr>
        <w:t xml:space="preserve">3.  </w:t>
      </w:r>
      <w:r>
        <w:rPr>
          <w:rStyle w:val="54"/>
          <w:rFonts w:hint="eastAsia" w:ascii="宋体" w:hAnsi="宋体"/>
          <w:snapToGrid w:val="0"/>
          <w:color w:val="auto"/>
          <w:highlight w:val="none"/>
        </w:rPr>
        <w:t>评标程序</w:t>
      </w:r>
      <w:r>
        <w:rPr>
          <w:color w:val="auto"/>
          <w:highlight w:val="none"/>
        </w:rPr>
        <w:tab/>
      </w:r>
      <w:r>
        <w:rPr>
          <w:color w:val="auto"/>
          <w:highlight w:val="none"/>
        </w:rPr>
        <w:fldChar w:fldCharType="begin"/>
      </w:r>
      <w:r>
        <w:rPr>
          <w:color w:val="auto"/>
          <w:highlight w:val="none"/>
        </w:rPr>
        <w:instrText xml:space="preserve"> PAGEREF _Toc117005238 \h </w:instrText>
      </w:r>
      <w:r>
        <w:rPr>
          <w:color w:val="auto"/>
          <w:highlight w:val="none"/>
        </w:rPr>
        <w:fldChar w:fldCharType="separate"/>
      </w:r>
      <w:r>
        <w:rPr>
          <w:color w:val="auto"/>
          <w:highlight w:val="none"/>
        </w:rPr>
        <w:t>48</w:t>
      </w:r>
      <w:r>
        <w:rPr>
          <w:color w:val="auto"/>
          <w:highlight w:val="none"/>
        </w:rPr>
        <w:fldChar w:fldCharType="end"/>
      </w:r>
      <w:r>
        <w:rPr>
          <w:color w:val="auto"/>
          <w:highlight w:val="none"/>
        </w:rPr>
        <w:fldChar w:fldCharType="end"/>
      </w:r>
    </w:p>
    <w:p w14:paraId="0875F7EE">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"_Toc117005239" </w:instrText>
      </w:r>
      <w:r>
        <w:rPr>
          <w:color w:val="auto"/>
          <w:highlight w:val="none"/>
        </w:rPr>
        <w:fldChar w:fldCharType="separate"/>
      </w:r>
      <w:r>
        <w:rPr>
          <w:rStyle w:val="54"/>
          <w:rFonts w:ascii="宋体" w:hAnsi="宋体"/>
          <w:snapToGrid w:val="0"/>
          <w:color w:val="auto"/>
          <w:highlight w:val="none"/>
        </w:rPr>
        <w:t xml:space="preserve">3.1  </w:t>
      </w:r>
      <w:r>
        <w:rPr>
          <w:rStyle w:val="54"/>
          <w:rFonts w:hint="eastAsia" w:ascii="宋体" w:hAnsi="宋体"/>
          <w:snapToGrid w:val="0"/>
          <w:color w:val="auto"/>
          <w:highlight w:val="none"/>
        </w:rPr>
        <w:t>初步评审</w:t>
      </w:r>
      <w:r>
        <w:rPr>
          <w:color w:val="auto"/>
          <w:highlight w:val="none"/>
        </w:rPr>
        <w:tab/>
      </w:r>
      <w:r>
        <w:rPr>
          <w:color w:val="auto"/>
          <w:highlight w:val="none"/>
        </w:rPr>
        <w:fldChar w:fldCharType="begin"/>
      </w:r>
      <w:r>
        <w:rPr>
          <w:color w:val="auto"/>
          <w:highlight w:val="none"/>
        </w:rPr>
        <w:instrText xml:space="preserve"> PAGEREF _Toc117005239 \h </w:instrText>
      </w:r>
      <w:r>
        <w:rPr>
          <w:color w:val="auto"/>
          <w:highlight w:val="none"/>
        </w:rPr>
        <w:fldChar w:fldCharType="separate"/>
      </w:r>
      <w:r>
        <w:rPr>
          <w:color w:val="auto"/>
          <w:highlight w:val="none"/>
        </w:rPr>
        <w:t>48</w:t>
      </w:r>
      <w:r>
        <w:rPr>
          <w:color w:val="auto"/>
          <w:highlight w:val="none"/>
        </w:rPr>
        <w:fldChar w:fldCharType="end"/>
      </w:r>
      <w:r>
        <w:rPr>
          <w:color w:val="auto"/>
          <w:highlight w:val="none"/>
        </w:rPr>
        <w:fldChar w:fldCharType="end"/>
      </w:r>
    </w:p>
    <w:p w14:paraId="662970B3">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"_Toc117005240" </w:instrText>
      </w:r>
      <w:r>
        <w:rPr>
          <w:color w:val="auto"/>
          <w:highlight w:val="none"/>
        </w:rPr>
        <w:fldChar w:fldCharType="separate"/>
      </w:r>
      <w:r>
        <w:rPr>
          <w:rStyle w:val="54"/>
          <w:rFonts w:ascii="宋体" w:hAnsi="宋体"/>
          <w:snapToGrid w:val="0"/>
          <w:color w:val="auto"/>
          <w:highlight w:val="none"/>
        </w:rPr>
        <w:t xml:space="preserve">3.2  </w:t>
      </w:r>
      <w:r>
        <w:rPr>
          <w:rStyle w:val="54"/>
          <w:rFonts w:hint="eastAsia" w:ascii="宋体" w:hAnsi="宋体"/>
          <w:snapToGrid w:val="0"/>
          <w:color w:val="auto"/>
          <w:highlight w:val="none"/>
        </w:rPr>
        <w:t>详细评审</w:t>
      </w:r>
      <w:r>
        <w:rPr>
          <w:color w:val="auto"/>
          <w:highlight w:val="none"/>
        </w:rPr>
        <w:tab/>
      </w:r>
      <w:r>
        <w:rPr>
          <w:color w:val="auto"/>
          <w:highlight w:val="none"/>
        </w:rPr>
        <w:fldChar w:fldCharType="begin"/>
      </w:r>
      <w:r>
        <w:rPr>
          <w:color w:val="auto"/>
          <w:highlight w:val="none"/>
        </w:rPr>
        <w:instrText xml:space="preserve"> PAGEREF _Toc117005240 \h </w:instrText>
      </w:r>
      <w:r>
        <w:rPr>
          <w:color w:val="auto"/>
          <w:highlight w:val="none"/>
        </w:rPr>
        <w:fldChar w:fldCharType="separate"/>
      </w:r>
      <w:r>
        <w:rPr>
          <w:color w:val="auto"/>
          <w:highlight w:val="none"/>
        </w:rPr>
        <w:t>49</w:t>
      </w:r>
      <w:r>
        <w:rPr>
          <w:color w:val="auto"/>
          <w:highlight w:val="none"/>
        </w:rPr>
        <w:fldChar w:fldCharType="end"/>
      </w:r>
      <w:r>
        <w:rPr>
          <w:color w:val="auto"/>
          <w:highlight w:val="none"/>
        </w:rPr>
        <w:fldChar w:fldCharType="end"/>
      </w:r>
    </w:p>
    <w:p w14:paraId="7B2AE3F0">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"_Toc117005241" </w:instrText>
      </w:r>
      <w:r>
        <w:rPr>
          <w:color w:val="auto"/>
          <w:highlight w:val="none"/>
        </w:rPr>
        <w:fldChar w:fldCharType="separate"/>
      </w:r>
      <w:r>
        <w:rPr>
          <w:rStyle w:val="54"/>
          <w:rFonts w:ascii="宋体" w:hAnsi="宋体"/>
          <w:snapToGrid w:val="0"/>
          <w:color w:val="auto"/>
          <w:highlight w:val="none"/>
        </w:rPr>
        <w:t xml:space="preserve">3.3  </w:t>
      </w:r>
      <w:r>
        <w:rPr>
          <w:rStyle w:val="54"/>
          <w:rFonts w:hint="eastAsia" w:ascii="宋体" w:hAnsi="宋体"/>
          <w:snapToGrid w:val="0"/>
          <w:color w:val="auto"/>
          <w:highlight w:val="none"/>
        </w:rPr>
        <w:t>投标文件的澄清和补正</w:t>
      </w:r>
      <w:r>
        <w:rPr>
          <w:color w:val="auto"/>
          <w:highlight w:val="none"/>
        </w:rPr>
        <w:tab/>
      </w:r>
      <w:r>
        <w:rPr>
          <w:color w:val="auto"/>
          <w:highlight w:val="none"/>
        </w:rPr>
        <w:fldChar w:fldCharType="begin"/>
      </w:r>
      <w:r>
        <w:rPr>
          <w:color w:val="auto"/>
          <w:highlight w:val="none"/>
        </w:rPr>
        <w:instrText xml:space="preserve"> PAGEREF _Toc117005241 \h </w:instrText>
      </w:r>
      <w:r>
        <w:rPr>
          <w:color w:val="auto"/>
          <w:highlight w:val="none"/>
        </w:rPr>
        <w:fldChar w:fldCharType="separate"/>
      </w:r>
      <w:r>
        <w:rPr>
          <w:color w:val="auto"/>
          <w:highlight w:val="none"/>
        </w:rPr>
        <w:t>49</w:t>
      </w:r>
      <w:r>
        <w:rPr>
          <w:color w:val="auto"/>
          <w:highlight w:val="none"/>
        </w:rPr>
        <w:fldChar w:fldCharType="end"/>
      </w:r>
      <w:r>
        <w:rPr>
          <w:color w:val="auto"/>
          <w:highlight w:val="none"/>
        </w:rPr>
        <w:fldChar w:fldCharType="end"/>
      </w:r>
    </w:p>
    <w:p w14:paraId="2F7E4F9F">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"_Toc117005242" </w:instrText>
      </w:r>
      <w:r>
        <w:rPr>
          <w:color w:val="auto"/>
          <w:highlight w:val="none"/>
        </w:rPr>
        <w:fldChar w:fldCharType="separate"/>
      </w:r>
      <w:r>
        <w:rPr>
          <w:rStyle w:val="54"/>
          <w:rFonts w:ascii="宋体" w:hAnsi="宋体"/>
          <w:snapToGrid w:val="0"/>
          <w:color w:val="auto"/>
          <w:highlight w:val="none"/>
        </w:rPr>
        <w:t xml:space="preserve">3.4  </w:t>
      </w:r>
      <w:r>
        <w:rPr>
          <w:rStyle w:val="54"/>
          <w:rFonts w:hint="eastAsia" w:ascii="宋体" w:hAnsi="宋体"/>
          <w:snapToGrid w:val="0"/>
          <w:color w:val="auto"/>
          <w:highlight w:val="none"/>
        </w:rPr>
        <w:t>评标结果</w:t>
      </w:r>
      <w:r>
        <w:rPr>
          <w:color w:val="auto"/>
          <w:highlight w:val="none"/>
        </w:rPr>
        <w:tab/>
      </w:r>
      <w:r>
        <w:rPr>
          <w:color w:val="auto"/>
          <w:highlight w:val="none"/>
        </w:rPr>
        <w:fldChar w:fldCharType="begin"/>
      </w:r>
      <w:r>
        <w:rPr>
          <w:color w:val="auto"/>
          <w:highlight w:val="none"/>
        </w:rPr>
        <w:instrText xml:space="preserve"> PAGEREF _Toc117005242 \h </w:instrText>
      </w:r>
      <w:r>
        <w:rPr>
          <w:color w:val="auto"/>
          <w:highlight w:val="none"/>
        </w:rPr>
        <w:fldChar w:fldCharType="separate"/>
      </w:r>
      <w:r>
        <w:rPr>
          <w:color w:val="auto"/>
          <w:highlight w:val="none"/>
        </w:rPr>
        <w:t>49</w:t>
      </w:r>
      <w:r>
        <w:rPr>
          <w:color w:val="auto"/>
          <w:highlight w:val="none"/>
        </w:rPr>
        <w:fldChar w:fldCharType="end"/>
      </w:r>
      <w:r>
        <w:rPr>
          <w:color w:val="auto"/>
          <w:highlight w:val="none"/>
        </w:rPr>
        <w:fldChar w:fldCharType="end"/>
      </w:r>
    </w:p>
    <w:p w14:paraId="304E540D">
      <w:pPr>
        <w:pStyle w:val="31"/>
        <w:tabs>
          <w:tab w:val="right" w:leader="dot" w:pos="9459"/>
        </w:tabs>
        <w:rPr>
          <w:rFonts w:asciiTheme="minorHAnsi" w:hAnsiTheme="minorHAnsi" w:eastAsiaTheme="minorEastAsia" w:cstheme="minorBidi"/>
          <w:b w:val="0"/>
          <w:bCs w:val="0"/>
          <w:caps w:val="0"/>
          <w:color w:val="auto"/>
          <w:sz w:val="21"/>
          <w:szCs w:val="22"/>
          <w:highlight w:val="none"/>
        </w:rPr>
      </w:pPr>
      <w:r>
        <w:rPr>
          <w:color w:val="auto"/>
          <w:highlight w:val="none"/>
        </w:rPr>
        <w:fldChar w:fldCharType="begin"/>
      </w:r>
      <w:r>
        <w:rPr>
          <w:color w:val="auto"/>
          <w:highlight w:val="none"/>
        </w:rPr>
        <w:instrText xml:space="preserve"> HYPERLINK \l "_Toc117005243" </w:instrText>
      </w:r>
      <w:r>
        <w:rPr>
          <w:color w:val="auto"/>
          <w:highlight w:val="none"/>
        </w:rPr>
        <w:fldChar w:fldCharType="separate"/>
      </w:r>
      <w:r>
        <w:rPr>
          <w:rStyle w:val="54"/>
          <w:rFonts w:hint="eastAsia" w:ascii="宋体" w:hAnsi="宋体"/>
          <w:color w:val="auto"/>
          <w:kern w:val="0"/>
          <w:highlight w:val="none"/>
        </w:rPr>
        <w:t>第四章</w:t>
      </w:r>
      <w:r>
        <w:rPr>
          <w:rStyle w:val="54"/>
          <w:rFonts w:ascii="宋体" w:hAnsi="宋体"/>
          <w:color w:val="auto"/>
          <w:kern w:val="0"/>
          <w:highlight w:val="none"/>
        </w:rPr>
        <w:t xml:space="preserve">  </w:t>
      </w:r>
      <w:r>
        <w:rPr>
          <w:rStyle w:val="54"/>
          <w:rFonts w:hint="eastAsia" w:ascii="宋体" w:hAnsi="宋体"/>
          <w:color w:val="auto"/>
          <w:kern w:val="0"/>
          <w:highlight w:val="none"/>
        </w:rPr>
        <w:t>合同条款及格式</w:t>
      </w:r>
      <w:r>
        <w:rPr>
          <w:color w:val="auto"/>
          <w:highlight w:val="none"/>
        </w:rPr>
        <w:tab/>
      </w:r>
      <w:r>
        <w:rPr>
          <w:color w:val="auto"/>
          <w:highlight w:val="none"/>
        </w:rPr>
        <w:fldChar w:fldCharType="begin"/>
      </w:r>
      <w:r>
        <w:rPr>
          <w:color w:val="auto"/>
          <w:highlight w:val="none"/>
        </w:rPr>
        <w:instrText xml:space="preserve"> PAGEREF _Toc117005243 \h </w:instrText>
      </w:r>
      <w:r>
        <w:rPr>
          <w:color w:val="auto"/>
          <w:highlight w:val="none"/>
        </w:rPr>
        <w:fldChar w:fldCharType="separate"/>
      </w:r>
      <w:r>
        <w:rPr>
          <w:color w:val="auto"/>
          <w:highlight w:val="none"/>
        </w:rPr>
        <w:t>53</w:t>
      </w:r>
      <w:r>
        <w:rPr>
          <w:color w:val="auto"/>
          <w:highlight w:val="none"/>
        </w:rPr>
        <w:fldChar w:fldCharType="end"/>
      </w:r>
      <w:r>
        <w:rPr>
          <w:color w:val="auto"/>
          <w:highlight w:val="none"/>
        </w:rPr>
        <w:fldChar w:fldCharType="end"/>
      </w:r>
    </w:p>
    <w:p w14:paraId="3B6187E5">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"_Toc117005244" </w:instrText>
      </w:r>
      <w:r>
        <w:rPr>
          <w:color w:val="auto"/>
          <w:highlight w:val="none"/>
        </w:rPr>
        <w:fldChar w:fldCharType="separate"/>
      </w:r>
      <w:r>
        <w:rPr>
          <w:rStyle w:val="54"/>
          <w:rFonts w:hint="eastAsia" w:ascii="宋体" w:hAnsi="宋体"/>
          <w:color w:val="auto"/>
          <w:highlight w:val="none"/>
        </w:rPr>
        <w:t>第一部分</w:t>
      </w:r>
      <w:r>
        <w:rPr>
          <w:rStyle w:val="54"/>
          <w:rFonts w:ascii="宋体" w:hAnsi="宋体"/>
          <w:color w:val="auto"/>
          <w:highlight w:val="none"/>
        </w:rPr>
        <w:t xml:space="preserve"> </w:t>
      </w:r>
      <w:r>
        <w:rPr>
          <w:rStyle w:val="54"/>
          <w:rFonts w:hint="eastAsia" w:ascii="宋体" w:hAnsi="宋体"/>
          <w:color w:val="auto"/>
          <w:highlight w:val="none"/>
        </w:rPr>
        <w:t>合同协议书</w:t>
      </w:r>
      <w:r>
        <w:rPr>
          <w:color w:val="auto"/>
          <w:highlight w:val="none"/>
        </w:rPr>
        <w:tab/>
      </w:r>
      <w:r>
        <w:rPr>
          <w:color w:val="auto"/>
          <w:highlight w:val="none"/>
        </w:rPr>
        <w:fldChar w:fldCharType="begin"/>
      </w:r>
      <w:r>
        <w:rPr>
          <w:color w:val="auto"/>
          <w:highlight w:val="none"/>
        </w:rPr>
        <w:instrText xml:space="preserve"> PAGEREF _Toc117005244 \h </w:instrText>
      </w:r>
      <w:r>
        <w:rPr>
          <w:color w:val="auto"/>
          <w:highlight w:val="none"/>
        </w:rPr>
        <w:fldChar w:fldCharType="separate"/>
      </w:r>
      <w:r>
        <w:rPr>
          <w:color w:val="auto"/>
          <w:highlight w:val="none"/>
        </w:rPr>
        <w:t>55</w:t>
      </w:r>
      <w:r>
        <w:rPr>
          <w:color w:val="auto"/>
          <w:highlight w:val="none"/>
        </w:rPr>
        <w:fldChar w:fldCharType="end"/>
      </w:r>
      <w:r>
        <w:rPr>
          <w:color w:val="auto"/>
          <w:highlight w:val="none"/>
        </w:rPr>
        <w:fldChar w:fldCharType="end"/>
      </w:r>
    </w:p>
    <w:p w14:paraId="2194547C">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"_Toc117005245" </w:instrText>
      </w:r>
      <w:r>
        <w:rPr>
          <w:color w:val="auto"/>
          <w:highlight w:val="none"/>
        </w:rPr>
        <w:fldChar w:fldCharType="separate"/>
      </w:r>
      <w:r>
        <w:rPr>
          <w:rStyle w:val="54"/>
          <w:rFonts w:hint="eastAsia" w:ascii="宋体" w:hAnsi="宋体"/>
          <w:color w:val="auto"/>
          <w:highlight w:val="none"/>
        </w:rPr>
        <w:t>第二部分</w:t>
      </w:r>
      <w:r>
        <w:rPr>
          <w:rStyle w:val="54"/>
          <w:rFonts w:ascii="宋体" w:hAnsi="宋体"/>
          <w:color w:val="auto"/>
          <w:highlight w:val="none"/>
        </w:rPr>
        <w:t xml:space="preserve"> </w:t>
      </w:r>
      <w:r>
        <w:rPr>
          <w:rStyle w:val="54"/>
          <w:rFonts w:hint="eastAsia" w:ascii="宋体" w:hAnsi="宋体"/>
          <w:color w:val="auto"/>
          <w:highlight w:val="none"/>
        </w:rPr>
        <w:t>通用合同条款</w:t>
      </w:r>
      <w:r>
        <w:rPr>
          <w:color w:val="auto"/>
          <w:highlight w:val="none"/>
        </w:rPr>
        <w:tab/>
      </w:r>
      <w:r>
        <w:rPr>
          <w:color w:val="auto"/>
          <w:highlight w:val="none"/>
        </w:rPr>
        <w:fldChar w:fldCharType="begin"/>
      </w:r>
      <w:r>
        <w:rPr>
          <w:color w:val="auto"/>
          <w:highlight w:val="none"/>
        </w:rPr>
        <w:instrText xml:space="preserve"> PAGEREF _Toc117005245 \h </w:instrText>
      </w:r>
      <w:r>
        <w:rPr>
          <w:color w:val="auto"/>
          <w:highlight w:val="none"/>
        </w:rPr>
        <w:fldChar w:fldCharType="separate"/>
      </w:r>
      <w:r>
        <w:rPr>
          <w:color w:val="auto"/>
          <w:highlight w:val="none"/>
        </w:rPr>
        <w:t>60</w:t>
      </w:r>
      <w:r>
        <w:rPr>
          <w:color w:val="auto"/>
          <w:highlight w:val="none"/>
        </w:rPr>
        <w:fldChar w:fldCharType="end"/>
      </w:r>
      <w:r>
        <w:rPr>
          <w:color w:val="auto"/>
          <w:highlight w:val="none"/>
        </w:rPr>
        <w:fldChar w:fldCharType="end"/>
      </w:r>
    </w:p>
    <w:p w14:paraId="4231517D">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"_Toc117005246" </w:instrText>
      </w:r>
      <w:r>
        <w:rPr>
          <w:color w:val="auto"/>
          <w:highlight w:val="none"/>
        </w:rPr>
        <w:fldChar w:fldCharType="separate"/>
      </w:r>
      <w:r>
        <w:rPr>
          <w:rStyle w:val="54"/>
          <w:rFonts w:hint="eastAsia" w:ascii="宋体" w:hAnsi="宋体"/>
          <w:color w:val="auto"/>
          <w:highlight w:val="none"/>
        </w:rPr>
        <w:t>第三部分</w:t>
      </w:r>
      <w:r>
        <w:rPr>
          <w:rStyle w:val="54"/>
          <w:rFonts w:ascii="宋体" w:hAnsi="宋体"/>
          <w:color w:val="auto"/>
          <w:highlight w:val="none"/>
        </w:rPr>
        <w:t xml:space="preserve"> </w:t>
      </w:r>
      <w:r>
        <w:rPr>
          <w:rStyle w:val="54"/>
          <w:rFonts w:hint="eastAsia" w:ascii="宋体" w:hAnsi="宋体"/>
          <w:color w:val="auto"/>
          <w:highlight w:val="none"/>
        </w:rPr>
        <w:t>专用合同条款</w:t>
      </w:r>
      <w:r>
        <w:rPr>
          <w:color w:val="auto"/>
          <w:highlight w:val="none"/>
        </w:rPr>
        <w:tab/>
      </w:r>
      <w:r>
        <w:rPr>
          <w:color w:val="auto"/>
          <w:highlight w:val="none"/>
        </w:rPr>
        <w:fldChar w:fldCharType="begin"/>
      </w:r>
      <w:r>
        <w:rPr>
          <w:color w:val="auto"/>
          <w:highlight w:val="none"/>
        </w:rPr>
        <w:instrText xml:space="preserve"> PAGEREF _Toc117005246 \h </w:instrText>
      </w:r>
      <w:r>
        <w:rPr>
          <w:color w:val="auto"/>
          <w:highlight w:val="none"/>
        </w:rPr>
        <w:fldChar w:fldCharType="separate"/>
      </w:r>
      <w:r>
        <w:rPr>
          <w:color w:val="auto"/>
          <w:highlight w:val="none"/>
        </w:rPr>
        <w:t>113</w:t>
      </w:r>
      <w:r>
        <w:rPr>
          <w:color w:val="auto"/>
          <w:highlight w:val="none"/>
        </w:rPr>
        <w:fldChar w:fldCharType="end"/>
      </w:r>
      <w:r>
        <w:rPr>
          <w:color w:val="auto"/>
          <w:highlight w:val="none"/>
        </w:rPr>
        <w:fldChar w:fldCharType="end"/>
      </w:r>
    </w:p>
    <w:p w14:paraId="16D587E3">
      <w:pPr>
        <w:pStyle w:val="31"/>
        <w:tabs>
          <w:tab w:val="right" w:leader="dot" w:pos="9459"/>
        </w:tabs>
        <w:rPr>
          <w:rFonts w:asciiTheme="minorHAnsi" w:hAnsiTheme="minorHAnsi" w:eastAsiaTheme="minorEastAsia" w:cstheme="minorBidi"/>
          <w:b w:val="0"/>
          <w:bCs w:val="0"/>
          <w:caps w:val="0"/>
          <w:color w:val="auto"/>
          <w:sz w:val="21"/>
          <w:szCs w:val="22"/>
          <w:highlight w:val="none"/>
        </w:rPr>
      </w:pPr>
      <w:r>
        <w:rPr>
          <w:color w:val="auto"/>
          <w:highlight w:val="none"/>
        </w:rPr>
        <w:fldChar w:fldCharType="begin"/>
      </w:r>
      <w:r>
        <w:rPr>
          <w:color w:val="auto"/>
          <w:highlight w:val="none"/>
        </w:rPr>
        <w:instrText xml:space="preserve"> HYPERLINK \l "_Toc117005247" </w:instrText>
      </w:r>
      <w:r>
        <w:rPr>
          <w:color w:val="auto"/>
          <w:highlight w:val="none"/>
        </w:rPr>
        <w:fldChar w:fldCharType="separate"/>
      </w:r>
      <w:r>
        <w:rPr>
          <w:rStyle w:val="54"/>
          <w:rFonts w:hint="eastAsia" w:ascii="宋体" w:hAnsi="宋体"/>
          <w:color w:val="auto"/>
          <w:highlight w:val="none"/>
        </w:rPr>
        <w:t>第五章</w:t>
      </w:r>
      <w:r>
        <w:rPr>
          <w:rStyle w:val="54"/>
          <w:rFonts w:ascii="宋体" w:hAnsi="宋体"/>
          <w:color w:val="auto"/>
          <w:highlight w:val="none"/>
        </w:rPr>
        <w:t xml:space="preserve">  </w:t>
      </w:r>
      <w:r>
        <w:rPr>
          <w:rStyle w:val="54"/>
          <w:rFonts w:hint="eastAsia" w:ascii="宋体" w:hAnsi="宋体"/>
          <w:color w:val="auto"/>
          <w:highlight w:val="none"/>
        </w:rPr>
        <w:t>工程量清单</w:t>
      </w:r>
      <w:r>
        <w:rPr>
          <w:color w:val="auto"/>
          <w:highlight w:val="none"/>
        </w:rPr>
        <w:tab/>
      </w:r>
      <w:r>
        <w:rPr>
          <w:color w:val="auto"/>
          <w:highlight w:val="none"/>
        </w:rPr>
        <w:fldChar w:fldCharType="begin"/>
      </w:r>
      <w:r>
        <w:rPr>
          <w:color w:val="auto"/>
          <w:highlight w:val="none"/>
        </w:rPr>
        <w:instrText xml:space="preserve"> PAGEREF _Toc117005247 \h </w:instrText>
      </w:r>
      <w:r>
        <w:rPr>
          <w:color w:val="auto"/>
          <w:highlight w:val="none"/>
        </w:rPr>
        <w:fldChar w:fldCharType="separate"/>
      </w:r>
      <w:r>
        <w:rPr>
          <w:color w:val="auto"/>
          <w:highlight w:val="none"/>
        </w:rPr>
        <w:t>183</w:t>
      </w:r>
      <w:r>
        <w:rPr>
          <w:color w:val="auto"/>
          <w:highlight w:val="none"/>
        </w:rPr>
        <w:fldChar w:fldCharType="end"/>
      </w:r>
      <w:r>
        <w:rPr>
          <w:color w:val="auto"/>
          <w:highlight w:val="none"/>
        </w:rPr>
        <w:fldChar w:fldCharType="end"/>
      </w:r>
    </w:p>
    <w:p w14:paraId="00A0811D">
      <w:pPr>
        <w:pStyle w:val="31"/>
        <w:tabs>
          <w:tab w:val="right" w:leader="dot" w:pos="9459"/>
        </w:tabs>
        <w:rPr>
          <w:rFonts w:asciiTheme="minorHAnsi" w:hAnsiTheme="minorHAnsi" w:eastAsiaTheme="minorEastAsia" w:cstheme="minorBidi"/>
          <w:b w:val="0"/>
          <w:bCs w:val="0"/>
          <w:caps w:val="0"/>
          <w:color w:val="auto"/>
          <w:sz w:val="21"/>
          <w:szCs w:val="22"/>
          <w:highlight w:val="none"/>
        </w:rPr>
      </w:pPr>
      <w:r>
        <w:rPr>
          <w:color w:val="auto"/>
          <w:highlight w:val="none"/>
        </w:rPr>
        <w:fldChar w:fldCharType="begin"/>
      </w:r>
      <w:r>
        <w:rPr>
          <w:color w:val="auto"/>
          <w:highlight w:val="none"/>
        </w:rPr>
        <w:instrText xml:space="preserve"> HYPERLINK \l "_Toc117005248" </w:instrText>
      </w:r>
      <w:r>
        <w:rPr>
          <w:color w:val="auto"/>
          <w:highlight w:val="none"/>
        </w:rPr>
        <w:fldChar w:fldCharType="separate"/>
      </w:r>
      <w:r>
        <w:rPr>
          <w:rStyle w:val="54"/>
          <w:rFonts w:hint="eastAsia" w:ascii="宋体" w:hAnsi="宋体"/>
          <w:color w:val="auto"/>
          <w:highlight w:val="none"/>
        </w:rPr>
        <w:t>第</w:t>
      </w:r>
      <w:r>
        <w:rPr>
          <w:rStyle w:val="54"/>
          <w:rFonts w:ascii="宋体" w:hAnsi="宋体"/>
          <w:color w:val="auto"/>
          <w:highlight w:val="none"/>
        </w:rPr>
        <w:t xml:space="preserve"> </w:t>
      </w:r>
      <w:r>
        <w:rPr>
          <w:rStyle w:val="54"/>
          <w:rFonts w:hint="eastAsia" w:ascii="宋体" w:hAnsi="宋体"/>
          <w:color w:val="auto"/>
          <w:highlight w:val="none"/>
        </w:rPr>
        <w:t>二</w:t>
      </w:r>
      <w:r>
        <w:rPr>
          <w:rStyle w:val="54"/>
          <w:rFonts w:ascii="宋体" w:hAnsi="宋体"/>
          <w:color w:val="auto"/>
          <w:highlight w:val="none"/>
        </w:rPr>
        <w:t xml:space="preserve"> </w:t>
      </w:r>
      <w:r>
        <w:rPr>
          <w:rStyle w:val="54"/>
          <w:rFonts w:hint="eastAsia" w:ascii="宋体" w:hAnsi="宋体"/>
          <w:color w:val="auto"/>
          <w:highlight w:val="none"/>
        </w:rPr>
        <w:t>卷</w:t>
      </w:r>
      <w:r>
        <w:rPr>
          <w:color w:val="auto"/>
          <w:highlight w:val="none"/>
        </w:rPr>
        <w:tab/>
      </w:r>
      <w:r>
        <w:rPr>
          <w:color w:val="auto"/>
          <w:highlight w:val="none"/>
        </w:rPr>
        <w:fldChar w:fldCharType="begin"/>
      </w:r>
      <w:r>
        <w:rPr>
          <w:color w:val="auto"/>
          <w:highlight w:val="none"/>
        </w:rPr>
        <w:instrText xml:space="preserve"> PAGEREF _Toc117005248 \h </w:instrText>
      </w:r>
      <w:r>
        <w:rPr>
          <w:color w:val="auto"/>
          <w:highlight w:val="none"/>
        </w:rPr>
        <w:fldChar w:fldCharType="separate"/>
      </w:r>
      <w:r>
        <w:rPr>
          <w:color w:val="auto"/>
          <w:highlight w:val="none"/>
        </w:rPr>
        <w:t>184</w:t>
      </w:r>
      <w:r>
        <w:rPr>
          <w:color w:val="auto"/>
          <w:highlight w:val="none"/>
        </w:rPr>
        <w:fldChar w:fldCharType="end"/>
      </w:r>
      <w:r>
        <w:rPr>
          <w:color w:val="auto"/>
          <w:highlight w:val="none"/>
        </w:rPr>
        <w:fldChar w:fldCharType="end"/>
      </w:r>
    </w:p>
    <w:p w14:paraId="33480230">
      <w:pPr>
        <w:pStyle w:val="31"/>
        <w:tabs>
          <w:tab w:val="right" w:leader="dot" w:pos="9459"/>
        </w:tabs>
        <w:rPr>
          <w:rFonts w:asciiTheme="minorHAnsi" w:hAnsiTheme="minorHAnsi" w:eastAsiaTheme="minorEastAsia" w:cstheme="minorBidi"/>
          <w:b w:val="0"/>
          <w:bCs w:val="0"/>
          <w:caps w:val="0"/>
          <w:color w:val="auto"/>
          <w:sz w:val="21"/>
          <w:szCs w:val="22"/>
          <w:highlight w:val="none"/>
        </w:rPr>
      </w:pPr>
      <w:r>
        <w:rPr>
          <w:color w:val="auto"/>
          <w:highlight w:val="none"/>
        </w:rPr>
        <w:fldChar w:fldCharType="begin"/>
      </w:r>
      <w:r>
        <w:rPr>
          <w:color w:val="auto"/>
          <w:highlight w:val="none"/>
        </w:rPr>
        <w:instrText xml:space="preserve"> HYPERLINK \l "_Toc117005249" </w:instrText>
      </w:r>
      <w:r>
        <w:rPr>
          <w:color w:val="auto"/>
          <w:highlight w:val="none"/>
        </w:rPr>
        <w:fldChar w:fldCharType="separate"/>
      </w:r>
      <w:r>
        <w:rPr>
          <w:rStyle w:val="54"/>
          <w:rFonts w:hint="eastAsia" w:ascii="宋体" w:hAnsi="宋体"/>
          <w:color w:val="auto"/>
          <w:highlight w:val="none"/>
        </w:rPr>
        <w:t>第六章</w:t>
      </w:r>
      <w:r>
        <w:rPr>
          <w:rStyle w:val="54"/>
          <w:rFonts w:ascii="宋体" w:hAnsi="宋体"/>
          <w:color w:val="auto"/>
          <w:highlight w:val="none"/>
        </w:rPr>
        <w:t xml:space="preserve">  </w:t>
      </w:r>
      <w:r>
        <w:rPr>
          <w:rStyle w:val="54"/>
          <w:rFonts w:hint="eastAsia" w:ascii="宋体" w:hAnsi="宋体"/>
          <w:color w:val="auto"/>
          <w:highlight w:val="none"/>
        </w:rPr>
        <w:t>图纸</w:t>
      </w:r>
      <w:r>
        <w:rPr>
          <w:color w:val="auto"/>
          <w:highlight w:val="none"/>
        </w:rPr>
        <w:tab/>
      </w:r>
      <w:r>
        <w:rPr>
          <w:color w:val="auto"/>
          <w:highlight w:val="none"/>
        </w:rPr>
        <w:fldChar w:fldCharType="begin"/>
      </w:r>
      <w:r>
        <w:rPr>
          <w:color w:val="auto"/>
          <w:highlight w:val="none"/>
        </w:rPr>
        <w:instrText xml:space="preserve"> PAGEREF _Toc117005249 \h </w:instrText>
      </w:r>
      <w:r>
        <w:rPr>
          <w:color w:val="auto"/>
          <w:highlight w:val="none"/>
        </w:rPr>
        <w:fldChar w:fldCharType="separate"/>
      </w:r>
      <w:r>
        <w:rPr>
          <w:color w:val="auto"/>
          <w:highlight w:val="none"/>
        </w:rPr>
        <w:t>185</w:t>
      </w:r>
      <w:r>
        <w:rPr>
          <w:color w:val="auto"/>
          <w:highlight w:val="none"/>
        </w:rPr>
        <w:fldChar w:fldCharType="end"/>
      </w:r>
      <w:r>
        <w:rPr>
          <w:color w:val="auto"/>
          <w:highlight w:val="none"/>
        </w:rPr>
        <w:fldChar w:fldCharType="end"/>
      </w:r>
    </w:p>
    <w:p w14:paraId="13BD7245">
      <w:pPr>
        <w:pStyle w:val="31"/>
        <w:tabs>
          <w:tab w:val="right" w:leader="dot" w:pos="9459"/>
        </w:tabs>
        <w:rPr>
          <w:rFonts w:asciiTheme="minorHAnsi" w:hAnsiTheme="minorHAnsi" w:eastAsiaTheme="minorEastAsia" w:cstheme="minorBidi"/>
          <w:b w:val="0"/>
          <w:bCs w:val="0"/>
          <w:caps w:val="0"/>
          <w:color w:val="auto"/>
          <w:sz w:val="21"/>
          <w:szCs w:val="22"/>
          <w:highlight w:val="none"/>
        </w:rPr>
      </w:pPr>
      <w:r>
        <w:rPr>
          <w:color w:val="auto"/>
          <w:highlight w:val="none"/>
        </w:rPr>
        <w:fldChar w:fldCharType="begin"/>
      </w:r>
      <w:r>
        <w:rPr>
          <w:color w:val="auto"/>
          <w:highlight w:val="none"/>
        </w:rPr>
        <w:instrText xml:space="preserve"> HYPERLINK \l "_Toc117005250" </w:instrText>
      </w:r>
      <w:r>
        <w:rPr>
          <w:color w:val="auto"/>
          <w:highlight w:val="none"/>
        </w:rPr>
        <w:fldChar w:fldCharType="separate"/>
      </w:r>
      <w:r>
        <w:rPr>
          <w:rStyle w:val="54"/>
          <w:rFonts w:hint="eastAsia" w:ascii="宋体" w:hAnsi="宋体"/>
          <w:color w:val="auto"/>
          <w:highlight w:val="none"/>
        </w:rPr>
        <w:t>第</w:t>
      </w:r>
      <w:r>
        <w:rPr>
          <w:rStyle w:val="54"/>
          <w:rFonts w:ascii="宋体" w:hAnsi="宋体"/>
          <w:color w:val="auto"/>
          <w:highlight w:val="none"/>
        </w:rPr>
        <w:t xml:space="preserve"> </w:t>
      </w:r>
      <w:r>
        <w:rPr>
          <w:rStyle w:val="54"/>
          <w:rFonts w:hint="eastAsia" w:ascii="宋体" w:hAnsi="宋体"/>
          <w:color w:val="auto"/>
          <w:highlight w:val="none"/>
        </w:rPr>
        <w:t>三</w:t>
      </w:r>
      <w:r>
        <w:rPr>
          <w:rStyle w:val="54"/>
          <w:rFonts w:ascii="宋体" w:hAnsi="宋体"/>
          <w:color w:val="auto"/>
          <w:highlight w:val="none"/>
        </w:rPr>
        <w:t xml:space="preserve"> </w:t>
      </w:r>
      <w:r>
        <w:rPr>
          <w:rStyle w:val="54"/>
          <w:rFonts w:hint="eastAsia" w:ascii="宋体" w:hAnsi="宋体"/>
          <w:color w:val="auto"/>
          <w:highlight w:val="none"/>
        </w:rPr>
        <w:t>卷</w:t>
      </w:r>
      <w:r>
        <w:rPr>
          <w:color w:val="auto"/>
          <w:highlight w:val="none"/>
        </w:rPr>
        <w:tab/>
      </w:r>
      <w:r>
        <w:rPr>
          <w:color w:val="auto"/>
          <w:highlight w:val="none"/>
        </w:rPr>
        <w:fldChar w:fldCharType="begin"/>
      </w:r>
      <w:r>
        <w:rPr>
          <w:color w:val="auto"/>
          <w:highlight w:val="none"/>
        </w:rPr>
        <w:instrText xml:space="preserve"> PAGEREF _Toc117005250 \h </w:instrText>
      </w:r>
      <w:r>
        <w:rPr>
          <w:color w:val="auto"/>
          <w:highlight w:val="none"/>
        </w:rPr>
        <w:fldChar w:fldCharType="separate"/>
      </w:r>
      <w:r>
        <w:rPr>
          <w:color w:val="auto"/>
          <w:highlight w:val="none"/>
        </w:rPr>
        <w:t>186</w:t>
      </w:r>
      <w:r>
        <w:rPr>
          <w:color w:val="auto"/>
          <w:highlight w:val="none"/>
        </w:rPr>
        <w:fldChar w:fldCharType="end"/>
      </w:r>
      <w:r>
        <w:rPr>
          <w:color w:val="auto"/>
          <w:highlight w:val="none"/>
        </w:rPr>
        <w:fldChar w:fldCharType="end"/>
      </w:r>
    </w:p>
    <w:p w14:paraId="51F9F524">
      <w:pPr>
        <w:pStyle w:val="31"/>
        <w:tabs>
          <w:tab w:val="right" w:leader="dot" w:pos="9459"/>
        </w:tabs>
        <w:rPr>
          <w:rFonts w:asciiTheme="minorHAnsi" w:hAnsiTheme="minorHAnsi" w:eastAsiaTheme="minorEastAsia" w:cstheme="minorBidi"/>
          <w:b w:val="0"/>
          <w:bCs w:val="0"/>
          <w:caps w:val="0"/>
          <w:color w:val="auto"/>
          <w:sz w:val="21"/>
          <w:szCs w:val="22"/>
          <w:highlight w:val="none"/>
        </w:rPr>
      </w:pPr>
      <w:r>
        <w:rPr>
          <w:color w:val="auto"/>
          <w:highlight w:val="none"/>
        </w:rPr>
        <w:fldChar w:fldCharType="begin"/>
      </w:r>
      <w:r>
        <w:rPr>
          <w:color w:val="auto"/>
          <w:highlight w:val="none"/>
        </w:rPr>
        <w:instrText xml:space="preserve"> HYPERLINK \l "_Toc117005251" </w:instrText>
      </w:r>
      <w:r>
        <w:rPr>
          <w:color w:val="auto"/>
          <w:highlight w:val="none"/>
        </w:rPr>
        <w:fldChar w:fldCharType="separate"/>
      </w:r>
      <w:r>
        <w:rPr>
          <w:rStyle w:val="54"/>
          <w:rFonts w:hint="eastAsia" w:ascii="宋体" w:hAnsi="宋体"/>
          <w:color w:val="auto"/>
          <w:highlight w:val="none"/>
        </w:rPr>
        <w:t>第七章</w:t>
      </w:r>
      <w:r>
        <w:rPr>
          <w:rStyle w:val="54"/>
          <w:rFonts w:ascii="宋体" w:hAnsi="宋体"/>
          <w:color w:val="auto"/>
          <w:highlight w:val="none"/>
        </w:rPr>
        <w:t xml:space="preserve">  </w:t>
      </w:r>
      <w:r>
        <w:rPr>
          <w:rStyle w:val="54"/>
          <w:rFonts w:hint="eastAsia" w:ascii="宋体" w:hAnsi="宋体"/>
          <w:color w:val="auto"/>
          <w:highlight w:val="none"/>
        </w:rPr>
        <w:t>技术标准和要求</w:t>
      </w:r>
      <w:r>
        <w:rPr>
          <w:color w:val="auto"/>
          <w:highlight w:val="none"/>
        </w:rPr>
        <w:tab/>
      </w:r>
      <w:r>
        <w:rPr>
          <w:color w:val="auto"/>
          <w:highlight w:val="none"/>
        </w:rPr>
        <w:fldChar w:fldCharType="begin"/>
      </w:r>
      <w:r>
        <w:rPr>
          <w:color w:val="auto"/>
          <w:highlight w:val="none"/>
        </w:rPr>
        <w:instrText xml:space="preserve"> PAGEREF _Toc117005251 \h </w:instrText>
      </w:r>
      <w:r>
        <w:rPr>
          <w:color w:val="auto"/>
          <w:highlight w:val="none"/>
        </w:rPr>
        <w:fldChar w:fldCharType="separate"/>
      </w:r>
      <w:r>
        <w:rPr>
          <w:color w:val="auto"/>
          <w:highlight w:val="none"/>
        </w:rPr>
        <w:t>187</w:t>
      </w:r>
      <w:r>
        <w:rPr>
          <w:color w:val="auto"/>
          <w:highlight w:val="none"/>
        </w:rPr>
        <w:fldChar w:fldCharType="end"/>
      </w:r>
      <w:r>
        <w:rPr>
          <w:color w:val="auto"/>
          <w:highlight w:val="none"/>
        </w:rPr>
        <w:fldChar w:fldCharType="end"/>
      </w:r>
    </w:p>
    <w:p w14:paraId="3865249C">
      <w:pPr>
        <w:pStyle w:val="31"/>
        <w:tabs>
          <w:tab w:val="right" w:leader="dot" w:pos="9459"/>
        </w:tabs>
        <w:rPr>
          <w:rFonts w:asciiTheme="minorHAnsi" w:hAnsiTheme="minorHAnsi" w:eastAsiaTheme="minorEastAsia" w:cstheme="minorBidi"/>
          <w:b w:val="0"/>
          <w:bCs w:val="0"/>
          <w:caps w:val="0"/>
          <w:color w:val="auto"/>
          <w:sz w:val="21"/>
          <w:szCs w:val="22"/>
          <w:highlight w:val="none"/>
        </w:rPr>
      </w:pPr>
      <w:r>
        <w:rPr>
          <w:color w:val="auto"/>
          <w:highlight w:val="none"/>
        </w:rPr>
        <w:fldChar w:fldCharType="begin"/>
      </w:r>
      <w:r>
        <w:rPr>
          <w:color w:val="auto"/>
          <w:highlight w:val="none"/>
        </w:rPr>
        <w:instrText xml:space="preserve"> HYPERLINK \l "_Toc117005252" </w:instrText>
      </w:r>
      <w:r>
        <w:rPr>
          <w:color w:val="auto"/>
          <w:highlight w:val="none"/>
        </w:rPr>
        <w:fldChar w:fldCharType="separate"/>
      </w:r>
      <w:r>
        <w:rPr>
          <w:rStyle w:val="54"/>
          <w:rFonts w:hint="eastAsia" w:ascii="宋体" w:hAnsi="宋体"/>
          <w:color w:val="auto"/>
          <w:highlight w:val="none"/>
        </w:rPr>
        <w:t>第</w:t>
      </w:r>
      <w:r>
        <w:rPr>
          <w:rStyle w:val="54"/>
          <w:rFonts w:ascii="宋体" w:hAnsi="宋体"/>
          <w:color w:val="auto"/>
          <w:highlight w:val="none"/>
        </w:rPr>
        <w:t xml:space="preserve"> </w:t>
      </w:r>
      <w:r>
        <w:rPr>
          <w:rStyle w:val="54"/>
          <w:rFonts w:hint="eastAsia" w:ascii="宋体" w:hAnsi="宋体"/>
          <w:color w:val="auto"/>
          <w:highlight w:val="none"/>
        </w:rPr>
        <w:t>四</w:t>
      </w:r>
      <w:r>
        <w:rPr>
          <w:rStyle w:val="54"/>
          <w:rFonts w:ascii="宋体" w:hAnsi="宋体"/>
          <w:color w:val="auto"/>
          <w:highlight w:val="none"/>
        </w:rPr>
        <w:t xml:space="preserve"> </w:t>
      </w:r>
      <w:r>
        <w:rPr>
          <w:rStyle w:val="54"/>
          <w:rFonts w:hint="eastAsia" w:ascii="宋体" w:hAnsi="宋体"/>
          <w:color w:val="auto"/>
          <w:highlight w:val="none"/>
        </w:rPr>
        <w:t>卷</w:t>
      </w:r>
      <w:r>
        <w:rPr>
          <w:color w:val="auto"/>
          <w:highlight w:val="none"/>
        </w:rPr>
        <w:tab/>
      </w:r>
      <w:r>
        <w:rPr>
          <w:color w:val="auto"/>
          <w:highlight w:val="none"/>
        </w:rPr>
        <w:fldChar w:fldCharType="begin"/>
      </w:r>
      <w:r>
        <w:rPr>
          <w:color w:val="auto"/>
          <w:highlight w:val="none"/>
        </w:rPr>
        <w:instrText xml:space="preserve"> PAGEREF _Toc117005252 \h </w:instrText>
      </w:r>
      <w:r>
        <w:rPr>
          <w:color w:val="auto"/>
          <w:highlight w:val="none"/>
        </w:rPr>
        <w:fldChar w:fldCharType="separate"/>
      </w:r>
      <w:r>
        <w:rPr>
          <w:color w:val="auto"/>
          <w:highlight w:val="none"/>
        </w:rPr>
        <w:t>188</w:t>
      </w:r>
      <w:r>
        <w:rPr>
          <w:color w:val="auto"/>
          <w:highlight w:val="none"/>
        </w:rPr>
        <w:fldChar w:fldCharType="end"/>
      </w:r>
      <w:r>
        <w:rPr>
          <w:color w:val="auto"/>
          <w:highlight w:val="none"/>
        </w:rPr>
        <w:fldChar w:fldCharType="end"/>
      </w:r>
    </w:p>
    <w:p w14:paraId="7FD82484">
      <w:pPr>
        <w:pStyle w:val="31"/>
        <w:tabs>
          <w:tab w:val="right" w:leader="dot" w:pos="9459"/>
        </w:tabs>
        <w:rPr>
          <w:rFonts w:asciiTheme="minorHAnsi" w:hAnsiTheme="minorHAnsi" w:eastAsiaTheme="minorEastAsia" w:cstheme="minorBidi"/>
          <w:b w:val="0"/>
          <w:bCs w:val="0"/>
          <w:caps w:val="0"/>
          <w:color w:val="auto"/>
          <w:sz w:val="21"/>
          <w:szCs w:val="22"/>
          <w:highlight w:val="none"/>
        </w:rPr>
      </w:pPr>
      <w:r>
        <w:rPr>
          <w:color w:val="auto"/>
          <w:highlight w:val="none"/>
        </w:rPr>
        <w:fldChar w:fldCharType="begin"/>
      </w:r>
      <w:r>
        <w:rPr>
          <w:color w:val="auto"/>
          <w:highlight w:val="none"/>
        </w:rPr>
        <w:instrText xml:space="preserve"> HYPERLINK \l "_Toc117005253" </w:instrText>
      </w:r>
      <w:r>
        <w:rPr>
          <w:color w:val="auto"/>
          <w:highlight w:val="none"/>
        </w:rPr>
        <w:fldChar w:fldCharType="separate"/>
      </w:r>
      <w:r>
        <w:rPr>
          <w:rStyle w:val="54"/>
          <w:rFonts w:hint="eastAsia" w:ascii="宋体" w:hAnsi="宋体"/>
          <w:color w:val="auto"/>
          <w:highlight w:val="none"/>
        </w:rPr>
        <w:t>第八章</w:t>
      </w:r>
      <w:r>
        <w:rPr>
          <w:rStyle w:val="54"/>
          <w:rFonts w:ascii="宋体" w:hAnsi="宋体"/>
          <w:color w:val="auto"/>
          <w:highlight w:val="none"/>
        </w:rPr>
        <w:t xml:space="preserve">  </w:t>
      </w:r>
      <w:r>
        <w:rPr>
          <w:rStyle w:val="54"/>
          <w:rFonts w:hint="eastAsia" w:ascii="宋体" w:hAnsi="宋体"/>
          <w:color w:val="auto"/>
          <w:highlight w:val="none"/>
        </w:rPr>
        <w:t>投标文件格式</w:t>
      </w:r>
      <w:r>
        <w:rPr>
          <w:color w:val="auto"/>
          <w:highlight w:val="none"/>
        </w:rPr>
        <w:tab/>
      </w:r>
      <w:r>
        <w:rPr>
          <w:color w:val="auto"/>
          <w:highlight w:val="none"/>
        </w:rPr>
        <w:fldChar w:fldCharType="begin"/>
      </w:r>
      <w:r>
        <w:rPr>
          <w:color w:val="auto"/>
          <w:highlight w:val="none"/>
        </w:rPr>
        <w:instrText xml:space="preserve"> PAGEREF _Toc117005253 \h </w:instrText>
      </w:r>
      <w:r>
        <w:rPr>
          <w:color w:val="auto"/>
          <w:highlight w:val="none"/>
        </w:rPr>
        <w:fldChar w:fldCharType="separate"/>
      </w:r>
      <w:r>
        <w:rPr>
          <w:color w:val="auto"/>
          <w:highlight w:val="none"/>
        </w:rPr>
        <w:t>189</w:t>
      </w:r>
      <w:r>
        <w:rPr>
          <w:color w:val="auto"/>
          <w:highlight w:val="none"/>
        </w:rPr>
        <w:fldChar w:fldCharType="end"/>
      </w:r>
      <w:r>
        <w:rPr>
          <w:color w:val="auto"/>
          <w:highlight w:val="none"/>
        </w:rPr>
        <w:fldChar w:fldCharType="end"/>
      </w:r>
    </w:p>
    <w:p w14:paraId="628511FB">
      <w:pPr>
        <w:pStyle w:val="37"/>
        <w:tabs>
          <w:tab w:val="right" w:leader="dot" w:pos="9459"/>
        </w:tabs>
        <w:rPr>
          <w:rFonts w:asciiTheme="minorHAnsi" w:hAnsiTheme="minorHAnsi" w:eastAsiaTheme="minorEastAsia" w:cstheme="minorBidi"/>
          <w:smallCaps w:val="0"/>
          <w:color w:val="auto"/>
          <w:sz w:val="21"/>
          <w:szCs w:val="22"/>
          <w:highlight w:val="none"/>
        </w:rPr>
      </w:pPr>
      <w:r>
        <w:rPr>
          <w:color w:val="auto"/>
          <w:highlight w:val="none"/>
        </w:rPr>
        <w:fldChar w:fldCharType="begin"/>
      </w:r>
      <w:r>
        <w:rPr>
          <w:color w:val="auto"/>
          <w:highlight w:val="none"/>
        </w:rPr>
        <w:instrText xml:space="preserve"> HYPERLINK \l "_Toc117005254" </w:instrText>
      </w:r>
      <w:r>
        <w:rPr>
          <w:color w:val="auto"/>
          <w:highlight w:val="none"/>
        </w:rPr>
        <w:fldChar w:fldCharType="separate"/>
      </w:r>
      <w:r>
        <w:rPr>
          <w:rStyle w:val="54"/>
          <w:rFonts w:hint="eastAsia" w:ascii="宋体" w:hAnsi="宋体"/>
          <w:color w:val="auto"/>
          <w:highlight w:val="none"/>
        </w:rPr>
        <w:t>一、投标函部分</w:t>
      </w:r>
      <w:r>
        <w:rPr>
          <w:color w:val="auto"/>
          <w:highlight w:val="none"/>
        </w:rPr>
        <w:tab/>
      </w:r>
      <w:r>
        <w:rPr>
          <w:color w:val="auto"/>
          <w:highlight w:val="none"/>
        </w:rPr>
        <w:fldChar w:fldCharType="begin"/>
      </w:r>
      <w:r>
        <w:rPr>
          <w:color w:val="auto"/>
          <w:highlight w:val="none"/>
        </w:rPr>
        <w:instrText xml:space="preserve"> PAGEREF _Toc117005254 \h </w:instrText>
      </w:r>
      <w:r>
        <w:rPr>
          <w:color w:val="auto"/>
          <w:highlight w:val="none"/>
        </w:rPr>
        <w:fldChar w:fldCharType="separate"/>
      </w:r>
      <w:r>
        <w:rPr>
          <w:color w:val="auto"/>
          <w:highlight w:val="none"/>
        </w:rPr>
        <w:t>191</w:t>
      </w:r>
      <w:r>
        <w:rPr>
          <w:color w:val="auto"/>
          <w:highlight w:val="none"/>
        </w:rPr>
        <w:fldChar w:fldCharType="end"/>
      </w:r>
      <w:r>
        <w:rPr>
          <w:color w:val="auto"/>
          <w:highlight w:val="none"/>
        </w:rPr>
        <w:fldChar w:fldCharType="end"/>
      </w:r>
    </w:p>
    <w:p w14:paraId="38A1F9C7">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"_Toc117005255" </w:instrText>
      </w:r>
      <w:r>
        <w:rPr>
          <w:color w:val="auto"/>
          <w:highlight w:val="none"/>
        </w:rPr>
        <w:fldChar w:fldCharType="separate"/>
      </w:r>
      <w:r>
        <w:rPr>
          <w:rStyle w:val="54"/>
          <w:rFonts w:hint="eastAsia" w:ascii="宋体" w:hAnsi="宋体"/>
          <w:color w:val="auto"/>
          <w:highlight w:val="none"/>
        </w:rPr>
        <w:t>（一）投标函</w:t>
      </w:r>
      <w:r>
        <w:rPr>
          <w:color w:val="auto"/>
          <w:highlight w:val="none"/>
        </w:rPr>
        <w:tab/>
      </w:r>
      <w:r>
        <w:rPr>
          <w:color w:val="auto"/>
          <w:highlight w:val="none"/>
        </w:rPr>
        <w:fldChar w:fldCharType="begin"/>
      </w:r>
      <w:r>
        <w:rPr>
          <w:color w:val="auto"/>
          <w:highlight w:val="none"/>
        </w:rPr>
        <w:instrText xml:space="preserve"> PAGEREF _Toc117005255 \h </w:instrText>
      </w:r>
      <w:r>
        <w:rPr>
          <w:color w:val="auto"/>
          <w:highlight w:val="none"/>
        </w:rPr>
        <w:fldChar w:fldCharType="separate"/>
      </w:r>
      <w:r>
        <w:rPr>
          <w:color w:val="auto"/>
          <w:highlight w:val="none"/>
        </w:rPr>
        <w:t>194</w:t>
      </w:r>
      <w:r>
        <w:rPr>
          <w:color w:val="auto"/>
          <w:highlight w:val="none"/>
        </w:rPr>
        <w:fldChar w:fldCharType="end"/>
      </w:r>
      <w:r>
        <w:rPr>
          <w:color w:val="auto"/>
          <w:highlight w:val="none"/>
        </w:rPr>
        <w:fldChar w:fldCharType="end"/>
      </w:r>
    </w:p>
    <w:p w14:paraId="5AAB3607">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"_Toc117005256" </w:instrText>
      </w:r>
      <w:r>
        <w:rPr>
          <w:color w:val="auto"/>
          <w:highlight w:val="none"/>
        </w:rPr>
        <w:fldChar w:fldCharType="separate"/>
      </w:r>
      <w:r>
        <w:rPr>
          <w:rStyle w:val="54"/>
          <w:rFonts w:hint="eastAsia" w:ascii="宋体" w:hAnsi="宋体"/>
          <w:color w:val="auto"/>
          <w:highlight w:val="none"/>
        </w:rPr>
        <w:t>（二）投标函附录</w:t>
      </w:r>
      <w:r>
        <w:rPr>
          <w:color w:val="auto"/>
          <w:highlight w:val="none"/>
        </w:rPr>
        <w:tab/>
      </w:r>
      <w:r>
        <w:rPr>
          <w:color w:val="auto"/>
          <w:highlight w:val="none"/>
        </w:rPr>
        <w:fldChar w:fldCharType="begin"/>
      </w:r>
      <w:r>
        <w:rPr>
          <w:color w:val="auto"/>
          <w:highlight w:val="none"/>
        </w:rPr>
        <w:instrText xml:space="preserve"> PAGEREF _Toc117005256 \h </w:instrText>
      </w:r>
      <w:r>
        <w:rPr>
          <w:color w:val="auto"/>
          <w:highlight w:val="none"/>
        </w:rPr>
        <w:fldChar w:fldCharType="separate"/>
      </w:r>
      <w:r>
        <w:rPr>
          <w:color w:val="auto"/>
          <w:highlight w:val="none"/>
        </w:rPr>
        <w:t>195</w:t>
      </w:r>
      <w:r>
        <w:rPr>
          <w:color w:val="auto"/>
          <w:highlight w:val="none"/>
        </w:rPr>
        <w:fldChar w:fldCharType="end"/>
      </w:r>
      <w:r>
        <w:rPr>
          <w:color w:val="auto"/>
          <w:highlight w:val="none"/>
        </w:rPr>
        <w:fldChar w:fldCharType="end"/>
      </w:r>
    </w:p>
    <w:p w14:paraId="002466C8">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"_Toc117005257" </w:instrText>
      </w:r>
      <w:r>
        <w:rPr>
          <w:color w:val="auto"/>
          <w:highlight w:val="none"/>
        </w:rPr>
        <w:fldChar w:fldCharType="separate"/>
      </w:r>
      <w:r>
        <w:rPr>
          <w:rStyle w:val="54"/>
          <w:rFonts w:hint="eastAsia" w:ascii="宋体" w:hAnsi="宋体"/>
          <w:color w:val="auto"/>
          <w:highlight w:val="none"/>
        </w:rPr>
        <w:t>（三）法定代表人身份证明或附有法定代表人身份证明的授权委托书</w:t>
      </w:r>
      <w:r>
        <w:rPr>
          <w:color w:val="auto"/>
          <w:highlight w:val="none"/>
        </w:rPr>
        <w:tab/>
      </w:r>
      <w:r>
        <w:rPr>
          <w:color w:val="auto"/>
          <w:highlight w:val="none"/>
        </w:rPr>
        <w:fldChar w:fldCharType="begin"/>
      </w:r>
      <w:r>
        <w:rPr>
          <w:color w:val="auto"/>
          <w:highlight w:val="none"/>
        </w:rPr>
        <w:instrText xml:space="preserve"> PAGEREF _Toc117005257 \h </w:instrText>
      </w:r>
      <w:r>
        <w:rPr>
          <w:color w:val="auto"/>
          <w:highlight w:val="none"/>
        </w:rPr>
        <w:fldChar w:fldCharType="separate"/>
      </w:r>
      <w:r>
        <w:rPr>
          <w:color w:val="auto"/>
          <w:highlight w:val="none"/>
        </w:rPr>
        <w:t>196</w:t>
      </w:r>
      <w:r>
        <w:rPr>
          <w:color w:val="auto"/>
          <w:highlight w:val="none"/>
        </w:rPr>
        <w:fldChar w:fldCharType="end"/>
      </w:r>
      <w:r>
        <w:rPr>
          <w:color w:val="auto"/>
          <w:highlight w:val="none"/>
        </w:rPr>
        <w:fldChar w:fldCharType="end"/>
      </w:r>
    </w:p>
    <w:p w14:paraId="515F336F">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"_Toc117005258" </w:instrText>
      </w:r>
      <w:r>
        <w:rPr>
          <w:color w:val="auto"/>
          <w:highlight w:val="none"/>
        </w:rPr>
        <w:fldChar w:fldCharType="separate"/>
      </w:r>
      <w:r>
        <w:rPr>
          <w:rStyle w:val="54"/>
          <w:rFonts w:hint="eastAsia" w:ascii="宋体" w:hAnsi="宋体"/>
          <w:color w:val="auto"/>
          <w:highlight w:val="none"/>
        </w:rPr>
        <w:t>（四）低价风险担保提交承诺书</w:t>
      </w:r>
      <w:r>
        <w:rPr>
          <w:color w:val="auto"/>
          <w:highlight w:val="none"/>
        </w:rPr>
        <w:tab/>
      </w:r>
      <w:r>
        <w:rPr>
          <w:color w:val="auto"/>
          <w:highlight w:val="none"/>
        </w:rPr>
        <w:fldChar w:fldCharType="begin"/>
      </w:r>
      <w:r>
        <w:rPr>
          <w:color w:val="auto"/>
          <w:highlight w:val="none"/>
        </w:rPr>
        <w:instrText xml:space="preserve"> PAGEREF _Toc117005258 \h </w:instrText>
      </w:r>
      <w:r>
        <w:rPr>
          <w:color w:val="auto"/>
          <w:highlight w:val="none"/>
        </w:rPr>
        <w:fldChar w:fldCharType="separate"/>
      </w:r>
      <w:r>
        <w:rPr>
          <w:color w:val="auto"/>
          <w:highlight w:val="none"/>
        </w:rPr>
        <w:t>198</w:t>
      </w:r>
      <w:r>
        <w:rPr>
          <w:color w:val="auto"/>
          <w:highlight w:val="none"/>
        </w:rPr>
        <w:fldChar w:fldCharType="end"/>
      </w:r>
      <w:r>
        <w:rPr>
          <w:color w:val="auto"/>
          <w:highlight w:val="none"/>
        </w:rPr>
        <w:fldChar w:fldCharType="end"/>
      </w:r>
    </w:p>
    <w:p w14:paraId="2AA96CC7">
      <w:pPr>
        <w:pStyle w:val="37"/>
        <w:tabs>
          <w:tab w:val="right" w:leader="dot" w:pos="9459"/>
        </w:tabs>
        <w:rPr>
          <w:rFonts w:asciiTheme="minorHAnsi" w:hAnsiTheme="minorHAnsi" w:eastAsiaTheme="minorEastAsia" w:cstheme="minorBidi"/>
          <w:smallCaps w:val="0"/>
          <w:color w:val="auto"/>
          <w:sz w:val="21"/>
          <w:szCs w:val="22"/>
          <w:highlight w:val="none"/>
        </w:rPr>
      </w:pPr>
      <w:r>
        <w:rPr>
          <w:color w:val="auto"/>
          <w:highlight w:val="none"/>
        </w:rPr>
        <w:fldChar w:fldCharType="begin"/>
      </w:r>
      <w:r>
        <w:rPr>
          <w:color w:val="auto"/>
          <w:highlight w:val="none"/>
        </w:rPr>
        <w:instrText xml:space="preserve"> HYPERLINK \l "_Toc117005259" </w:instrText>
      </w:r>
      <w:r>
        <w:rPr>
          <w:color w:val="auto"/>
          <w:highlight w:val="none"/>
        </w:rPr>
        <w:fldChar w:fldCharType="separate"/>
      </w:r>
      <w:r>
        <w:rPr>
          <w:rStyle w:val="54"/>
          <w:rFonts w:hint="eastAsia" w:ascii="宋体" w:hAnsi="宋体"/>
          <w:color w:val="auto"/>
          <w:highlight w:val="none"/>
        </w:rPr>
        <w:t>二、经济部分</w:t>
      </w:r>
      <w:r>
        <w:rPr>
          <w:color w:val="auto"/>
          <w:highlight w:val="none"/>
        </w:rPr>
        <w:tab/>
      </w:r>
      <w:r>
        <w:rPr>
          <w:color w:val="auto"/>
          <w:highlight w:val="none"/>
        </w:rPr>
        <w:fldChar w:fldCharType="begin"/>
      </w:r>
      <w:r>
        <w:rPr>
          <w:color w:val="auto"/>
          <w:highlight w:val="none"/>
        </w:rPr>
        <w:instrText xml:space="preserve"> PAGEREF _Toc117005259 \h </w:instrText>
      </w:r>
      <w:r>
        <w:rPr>
          <w:color w:val="auto"/>
          <w:highlight w:val="none"/>
        </w:rPr>
        <w:fldChar w:fldCharType="separate"/>
      </w:r>
      <w:r>
        <w:rPr>
          <w:color w:val="auto"/>
          <w:highlight w:val="none"/>
        </w:rPr>
        <w:t>199</w:t>
      </w:r>
      <w:r>
        <w:rPr>
          <w:color w:val="auto"/>
          <w:highlight w:val="none"/>
        </w:rPr>
        <w:fldChar w:fldCharType="end"/>
      </w:r>
      <w:r>
        <w:rPr>
          <w:color w:val="auto"/>
          <w:highlight w:val="none"/>
        </w:rPr>
        <w:fldChar w:fldCharType="end"/>
      </w:r>
    </w:p>
    <w:p w14:paraId="413332C8">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"_Toc117005260" </w:instrText>
      </w:r>
      <w:r>
        <w:rPr>
          <w:color w:val="auto"/>
          <w:highlight w:val="none"/>
        </w:rPr>
        <w:fldChar w:fldCharType="separate"/>
      </w:r>
      <w:r>
        <w:rPr>
          <w:rStyle w:val="54"/>
          <w:rFonts w:hint="eastAsia" w:ascii="宋体" w:hAnsi="宋体"/>
          <w:color w:val="auto"/>
          <w:highlight w:val="none"/>
        </w:rPr>
        <w:t>（一）已标价工程量清单</w:t>
      </w:r>
      <w:r>
        <w:rPr>
          <w:color w:val="auto"/>
          <w:highlight w:val="none"/>
        </w:rPr>
        <w:tab/>
      </w:r>
      <w:r>
        <w:rPr>
          <w:color w:val="auto"/>
          <w:highlight w:val="none"/>
        </w:rPr>
        <w:fldChar w:fldCharType="begin"/>
      </w:r>
      <w:r>
        <w:rPr>
          <w:color w:val="auto"/>
          <w:highlight w:val="none"/>
        </w:rPr>
        <w:instrText xml:space="preserve"> PAGEREF _Toc117005260 \h </w:instrText>
      </w:r>
      <w:r>
        <w:rPr>
          <w:color w:val="auto"/>
          <w:highlight w:val="none"/>
        </w:rPr>
        <w:fldChar w:fldCharType="separate"/>
      </w:r>
      <w:r>
        <w:rPr>
          <w:color w:val="auto"/>
          <w:highlight w:val="none"/>
        </w:rPr>
        <w:t>202</w:t>
      </w:r>
      <w:r>
        <w:rPr>
          <w:color w:val="auto"/>
          <w:highlight w:val="none"/>
        </w:rPr>
        <w:fldChar w:fldCharType="end"/>
      </w:r>
      <w:r>
        <w:rPr>
          <w:color w:val="auto"/>
          <w:highlight w:val="none"/>
        </w:rPr>
        <w:fldChar w:fldCharType="end"/>
      </w:r>
    </w:p>
    <w:p w14:paraId="56387BAC">
      <w:pPr>
        <w:pStyle w:val="37"/>
        <w:tabs>
          <w:tab w:val="right" w:leader="dot" w:pos="9459"/>
        </w:tabs>
        <w:rPr>
          <w:rFonts w:asciiTheme="minorHAnsi" w:hAnsiTheme="minorHAnsi" w:eastAsiaTheme="minorEastAsia" w:cstheme="minorBidi"/>
          <w:smallCaps w:val="0"/>
          <w:color w:val="auto"/>
          <w:sz w:val="21"/>
          <w:szCs w:val="22"/>
          <w:highlight w:val="none"/>
        </w:rPr>
      </w:pPr>
      <w:r>
        <w:rPr>
          <w:color w:val="auto"/>
          <w:highlight w:val="none"/>
        </w:rPr>
        <w:fldChar w:fldCharType="begin"/>
      </w:r>
      <w:r>
        <w:rPr>
          <w:color w:val="auto"/>
          <w:highlight w:val="none"/>
        </w:rPr>
        <w:instrText xml:space="preserve"> HYPERLINK \l "_Toc117005261" </w:instrText>
      </w:r>
      <w:r>
        <w:rPr>
          <w:color w:val="auto"/>
          <w:highlight w:val="none"/>
        </w:rPr>
        <w:fldChar w:fldCharType="separate"/>
      </w:r>
      <w:r>
        <w:rPr>
          <w:rStyle w:val="54"/>
          <w:rFonts w:hint="eastAsia" w:ascii="宋体" w:hAnsi="宋体"/>
          <w:color w:val="auto"/>
          <w:highlight w:val="none"/>
        </w:rPr>
        <w:t>三、技术部分</w:t>
      </w:r>
      <w:r>
        <w:rPr>
          <w:color w:val="auto"/>
          <w:highlight w:val="none"/>
        </w:rPr>
        <w:tab/>
      </w:r>
      <w:r>
        <w:rPr>
          <w:color w:val="auto"/>
          <w:highlight w:val="none"/>
        </w:rPr>
        <w:fldChar w:fldCharType="begin"/>
      </w:r>
      <w:r>
        <w:rPr>
          <w:color w:val="auto"/>
          <w:highlight w:val="none"/>
        </w:rPr>
        <w:instrText xml:space="preserve"> PAGEREF _Toc117005261 \h </w:instrText>
      </w:r>
      <w:r>
        <w:rPr>
          <w:color w:val="auto"/>
          <w:highlight w:val="none"/>
        </w:rPr>
        <w:fldChar w:fldCharType="separate"/>
      </w:r>
      <w:r>
        <w:rPr>
          <w:color w:val="auto"/>
          <w:highlight w:val="none"/>
        </w:rPr>
        <w:t>203</w:t>
      </w:r>
      <w:r>
        <w:rPr>
          <w:color w:val="auto"/>
          <w:highlight w:val="none"/>
        </w:rPr>
        <w:fldChar w:fldCharType="end"/>
      </w:r>
      <w:r>
        <w:rPr>
          <w:color w:val="auto"/>
          <w:highlight w:val="none"/>
        </w:rPr>
        <w:fldChar w:fldCharType="end"/>
      </w:r>
    </w:p>
    <w:p w14:paraId="5278CD82">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"_Toc117005262" </w:instrText>
      </w:r>
      <w:r>
        <w:rPr>
          <w:color w:val="auto"/>
          <w:highlight w:val="none"/>
        </w:rPr>
        <w:fldChar w:fldCharType="separate"/>
      </w:r>
      <w:r>
        <w:rPr>
          <w:rStyle w:val="54"/>
          <w:rFonts w:hint="eastAsia" w:ascii="宋体" w:hAnsi="宋体"/>
          <w:color w:val="auto"/>
          <w:highlight w:val="none"/>
        </w:rPr>
        <w:t>（一）技术方案</w:t>
      </w:r>
      <w:r>
        <w:rPr>
          <w:color w:val="auto"/>
          <w:highlight w:val="none"/>
        </w:rPr>
        <w:tab/>
      </w:r>
      <w:r>
        <w:rPr>
          <w:color w:val="auto"/>
          <w:highlight w:val="none"/>
        </w:rPr>
        <w:fldChar w:fldCharType="begin"/>
      </w:r>
      <w:r>
        <w:rPr>
          <w:color w:val="auto"/>
          <w:highlight w:val="none"/>
        </w:rPr>
        <w:instrText xml:space="preserve"> PAGEREF _Toc117005262 \h </w:instrText>
      </w:r>
      <w:r>
        <w:rPr>
          <w:color w:val="auto"/>
          <w:highlight w:val="none"/>
        </w:rPr>
        <w:fldChar w:fldCharType="separate"/>
      </w:r>
      <w:r>
        <w:rPr>
          <w:color w:val="auto"/>
          <w:highlight w:val="none"/>
        </w:rPr>
        <w:t>205</w:t>
      </w:r>
      <w:r>
        <w:rPr>
          <w:color w:val="auto"/>
          <w:highlight w:val="none"/>
        </w:rPr>
        <w:fldChar w:fldCharType="end"/>
      </w:r>
      <w:r>
        <w:rPr>
          <w:color w:val="auto"/>
          <w:highlight w:val="none"/>
        </w:rPr>
        <w:fldChar w:fldCharType="end"/>
      </w:r>
    </w:p>
    <w:p w14:paraId="0F656C9B">
      <w:pPr>
        <w:pStyle w:val="37"/>
        <w:tabs>
          <w:tab w:val="right" w:leader="dot" w:pos="9459"/>
        </w:tabs>
        <w:rPr>
          <w:rFonts w:asciiTheme="minorHAnsi" w:hAnsiTheme="minorHAnsi" w:eastAsiaTheme="minorEastAsia" w:cstheme="minorBidi"/>
          <w:smallCaps w:val="0"/>
          <w:color w:val="auto"/>
          <w:sz w:val="21"/>
          <w:szCs w:val="22"/>
          <w:highlight w:val="none"/>
        </w:rPr>
      </w:pPr>
      <w:r>
        <w:rPr>
          <w:color w:val="auto"/>
          <w:highlight w:val="none"/>
        </w:rPr>
        <w:fldChar w:fldCharType="begin"/>
      </w:r>
      <w:r>
        <w:rPr>
          <w:color w:val="auto"/>
          <w:highlight w:val="none"/>
        </w:rPr>
        <w:instrText xml:space="preserve"> HYPERLINK \l "_Toc117005263" </w:instrText>
      </w:r>
      <w:r>
        <w:rPr>
          <w:color w:val="auto"/>
          <w:highlight w:val="none"/>
        </w:rPr>
        <w:fldChar w:fldCharType="separate"/>
      </w:r>
      <w:r>
        <w:rPr>
          <w:rStyle w:val="54"/>
          <w:rFonts w:hint="eastAsia" w:ascii="宋体" w:hAnsi="宋体"/>
          <w:color w:val="auto"/>
          <w:highlight w:val="none"/>
        </w:rPr>
        <w:t>四、资格审查部分</w:t>
      </w:r>
      <w:r>
        <w:rPr>
          <w:color w:val="auto"/>
          <w:highlight w:val="none"/>
        </w:rPr>
        <w:tab/>
      </w:r>
      <w:r>
        <w:rPr>
          <w:color w:val="auto"/>
          <w:highlight w:val="none"/>
        </w:rPr>
        <w:fldChar w:fldCharType="begin"/>
      </w:r>
      <w:r>
        <w:rPr>
          <w:color w:val="auto"/>
          <w:highlight w:val="none"/>
        </w:rPr>
        <w:instrText xml:space="preserve"> PAGEREF _Toc117005263 \h </w:instrText>
      </w:r>
      <w:r>
        <w:rPr>
          <w:color w:val="auto"/>
          <w:highlight w:val="none"/>
        </w:rPr>
        <w:fldChar w:fldCharType="separate"/>
      </w:r>
      <w:r>
        <w:rPr>
          <w:color w:val="auto"/>
          <w:highlight w:val="none"/>
        </w:rPr>
        <w:t>212</w:t>
      </w:r>
      <w:r>
        <w:rPr>
          <w:color w:val="auto"/>
          <w:highlight w:val="none"/>
        </w:rPr>
        <w:fldChar w:fldCharType="end"/>
      </w:r>
      <w:r>
        <w:rPr>
          <w:color w:val="auto"/>
          <w:highlight w:val="none"/>
        </w:rPr>
        <w:fldChar w:fldCharType="end"/>
      </w:r>
    </w:p>
    <w:p w14:paraId="389BB806">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"_Toc117005264" </w:instrText>
      </w:r>
      <w:r>
        <w:rPr>
          <w:color w:val="auto"/>
          <w:highlight w:val="none"/>
        </w:rPr>
        <w:fldChar w:fldCharType="separate"/>
      </w:r>
      <w:r>
        <w:rPr>
          <w:rStyle w:val="54"/>
          <w:rFonts w:hint="eastAsia" w:ascii="宋体" w:hAnsi="宋体"/>
          <w:color w:val="auto"/>
          <w:highlight w:val="none"/>
        </w:rPr>
        <w:t>（一）法定代表人身份证明或附有法定代表人身份证明的授权委托书</w:t>
      </w:r>
      <w:r>
        <w:rPr>
          <w:color w:val="auto"/>
          <w:highlight w:val="none"/>
        </w:rPr>
        <w:tab/>
      </w:r>
      <w:r>
        <w:rPr>
          <w:color w:val="auto"/>
          <w:highlight w:val="none"/>
        </w:rPr>
        <w:fldChar w:fldCharType="begin"/>
      </w:r>
      <w:r>
        <w:rPr>
          <w:color w:val="auto"/>
          <w:highlight w:val="none"/>
        </w:rPr>
        <w:instrText xml:space="preserve"> PAGEREF _Toc117005264 \h </w:instrText>
      </w:r>
      <w:r>
        <w:rPr>
          <w:color w:val="auto"/>
          <w:highlight w:val="none"/>
        </w:rPr>
        <w:fldChar w:fldCharType="separate"/>
      </w:r>
      <w:r>
        <w:rPr>
          <w:color w:val="auto"/>
          <w:highlight w:val="none"/>
        </w:rPr>
        <w:t>215</w:t>
      </w:r>
      <w:r>
        <w:rPr>
          <w:color w:val="auto"/>
          <w:highlight w:val="none"/>
        </w:rPr>
        <w:fldChar w:fldCharType="end"/>
      </w:r>
      <w:r>
        <w:rPr>
          <w:color w:val="auto"/>
          <w:highlight w:val="none"/>
        </w:rPr>
        <w:fldChar w:fldCharType="end"/>
      </w:r>
    </w:p>
    <w:p w14:paraId="62035D2A">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"_Toc117005265" </w:instrText>
      </w:r>
      <w:r>
        <w:rPr>
          <w:color w:val="auto"/>
          <w:highlight w:val="none"/>
        </w:rPr>
        <w:fldChar w:fldCharType="separate"/>
      </w:r>
      <w:r>
        <w:rPr>
          <w:rStyle w:val="54"/>
          <w:rFonts w:hint="eastAsia" w:ascii="宋体" w:hAnsi="宋体"/>
          <w:color w:val="auto"/>
          <w:highlight w:val="none"/>
        </w:rPr>
        <w:t>（二）投标人基本情况表</w:t>
      </w:r>
      <w:r>
        <w:rPr>
          <w:color w:val="auto"/>
          <w:highlight w:val="none"/>
        </w:rPr>
        <w:tab/>
      </w:r>
      <w:r>
        <w:rPr>
          <w:color w:val="auto"/>
          <w:highlight w:val="none"/>
        </w:rPr>
        <w:fldChar w:fldCharType="begin"/>
      </w:r>
      <w:r>
        <w:rPr>
          <w:color w:val="auto"/>
          <w:highlight w:val="none"/>
        </w:rPr>
        <w:instrText xml:space="preserve"> PAGEREF _Toc117005265 \h </w:instrText>
      </w:r>
      <w:r>
        <w:rPr>
          <w:color w:val="auto"/>
          <w:highlight w:val="none"/>
        </w:rPr>
        <w:fldChar w:fldCharType="separate"/>
      </w:r>
      <w:r>
        <w:rPr>
          <w:color w:val="auto"/>
          <w:highlight w:val="none"/>
        </w:rPr>
        <w:t>217</w:t>
      </w:r>
      <w:r>
        <w:rPr>
          <w:color w:val="auto"/>
          <w:highlight w:val="none"/>
        </w:rPr>
        <w:fldChar w:fldCharType="end"/>
      </w:r>
      <w:r>
        <w:rPr>
          <w:color w:val="auto"/>
          <w:highlight w:val="none"/>
        </w:rPr>
        <w:fldChar w:fldCharType="end"/>
      </w:r>
    </w:p>
    <w:p w14:paraId="5996A469">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"_Toc117005266" </w:instrText>
      </w:r>
      <w:r>
        <w:rPr>
          <w:color w:val="auto"/>
          <w:highlight w:val="none"/>
        </w:rPr>
        <w:fldChar w:fldCharType="separate"/>
      </w:r>
      <w:r>
        <w:rPr>
          <w:rStyle w:val="54"/>
          <w:rFonts w:hint="eastAsia" w:ascii="宋体" w:hAnsi="宋体"/>
          <w:color w:val="auto"/>
          <w:highlight w:val="none"/>
        </w:rPr>
        <w:t>（三）项目管理机构</w:t>
      </w:r>
      <w:r>
        <w:rPr>
          <w:color w:val="auto"/>
          <w:highlight w:val="none"/>
        </w:rPr>
        <w:tab/>
      </w:r>
      <w:r>
        <w:rPr>
          <w:color w:val="auto"/>
          <w:highlight w:val="none"/>
        </w:rPr>
        <w:fldChar w:fldCharType="begin"/>
      </w:r>
      <w:r>
        <w:rPr>
          <w:color w:val="auto"/>
          <w:highlight w:val="none"/>
        </w:rPr>
        <w:instrText xml:space="preserve"> PAGEREF _Toc117005266 \h </w:instrText>
      </w:r>
      <w:r>
        <w:rPr>
          <w:color w:val="auto"/>
          <w:highlight w:val="none"/>
        </w:rPr>
        <w:fldChar w:fldCharType="separate"/>
      </w:r>
      <w:r>
        <w:rPr>
          <w:color w:val="auto"/>
          <w:highlight w:val="none"/>
        </w:rPr>
        <w:t>218</w:t>
      </w:r>
      <w:r>
        <w:rPr>
          <w:color w:val="auto"/>
          <w:highlight w:val="none"/>
        </w:rPr>
        <w:fldChar w:fldCharType="end"/>
      </w:r>
      <w:r>
        <w:rPr>
          <w:color w:val="auto"/>
          <w:highlight w:val="none"/>
        </w:rPr>
        <w:fldChar w:fldCharType="end"/>
      </w:r>
    </w:p>
    <w:p w14:paraId="47853A5B">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"_Toc117005267" </w:instrText>
      </w:r>
      <w:r>
        <w:rPr>
          <w:color w:val="auto"/>
          <w:highlight w:val="none"/>
        </w:rPr>
        <w:fldChar w:fldCharType="separate"/>
      </w:r>
      <w:r>
        <w:rPr>
          <w:rStyle w:val="54"/>
          <w:rFonts w:hint="eastAsia" w:ascii="宋体" w:hAnsi="宋体"/>
          <w:color w:val="auto"/>
          <w:highlight w:val="none"/>
        </w:rPr>
        <w:t>（四）近年财务状况表</w:t>
      </w:r>
      <w:r>
        <w:rPr>
          <w:color w:val="auto"/>
          <w:highlight w:val="none"/>
        </w:rPr>
        <w:tab/>
      </w:r>
      <w:r>
        <w:rPr>
          <w:color w:val="auto"/>
          <w:highlight w:val="none"/>
        </w:rPr>
        <w:fldChar w:fldCharType="begin"/>
      </w:r>
      <w:r>
        <w:rPr>
          <w:color w:val="auto"/>
          <w:highlight w:val="none"/>
        </w:rPr>
        <w:instrText xml:space="preserve"> PAGEREF _Toc117005267 \h </w:instrText>
      </w:r>
      <w:r>
        <w:rPr>
          <w:color w:val="auto"/>
          <w:highlight w:val="none"/>
        </w:rPr>
        <w:fldChar w:fldCharType="separate"/>
      </w:r>
      <w:r>
        <w:rPr>
          <w:color w:val="auto"/>
          <w:highlight w:val="none"/>
        </w:rPr>
        <w:t>220</w:t>
      </w:r>
      <w:r>
        <w:rPr>
          <w:color w:val="auto"/>
          <w:highlight w:val="none"/>
        </w:rPr>
        <w:fldChar w:fldCharType="end"/>
      </w:r>
      <w:r>
        <w:rPr>
          <w:color w:val="auto"/>
          <w:highlight w:val="none"/>
        </w:rPr>
        <w:fldChar w:fldCharType="end"/>
      </w:r>
    </w:p>
    <w:p w14:paraId="5CBCA7C7">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"_Toc117005268" </w:instrText>
      </w:r>
      <w:r>
        <w:rPr>
          <w:color w:val="auto"/>
          <w:highlight w:val="none"/>
        </w:rPr>
        <w:fldChar w:fldCharType="separate"/>
      </w:r>
      <w:r>
        <w:rPr>
          <w:rStyle w:val="54"/>
          <w:rFonts w:hint="eastAsia" w:ascii="宋体" w:hAnsi="宋体"/>
          <w:color w:val="auto"/>
          <w:highlight w:val="none"/>
        </w:rPr>
        <w:t>（五）类似项目情况表</w:t>
      </w:r>
      <w:r>
        <w:rPr>
          <w:color w:val="auto"/>
          <w:highlight w:val="none"/>
        </w:rPr>
        <w:tab/>
      </w:r>
      <w:r>
        <w:rPr>
          <w:color w:val="auto"/>
          <w:highlight w:val="none"/>
        </w:rPr>
        <w:fldChar w:fldCharType="begin"/>
      </w:r>
      <w:r>
        <w:rPr>
          <w:color w:val="auto"/>
          <w:highlight w:val="none"/>
        </w:rPr>
        <w:instrText xml:space="preserve"> PAGEREF _Toc117005268 \h </w:instrText>
      </w:r>
      <w:r>
        <w:rPr>
          <w:color w:val="auto"/>
          <w:highlight w:val="none"/>
        </w:rPr>
        <w:fldChar w:fldCharType="separate"/>
      </w:r>
      <w:r>
        <w:rPr>
          <w:color w:val="auto"/>
          <w:highlight w:val="none"/>
        </w:rPr>
        <w:t>221</w:t>
      </w:r>
      <w:r>
        <w:rPr>
          <w:color w:val="auto"/>
          <w:highlight w:val="none"/>
        </w:rPr>
        <w:fldChar w:fldCharType="end"/>
      </w:r>
      <w:r>
        <w:rPr>
          <w:color w:val="auto"/>
          <w:highlight w:val="none"/>
        </w:rPr>
        <w:fldChar w:fldCharType="end"/>
      </w:r>
    </w:p>
    <w:p w14:paraId="5B4A2BE2">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"_Toc117005269" </w:instrText>
      </w:r>
      <w:r>
        <w:rPr>
          <w:color w:val="auto"/>
          <w:highlight w:val="none"/>
        </w:rPr>
        <w:fldChar w:fldCharType="separate"/>
      </w:r>
      <w:r>
        <w:rPr>
          <w:rStyle w:val="54"/>
          <w:rFonts w:hint="eastAsia" w:ascii="宋体" w:hAnsi="宋体"/>
          <w:color w:val="auto"/>
          <w:highlight w:val="none"/>
        </w:rPr>
        <w:t>（六）承诺</w:t>
      </w:r>
      <w:r>
        <w:rPr>
          <w:color w:val="auto"/>
          <w:highlight w:val="none"/>
        </w:rPr>
        <w:tab/>
      </w:r>
      <w:r>
        <w:rPr>
          <w:color w:val="auto"/>
          <w:highlight w:val="none"/>
        </w:rPr>
        <w:fldChar w:fldCharType="begin"/>
      </w:r>
      <w:r>
        <w:rPr>
          <w:color w:val="auto"/>
          <w:highlight w:val="none"/>
        </w:rPr>
        <w:instrText xml:space="preserve"> PAGEREF _Toc117005269 \h </w:instrText>
      </w:r>
      <w:r>
        <w:rPr>
          <w:color w:val="auto"/>
          <w:highlight w:val="none"/>
        </w:rPr>
        <w:fldChar w:fldCharType="separate"/>
      </w:r>
      <w:r>
        <w:rPr>
          <w:color w:val="auto"/>
          <w:highlight w:val="none"/>
        </w:rPr>
        <w:t>222</w:t>
      </w:r>
      <w:r>
        <w:rPr>
          <w:color w:val="auto"/>
          <w:highlight w:val="none"/>
        </w:rPr>
        <w:fldChar w:fldCharType="end"/>
      </w:r>
      <w:r>
        <w:rPr>
          <w:color w:val="auto"/>
          <w:highlight w:val="none"/>
        </w:rPr>
        <w:fldChar w:fldCharType="end"/>
      </w:r>
    </w:p>
    <w:p w14:paraId="320C3CCF">
      <w:pPr>
        <w:pStyle w:val="22"/>
        <w:tabs>
          <w:tab w:val="right" w:leader="dot" w:pos="9459"/>
        </w:tabs>
        <w:rPr>
          <w:rFonts w:asciiTheme="minorHAnsi" w:hAnsiTheme="minorHAnsi" w:eastAsiaTheme="minorEastAsia" w:cstheme="minorBidi"/>
          <w:i w:val="0"/>
          <w:iCs w:val="0"/>
          <w:color w:val="auto"/>
          <w:sz w:val="21"/>
          <w:szCs w:val="22"/>
          <w:highlight w:val="none"/>
        </w:rPr>
      </w:pPr>
      <w:r>
        <w:rPr>
          <w:color w:val="auto"/>
          <w:highlight w:val="none"/>
        </w:rPr>
        <w:fldChar w:fldCharType="begin"/>
      </w:r>
      <w:r>
        <w:rPr>
          <w:color w:val="auto"/>
          <w:highlight w:val="none"/>
        </w:rPr>
        <w:instrText xml:space="preserve"> HYPERLINK \l "_Toc117005270" </w:instrText>
      </w:r>
      <w:r>
        <w:rPr>
          <w:color w:val="auto"/>
          <w:highlight w:val="none"/>
        </w:rPr>
        <w:fldChar w:fldCharType="separate"/>
      </w:r>
      <w:r>
        <w:rPr>
          <w:rStyle w:val="54"/>
          <w:rFonts w:hint="eastAsia" w:ascii="宋体" w:hAnsi="宋体"/>
          <w:color w:val="auto"/>
          <w:highlight w:val="none"/>
        </w:rPr>
        <w:t>（七）其他资料</w:t>
      </w:r>
      <w:r>
        <w:rPr>
          <w:color w:val="auto"/>
          <w:highlight w:val="none"/>
        </w:rPr>
        <w:tab/>
      </w:r>
      <w:r>
        <w:rPr>
          <w:color w:val="auto"/>
          <w:highlight w:val="none"/>
        </w:rPr>
        <w:fldChar w:fldCharType="begin"/>
      </w:r>
      <w:r>
        <w:rPr>
          <w:color w:val="auto"/>
          <w:highlight w:val="none"/>
        </w:rPr>
        <w:instrText xml:space="preserve"> PAGEREF _Toc117005270 \h </w:instrText>
      </w:r>
      <w:r>
        <w:rPr>
          <w:color w:val="auto"/>
          <w:highlight w:val="none"/>
        </w:rPr>
        <w:fldChar w:fldCharType="separate"/>
      </w:r>
      <w:r>
        <w:rPr>
          <w:color w:val="auto"/>
          <w:highlight w:val="none"/>
        </w:rPr>
        <w:t>224</w:t>
      </w:r>
      <w:r>
        <w:rPr>
          <w:color w:val="auto"/>
          <w:highlight w:val="none"/>
        </w:rPr>
        <w:fldChar w:fldCharType="end"/>
      </w:r>
      <w:r>
        <w:rPr>
          <w:color w:val="auto"/>
          <w:highlight w:val="none"/>
        </w:rPr>
        <w:fldChar w:fldCharType="end"/>
      </w:r>
    </w:p>
    <w:p w14:paraId="523AEF94">
      <w:pPr>
        <w:rPr>
          <w:rFonts w:ascii="宋体" w:hAnsi="宋体"/>
          <w:color w:val="auto"/>
          <w:highlight w:val="none"/>
        </w:rPr>
      </w:pPr>
      <w:r>
        <w:rPr>
          <w:rFonts w:ascii="宋体" w:hAnsi="宋体"/>
          <w:bCs/>
          <w:color w:val="auto"/>
          <w:szCs w:val="20"/>
          <w:highlight w:val="none"/>
          <w:lang w:val="zh-CN"/>
        </w:rPr>
        <w:fldChar w:fldCharType="end"/>
      </w:r>
    </w:p>
    <w:bookmarkEnd w:id="0"/>
    <w:p w14:paraId="7285EF85">
      <w:pPr>
        <w:spacing w:line="20" w:lineRule="exact"/>
        <w:rPr>
          <w:rFonts w:ascii="宋体" w:hAnsi="宋体"/>
          <w:color w:val="auto"/>
          <w:highlight w:val="none"/>
        </w:rPr>
      </w:pPr>
      <w:bookmarkStart w:id="7" w:name="_Toc430530414"/>
    </w:p>
    <w:p w14:paraId="10528C23">
      <w:pPr>
        <w:spacing w:line="20" w:lineRule="exact"/>
        <w:jc w:val="left"/>
        <w:rPr>
          <w:rFonts w:ascii="宋体" w:hAnsi="宋体"/>
          <w:color w:val="auto"/>
          <w:highlight w:val="none"/>
        </w:rPr>
        <w:sectPr>
          <w:footerReference r:id="rId4" w:type="default"/>
          <w:pgSz w:w="11907" w:h="16840"/>
          <w:pgMar w:top="1304" w:right="1134" w:bottom="1304" w:left="1304" w:header="851" w:footer="992" w:gutter="0"/>
          <w:pgNumType w:fmt="numberInDash" w:start="1"/>
          <w:cols w:space="720" w:num="1"/>
          <w:docGrid w:linePitch="312" w:charSpace="0"/>
        </w:sectPr>
      </w:pPr>
    </w:p>
    <w:bookmarkEnd w:id="7"/>
    <w:p w14:paraId="47756B58">
      <w:pPr>
        <w:spacing w:line="360" w:lineRule="auto"/>
        <w:rPr>
          <w:rFonts w:ascii="宋体" w:hAnsi="宋体"/>
          <w:color w:val="auto"/>
          <w:highlight w:val="none"/>
        </w:rPr>
      </w:pPr>
    </w:p>
    <w:p w14:paraId="7A52D843">
      <w:pPr>
        <w:pStyle w:val="3"/>
        <w:spacing w:before="0" w:after="0" w:line="480" w:lineRule="auto"/>
        <w:jc w:val="center"/>
        <w:rPr>
          <w:rFonts w:ascii="宋体" w:hAnsi="宋体"/>
          <w:color w:val="auto"/>
          <w:sz w:val="52"/>
          <w:szCs w:val="52"/>
          <w:highlight w:val="none"/>
        </w:rPr>
      </w:pPr>
      <w:bookmarkStart w:id="8" w:name="_Toc509218690"/>
      <w:bookmarkStart w:id="9" w:name="_Toc117005176"/>
      <w:r>
        <w:rPr>
          <w:rFonts w:hint="eastAsia" w:ascii="宋体" w:hAnsi="宋体"/>
          <w:color w:val="auto"/>
          <w:sz w:val="52"/>
          <w:szCs w:val="52"/>
          <w:highlight w:val="none"/>
        </w:rPr>
        <w:t>第 一 卷</w:t>
      </w:r>
      <w:bookmarkEnd w:id="8"/>
      <w:bookmarkEnd w:id="9"/>
    </w:p>
    <w:p w14:paraId="23BB8D88">
      <w:pPr>
        <w:spacing w:line="200" w:lineRule="exact"/>
        <w:rPr>
          <w:rFonts w:ascii="宋体" w:hAnsi="宋体"/>
          <w:color w:val="auto"/>
          <w:highlight w:val="none"/>
        </w:rPr>
      </w:pPr>
      <w:r>
        <w:rPr>
          <w:rFonts w:ascii="宋体" w:hAnsi="宋体"/>
          <w:color w:val="auto"/>
          <w:highlight w:val="none"/>
        </w:rPr>
        <w:br w:type="page"/>
      </w:r>
    </w:p>
    <w:p w14:paraId="778F52F1">
      <w:pPr>
        <w:pStyle w:val="3"/>
        <w:spacing w:line="360" w:lineRule="auto"/>
        <w:jc w:val="center"/>
        <w:rPr>
          <w:rFonts w:ascii="宋体" w:hAnsi="宋体"/>
          <w:snapToGrid w:val="0"/>
          <w:color w:val="auto"/>
          <w:kern w:val="0"/>
          <w:highlight w:val="none"/>
        </w:rPr>
      </w:pPr>
      <w:bookmarkStart w:id="10" w:name="_Toc117005177"/>
      <w:bookmarkStart w:id="11" w:name="_Toc287607727"/>
      <w:bookmarkStart w:id="12" w:name="_Toc509218691"/>
      <w:bookmarkStart w:id="13" w:name="_Toc224103298"/>
      <w:bookmarkStart w:id="14" w:name="_Toc277082535"/>
      <w:bookmarkStart w:id="15" w:name="_Toc430530415"/>
      <w:bookmarkStart w:id="16" w:name="_Toc287620666"/>
      <w:r>
        <w:rPr>
          <w:rFonts w:ascii="宋体" w:hAnsi="宋体"/>
          <w:snapToGrid w:val="0"/>
          <w:color w:val="auto"/>
          <w:kern w:val="0"/>
          <w:highlight w:val="none"/>
        </w:rPr>
        <w:t>第一章  招标公告</w:t>
      </w:r>
      <w:bookmarkEnd w:id="10"/>
      <w:bookmarkEnd w:id="11"/>
      <w:bookmarkEnd w:id="12"/>
      <w:bookmarkEnd w:id="13"/>
      <w:bookmarkEnd w:id="14"/>
      <w:bookmarkEnd w:id="15"/>
      <w:bookmarkEnd w:id="16"/>
    </w:p>
    <w:p w14:paraId="180C1AC6">
      <w:pPr>
        <w:autoSpaceDE w:val="0"/>
        <w:autoSpaceDN w:val="0"/>
        <w:adjustRightInd w:val="0"/>
        <w:snapToGrid w:val="0"/>
        <w:spacing w:line="360" w:lineRule="auto"/>
        <w:jc w:val="center"/>
        <w:rPr>
          <w:rFonts w:ascii="宋体" w:hAnsi="宋体"/>
          <w:snapToGrid w:val="0"/>
          <w:color w:val="auto"/>
          <w:w w:val="99"/>
          <w:kern w:val="0"/>
          <w:sz w:val="28"/>
          <w:szCs w:val="28"/>
          <w:highlight w:val="none"/>
        </w:rPr>
      </w:pPr>
      <w:r>
        <w:rPr>
          <w:rFonts w:hint="eastAsia" w:ascii="宋体" w:hAnsi="宋体"/>
          <w:snapToGrid w:val="0"/>
          <w:color w:val="auto"/>
          <w:w w:val="99"/>
          <w:kern w:val="0"/>
          <w:sz w:val="28"/>
          <w:szCs w:val="28"/>
          <w:highlight w:val="none"/>
        </w:rPr>
        <w:t>大田湾全民健身综合楼维修提升项目</w:t>
      </w:r>
      <w:r>
        <w:rPr>
          <w:rFonts w:hint="eastAsia" w:ascii="宋体" w:hAnsi="宋体"/>
          <w:snapToGrid w:val="0"/>
          <w:color w:val="auto"/>
          <w:w w:val="99"/>
          <w:kern w:val="0"/>
          <w:sz w:val="28"/>
          <w:szCs w:val="28"/>
          <w:highlight w:val="none"/>
          <w:lang w:eastAsia="zh-CN"/>
        </w:rPr>
        <w:t>（</w:t>
      </w:r>
      <w:r>
        <w:rPr>
          <w:rFonts w:hint="eastAsia" w:ascii="宋体" w:hAnsi="宋体"/>
          <w:snapToGrid w:val="0"/>
          <w:color w:val="auto"/>
          <w:w w:val="99"/>
          <w:kern w:val="0"/>
          <w:sz w:val="28"/>
          <w:szCs w:val="28"/>
          <w:highlight w:val="none"/>
          <w:lang w:val="en-US" w:eastAsia="zh-CN"/>
        </w:rPr>
        <w:t>第二次</w:t>
      </w:r>
      <w:r>
        <w:rPr>
          <w:rFonts w:hint="eastAsia" w:ascii="宋体" w:hAnsi="宋体"/>
          <w:snapToGrid w:val="0"/>
          <w:color w:val="auto"/>
          <w:w w:val="99"/>
          <w:kern w:val="0"/>
          <w:sz w:val="28"/>
          <w:szCs w:val="28"/>
          <w:highlight w:val="none"/>
          <w:lang w:eastAsia="zh-CN"/>
        </w:rPr>
        <w:t>）</w:t>
      </w:r>
    </w:p>
    <w:p w14:paraId="4DD3E19B">
      <w:pPr>
        <w:autoSpaceDE w:val="0"/>
        <w:autoSpaceDN w:val="0"/>
        <w:adjustRightInd w:val="0"/>
        <w:snapToGrid w:val="0"/>
        <w:spacing w:line="360" w:lineRule="auto"/>
        <w:jc w:val="center"/>
        <w:rPr>
          <w:rFonts w:ascii="宋体" w:hAnsi="宋体"/>
          <w:snapToGrid w:val="0"/>
          <w:color w:val="auto"/>
          <w:kern w:val="0"/>
          <w:sz w:val="28"/>
          <w:szCs w:val="28"/>
          <w:highlight w:val="none"/>
        </w:rPr>
      </w:pPr>
      <w:r>
        <w:rPr>
          <w:rFonts w:ascii="宋体" w:hAnsi="宋体"/>
          <w:snapToGrid w:val="0"/>
          <w:color w:val="auto"/>
          <w:w w:val="99"/>
          <w:kern w:val="0"/>
          <w:sz w:val="28"/>
          <w:szCs w:val="28"/>
          <w:highlight w:val="none"/>
        </w:rPr>
        <w:t>招标公告</w:t>
      </w:r>
    </w:p>
    <w:p w14:paraId="6096A5E9">
      <w:pPr>
        <w:tabs>
          <w:tab w:val="left" w:pos="3315"/>
          <w:tab w:val="left" w:pos="3390"/>
          <w:tab w:val="left" w:pos="6120"/>
          <w:tab w:val="left" w:pos="8850"/>
        </w:tabs>
        <w:autoSpaceDE w:val="0"/>
        <w:autoSpaceDN w:val="0"/>
        <w:adjustRightInd w:val="0"/>
        <w:snapToGrid w:val="0"/>
        <w:spacing w:line="460" w:lineRule="exact"/>
        <w:ind w:firstLine="422" w:firstLineChars="200"/>
        <w:jc w:val="left"/>
        <w:rPr>
          <w:rFonts w:ascii="宋体" w:hAnsi="宋体"/>
          <w:b/>
          <w:snapToGrid w:val="0"/>
          <w:color w:val="auto"/>
          <w:kern w:val="0"/>
          <w:szCs w:val="21"/>
          <w:highlight w:val="none"/>
        </w:rPr>
      </w:pPr>
      <w:bookmarkStart w:id="17" w:name="_Toc287620667"/>
      <w:bookmarkStart w:id="18" w:name="_Toc509218692"/>
      <w:bookmarkStart w:id="19" w:name="_Toc277082536"/>
      <w:bookmarkStart w:id="20" w:name="_Toc224103299"/>
      <w:bookmarkStart w:id="21" w:name="_Toc430530416"/>
      <w:bookmarkStart w:id="22" w:name="_Toc200359238"/>
      <w:bookmarkStart w:id="23" w:name="_Toc200359427"/>
      <w:bookmarkStart w:id="24" w:name="_Toc287607728"/>
      <w:r>
        <w:rPr>
          <w:rFonts w:ascii="宋体" w:hAnsi="宋体"/>
          <w:b/>
          <w:snapToGrid w:val="0"/>
          <w:color w:val="auto"/>
          <w:kern w:val="0"/>
          <w:szCs w:val="21"/>
          <w:highlight w:val="none"/>
        </w:rPr>
        <w:t>1.招标条件</w:t>
      </w:r>
      <w:bookmarkEnd w:id="17"/>
      <w:bookmarkEnd w:id="18"/>
      <w:bookmarkEnd w:id="19"/>
      <w:bookmarkEnd w:id="20"/>
      <w:bookmarkEnd w:id="21"/>
      <w:bookmarkEnd w:id="22"/>
      <w:bookmarkEnd w:id="23"/>
      <w:bookmarkEnd w:id="24"/>
    </w:p>
    <w:p w14:paraId="24F80BD0">
      <w:pPr>
        <w:tabs>
          <w:tab w:val="left" w:pos="3315"/>
          <w:tab w:val="left" w:pos="3390"/>
          <w:tab w:val="left" w:pos="6120"/>
          <w:tab w:val="left" w:pos="8850"/>
        </w:tabs>
        <w:autoSpaceDE w:val="0"/>
        <w:autoSpaceDN w:val="0"/>
        <w:adjustRightInd w:val="0"/>
        <w:snapToGrid w:val="0"/>
        <w:spacing w:line="460" w:lineRule="exact"/>
        <w:ind w:firstLine="420"/>
        <w:jc w:val="left"/>
        <w:rPr>
          <w:rFonts w:ascii="宋体" w:hAnsi="宋体"/>
          <w:snapToGrid w:val="0"/>
          <w:color w:val="auto"/>
          <w:kern w:val="0"/>
          <w:szCs w:val="21"/>
          <w:highlight w:val="none"/>
        </w:rPr>
      </w:pPr>
      <w:r>
        <w:rPr>
          <w:rFonts w:ascii="宋体" w:hAnsi="宋体"/>
          <w:snapToGrid w:val="0"/>
          <w:color w:val="auto"/>
          <w:kern w:val="0"/>
          <w:szCs w:val="21"/>
          <w:highlight w:val="none"/>
        </w:rPr>
        <w:t>本招标项目</w:t>
      </w:r>
      <w:r>
        <w:rPr>
          <w:rFonts w:hint="eastAsia" w:ascii="宋体" w:hAnsi="宋体"/>
          <w:snapToGrid w:val="0"/>
          <w:color w:val="auto"/>
          <w:kern w:val="0"/>
          <w:szCs w:val="21"/>
          <w:highlight w:val="none"/>
          <w:u w:val="single"/>
        </w:rPr>
        <w:t>大田湾全民健身综合楼维修提升项目</w:t>
      </w:r>
      <w:r>
        <w:rPr>
          <w:rFonts w:hint="eastAsia" w:ascii="宋体" w:hAnsi="宋体"/>
          <w:snapToGrid w:val="0"/>
          <w:color w:val="auto"/>
          <w:kern w:val="0"/>
          <w:szCs w:val="21"/>
          <w:highlight w:val="none"/>
          <w:u w:val="single"/>
          <w:lang w:eastAsia="zh-CN"/>
        </w:rPr>
        <w:t>（</w:t>
      </w:r>
      <w:r>
        <w:rPr>
          <w:rFonts w:hint="eastAsia" w:ascii="宋体" w:hAnsi="宋体"/>
          <w:snapToGrid w:val="0"/>
          <w:color w:val="auto"/>
          <w:kern w:val="0"/>
          <w:szCs w:val="21"/>
          <w:highlight w:val="none"/>
          <w:u w:val="single"/>
          <w:lang w:val="en-US" w:eastAsia="zh-CN"/>
        </w:rPr>
        <w:t>第二次</w:t>
      </w:r>
      <w:r>
        <w:rPr>
          <w:rFonts w:hint="eastAsia" w:ascii="宋体" w:hAnsi="宋体"/>
          <w:snapToGrid w:val="0"/>
          <w:color w:val="auto"/>
          <w:kern w:val="0"/>
          <w:szCs w:val="21"/>
          <w:highlight w:val="none"/>
          <w:u w:val="single"/>
          <w:lang w:eastAsia="zh-CN"/>
        </w:rPr>
        <w:t>）</w:t>
      </w:r>
      <w:r>
        <w:rPr>
          <w:rFonts w:ascii="宋体" w:hAnsi="宋体"/>
          <w:snapToGrid w:val="0"/>
          <w:color w:val="auto"/>
          <w:kern w:val="0"/>
          <w:szCs w:val="21"/>
          <w:highlight w:val="none"/>
        </w:rPr>
        <w:t>已由</w:t>
      </w:r>
      <w:r>
        <w:rPr>
          <w:rFonts w:hint="eastAsia" w:ascii="宋体" w:hAnsi="宋体"/>
          <w:snapToGrid w:val="0"/>
          <w:color w:val="auto"/>
          <w:kern w:val="0"/>
          <w:szCs w:val="21"/>
          <w:highlight w:val="none"/>
          <w:u w:val="single"/>
        </w:rPr>
        <w:t>重庆市体育局局党组2022年第九次会议、第十八次</w:t>
      </w:r>
      <w:r>
        <w:rPr>
          <w:rFonts w:ascii="宋体" w:hAnsi="宋体"/>
          <w:snapToGrid w:val="0"/>
          <w:color w:val="auto"/>
          <w:kern w:val="0"/>
          <w:szCs w:val="21"/>
          <w:highlight w:val="none"/>
          <w:u w:val="single"/>
        </w:rPr>
        <w:t>会议</w:t>
      </w:r>
      <w:r>
        <w:rPr>
          <w:rFonts w:ascii="宋体" w:hAnsi="宋体"/>
          <w:snapToGrid w:val="0"/>
          <w:color w:val="auto"/>
          <w:kern w:val="0"/>
          <w:szCs w:val="21"/>
          <w:highlight w:val="none"/>
        </w:rPr>
        <w:t>批准</w:t>
      </w:r>
      <w:r>
        <w:rPr>
          <w:rFonts w:hint="eastAsia" w:ascii="宋体" w:hAnsi="宋体"/>
          <w:snapToGrid w:val="0"/>
          <w:color w:val="auto"/>
          <w:kern w:val="0"/>
          <w:szCs w:val="21"/>
          <w:highlight w:val="none"/>
        </w:rPr>
        <w:t>实施</w:t>
      </w:r>
      <w:r>
        <w:rPr>
          <w:rFonts w:ascii="宋体" w:hAnsi="宋体"/>
          <w:snapToGrid w:val="0"/>
          <w:color w:val="auto"/>
          <w:kern w:val="0"/>
          <w:szCs w:val="21"/>
          <w:highlight w:val="none"/>
        </w:rPr>
        <w:t>，项目业主为</w:t>
      </w:r>
      <w:r>
        <w:rPr>
          <w:rFonts w:hint="eastAsia" w:ascii="宋体" w:hAnsi="宋体"/>
          <w:snapToGrid w:val="0"/>
          <w:color w:val="auto"/>
          <w:kern w:val="0"/>
          <w:szCs w:val="21"/>
          <w:highlight w:val="none"/>
          <w:u w:val="single"/>
        </w:rPr>
        <w:t>重庆市体育设施建设维护中心</w:t>
      </w:r>
      <w:r>
        <w:rPr>
          <w:rFonts w:ascii="宋体" w:hAnsi="宋体"/>
          <w:snapToGrid w:val="0"/>
          <w:color w:val="auto"/>
          <w:kern w:val="0"/>
          <w:szCs w:val="21"/>
          <w:highlight w:val="none"/>
        </w:rPr>
        <w:t>，建设资金来自</w:t>
      </w:r>
      <w:r>
        <w:rPr>
          <w:rFonts w:hint="eastAsia" w:ascii="宋体" w:hAnsi="宋体"/>
          <w:snapToGrid w:val="0"/>
          <w:color w:val="auto"/>
          <w:kern w:val="0"/>
          <w:szCs w:val="21"/>
          <w:highlight w:val="none"/>
          <w:u w:val="single"/>
        </w:rPr>
        <w:t>财政资金</w:t>
      </w:r>
      <w:r>
        <w:rPr>
          <w:rFonts w:ascii="宋体" w:hAnsi="宋体"/>
          <w:snapToGrid w:val="0"/>
          <w:color w:val="auto"/>
          <w:kern w:val="0"/>
          <w:szCs w:val="21"/>
          <w:highlight w:val="none"/>
        </w:rPr>
        <w:t>，项目出资比例为</w:t>
      </w:r>
      <w:r>
        <w:rPr>
          <w:rFonts w:ascii="宋体" w:hAnsi="宋体"/>
          <w:snapToGrid w:val="0"/>
          <w:color w:val="auto"/>
          <w:kern w:val="0"/>
          <w:szCs w:val="21"/>
          <w:highlight w:val="none"/>
          <w:u w:val="single"/>
        </w:rPr>
        <w:t>100%</w:t>
      </w:r>
      <w:r>
        <w:rPr>
          <w:rFonts w:ascii="宋体" w:hAnsi="宋体"/>
          <w:snapToGrid w:val="0"/>
          <w:color w:val="auto"/>
          <w:kern w:val="0"/>
          <w:szCs w:val="21"/>
          <w:highlight w:val="none"/>
        </w:rPr>
        <w:t>，招标人</w:t>
      </w:r>
      <w:r>
        <w:rPr>
          <w:rFonts w:ascii="宋体" w:hAnsi="宋体"/>
          <w:snapToGrid w:val="0"/>
          <w:color w:val="auto"/>
          <w:kern w:val="0"/>
          <w:position w:val="-2"/>
          <w:szCs w:val="21"/>
          <w:highlight w:val="none"/>
        </w:rPr>
        <w:t>为</w:t>
      </w:r>
      <w:r>
        <w:rPr>
          <w:rFonts w:hint="eastAsia" w:ascii="宋体" w:hAnsi="宋体"/>
          <w:snapToGrid w:val="0"/>
          <w:color w:val="auto"/>
          <w:kern w:val="0"/>
          <w:szCs w:val="21"/>
          <w:highlight w:val="none"/>
          <w:u w:val="single"/>
        </w:rPr>
        <w:t>重庆市体育设施建设维护中心</w:t>
      </w:r>
      <w:r>
        <w:rPr>
          <w:rFonts w:ascii="宋体" w:hAnsi="宋体"/>
          <w:snapToGrid w:val="0"/>
          <w:color w:val="auto"/>
          <w:kern w:val="0"/>
          <w:position w:val="-2"/>
          <w:szCs w:val="21"/>
          <w:highlight w:val="none"/>
        </w:rPr>
        <w:t>。项目已具备招标条件，现对</w:t>
      </w:r>
      <w:r>
        <w:rPr>
          <w:rFonts w:hint="eastAsia" w:ascii="宋体" w:hAnsi="宋体"/>
          <w:snapToGrid w:val="0"/>
          <w:color w:val="auto"/>
          <w:kern w:val="0"/>
          <w:position w:val="-2"/>
          <w:szCs w:val="21"/>
          <w:highlight w:val="none"/>
          <w:u w:val="single"/>
        </w:rPr>
        <w:t>该项目的施工</w:t>
      </w:r>
      <w:r>
        <w:rPr>
          <w:rFonts w:ascii="宋体" w:hAnsi="宋体"/>
          <w:snapToGrid w:val="0"/>
          <w:color w:val="auto"/>
          <w:kern w:val="0"/>
          <w:position w:val="-2"/>
          <w:szCs w:val="21"/>
          <w:highlight w:val="none"/>
        </w:rPr>
        <w:t>进行公开招标。</w:t>
      </w:r>
    </w:p>
    <w:p w14:paraId="4EA6A966">
      <w:pPr>
        <w:tabs>
          <w:tab w:val="left" w:pos="3315"/>
          <w:tab w:val="left" w:pos="3390"/>
          <w:tab w:val="left" w:pos="6120"/>
          <w:tab w:val="left" w:pos="8850"/>
        </w:tabs>
        <w:autoSpaceDE w:val="0"/>
        <w:autoSpaceDN w:val="0"/>
        <w:adjustRightInd w:val="0"/>
        <w:snapToGrid w:val="0"/>
        <w:spacing w:line="460" w:lineRule="exact"/>
        <w:ind w:firstLine="422" w:firstLineChars="200"/>
        <w:jc w:val="left"/>
        <w:rPr>
          <w:rFonts w:ascii="宋体" w:hAnsi="宋体"/>
          <w:b/>
          <w:snapToGrid w:val="0"/>
          <w:color w:val="auto"/>
          <w:kern w:val="0"/>
          <w:szCs w:val="21"/>
          <w:highlight w:val="none"/>
        </w:rPr>
      </w:pPr>
      <w:bookmarkStart w:id="25" w:name="_Toc277082537"/>
      <w:bookmarkStart w:id="26" w:name="_Toc200359239"/>
      <w:bookmarkStart w:id="27" w:name="_Toc224103300"/>
      <w:bookmarkStart w:id="28" w:name="_Toc287620668"/>
      <w:bookmarkStart w:id="29" w:name="_Toc287607729"/>
      <w:bookmarkStart w:id="30" w:name="_Toc430530417"/>
      <w:bookmarkStart w:id="31" w:name="_Toc509218693"/>
      <w:bookmarkStart w:id="32" w:name="_Toc200359428"/>
      <w:r>
        <w:rPr>
          <w:rFonts w:ascii="宋体" w:hAnsi="宋体"/>
          <w:b/>
          <w:snapToGrid w:val="0"/>
          <w:color w:val="auto"/>
          <w:kern w:val="0"/>
          <w:szCs w:val="21"/>
          <w:highlight w:val="none"/>
        </w:rPr>
        <w:t>2.项目概况与招标范围</w:t>
      </w:r>
      <w:bookmarkEnd w:id="25"/>
      <w:bookmarkEnd w:id="26"/>
      <w:bookmarkEnd w:id="27"/>
      <w:bookmarkEnd w:id="28"/>
      <w:bookmarkEnd w:id="29"/>
      <w:bookmarkEnd w:id="30"/>
      <w:bookmarkEnd w:id="31"/>
      <w:bookmarkEnd w:id="32"/>
    </w:p>
    <w:p w14:paraId="34908543">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2.1 建设地点：</w:t>
      </w:r>
      <w:r>
        <w:rPr>
          <w:rFonts w:hint="eastAsia" w:ascii="宋体" w:hAnsi="宋体"/>
          <w:snapToGrid w:val="0"/>
          <w:color w:val="auto"/>
          <w:kern w:val="0"/>
          <w:szCs w:val="21"/>
          <w:highlight w:val="none"/>
          <w:u w:val="single"/>
        </w:rPr>
        <w:t>重庆市大田湾全民健身中心</w:t>
      </w:r>
      <w:r>
        <w:rPr>
          <w:rFonts w:ascii="宋体" w:hAnsi="宋体"/>
          <w:snapToGrid w:val="0"/>
          <w:color w:val="auto"/>
          <w:kern w:val="0"/>
          <w:szCs w:val="21"/>
          <w:highlight w:val="none"/>
          <w:u w:val="single"/>
        </w:rPr>
        <w:t>。</w:t>
      </w:r>
    </w:p>
    <w:p w14:paraId="2F3A02CE">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rPr>
      </w:pPr>
      <w:r>
        <w:rPr>
          <w:rFonts w:hint="eastAsia" w:ascii="宋体" w:hAnsi="宋体"/>
          <w:snapToGrid w:val="0"/>
          <w:color w:val="auto"/>
          <w:kern w:val="0"/>
          <w:szCs w:val="21"/>
          <w:highlight w:val="none"/>
        </w:rPr>
        <w:t>2.2 项目概况与建设规模：</w:t>
      </w:r>
      <w:r>
        <w:rPr>
          <w:rFonts w:hint="eastAsia" w:ascii="宋体" w:hAnsi="宋体"/>
          <w:snapToGrid w:val="0"/>
          <w:color w:val="auto"/>
          <w:kern w:val="0"/>
          <w:szCs w:val="21"/>
          <w:highlight w:val="none"/>
          <w:u w:val="single"/>
        </w:rPr>
        <w:t xml:space="preserve"> 项目</w:t>
      </w:r>
      <w:r>
        <w:rPr>
          <w:rFonts w:ascii="宋体" w:hAnsi="宋体"/>
          <w:snapToGrid w:val="0"/>
          <w:color w:val="auto"/>
          <w:kern w:val="0"/>
          <w:szCs w:val="21"/>
          <w:highlight w:val="none"/>
          <w:u w:val="single"/>
        </w:rPr>
        <w:t>位于重庆市渝中区大田湾，其中装饰工程包括车库出入口挡墙防水拆除及</w:t>
      </w:r>
      <w:r>
        <w:rPr>
          <w:rFonts w:hint="eastAsia" w:ascii="宋体" w:hAnsi="宋体"/>
          <w:snapToGrid w:val="0"/>
          <w:color w:val="auto"/>
          <w:kern w:val="0"/>
          <w:szCs w:val="21"/>
          <w:highlight w:val="none"/>
          <w:u w:val="single"/>
        </w:rPr>
        <w:t>恢复</w:t>
      </w:r>
      <w:r>
        <w:rPr>
          <w:rFonts w:ascii="宋体" w:hAnsi="宋体"/>
          <w:snapToGrid w:val="0"/>
          <w:color w:val="auto"/>
          <w:kern w:val="0"/>
          <w:szCs w:val="21"/>
          <w:highlight w:val="none"/>
          <w:u w:val="single"/>
        </w:rPr>
        <w:t>，沉降修补，羽毛球场、乒乓球场地胶地面翻新，楼梯间天地墙及栏杆扶手翻新，卫生间翻新，屋面防水拆除及恢复，网球场天棚排危，外立面真石漆改造、外立面新做百叶窗、外窗统一、门头统一</w:t>
      </w:r>
      <w:r>
        <w:rPr>
          <w:rFonts w:hint="eastAsia" w:ascii="宋体" w:hAnsi="宋体"/>
          <w:snapToGrid w:val="0"/>
          <w:color w:val="auto"/>
          <w:kern w:val="0"/>
          <w:szCs w:val="21"/>
          <w:highlight w:val="none"/>
          <w:u w:val="single"/>
        </w:rPr>
        <w:t>；</w:t>
      </w:r>
      <w:r>
        <w:rPr>
          <w:rFonts w:ascii="宋体" w:hAnsi="宋体"/>
          <w:snapToGrid w:val="0"/>
          <w:color w:val="auto"/>
          <w:kern w:val="0"/>
          <w:szCs w:val="21"/>
          <w:highlight w:val="none"/>
          <w:u w:val="single"/>
        </w:rPr>
        <w:t>安装工程包括卫生间给排水翻新、运动场灯具翻新、新增新风、电线整理</w:t>
      </w:r>
      <w:r>
        <w:rPr>
          <w:rFonts w:hint="eastAsia" w:ascii="宋体" w:hAnsi="宋体"/>
          <w:snapToGrid w:val="0"/>
          <w:color w:val="auto"/>
          <w:kern w:val="0"/>
          <w:szCs w:val="21"/>
          <w:highlight w:val="none"/>
          <w:u w:val="single"/>
        </w:rPr>
        <w:t>等</w:t>
      </w:r>
      <w:r>
        <w:rPr>
          <w:rFonts w:ascii="宋体" w:hAnsi="宋体"/>
          <w:snapToGrid w:val="0"/>
          <w:color w:val="auto"/>
          <w:kern w:val="0"/>
          <w:szCs w:val="21"/>
          <w:highlight w:val="none"/>
          <w:u w:val="single"/>
        </w:rPr>
        <w:t>，</w:t>
      </w:r>
      <w:r>
        <w:rPr>
          <w:rFonts w:hint="eastAsia" w:ascii="宋体" w:hAnsi="宋体"/>
          <w:snapToGrid w:val="0"/>
          <w:color w:val="auto"/>
          <w:kern w:val="0"/>
          <w:szCs w:val="21"/>
          <w:highlight w:val="none"/>
          <w:u w:val="single"/>
        </w:rPr>
        <w:t xml:space="preserve">项目平面改造面积约18239平米，外立面改造面积约7800平米。 </w:t>
      </w:r>
    </w:p>
    <w:p w14:paraId="10F4FA59">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 xml:space="preserve">2.3 </w:t>
      </w:r>
      <w:r>
        <w:rPr>
          <w:rFonts w:hint="eastAsia" w:ascii="宋体" w:hAnsi="宋体"/>
          <w:snapToGrid w:val="0"/>
          <w:color w:val="auto"/>
          <w:kern w:val="0"/>
          <w:szCs w:val="21"/>
          <w:highlight w:val="none"/>
        </w:rPr>
        <w:sym w:font="Wingdings 2" w:char="F052"/>
      </w:r>
      <w:r>
        <w:rPr>
          <w:rFonts w:hint="eastAsia" w:ascii="宋体" w:hAnsi="宋体"/>
          <w:snapToGrid w:val="0"/>
          <w:color w:val="auto"/>
          <w:kern w:val="0"/>
          <w:szCs w:val="21"/>
          <w:highlight w:val="none"/>
        </w:rPr>
        <w:t>本次招标项目合同估算金额：</w:t>
      </w:r>
      <w:r>
        <w:rPr>
          <w:rFonts w:hint="eastAsia" w:ascii="宋体" w:hAnsi="宋体"/>
          <w:snapToGrid w:val="0"/>
          <w:color w:val="auto"/>
          <w:kern w:val="0"/>
          <w:szCs w:val="21"/>
          <w:highlight w:val="none"/>
          <w:u w:val="single"/>
        </w:rPr>
        <w:t>约1456万元</w:t>
      </w:r>
      <w:r>
        <w:rPr>
          <w:rFonts w:ascii="宋体" w:hAnsi="宋体"/>
          <w:snapToGrid w:val="0"/>
          <w:color w:val="auto"/>
          <w:kern w:val="0"/>
          <w:szCs w:val="21"/>
          <w:highlight w:val="none"/>
          <w:u w:val="single"/>
        </w:rPr>
        <w:t>。</w:t>
      </w:r>
      <w:r>
        <w:rPr>
          <w:rFonts w:hint="eastAsia" w:ascii="宋体" w:hAnsi="宋体"/>
          <w:snapToGrid w:val="0"/>
          <w:color w:val="auto"/>
          <w:kern w:val="0"/>
          <w:szCs w:val="21"/>
          <w:highlight w:val="none"/>
          <w:u w:val="single"/>
        </w:rPr>
        <w:t xml:space="preserve"> </w:t>
      </w:r>
    </w:p>
    <w:p w14:paraId="1092A581">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2.4 招标范围：</w:t>
      </w:r>
      <w:r>
        <w:rPr>
          <w:rFonts w:hint="eastAsia" w:ascii="宋体" w:hAnsi="宋体"/>
          <w:snapToGrid w:val="0"/>
          <w:color w:val="auto"/>
          <w:kern w:val="0"/>
          <w:szCs w:val="21"/>
          <w:highlight w:val="none"/>
          <w:u w:val="single"/>
        </w:rPr>
        <w:t>包括施工图范围内的装饰</w:t>
      </w:r>
      <w:r>
        <w:rPr>
          <w:rFonts w:ascii="宋体" w:hAnsi="宋体"/>
          <w:snapToGrid w:val="0"/>
          <w:color w:val="auto"/>
          <w:kern w:val="0"/>
          <w:szCs w:val="21"/>
          <w:highlight w:val="none"/>
          <w:u w:val="single"/>
        </w:rPr>
        <w:t>工程、</w:t>
      </w:r>
      <w:r>
        <w:rPr>
          <w:rFonts w:hint="eastAsia" w:ascii="宋体" w:hAnsi="宋体"/>
          <w:snapToGrid w:val="0"/>
          <w:color w:val="auto"/>
          <w:kern w:val="0"/>
          <w:szCs w:val="21"/>
          <w:highlight w:val="none"/>
          <w:u w:val="single"/>
        </w:rPr>
        <w:t>给排水</w:t>
      </w:r>
      <w:r>
        <w:rPr>
          <w:rFonts w:ascii="宋体" w:hAnsi="宋体"/>
          <w:snapToGrid w:val="0"/>
          <w:color w:val="auto"/>
          <w:kern w:val="0"/>
          <w:szCs w:val="21"/>
          <w:highlight w:val="none"/>
          <w:u w:val="single"/>
        </w:rPr>
        <w:t>工程、</w:t>
      </w:r>
      <w:r>
        <w:rPr>
          <w:rFonts w:hint="eastAsia" w:ascii="宋体" w:hAnsi="宋体"/>
          <w:snapToGrid w:val="0"/>
          <w:color w:val="auto"/>
          <w:kern w:val="0"/>
          <w:szCs w:val="21"/>
          <w:highlight w:val="none"/>
          <w:u w:val="single"/>
        </w:rPr>
        <w:t>新风</w:t>
      </w:r>
      <w:r>
        <w:rPr>
          <w:rFonts w:ascii="宋体" w:hAnsi="宋体"/>
          <w:snapToGrid w:val="0"/>
          <w:color w:val="auto"/>
          <w:kern w:val="0"/>
          <w:szCs w:val="21"/>
          <w:highlight w:val="none"/>
          <w:u w:val="single"/>
        </w:rPr>
        <w:t>工程、强弱电工程</w:t>
      </w:r>
      <w:r>
        <w:rPr>
          <w:rFonts w:hint="eastAsia" w:ascii="宋体" w:hAnsi="宋体"/>
          <w:snapToGrid w:val="0"/>
          <w:color w:val="auto"/>
          <w:kern w:val="0"/>
          <w:szCs w:val="21"/>
          <w:highlight w:val="none"/>
          <w:u w:val="single"/>
        </w:rPr>
        <w:t>等。具体内容详施工图设计文件和工程量清单及说明。</w:t>
      </w:r>
    </w:p>
    <w:p w14:paraId="6944FAE2">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2.5 工期要求：</w:t>
      </w:r>
      <w:r>
        <w:rPr>
          <w:rFonts w:hint="eastAsia" w:ascii="宋体" w:hAnsi="宋体"/>
          <w:snapToGrid w:val="0"/>
          <w:color w:val="auto"/>
          <w:kern w:val="0"/>
          <w:szCs w:val="21"/>
          <w:highlight w:val="none"/>
          <w:u w:val="single"/>
        </w:rPr>
        <w:t>180日历天</w:t>
      </w:r>
    </w:p>
    <w:p w14:paraId="69BF3BD5">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rPr>
      </w:pPr>
      <w:r>
        <w:rPr>
          <w:rFonts w:hint="eastAsia" w:ascii="宋体" w:hAnsi="宋体"/>
          <w:snapToGrid w:val="0"/>
          <w:color w:val="auto"/>
          <w:kern w:val="0"/>
          <w:szCs w:val="21"/>
          <w:highlight w:val="none"/>
        </w:rPr>
        <w:t xml:space="preserve">    缺陷责任期要求：</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24</w:t>
      </w:r>
      <w:r>
        <w:rPr>
          <w:rFonts w:hint="eastAsia" w:ascii="宋体" w:hAnsi="宋体"/>
          <w:snapToGrid w:val="0"/>
          <w:color w:val="auto"/>
          <w:kern w:val="0"/>
          <w:szCs w:val="21"/>
          <w:highlight w:val="none"/>
          <w:u w:val="single"/>
        </w:rPr>
        <w:t>个月</w:t>
      </w:r>
    </w:p>
    <w:p w14:paraId="0D865190">
      <w:pPr>
        <w:tabs>
          <w:tab w:val="left" w:pos="3315"/>
          <w:tab w:val="left" w:pos="3390"/>
          <w:tab w:val="left" w:pos="6120"/>
          <w:tab w:val="left" w:pos="8850"/>
        </w:tabs>
        <w:autoSpaceDE w:val="0"/>
        <w:autoSpaceDN w:val="0"/>
        <w:adjustRightInd w:val="0"/>
        <w:snapToGrid w:val="0"/>
        <w:spacing w:line="460" w:lineRule="exact"/>
        <w:ind w:firstLine="422" w:firstLineChars="200"/>
        <w:jc w:val="left"/>
        <w:rPr>
          <w:rFonts w:ascii="宋体" w:hAnsi="宋体"/>
          <w:b/>
          <w:snapToGrid w:val="0"/>
          <w:color w:val="auto"/>
          <w:kern w:val="0"/>
          <w:szCs w:val="21"/>
          <w:highlight w:val="none"/>
        </w:rPr>
      </w:pPr>
      <w:bookmarkStart w:id="33" w:name="_Toc200359240"/>
      <w:bookmarkStart w:id="34" w:name="_Toc224103301"/>
      <w:bookmarkStart w:id="35" w:name="_Toc287607730"/>
      <w:bookmarkStart w:id="36" w:name="_Toc287620669"/>
      <w:bookmarkStart w:id="37" w:name="_Toc200359429"/>
      <w:bookmarkStart w:id="38" w:name="_Toc509218694"/>
      <w:bookmarkStart w:id="39" w:name="_Toc277082538"/>
      <w:bookmarkStart w:id="40" w:name="_Toc430530418"/>
      <w:r>
        <w:rPr>
          <w:rFonts w:ascii="宋体" w:hAnsi="宋体"/>
          <w:b/>
          <w:snapToGrid w:val="0"/>
          <w:color w:val="auto"/>
          <w:kern w:val="0"/>
          <w:szCs w:val="21"/>
          <w:highlight w:val="none"/>
        </w:rPr>
        <w:t>3.投标人资格要求</w:t>
      </w:r>
      <w:bookmarkEnd w:id="33"/>
      <w:bookmarkEnd w:id="34"/>
      <w:bookmarkEnd w:id="35"/>
      <w:bookmarkEnd w:id="36"/>
      <w:bookmarkEnd w:id="37"/>
      <w:bookmarkEnd w:id="38"/>
      <w:bookmarkEnd w:id="39"/>
      <w:bookmarkEnd w:id="40"/>
    </w:p>
    <w:p w14:paraId="4D5DA78C">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rPr>
      </w:pPr>
      <w:r>
        <w:rPr>
          <w:rFonts w:ascii="宋体" w:hAnsi="宋体"/>
          <w:snapToGrid w:val="0"/>
          <w:color w:val="auto"/>
          <w:kern w:val="0"/>
          <w:szCs w:val="21"/>
          <w:highlight w:val="none"/>
        </w:rPr>
        <w:t>3.1  本次招标要求投标人须具备</w:t>
      </w:r>
      <w:r>
        <w:rPr>
          <w:rFonts w:hint="eastAsia" w:ascii="宋体" w:hAnsi="宋体"/>
          <w:snapToGrid w:val="0"/>
          <w:color w:val="auto"/>
          <w:kern w:val="0"/>
          <w:szCs w:val="21"/>
          <w:highlight w:val="none"/>
        </w:rPr>
        <w:t>以下条件：</w:t>
      </w:r>
    </w:p>
    <w:p w14:paraId="00A65D5A">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rPr>
      </w:pPr>
      <w:r>
        <w:rPr>
          <w:rFonts w:hint="eastAsia" w:ascii="宋体" w:hAnsi="宋体"/>
          <w:snapToGrid w:val="0"/>
          <w:color w:val="auto"/>
          <w:kern w:val="0"/>
          <w:szCs w:val="21"/>
          <w:highlight w:val="none"/>
        </w:rPr>
        <w:t>3.1.1 本次招标要求投标人具备的资质条件：</w:t>
      </w:r>
      <w:r>
        <w:rPr>
          <w:rFonts w:ascii="宋体" w:hAnsi="宋体"/>
          <w:color w:val="auto"/>
          <w:szCs w:val="21"/>
          <w:highlight w:val="none"/>
        </w:rPr>
        <w:t>具备建设行政主管部门颁发的有效的</w:t>
      </w:r>
      <w:r>
        <w:rPr>
          <w:rFonts w:hint="eastAsia" w:ascii="宋体" w:hAnsi="宋体"/>
          <w:color w:val="auto"/>
          <w:highlight w:val="none"/>
          <w:u w:val="single"/>
        </w:rPr>
        <w:t>建筑工程</w:t>
      </w:r>
      <w:r>
        <w:rPr>
          <w:rFonts w:ascii="宋体" w:hAnsi="宋体"/>
          <w:color w:val="auto"/>
          <w:highlight w:val="none"/>
          <w:u w:val="single"/>
        </w:rPr>
        <w:t>施工总承包</w:t>
      </w:r>
      <w:r>
        <w:rPr>
          <w:rFonts w:hint="eastAsia" w:ascii="宋体" w:hAnsi="宋体"/>
          <w:color w:val="auto"/>
          <w:highlight w:val="none"/>
          <w:u w:val="single"/>
        </w:rPr>
        <w:t>二</w:t>
      </w:r>
      <w:r>
        <w:rPr>
          <w:rFonts w:ascii="宋体" w:hAnsi="宋体"/>
          <w:color w:val="auto"/>
          <w:highlight w:val="none"/>
          <w:u w:val="single"/>
        </w:rPr>
        <w:t>级</w:t>
      </w:r>
      <w:r>
        <w:rPr>
          <w:rFonts w:ascii="宋体" w:hAnsi="宋体"/>
          <w:color w:val="auto"/>
          <w:szCs w:val="21"/>
          <w:highlight w:val="none"/>
          <w:u w:val="single"/>
        </w:rPr>
        <w:t>及以上</w:t>
      </w:r>
      <w:r>
        <w:rPr>
          <w:rFonts w:hint="eastAsia" w:ascii="宋体" w:hAnsi="宋体"/>
          <w:color w:val="auto"/>
          <w:szCs w:val="21"/>
          <w:highlight w:val="none"/>
        </w:rPr>
        <w:t>资质</w:t>
      </w:r>
      <w:r>
        <w:rPr>
          <w:rFonts w:hint="eastAsia" w:ascii="宋体" w:hAnsi="宋体"/>
          <w:snapToGrid w:val="0"/>
          <w:color w:val="auto"/>
          <w:kern w:val="0"/>
          <w:szCs w:val="21"/>
          <w:highlight w:val="none"/>
        </w:rPr>
        <w:t>；</w:t>
      </w:r>
    </w:p>
    <w:p w14:paraId="3EED6AEF">
      <w:pPr>
        <w:autoSpaceDE w:val="0"/>
        <w:autoSpaceDN w:val="0"/>
        <w:adjustRightInd w:val="0"/>
        <w:snapToGrid w:val="0"/>
        <w:spacing w:line="400" w:lineRule="exact"/>
        <w:ind w:firstLine="420" w:firstLineChars="200"/>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sym w:font="Wingdings 2" w:char="F052"/>
      </w:r>
      <w:r>
        <w:rPr>
          <w:rFonts w:hint="eastAsia" w:ascii="宋体" w:hAnsi="宋体"/>
          <w:snapToGrid w:val="0"/>
          <w:color w:val="auto"/>
          <w:kern w:val="0"/>
          <w:szCs w:val="21"/>
          <w:highlight w:val="none"/>
        </w:rPr>
        <w:t>3.1.2 本次招标要求投标人具备的业绩条件：</w:t>
      </w:r>
      <w:r>
        <w:rPr>
          <w:rFonts w:ascii="宋体" w:hAnsi="宋体"/>
          <w:snapToGrid w:val="0"/>
          <w:color w:val="auto"/>
          <w:kern w:val="0"/>
          <w:szCs w:val="21"/>
          <w:highlight w:val="none"/>
          <w:u w:val="single"/>
        </w:rPr>
        <w:t>2019</w:t>
      </w:r>
      <w:r>
        <w:rPr>
          <w:rFonts w:hint="eastAsia" w:ascii="宋体" w:hAnsi="宋体"/>
          <w:snapToGrid w:val="0"/>
          <w:color w:val="auto"/>
          <w:kern w:val="0"/>
          <w:szCs w:val="21"/>
          <w:highlight w:val="none"/>
          <w:u w:val="single"/>
        </w:rPr>
        <w:t>年1月1日起至投标截止日止（以竣工时间为准），</w:t>
      </w:r>
      <w:r>
        <w:rPr>
          <w:rFonts w:ascii="宋体" w:hAnsi="宋体"/>
          <w:snapToGrid w:val="0"/>
          <w:color w:val="auto"/>
          <w:kern w:val="0"/>
          <w:szCs w:val="21"/>
          <w:highlight w:val="none"/>
          <w:u w:val="single"/>
        </w:rPr>
        <w:t>至少</w:t>
      </w:r>
      <w:r>
        <w:rPr>
          <w:rFonts w:hint="eastAsia" w:ascii="宋体" w:hAnsi="宋体"/>
          <w:snapToGrid w:val="0"/>
          <w:color w:val="auto"/>
          <w:kern w:val="0"/>
          <w:szCs w:val="21"/>
          <w:highlight w:val="none"/>
          <w:u w:val="single"/>
        </w:rPr>
        <w:t>完成过1个单项合同金额1</w:t>
      </w:r>
      <w:r>
        <w:rPr>
          <w:rFonts w:ascii="宋体" w:hAnsi="宋体"/>
          <w:snapToGrid w:val="0"/>
          <w:color w:val="auto"/>
          <w:kern w:val="0"/>
          <w:szCs w:val="21"/>
          <w:highlight w:val="none"/>
          <w:u w:val="single"/>
        </w:rPr>
        <w:t>0</w:t>
      </w:r>
      <w:r>
        <w:rPr>
          <w:rFonts w:hint="eastAsia" w:ascii="宋体" w:hAnsi="宋体"/>
          <w:snapToGrid w:val="0"/>
          <w:color w:val="auto"/>
          <w:kern w:val="0"/>
          <w:szCs w:val="21"/>
          <w:highlight w:val="none"/>
          <w:u w:val="single"/>
        </w:rPr>
        <w:t>00万元</w:t>
      </w:r>
      <w:r>
        <w:rPr>
          <w:rFonts w:ascii="宋体" w:hAnsi="宋体"/>
          <w:snapToGrid w:val="0"/>
          <w:color w:val="auto"/>
          <w:kern w:val="0"/>
          <w:szCs w:val="21"/>
          <w:highlight w:val="none"/>
          <w:u w:val="single"/>
        </w:rPr>
        <w:t>及以上的</w:t>
      </w:r>
      <w:r>
        <w:rPr>
          <w:rFonts w:hint="eastAsia" w:ascii="宋体" w:hAnsi="宋体"/>
          <w:color w:val="auto"/>
          <w:szCs w:val="21"/>
          <w:highlight w:val="none"/>
          <w:u w:val="single"/>
        </w:rPr>
        <w:t>公共建筑（公共建筑指文化建筑、教育建筑、体育建筑、卫生建筑）</w:t>
      </w:r>
      <w:r>
        <w:rPr>
          <w:rFonts w:hint="eastAsia" w:ascii="宋体" w:hAnsi="宋体"/>
          <w:snapToGrid w:val="0"/>
          <w:color w:val="auto"/>
          <w:kern w:val="0"/>
          <w:szCs w:val="21"/>
          <w:highlight w:val="none"/>
          <w:u w:val="single"/>
        </w:rPr>
        <w:t>的业绩。</w:t>
      </w:r>
    </w:p>
    <w:p w14:paraId="33E2FBB0">
      <w:pPr>
        <w:tabs>
          <w:tab w:val="left" w:pos="3840"/>
          <w:tab w:val="left" w:pos="5300"/>
        </w:tabs>
        <w:autoSpaceDE w:val="0"/>
        <w:autoSpaceDN w:val="0"/>
        <w:adjustRightInd w:val="0"/>
        <w:snapToGrid w:val="0"/>
        <w:spacing w:line="460" w:lineRule="exact"/>
        <w:ind w:firstLine="420" w:firstLineChars="200"/>
        <w:jc w:val="left"/>
        <w:rPr>
          <w:rFonts w:ascii="宋体" w:hAnsi="宋体"/>
          <w:color w:val="auto"/>
          <w:szCs w:val="21"/>
          <w:highlight w:val="none"/>
        </w:rPr>
      </w:pPr>
      <w:r>
        <w:rPr>
          <w:rFonts w:hint="eastAsia" w:ascii="宋体" w:hAnsi="宋体"/>
          <w:snapToGrid w:val="0"/>
          <w:color w:val="auto"/>
          <w:kern w:val="0"/>
          <w:szCs w:val="21"/>
          <w:highlight w:val="none"/>
        </w:rPr>
        <w:t>3.1.3 投标人还应在人员、设备、资金等方面具有相应的施工能力，详见招标文件第二章投标人须知前附表第1.4.1项内容。</w:t>
      </w:r>
    </w:p>
    <w:p w14:paraId="6744CE99">
      <w:pPr>
        <w:tabs>
          <w:tab w:val="left" w:pos="3045"/>
          <w:tab w:val="left" w:pos="8310"/>
        </w:tabs>
        <w:autoSpaceDE w:val="0"/>
        <w:autoSpaceDN w:val="0"/>
        <w:adjustRightInd w:val="0"/>
        <w:snapToGrid w:val="0"/>
        <w:spacing w:line="46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3.2  本次招标</w:t>
      </w:r>
      <w:r>
        <w:rPr>
          <w:rFonts w:hint="eastAsia" w:ascii="宋体" w:hAnsi="宋体"/>
          <w:snapToGrid w:val="0"/>
          <w:color w:val="auto"/>
          <w:kern w:val="0"/>
          <w:szCs w:val="21"/>
          <w:highlight w:val="none"/>
        </w:rPr>
        <w:sym w:font="Wingdings 2" w:char="F052"/>
      </w:r>
      <w:r>
        <w:rPr>
          <w:rFonts w:hint="eastAsia" w:ascii="宋体" w:hAnsi="宋体"/>
          <w:snapToGrid w:val="0"/>
          <w:color w:val="auto"/>
          <w:kern w:val="0"/>
          <w:szCs w:val="21"/>
          <w:highlight w:val="none"/>
        </w:rPr>
        <w:t>不接受</w:t>
      </w:r>
      <w:r>
        <w:rPr>
          <w:rFonts w:ascii="宋体" w:hAnsi="宋体"/>
          <w:snapToGrid w:val="0"/>
          <w:color w:val="auto"/>
          <w:kern w:val="0"/>
          <w:szCs w:val="21"/>
          <w:highlight w:val="none"/>
        </w:rPr>
        <w:t>联合体投标。</w:t>
      </w:r>
    </w:p>
    <w:p w14:paraId="2FF37C45">
      <w:pPr>
        <w:tabs>
          <w:tab w:val="left" w:pos="3315"/>
          <w:tab w:val="left" w:pos="3390"/>
          <w:tab w:val="left" w:pos="6120"/>
          <w:tab w:val="left" w:pos="8850"/>
        </w:tabs>
        <w:autoSpaceDE w:val="0"/>
        <w:autoSpaceDN w:val="0"/>
        <w:adjustRightInd w:val="0"/>
        <w:snapToGrid w:val="0"/>
        <w:spacing w:line="460" w:lineRule="exact"/>
        <w:ind w:firstLine="422" w:firstLineChars="200"/>
        <w:jc w:val="left"/>
        <w:rPr>
          <w:rFonts w:ascii="宋体" w:hAnsi="宋体"/>
          <w:b/>
          <w:snapToGrid w:val="0"/>
          <w:color w:val="auto"/>
          <w:kern w:val="0"/>
          <w:szCs w:val="21"/>
          <w:highlight w:val="none"/>
        </w:rPr>
      </w:pPr>
      <w:bookmarkStart w:id="41" w:name="_Toc287620670"/>
      <w:bookmarkStart w:id="42" w:name="_Toc200359241"/>
      <w:bookmarkStart w:id="43" w:name="_Toc224103302"/>
      <w:bookmarkStart w:id="44" w:name="_Toc277082539"/>
      <w:bookmarkStart w:id="45" w:name="_Toc509218695"/>
      <w:bookmarkStart w:id="46" w:name="_Toc200359430"/>
      <w:bookmarkStart w:id="47" w:name="_Toc287607731"/>
      <w:bookmarkStart w:id="48" w:name="_Toc430530419"/>
      <w:r>
        <w:rPr>
          <w:rFonts w:ascii="宋体" w:hAnsi="宋体"/>
          <w:b/>
          <w:snapToGrid w:val="0"/>
          <w:color w:val="auto"/>
          <w:kern w:val="0"/>
          <w:szCs w:val="21"/>
          <w:highlight w:val="none"/>
        </w:rPr>
        <w:t>4.招标文件的获取</w:t>
      </w:r>
      <w:bookmarkEnd w:id="41"/>
      <w:bookmarkEnd w:id="42"/>
      <w:bookmarkEnd w:id="43"/>
      <w:bookmarkEnd w:id="44"/>
      <w:bookmarkEnd w:id="45"/>
      <w:bookmarkEnd w:id="46"/>
      <w:bookmarkEnd w:id="47"/>
      <w:bookmarkEnd w:id="48"/>
    </w:p>
    <w:p w14:paraId="57358B25">
      <w:pPr>
        <w:tabs>
          <w:tab w:val="left" w:pos="2420"/>
          <w:tab w:val="left" w:pos="5445"/>
        </w:tabs>
        <w:autoSpaceDE w:val="0"/>
        <w:autoSpaceDN w:val="0"/>
        <w:adjustRightInd w:val="0"/>
        <w:snapToGrid w:val="0"/>
        <w:spacing w:line="450" w:lineRule="exact"/>
        <w:ind w:firstLine="420"/>
        <w:rPr>
          <w:rFonts w:ascii="宋体" w:hAnsi="宋体"/>
          <w:snapToGrid w:val="0"/>
          <w:color w:val="auto"/>
          <w:kern w:val="0"/>
          <w:szCs w:val="21"/>
          <w:highlight w:val="none"/>
        </w:rPr>
      </w:pPr>
      <w:r>
        <w:rPr>
          <w:rFonts w:hint="eastAsia" w:ascii="宋体" w:hAnsi="宋体"/>
          <w:snapToGrid w:val="0"/>
          <w:color w:val="auto"/>
          <w:kern w:val="0"/>
          <w:szCs w:val="21"/>
          <w:highlight w:val="none"/>
        </w:rPr>
        <w:t xml:space="preserve">4.1  </w:t>
      </w:r>
      <w:r>
        <w:rPr>
          <w:rFonts w:ascii="宋体" w:hAnsi="宋体"/>
          <w:snapToGrid w:val="0"/>
          <w:color w:val="auto"/>
          <w:kern w:val="0"/>
          <w:szCs w:val="21"/>
          <w:highlight w:val="none"/>
        </w:rPr>
        <w:t>本招标项目采用</w:t>
      </w:r>
      <w:r>
        <w:rPr>
          <w:rFonts w:hint="eastAsia" w:ascii="宋体" w:hAnsi="宋体"/>
          <w:snapToGrid w:val="0"/>
          <w:color w:val="auto"/>
          <w:kern w:val="0"/>
          <w:szCs w:val="21"/>
          <w:highlight w:val="none"/>
        </w:rPr>
        <w:t>全流程电子</w:t>
      </w:r>
      <w:r>
        <w:rPr>
          <w:rFonts w:ascii="宋体" w:hAnsi="宋体"/>
          <w:snapToGrid w:val="0"/>
          <w:color w:val="auto"/>
          <w:kern w:val="0"/>
          <w:szCs w:val="21"/>
          <w:highlight w:val="none"/>
        </w:rPr>
        <w:t>招投标，投标人在投标前可在</w:t>
      </w:r>
      <w:r>
        <w:rPr>
          <w:rFonts w:hint="eastAsia" w:ascii="宋体" w:hAnsi="宋体"/>
          <w:snapToGrid w:val="0"/>
          <w:color w:val="auto"/>
          <w:kern w:val="0"/>
          <w:szCs w:val="21"/>
          <w:highlight w:val="none"/>
          <w:u w:val="single"/>
        </w:rPr>
        <w:t>重庆市公共资源交易网（www.cqggzy.com）</w:t>
      </w:r>
      <w:r>
        <w:rPr>
          <w:rFonts w:ascii="宋体" w:hAnsi="宋体"/>
          <w:snapToGrid w:val="0"/>
          <w:color w:val="auto"/>
          <w:kern w:val="0"/>
          <w:szCs w:val="21"/>
          <w:highlight w:val="none"/>
        </w:rPr>
        <w:t>下载招标文件、工程量清单、电子图纸等资料。参与投标的投标人</w:t>
      </w:r>
      <w:r>
        <w:rPr>
          <w:rFonts w:hint="eastAsia" w:ascii="宋体" w:hAnsi="宋体"/>
          <w:snapToGrid w:val="0"/>
          <w:color w:val="auto"/>
          <w:kern w:val="0"/>
          <w:szCs w:val="21"/>
          <w:highlight w:val="none"/>
        </w:rPr>
        <w:t>需在</w:t>
      </w:r>
      <w:r>
        <w:rPr>
          <w:rFonts w:hint="eastAsia" w:ascii="宋体" w:hAnsi="宋体"/>
          <w:snapToGrid w:val="0"/>
          <w:color w:val="auto"/>
          <w:kern w:val="0"/>
          <w:szCs w:val="21"/>
          <w:highlight w:val="none"/>
          <w:u w:val="single"/>
        </w:rPr>
        <w:t>重庆市公共资源交易网（www.cqggzy.com）</w:t>
      </w:r>
      <w:r>
        <w:rPr>
          <w:rFonts w:hint="eastAsia" w:ascii="宋体" w:hAnsi="宋体"/>
          <w:snapToGrid w:val="0"/>
          <w:color w:val="auto"/>
          <w:kern w:val="0"/>
          <w:szCs w:val="21"/>
          <w:highlight w:val="none"/>
        </w:rPr>
        <w:t>完成市场主体信息登记以及 CA 数字证书办理，办理方式请参见</w:t>
      </w:r>
      <w:r>
        <w:rPr>
          <w:rFonts w:hint="eastAsia" w:ascii="宋体" w:hAnsi="宋体"/>
          <w:snapToGrid w:val="0"/>
          <w:color w:val="auto"/>
          <w:kern w:val="0"/>
          <w:szCs w:val="21"/>
          <w:highlight w:val="none"/>
          <w:u w:val="single"/>
        </w:rPr>
        <w:t>重庆市公共资源交易网（www.cqggzy.com）</w:t>
      </w:r>
      <w:r>
        <w:rPr>
          <w:rFonts w:hint="eastAsia" w:ascii="宋体" w:hAnsi="宋体"/>
          <w:snapToGrid w:val="0"/>
          <w:color w:val="auto"/>
          <w:kern w:val="0"/>
          <w:szCs w:val="21"/>
          <w:highlight w:val="none"/>
        </w:rPr>
        <w:t>导航栏“主体信息”页面中“市场主体信息登记”“CA 数字证书办理”。若投标人未及时完成市场主体信息登记和 CA 数字证书办理导致无法完成全流程电子招投标的，责任自负</w:t>
      </w:r>
      <w:r>
        <w:rPr>
          <w:rFonts w:ascii="宋体" w:hAnsi="宋体"/>
          <w:snapToGrid w:val="0"/>
          <w:color w:val="auto"/>
          <w:kern w:val="0"/>
          <w:szCs w:val="21"/>
          <w:highlight w:val="none"/>
        </w:rPr>
        <w:t>。</w:t>
      </w:r>
    </w:p>
    <w:p w14:paraId="1DE2F7DE">
      <w:pPr>
        <w:tabs>
          <w:tab w:val="left" w:pos="2420"/>
          <w:tab w:val="left" w:pos="5445"/>
        </w:tabs>
        <w:autoSpaceDE w:val="0"/>
        <w:autoSpaceDN w:val="0"/>
        <w:adjustRightInd w:val="0"/>
        <w:snapToGrid w:val="0"/>
        <w:spacing w:line="450" w:lineRule="exact"/>
        <w:ind w:firstLine="420"/>
        <w:rPr>
          <w:rFonts w:ascii="宋体" w:hAnsi="宋体"/>
          <w:snapToGrid w:val="0"/>
          <w:color w:val="auto"/>
          <w:kern w:val="0"/>
          <w:szCs w:val="21"/>
          <w:highlight w:val="none"/>
        </w:rPr>
      </w:pPr>
      <w:r>
        <w:rPr>
          <w:rFonts w:hint="eastAsia" w:ascii="宋体" w:hAnsi="宋体"/>
          <w:snapToGrid w:val="0"/>
          <w:color w:val="auto"/>
          <w:kern w:val="0"/>
          <w:szCs w:val="21"/>
          <w:highlight w:val="none"/>
        </w:rPr>
        <w:t>4.2  投标人可在附件招标公告规定的时限内在</w:t>
      </w:r>
      <w:r>
        <w:rPr>
          <w:rFonts w:hint="eastAsia" w:ascii="宋体" w:hAnsi="宋体"/>
          <w:snapToGrid w:val="0"/>
          <w:color w:val="auto"/>
          <w:kern w:val="0"/>
          <w:szCs w:val="21"/>
          <w:highlight w:val="none"/>
          <w:u w:val="single"/>
        </w:rPr>
        <w:t>重庆市公共资源交易网（www.cqggzy.com）</w:t>
      </w:r>
      <w:r>
        <w:rPr>
          <w:rFonts w:hint="eastAsia" w:ascii="宋体" w:hAnsi="宋体"/>
          <w:snapToGrid w:val="0"/>
          <w:color w:val="auto"/>
          <w:kern w:val="0"/>
          <w:szCs w:val="21"/>
          <w:highlight w:val="none"/>
        </w:rPr>
        <w:t>本项目招标公告网页下方“我要提问”栏提出疑问。</w:t>
      </w:r>
    </w:p>
    <w:p w14:paraId="2796C9E6">
      <w:pPr>
        <w:tabs>
          <w:tab w:val="left" w:pos="2420"/>
          <w:tab w:val="left" w:pos="5445"/>
        </w:tabs>
        <w:autoSpaceDE w:val="0"/>
        <w:autoSpaceDN w:val="0"/>
        <w:adjustRightInd w:val="0"/>
        <w:snapToGrid w:val="0"/>
        <w:spacing w:line="450" w:lineRule="exact"/>
        <w:ind w:firstLine="420"/>
        <w:jc w:val="left"/>
        <w:rPr>
          <w:rFonts w:ascii="宋体" w:hAnsi="宋体"/>
          <w:snapToGrid w:val="0"/>
          <w:color w:val="auto"/>
          <w:kern w:val="0"/>
          <w:szCs w:val="21"/>
          <w:highlight w:val="none"/>
        </w:rPr>
      </w:pPr>
      <w:r>
        <w:rPr>
          <w:rFonts w:hint="eastAsia" w:ascii="宋体" w:hAnsi="宋体"/>
          <w:snapToGrid w:val="0"/>
          <w:color w:val="auto"/>
          <w:kern w:val="0"/>
          <w:szCs w:val="21"/>
          <w:highlight w:val="none"/>
        </w:rPr>
        <w:t>4.3  招标人应在附件招标公告规定的时限内在</w:t>
      </w:r>
      <w:r>
        <w:rPr>
          <w:rFonts w:hint="eastAsia" w:ascii="宋体" w:hAnsi="宋体"/>
          <w:snapToGrid w:val="0"/>
          <w:color w:val="auto"/>
          <w:kern w:val="0"/>
          <w:szCs w:val="21"/>
          <w:highlight w:val="none"/>
          <w:u w:val="single"/>
        </w:rPr>
        <w:t>重庆市公共资源交易网（www.cqggzy.com）</w:t>
      </w:r>
      <w:r>
        <w:rPr>
          <w:rFonts w:hint="eastAsia" w:ascii="宋体" w:hAnsi="宋体"/>
          <w:snapToGrid w:val="0"/>
          <w:color w:val="auto"/>
          <w:kern w:val="0"/>
          <w:szCs w:val="21"/>
          <w:highlight w:val="none"/>
        </w:rPr>
        <w:t>发布澄清或修改。</w:t>
      </w:r>
    </w:p>
    <w:p w14:paraId="6DFB8C12">
      <w:pPr>
        <w:tabs>
          <w:tab w:val="left" w:pos="3315"/>
          <w:tab w:val="left" w:pos="3390"/>
          <w:tab w:val="left" w:pos="6120"/>
          <w:tab w:val="left" w:pos="8850"/>
        </w:tabs>
        <w:autoSpaceDE w:val="0"/>
        <w:autoSpaceDN w:val="0"/>
        <w:adjustRightInd w:val="0"/>
        <w:snapToGrid w:val="0"/>
        <w:spacing w:line="460" w:lineRule="exact"/>
        <w:ind w:firstLine="422" w:firstLineChars="200"/>
        <w:jc w:val="left"/>
        <w:rPr>
          <w:rFonts w:ascii="宋体" w:hAnsi="宋体"/>
          <w:b/>
          <w:snapToGrid w:val="0"/>
          <w:color w:val="auto"/>
          <w:kern w:val="0"/>
          <w:szCs w:val="21"/>
          <w:highlight w:val="none"/>
        </w:rPr>
      </w:pPr>
      <w:bookmarkStart w:id="49" w:name="_Toc509218696"/>
      <w:bookmarkStart w:id="50" w:name="_Toc277082540"/>
      <w:bookmarkStart w:id="51" w:name="_Toc200359431"/>
      <w:bookmarkStart w:id="52" w:name="_Toc430530420"/>
      <w:bookmarkStart w:id="53" w:name="_Toc287607732"/>
      <w:bookmarkStart w:id="54" w:name="_Toc287620671"/>
      <w:bookmarkStart w:id="55" w:name="_Toc200359242"/>
      <w:bookmarkStart w:id="56" w:name="_Toc224103303"/>
      <w:r>
        <w:rPr>
          <w:rFonts w:ascii="宋体" w:hAnsi="宋体"/>
          <w:b/>
          <w:snapToGrid w:val="0"/>
          <w:color w:val="auto"/>
          <w:kern w:val="0"/>
          <w:szCs w:val="21"/>
          <w:highlight w:val="none"/>
        </w:rPr>
        <w:t>5.投标文件的递交</w:t>
      </w:r>
      <w:bookmarkEnd w:id="49"/>
      <w:bookmarkEnd w:id="50"/>
      <w:bookmarkEnd w:id="51"/>
      <w:bookmarkEnd w:id="52"/>
      <w:bookmarkEnd w:id="53"/>
      <w:bookmarkEnd w:id="54"/>
      <w:bookmarkEnd w:id="55"/>
      <w:bookmarkEnd w:id="56"/>
    </w:p>
    <w:p w14:paraId="427E759E">
      <w:pPr>
        <w:tabs>
          <w:tab w:val="left" w:pos="2000"/>
          <w:tab w:val="left" w:pos="5580"/>
          <w:tab w:val="left" w:pos="6220"/>
          <w:tab w:val="left" w:pos="6840"/>
          <w:tab w:val="left" w:pos="7460"/>
          <w:tab w:val="left" w:pos="8100"/>
        </w:tabs>
        <w:autoSpaceDE w:val="0"/>
        <w:autoSpaceDN w:val="0"/>
        <w:adjustRightInd w:val="0"/>
        <w:snapToGrid w:val="0"/>
        <w:spacing w:line="45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5.1  投标文件递交的截止时间（投标截止时间，下同）</w:t>
      </w:r>
      <w:r>
        <w:rPr>
          <w:rFonts w:hint="eastAsia" w:ascii="宋体" w:hAnsi="宋体"/>
          <w:snapToGrid w:val="0"/>
          <w:color w:val="auto"/>
          <w:kern w:val="0"/>
          <w:szCs w:val="21"/>
          <w:highlight w:val="none"/>
        </w:rPr>
        <w:t>详见附件招标公告规定的投标截止时间</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投标人应当在投标截止时间前，通过互联网使用CA数字证书登录重庆市电子招投标系统，将加密的电子投标文件上传。</w:t>
      </w:r>
    </w:p>
    <w:p w14:paraId="6406A237">
      <w:pPr>
        <w:autoSpaceDE w:val="0"/>
        <w:autoSpaceDN w:val="0"/>
        <w:adjustRightInd w:val="0"/>
        <w:snapToGrid w:val="0"/>
        <w:spacing w:line="45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 xml:space="preserve">5.2  </w:t>
      </w:r>
      <w:r>
        <w:rPr>
          <w:rFonts w:hint="eastAsia" w:ascii="宋体" w:hAnsi="宋体"/>
          <w:snapToGrid w:val="0"/>
          <w:color w:val="auto"/>
          <w:kern w:val="0"/>
          <w:szCs w:val="21"/>
          <w:highlight w:val="none"/>
        </w:rPr>
        <w:t>未按要求加密的电子投标文件，将无法上传至重庆市电子招投标系统，逾期未完成上传投标文件的，视为撤回投标文件。</w:t>
      </w:r>
    </w:p>
    <w:p w14:paraId="010253D6">
      <w:pPr>
        <w:tabs>
          <w:tab w:val="left" w:pos="3315"/>
          <w:tab w:val="left" w:pos="3390"/>
          <w:tab w:val="left" w:pos="6120"/>
          <w:tab w:val="left" w:pos="8850"/>
        </w:tabs>
        <w:autoSpaceDE w:val="0"/>
        <w:autoSpaceDN w:val="0"/>
        <w:adjustRightInd w:val="0"/>
        <w:snapToGrid w:val="0"/>
        <w:spacing w:line="460" w:lineRule="exact"/>
        <w:ind w:firstLine="422" w:firstLineChars="200"/>
        <w:jc w:val="left"/>
        <w:rPr>
          <w:rFonts w:ascii="宋体" w:hAnsi="宋体"/>
          <w:b/>
          <w:snapToGrid w:val="0"/>
          <w:color w:val="auto"/>
          <w:kern w:val="0"/>
          <w:szCs w:val="21"/>
          <w:highlight w:val="none"/>
        </w:rPr>
      </w:pPr>
      <w:bookmarkStart w:id="57" w:name="_Toc509218697"/>
      <w:bookmarkStart w:id="58" w:name="_Toc287620672"/>
      <w:bookmarkStart w:id="59" w:name="_Toc200359432"/>
      <w:bookmarkStart w:id="60" w:name="_Toc277082541"/>
      <w:bookmarkStart w:id="61" w:name="_Toc224103304"/>
      <w:bookmarkStart w:id="62" w:name="_Toc287607733"/>
      <w:bookmarkStart w:id="63" w:name="_Toc200359243"/>
      <w:bookmarkStart w:id="64" w:name="_Toc430530421"/>
      <w:r>
        <w:rPr>
          <w:rFonts w:ascii="宋体" w:hAnsi="宋体"/>
          <w:b/>
          <w:snapToGrid w:val="0"/>
          <w:color w:val="auto"/>
          <w:kern w:val="0"/>
          <w:szCs w:val="21"/>
          <w:highlight w:val="none"/>
        </w:rPr>
        <w:t>6.发布公告的媒介</w:t>
      </w:r>
      <w:bookmarkEnd w:id="57"/>
      <w:bookmarkEnd w:id="58"/>
      <w:bookmarkEnd w:id="59"/>
      <w:bookmarkEnd w:id="60"/>
      <w:bookmarkEnd w:id="61"/>
      <w:bookmarkEnd w:id="62"/>
      <w:bookmarkEnd w:id="63"/>
      <w:bookmarkEnd w:id="64"/>
    </w:p>
    <w:p w14:paraId="45D04926">
      <w:pPr>
        <w:tabs>
          <w:tab w:val="left" w:pos="4950"/>
        </w:tabs>
        <w:autoSpaceDE w:val="0"/>
        <w:autoSpaceDN w:val="0"/>
        <w:adjustRightInd w:val="0"/>
        <w:snapToGrid w:val="0"/>
        <w:spacing w:line="45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本次招标公告同时在</w:t>
      </w:r>
      <w:r>
        <w:rPr>
          <w:rFonts w:hint="eastAsia" w:ascii="宋体" w:hAnsi="宋体"/>
          <w:snapToGrid w:val="0"/>
          <w:color w:val="auto"/>
          <w:kern w:val="0"/>
          <w:szCs w:val="21"/>
          <w:highlight w:val="none"/>
          <w:u w:val="single"/>
        </w:rPr>
        <w:t>重庆市公共资源交易网（www.cqggzy.com）</w:t>
      </w:r>
      <w:r>
        <w:rPr>
          <w:rFonts w:ascii="宋体" w:hAnsi="宋体"/>
          <w:snapToGrid w:val="0"/>
          <w:color w:val="auto"/>
          <w:kern w:val="0"/>
          <w:szCs w:val="21"/>
          <w:highlight w:val="none"/>
        </w:rPr>
        <w:t>上发布。</w:t>
      </w:r>
      <w:r>
        <w:rPr>
          <w:rFonts w:hint="eastAsia" w:ascii="宋体" w:hAnsi="宋体"/>
          <w:snapToGrid w:val="0"/>
          <w:color w:val="auto"/>
          <w:kern w:val="0"/>
          <w:szCs w:val="21"/>
          <w:highlight w:val="none"/>
        </w:rPr>
        <w:t xml:space="preserve"> </w:t>
      </w:r>
    </w:p>
    <w:p w14:paraId="151367DE">
      <w:pPr>
        <w:tabs>
          <w:tab w:val="left" w:pos="3315"/>
          <w:tab w:val="left" w:pos="3390"/>
          <w:tab w:val="left" w:pos="6120"/>
          <w:tab w:val="left" w:pos="8850"/>
        </w:tabs>
        <w:autoSpaceDE w:val="0"/>
        <w:autoSpaceDN w:val="0"/>
        <w:adjustRightInd w:val="0"/>
        <w:snapToGrid w:val="0"/>
        <w:spacing w:line="460" w:lineRule="exact"/>
        <w:ind w:firstLine="422" w:firstLineChars="200"/>
        <w:jc w:val="left"/>
        <w:rPr>
          <w:rFonts w:ascii="宋体" w:hAnsi="宋体"/>
          <w:b/>
          <w:snapToGrid w:val="0"/>
          <w:color w:val="auto"/>
          <w:kern w:val="0"/>
          <w:szCs w:val="21"/>
          <w:highlight w:val="none"/>
        </w:rPr>
      </w:pPr>
      <w:bookmarkStart w:id="65" w:name="_Toc287620673"/>
      <w:bookmarkStart w:id="66" w:name="_Toc277082542"/>
      <w:bookmarkStart w:id="67" w:name="_Toc430530422"/>
      <w:bookmarkStart w:id="68" w:name="_Toc509218698"/>
      <w:bookmarkStart w:id="69" w:name="_Toc224103305"/>
      <w:bookmarkStart w:id="70" w:name="_Toc287607734"/>
      <w:r>
        <w:rPr>
          <w:rFonts w:ascii="宋体" w:hAnsi="宋体"/>
          <w:b/>
          <w:snapToGrid w:val="0"/>
          <w:color w:val="auto"/>
          <w:kern w:val="0"/>
          <w:szCs w:val="21"/>
          <w:highlight w:val="none"/>
        </w:rPr>
        <w:t>7.联系方式</w:t>
      </w:r>
      <w:bookmarkEnd w:id="65"/>
      <w:bookmarkEnd w:id="66"/>
      <w:bookmarkEnd w:id="67"/>
      <w:bookmarkEnd w:id="68"/>
      <w:bookmarkEnd w:id="69"/>
      <w:bookmarkEnd w:id="70"/>
    </w:p>
    <w:p w14:paraId="026C95C7">
      <w:pPr>
        <w:tabs>
          <w:tab w:val="left" w:pos="5140"/>
          <w:tab w:val="left" w:pos="8520"/>
        </w:tabs>
        <w:autoSpaceDE w:val="0"/>
        <w:autoSpaceDN w:val="0"/>
        <w:adjustRightInd w:val="0"/>
        <w:snapToGrid w:val="0"/>
        <w:spacing w:line="450" w:lineRule="exact"/>
        <w:ind w:firstLine="420" w:firstLineChars="200"/>
        <w:jc w:val="left"/>
        <w:rPr>
          <w:rFonts w:ascii="宋体" w:hAnsi="宋体"/>
          <w:snapToGrid w:val="0"/>
          <w:color w:val="auto"/>
          <w:kern w:val="0"/>
          <w:szCs w:val="21"/>
          <w:highlight w:val="none"/>
        </w:rPr>
      </w:pPr>
      <w:r>
        <w:rPr>
          <w:rFonts w:ascii="宋体" w:hAnsi="宋体"/>
          <w:snapToGrid w:val="0"/>
          <w:color w:val="auto"/>
          <w:kern w:val="0"/>
          <w:szCs w:val="21"/>
          <w:highlight w:val="none"/>
        </w:rPr>
        <w:t>招 标 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重庆市体育设施建设维护中心</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招标代理机构：</w:t>
      </w:r>
      <w:r>
        <w:rPr>
          <w:rFonts w:hint="eastAsia" w:ascii="宋体" w:hAnsi="宋体"/>
          <w:snapToGrid w:val="0"/>
          <w:color w:val="auto"/>
          <w:kern w:val="0"/>
          <w:szCs w:val="21"/>
          <w:highlight w:val="none"/>
          <w:u w:val="single"/>
        </w:rPr>
        <w:t>中航技国际</w:t>
      </w:r>
      <w:r>
        <w:rPr>
          <w:rFonts w:ascii="宋体" w:hAnsi="宋体"/>
          <w:snapToGrid w:val="0"/>
          <w:color w:val="auto"/>
          <w:kern w:val="0"/>
          <w:szCs w:val="21"/>
          <w:highlight w:val="none"/>
          <w:u w:val="single"/>
        </w:rPr>
        <w:t>经贸发展有限公司</w:t>
      </w:r>
      <w:r>
        <w:rPr>
          <w:rFonts w:hint="eastAsia" w:ascii="宋体" w:hAnsi="宋体"/>
          <w:snapToGrid w:val="0"/>
          <w:color w:val="auto"/>
          <w:kern w:val="0"/>
          <w:szCs w:val="21"/>
          <w:highlight w:val="none"/>
          <w:u w:val="single"/>
        </w:rPr>
        <w:t xml:space="preserve"> </w:t>
      </w:r>
    </w:p>
    <w:p w14:paraId="13AD7B40">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color w:val="auto"/>
          <w:kern w:val="0"/>
          <w:szCs w:val="21"/>
          <w:highlight w:val="none"/>
        </w:rPr>
      </w:pPr>
      <w:r>
        <w:rPr>
          <w:rFonts w:ascii="宋体" w:hAnsi="宋体"/>
          <w:snapToGrid w:val="0"/>
          <w:color w:val="auto"/>
          <w:kern w:val="0"/>
          <w:szCs w:val="21"/>
          <w:highlight w:val="none"/>
        </w:rPr>
        <w:t>地    址：</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渝中区两路口</w:t>
      </w:r>
      <w:r>
        <w:rPr>
          <w:rFonts w:ascii="宋体" w:hAnsi="宋体"/>
          <w:snapToGrid w:val="0"/>
          <w:color w:val="auto"/>
          <w:kern w:val="0"/>
          <w:szCs w:val="21"/>
          <w:highlight w:val="none"/>
          <w:u w:val="single"/>
        </w:rPr>
        <w:t>体育村</w:t>
      </w:r>
      <w:r>
        <w:rPr>
          <w:rFonts w:hint="eastAsia" w:ascii="宋体" w:hAnsi="宋体"/>
          <w:snapToGrid w:val="0"/>
          <w:color w:val="auto"/>
          <w:kern w:val="0"/>
          <w:szCs w:val="21"/>
          <w:highlight w:val="none"/>
          <w:u w:val="single"/>
        </w:rPr>
        <w:t xml:space="preserve">3号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地    址：</w:t>
      </w:r>
      <w:r>
        <w:rPr>
          <w:rFonts w:ascii="宋体" w:hAnsi="宋体"/>
          <w:snapToGrid w:val="0"/>
          <w:color w:val="auto"/>
          <w:kern w:val="0"/>
          <w:position w:val="-3"/>
          <w:szCs w:val="21"/>
          <w:highlight w:val="none"/>
          <w:u w:val="single"/>
        </w:rPr>
        <w:t xml:space="preserve">  </w:t>
      </w:r>
      <w:r>
        <w:rPr>
          <w:rFonts w:hint="eastAsia" w:ascii="宋体" w:hAnsi="宋体"/>
          <w:snapToGrid w:val="0"/>
          <w:color w:val="auto"/>
          <w:kern w:val="0"/>
          <w:position w:val="-3"/>
          <w:szCs w:val="21"/>
          <w:highlight w:val="none"/>
          <w:u w:val="single"/>
        </w:rPr>
        <w:t>重庆市渝北区</w:t>
      </w:r>
      <w:r>
        <w:rPr>
          <w:rFonts w:ascii="宋体" w:hAnsi="宋体"/>
          <w:snapToGrid w:val="0"/>
          <w:color w:val="auto"/>
          <w:kern w:val="0"/>
          <w:position w:val="-3"/>
          <w:szCs w:val="21"/>
          <w:highlight w:val="none"/>
          <w:u w:val="single"/>
        </w:rPr>
        <w:t>金开大道</w:t>
      </w:r>
      <w:r>
        <w:rPr>
          <w:rFonts w:hint="eastAsia" w:ascii="宋体" w:hAnsi="宋体"/>
          <w:snapToGrid w:val="0"/>
          <w:color w:val="auto"/>
          <w:kern w:val="0"/>
          <w:position w:val="-3"/>
          <w:szCs w:val="21"/>
          <w:highlight w:val="none"/>
          <w:u w:val="single"/>
        </w:rPr>
        <w:t xml:space="preserve">351号 </w:t>
      </w:r>
      <w:r>
        <w:rPr>
          <w:rFonts w:ascii="宋体" w:hAnsi="宋体"/>
          <w:snapToGrid w:val="0"/>
          <w:color w:val="auto"/>
          <w:kern w:val="0"/>
          <w:position w:val="-3"/>
          <w:szCs w:val="21"/>
          <w:highlight w:val="none"/>
          <w:u w:val="single"/>
        </w:rPr>
        <w:t xml:space="preserve">   </w:t>
      </w:r>
    </w:p>
    <w:p w14:paraId="2D1D1D61">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color w:val="auto"/>
          <w:kern w:val="0"/>
          <w:szCs w:val="21"/>
          <w:highlight w:val="none"/>
        </w:rPr>
      </w:pPr>
      <w:r>
        <w:rPr>
          <w:rFonts w:ascii="宋体" w:hAnsi="宋体"/>
          <w:snapToGrid w:val="0"/>
          <w:color w:val="auto"/>
          <w:kern w:val="0"/>
          <w:szCs w:val="21"/>
          <w:highlight w:val="none"/>
        </w:rPr>
        <w:t>联 系 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杨明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联 系 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邓栖云</w:t>
      </w:r>
      <w:r>
        <w:rPr>
          <w:rFonts w:ascii="宋体" w:hAnsi="宋体"/>
          <w:snapToGrid w:val="0"/>
          <w:color w:val="auto"/>
          <w:kern w:val="0"/>
          <w:szCs w:val="21"/>
          <w:highlight w:val="none"/>
          <w:u w:val="single"/>
        </w:rPr>
        <w:t xml:space="preserve">                   </w:t>
      </w:r>
    </w:p>
    <w:p w14:paraId="26EFCBBA">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color w:val="auto"/>
          <w:kern w:val="0"/>
          <w:szCs w:val="21"/>
          <w:highlight w:val="none"/>
        </w:rPr>
      </w:pPr>
      <w:r>
        <w:rPr>
          <w:rFonts w:ascii="宋体" w:hAnsi="宋体"/>
          <w:snapToGrid w:val="0"/>
          <w:color w:val="auto"/>
          <w:kern w:val="0"/>
          <w:szCs w:val="21"/>
          <w:highlight w:val="none"/>
        </w:rPr>
        <w:t>电    话：</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023-63005905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     电    话：</w:t>
      </w:r>
      <w:r>
        <w:rPr>
          <w:rFonts w:ascii="宋体" w:hAnsi="宋体"/>
          <w:snapToGrid w:val="0"/>
          <w:color w:val="auto"/>
          <w:kern w:val="0"/>
          <w:szCs w:val="21"/>
          <w:highlight w:val="none"/>
          <w:u w:val="single"/>
        </w:rPr>
        <w:t xml:space="preserve">  023-63301790                     </w:t>
      </w:r>
    </w:p>
    <w:p w14:paraId="51F5C65D">
      <w:pPr>
        <w:tabs>
          <w:tab w:val="left" w:pos="5140"/>
          <w:tab w:val="left" w:pos="8420"/>
        </w:tabs>
        <w:autoSpaceDE w:val="0"/>
        <w:autoSpaceDN w:val="0"/>
        <w:adjustRightInd w:val="0"/>
        <w:snapToGrid w:val="0"/>
        <w:spacing w:line="400" w:lineRule="exact"/>
        <w:jc w:val="left"/>
        <w:rPr>
          <w:rFonts w:ascii="宋体" w:hAnsi="宋体"/>
          <w:snapToGrid w:val="0"/>
          <w:color w:val="auto"/>
          <w:kern w:val="0"/>
          <w:szCs w:val="21"/>
          <w:highlight w:val="none"/>
          <w:u w:val="single"/>
        </w:rPr>
      </w:pPr>
    </w:p>
    <w:p w14:paraId="2FDE005F">
      <w:pPr>
        <w:autoSpaceDE w:val="0"/>
        <w:autoSpaceDN w:val="0"/>
        <w:adjustRightInd w:val="0"/>
        <w:snapToGrid w:val="0"/>
        <w:spacing w:line="440" w:lineRule="exact"/>
        <w:ind w:firstLine="3906" w:firstLineChars="1860"/>
        <w:jc w:val="right"/>
        <w:rPr>
          <w:rFonts w:ascii="宋体" w:hAnsi="宋体"/>
          <w:snapToGrid w:val="0"/>
          <w:color w:val="auto"/>
          <w:kern w:val="0"/>
          <w:sz w:val="20"/>
          <w:szCs w:val="20"/>
          <w:highlight w:val="none"/>
        </w:rPr>
      </w:pPr>
      <w:r>
        <w:rPr>
          <w:rFonts w:ascii="宋体" w:hAnsi="宋体"/>
          <w:snapToGrid w:val="0"/>
          <w:color w:val="auto"/>
          <w:kern w:val="0"/>
          <w:szCs w:val="21"/>
          <w:highlight w:val="none"/>
          <w:u w:val="single"/>
        </w:rPr>
        <w:t>202</w:t>
      </w:r>
      <w:r>
        <w:rPr>
          <w:rFonts w:hint="eastAsia" w:ascii="宋体" w:hAnsi="宋体"/>
          <w:snapToGrid w:val="0"/>
          <w:color w:val="auto"/>
          <w:kern w:val="0"/>
          <w:szCs w:val="21"/>
          <w:highlight w:val="none"/>
          <w:u w:val="single"/>
          <w:lang w:val="en-US" w:eastAsia="zh-CN"/>
        </w:rPr>
        <w:t>3</w:t>
      </w:r>
      <w:r>
        <w:rPr>
          <w:rFonts w:ascii="宋体" w:hAnsi="宋体"/>
          <w:snapToGrid w:val="0"/>
          <w:color w:val="auto"/>
          <w:kern w:val="0"/>
          <w:szCs w:val="21"/>
          <w:highlight w:val="none"/>
        </w:rPr>
        <w:t>年</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 xml:space="preserve">1 </w:t>
      </w:r>
      <w:r>
        <w:rPr>
          <w:rFonts w:ascii="宋体" w:hAnsi="宋体"/>
          <w:snapToGrid w:val="0"/>
          <w:color w:val="auto"/>
          <w:kern w:val="0"/>
          <w:szCs w:val="21"/>
          <w:highlight w:val="none"/>
        </w:rPr>
        <w:t>月</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6</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日</w:t>
      </w:r>
      <w:r>
        <w:rPr>
          <w:rFonts w:hint="eastAsia" w:ascii="宋体" w:hAnsi="宋体"/>
          <w:snapToGrid w:val="0"/>
          <w:color w:val="auto"/>
          <w:kern w:val="0"/>
          <w:szCs w:val="21"/>
          <w:highlight w:val="none"/>
        </w:rPr>
        <w:t xml:space="preserve">  </w:t>
      </w:r>
    </w:p>
    <w:p w14:paraId="0C1172B2">
      <w:pPr>
        <w:pStyle w:val="3"/>
        <w:spacing w:before="0" w:after="0" w:line="200" w:lineRule="exact"/>
        <w:jc w:val="center"/>
        <w:rPr>
          <w:rFonts w:ascii="宋体" w:hAnsi="宋体"/>
          <w:snapToGrid w:val="0"/>
          <w:color w:val="auto"/>
          <w:kern w:val="0"/>
          <w:szCs w:val="21"/>
          <w:highlight w:val="none"/>
        </w:rPr>
      </w:pPr>
      <w:r>
        <w:rPr>
          <w:rFonts w:ascii="宋体" w:hAnsi="宋体"/>
          <w:snapToGrid w:val="0"/>
          <w:color w:val="auto"/>
          <w:kern w:val="0"/>
          <w:szCs w:val="21"/>
          <w:highlight w:val="none"/>
        </w:rPr>
        <w:br w:type="page"/>
      </w:r>
      <w:bookmarkStart w:id="71" w:name="_Toc224103306"/>
      <w:bookmarkStart w:id="72" w:name="_Toc287607735"/>
      <w:bookmarkStart w:id="73" w:name="_Toc430530423"/>
      <w:bookmarkStart w:id="74" w:name="_Toc287620674"/>
    </w:p>
    <w:bookmarkEnd w:id="71"/>
    <w:bookmarkEnd w:id="72"/>
    <w:bookmarkEnd w:id="73"/>
    <w:bookmarkEnd w:id="74"/>
    <w:p w14:paraId="773B2897">
      <w:pPr>
        <w:pStyle w:val="3"/>
        <w:spacing w:line="360" w:lineRule="auto"/>
        <w:jc w:val="center"/>
        <w:rPr>
          <w:rFonts w:ascii="宋体" w:hAnsi="宋体"/>
          <w:bCs w:val="0"/>
          <w:snapToGrid w:val="0"/>
          <w:color w:val="auto"/>
          <w:kern w:val="0"/>
          <w:highlight w:val="none"/>
        </w:rPr>
      </w:pPr>
      <w:bookmarkStart w:id="75" w:name="_Toc430530432"/>
      <w:bookmarkStart w:id="76" w:name="_Toc287607744"/>
      <w:bookmarkStart w:id="77" w:name="_Toc224103315"/>
      <w:bookmarkStart w:id="78" w:name="_Toc287620683"/>
      <w:bookmarkStart w:id="79" w:name="_Toc117005178"/>
      <w:r>
        <w:rPr>
          <w:rFonts w:ascii="宋体" w:hAnsi="宋体"/>
          <w:snapToGrid w:val="0"/>
          <w:color w:val="auto"/>
          <w:kern w:val="0"/>
          <w:highlight w:val="none"/>
        </w:rPr>
        <w:t>第二章  投标人须知</w:t>
      </w:r>
      <w:bookmarkEnd w:id="75"/>
      <w:bookmarkEnd w:id="76"/>
      <w:bookmarkEnd w:id="77"/>
      <w:bookmarkEnd w:id="78"/>
      <w:bookmarkEnd w:id="79"/>
      <w:bookmarkStart w:id="80" w:name="_Toc430530433"/>
      <w:bookmarkStart w:id="81" w:name="_Toc287607745"/>
      <w:bookmarkStart w:id="82" w:name="_Toc277082551"/>
      <w:bookmarkStart w:id="83" w:name="_Toc224103316"/>
      <w:bookmarkStart w:id="84" w:name="_Toc287620684"/>
    </w:p>
    <w:p w14:paraId="1B0B7168">
      <w:pPr>
        <w:pStyle w:val="4"/>
        <w:spacing w:before="100" w:after="100" w:line="360" w:lineRule="auto"/>
        <w:rPr>
          <w:rFonts w:ascii="宋体" w:hAnsi="宋体"/>
          <w:color w:val="auto"/>
          <w:highlight w:val="none"/>
        </w:rPr>
      </w:pPr>
      <w:bookmarkStart w:id="85" w:name="_Toc509218708"/>
      <w:bookmarkStart w:id="86" w:name="_Toc117005179"/>
      <w:r>
        <w:rPr>
          <w:rFonts w:hint="eastAsia" w:ascii="宋体" w:hAnsi="宋体"/>
          <w:color w:val="auto"/>
          <w:highlight w:val="none"/>
        </w:rPr>
        <w:t>投标人须知前附表</w:t>
      </w:r>
      <w:bookmarkEnd w:id="80"/>
      <w:bookmarkEnd w:id="81"/>
      <w:bookmarkEnd w:id="82"/>
      <w:bookmarkEnd w:id="83"/>
      <w:bookmarkEnd w:id="84"/>
      <w:bookmarkEnd w:id="85"/>
      <w:bookmarkEnd w:id="86"/>
    </w:p>
    <w:p w14:paraId="4C0937A4">
      <w:pPr>
        <w:spacing w:line="360" w:lineRule="auto"/>
        <w:ind w:firstLine="420" w:firstLineChars="200"/>
        <w:rPr>
          <w:rFonts w:ascii="宋体" w:hAnsi="宋体"/>
          <w:color w:val="auto"/>
          <w:szCs w:val="21"/>
          <w:highlight w:val="none"/>
        </w:rPr>
      </w:pPr>
      <w:r>
        <w:rPr>
          <w:rFonts w:ascii="宋体" w:hAnsi="宋体"/>
          <w:color w:val="auto"/>
          <w:szCs w:val="21"/>
          <w:highlight w:val="none"/>
        </w:rPr>
        <w:t>正文内容不允许修改。若投标人须知前附表与正文不一致的地方，以投标人须知前附表为准。</w:t>
      </w:r>
    </w:p>
    <w:tbl>
      <w:tblPr>
        <w:tblStyle w:val="46"/>
        <w:tblW w:w="946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1644"/>
        <w:gridCol w:w="6490"/>
      </w:tblGrid>
      <w:tr w14:paraId="0BDCE1C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335" w:type="dxa"/>
            <w:vAlign w:val="center"/>
          </w:tcPr>
          <w:p w14:paraId="67F00445">
            <w:pPr>
              <w:snapToGrid w:val="0"/>
              <w:spacing w:line="400" w:lineRule="exact"/>
              <w:jc w:val="center"/>
              <w:rPr>
                <w:rFonts w:ascii="宋体" w:hAnsi="宋体"/>
                <w:b/>
                <w:color w:val="auto"/>
                <w:kern w:val="0"/>
                <w:szCs w:val="21"/>
                <w:highlight w:val="none"/>
              </w:rPr>
            </w:pPr>
            <w:r>
              <w:rPr>
                <w:rFonts w:ascii="宋体" w:hAnsi="宋体"/>
                <w:b/>
                <w:color w:val="auto"/>
                <w:kern w:val="0"/>
                <w:szCs w:val="21"/>
                <w:highlight w:val="none"/>
              </w:rPr>
              <w:t>条 款 号</w:t>
            </w:r>
          </w:p>
        </w:tc>
        <w:tc>
          <w:tcPr>
            <w:tcW w:w="1644" w:type="dxa"/>
            <w:vAlign w:val="center"/>
          </w:tcPr>
          <w:p w14:paraId="30817518">
            <w:pPr>
              <w:snapToGrid w:val="0"/>
              <w:spacing w:line="400" w:lineRule="exact"/>
              <w:jc w:val="center"/>
              <w:rPr>
                <w:rFonts w:ascii="宋体" w:hAnsi="宋体"/>
                <w:b/>
                <w:color w:val="auto"/>
                <w:kern w:val="0"/>
                <w:szCs w:val="21"/>
                <w:highlight w:val="none"/>
              </w:rPr>
            </w:pPr>
            <w:r>
              <w:rPr>
                <w:rFonts w:ascii="宋体" w:hAnsi="宋体"/>
                <w:b/>
                <w:color w:val="auto"/>
                <w:kern w:val="0"/>
                <w:szCs w:val="21"/>
                <w:highlight w:val="none"/>
              </w:rPr>
              <w:t>条款名称</w:t>
            </w:r>
          </w:p>
        </w:tc>
        <w:tc>
          <w:tcPr>
            <w:tcW w:w="6490" w:type="dxa"/>
            <w:vAlign w:val="center"/>
          </w:tcPr>
          <w:p w14:paraId="4CD40F1D">
            <w:pPr>
              <w:snapToGrid w:val="0"/>
              <w:spacing w:line="400" w:lineRule="exact"/>
              <w:jc w:val="center"/>
              <w:rPr>
                <w:rFonts w:ascii="宋体" w:hAnsi="宋体"/>
                <w:b/>
                <w:color w:val="auto"/>
                <w:kern w:val="0"/>
                <w:szCs w:val="21"/>
                <w:highlight w:val="none"/>
              </w:rPr>
            </w:pPr>
            <w:r>
              <w:rPr>
                <w:rFonts w:ascii="宋体" w:hAnsi="宋体"/>
                <w:b/>
                <w:color w:val="auto"/>
                <w:kern w:val="0"/>
                <w:szCs w:val="21"/>
                <w:highlight w:val="none"/>
              </w:rPr>
              <w:t>编  列  内  容</w:t>
            </w:r>
          </w:p>
        </w:tc>
      </w:tr>
      <w:tr w14:paraId="20AF86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4622B71A">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1.1.2</w:t>
            </w:r>
          </w:p>
        </w:tc>
        <w:tc>
          <w:tcPr>
            <w:tcW w:w="1644" w:type="dxa"/>
            <w:vAlign w:val="center"/>
          </w:tcPr>
          <w:p w14:paraId="1733136E">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招标人</w:t>
            </w:r>
          </w:p>
        </w:tc>
        <w:tc>
          <w:tcPr>
            <w:tcW w:w="6490" w:type="dxa"/>
            <w:vAlign w:val="center"/>
          </w:tcPr>
          <w:p w14:paraId="6149FF76">
            <w:pPr>
              <w:snapToGrid w:val="0"/>
              <w:spacing w:line="400" w:lineRule="exact"/>
              <w:rPr>
                <w:rFonts w:ascii="宋体" w:hAnsi="宋体"/>
                <w:color w:val="auto"/>
                <w:kern w:val="0"/>
                <w:szCs w:val="21"/>
                <w:highlight w:val="none"/>
              </w:rPr>
            </w:pPr>
            <w:r>
              <w:rPr>
                <w:rFonts w:ascii="宋体" w:hAnsi="宋体"/>
                <w:color w:val="auto"/>
                <w:kern w:val="0"/>
                <w:szCs w:val="21"/>
                <w:highlight w:val="none"/>
              </w:rPr>
              <w:t>名称：</w:t>
            </w:r>
            <w:r>
              <w:rPr>
                <w:rFonts w:hint="eastAsia" w:ascii="宋体" w:hAnsi="宋体"/>
                <w:snapToGrid w:val="0"/>
                <w:color w:val="auto"/>
                <w:kern w:val="0"/>
                <w:szCs w:val="21"/>
                <w:highlight w:val="none"/>
              </w:rPr>
              <w:t>重庆市体育设施建设维护中心</w:t>
            </w:r>
          </w:p>
          <w:p w14:paraId="24538B5D">
            <w:pPr>
              <w:snapToGrid w:val="0"/>
              <w:spacing w:line="400" w:lineRule="exact"/>
              <w:rPr>
                <w:rFonts w:ascii="宋体" w:hAnsi="宋体"/>
                <w:color w:val="auto"/>
                <w:kern w:val="0"/>
                <w:szCs w:val="21"/>
                <w:highlight w:val="none"/>
              </w:rPr>
            </w:pPr>
            <w:r>
              <w:rPr>
                <w:rFonts w:ascii="宋体" w:hAnsi="宋体"/>
                <w:color w:val="auto"/>
                <w:kern w:val="0"/>
                <w:szCs w:val="21"/>
                <w:highlight w:val="none"/>
              </w:rPr>
              <w:t>地址：</w:t>
            </w:r>
            <w:r>
              <w:rPr>
                <w:rFonts w:hint="eastAsia" w:ascii="宋体" w:hAnsi="宋体"/>
                <w:snapToGrid w:val="0"/>
                <w:color w:val="auto"/>
                <w:kern w:val="0"/>
                <w:szCs w:val="21"/>
                <w:highlight w:val="none"/>
              </w:rPr>
              <w:t>渝中区两路口</w:t>
            </w:r>
            <w:r>
              <w:rPr>
                <w:rFonts w:ascii="宋体" w:hAnsi="宋体"/>
                <w:snapToGrid w:val="0"/>
                <w:color w:val="auto"/>
                <w:kern w:val="0"/>
                <w:szCs w:val="21"/>
                <w:highlight w:val="none"/>
              </w:rPr>
              <w:t>体育村</w:t>
            </w:r>
            <w:r>
              <w:rPr>
                <w:rFonts w:hint="eastAsia" w:ascii="宋体" w:hAnsi="宋体"/>
                <w:snapToGrid w:val="0"/>
                <w:color w:val="auto"/>
                <w:kern w:val="0"/>
                <w:szCs w:val="21"/>
                <w:highlight w:val="none"/>
              </w:rPr>
              <w:t>3号</w:t>
            </w:r>
          </w:p>
          <w:p w14:paraId="1E02D697">
            <w:pPr>
              <w:snapToGrid w:val="0"/>
              <w:spacing w:line="400" w:lineRule="exact"/>
              <w:rPr>
                <w:rFonts w:ascii="宋体" w:hAnsi="宋体"/>
                <w:color w:val="auto"/>
                <w:kern w:val="0"/>
                <w:szCs w:val="21"/>
                <w:highlight w:val="none"/>
              </w:rPr>
            </w:pPr>
            <w:r>
              <w:rPr>
                <w:rFonts w:ascii="宋体" w:hAnsi="宋体"/>
                <w:color w:val="auto"/>
                <w:kern w:val="0"/>
                <w:szCs w:val="21"/>
                <w:highlight w:val="none"/>
              </w:rPr>
              <w:t>联系人：</w:t>
            </w:r>
            <w:r>
              <w:rPr>
                <w:rFonts w:hint="eastAsia" w:ascii="宋体" w:hAnsi="宋体"/>
                <w:snapToGrid w:val="0"/>
                <w:color w:val="auto"/>
                <w:kern w:val="0"/>
                <w:szCs w:val="21"/>
                <w:highlight w:val="none"/>
              </w:rPr>
              <w:t>杨明</w:t>
            </w:r>
          </w:p>
          <w:p w14:paraId="7EEA2625">
            <w:pPr>
              <w:snapToGrid w:val="0"/>
              <w:spacing w:line="400" w:lineRule="exact"/>
              <w:rPr>
                <w:rFonts w:ascii="宋体" w:hAnsi="宋体"/>
                <w:color w:val="auto"/>
                <w:kern w:val="0"/>
                <w:szCs w:val="21"/>
                <w:highlight w:val="none"/>
              </w:rPr>
            </w:pPr>
            <w:r>
              <w:rPr>
                <w:rFonts w:ascii="宋体" w:hAnsi="宋体"/>
                <w:color w:val="auto"/>
                <w:kern w:val="0"/>
                <w:szCs w:val="21"/>
                <w:highlight w:val="none"/>
              </w:rPr>
              <w:t>电话：</w:t>
            </w:r>
            <w:r>
              <w:rPr>
                <w:rFonts w:hint="eastAsia" w:ascii="宋体" w:hAnsi="宋体"/>
                <w:color w:val="auto"/>
                <w:kern w:val="0"/>
                <w:szCs w:val="21"/>
                <w:highlight w:val="none"/>
              </w:rPr>
              <w:t>023-63005905</w:t>
            </w:r>
          </w:p>
        </w:tc>
      </w:tr>
      <w:tr w14:paraId="7C43EC0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6DB64FF9">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1.1.3</w:t>
            </w:r>
          </w:p>
        </w:tc>
        <w:tc>
          <w:tcPr>
            <w:tcW w:w="1644" w:type="dxa"/>
            <w:vAlign w:val="center"/>
          </w:tcPr>
          <w:p w14:paraId="0330DA64">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招标代理机构</w:t>
            </w:r>
          </w:p>
        </w:tc>
        <w:tc>
          <w:tcPr>
            <w:tcW w:w="6490" w:type="dxa"/>
            <w:vAlign w:val="center"/>
          </w:tcPr>
          <w:p w14:paraId="1E627165">
            <w:pPr>
              <w:snapToGrid w:val="0"/>
              <w:spacing w:line="400" w:lineRule="exact"/>
              <w:rPr>
                <w:rFonts w:ascii="宋体" w:hAnsi="宋体"/>
                <w:color w:val="auto"/>
                <w:kern w:val="0"/>
                <w:szCs w:val="21"/>
                <w:highlight w:val="none"/>
              </w:rPr>
            </w:pPr>
            <w:r>
              <w:rPr>
                <w:rFonts w:ascii="宋体" w:hAnsi="宋体"/>
                <w:color w:val="auto"/>
                <w:kern w:val="0"/>
                <w:szCs w:val="21"/>
                <w:highlight w:val="none"/>
              </w:rPr>
              <w:t>名称：</w:t>
            </w:r>
            <w:r>
              <w:rPr>
                <w:rFonts w:hint="eastAsia" w:ascii="宋体" w:hAnsi="宋体"/>
                <w:snapToGrid w:val="0"/>
                <w:color w:val="auto"/>
                <w:kern w:val="0"/>
                <w:szCs w:val="21"/>
                <w:highlight w:val="none"/>
              </w:rPr>
              <w:t>中航技国际</w:t>
            </w:r>
            <w:r>
              <w:rPr>
                <w:rFonts w:ascii="宋体" w:hAnsi="宋体"/>
                <w:snapToGrid w:val="0"/>
                <w:color w:val="auto"/>
                <w:kern w:val="0"/>
                <w:szCs w:val="21"/>
                <w:highlight w:val="none"/>
              </w:rPr>
              <w:t>经贸发展有限公司</w:t>
            </w:r>
          </w:p>
          <w:p w14:paraId="230315A0">
            <w:pPr>
              <w:snapToGrid w:val="0"/>
              <w:spacing w:line="400" w:lineRule="exact"/>
              <w:rPr>
                <w:rFonts w:ascii="宋体" w:hAnsi="宋体"/>
                <w:color w:val="auto"/>
                <w:kern w:val="0"/>
                <w:szCs w:val="21"/>
                <w:highlight w:val="none"/>
              </w:rPr>
            </w:pPr>
            <w:r>
              <w:rPr>
                <w:rFonts w:ascii="宋体" w:hAnsi="宋体"/>
                <w:color w:val="auto"/>
                <w:kern w:val="0"/>
                <w:szCs w:val="21"/>
                <w:highlight w:val="none"/>
              </w:rPr>
              <w:t>地址：</w:t>
            </w:r>
            <w:r>
              <w:rPr>
                <w:rFonts w:hint="eastAsia" w:ascii="宋体" w:hAnsi="宋体"/>
                <w:snapToGrid w:val="0"/>
                <w:color w:val="auto"/>
                <w:kern w:val="0"/>
                <w:position w:val="-3"/>
                <w:szCs w:val="21"/>
                <w:highlight w:val="none"/>
              </w:rPr>
              <w:t>重庆市渝北区</w:t>
            </w:r>
            <w:r>
              <w:rPr>
                <w:rFonts w:ascii="宋体" w:hAnsi="宋体"/>
                <w:snapToGrid w:val="0"/>
                <w:color w:val="auto"/>
                <w:kern w:val="0"/>
                <w:position w:val="-3"/>
                <w:szCs w:val="21"/>
                <w:highlight w:val="none"/>
              </w:rPr>
              <w:t>金开大道</w:t>
            </w:r>
            <w:r>
              <w:rPr>
                <w:rFonts w:hint="eastAsia" w:ascii="宋体" w:hAnsi="宋体"/>
                <w:snapToGrid w:val="0"/>
                <w:color w:val="auto"/>
                <w:kern w:val="0"/>
                <w:position w:val="-3"/>
                <w:szCs w:val="21"/>
                <w:highlight w:val="none"/>
              </w:rPr>
              <w:t>351号</w:t>
            </w:r>
          </w:p>
          <w:p w14:paraId="46F5F647">
            <w:pPr>
              <w:snapToGrid w:val="0"/>
              <w:spacing w:line="400" w:lineRule="exact"/>
              <w:rPr>
                <w:rFonts w:ascii="宋体" w:hAnsi="宋体"/>
                <w:color w:val="auto"/>
                <w:kern w:val="0"/>
                <w:szCs w:val="21"/>
                <w:highlight w:val="none"/>
              </w:rPr>
            </w:pPr>
            <w:r>
              <w:rPr>
                <w:rFonts w:ascii="宋体" w:hAnsi="宋体"/>
                <w:color w:val="auto"/>
                <w:kern w:val="0"/>
                <w:szCs w:val="21"/>
                <w:highlight w:val="none"/>
              </w:rPr>
              <w:t>联系人：</w:t>
            </w:r>
            <w:r>
              <w:rPr>
                <w:rFonts w:hint="eastAsia" w:ascii="宋体" w:hAnsi="宋体"/>
                <w:snapToGrid w:val="0"/>
                <w:color w:val="auto"/>
                <w:kern w:val="0"/>
                <w:szCs w:val="21"/>
                <w:highlight w:val="none"/>
              </w:rPr>
              <w:t>邓栖云</w:t>
            </w:r>
          </w:p>
          <w:p w14:paraId="490F7AB6">
            <w:pPr>
              <w:snapToGrid w:val="0"/>
              <w:spacing w:line="400" w:lineRule="exact"/>
              <w:rPr>
                <w:rFonts w:ascii="宋体" w:hAnsi="宋体"/>
                <w:color w:val="auto"/>
                <w:kern w:val="0"/>
                <w:szCs w:val="21"/>
                <w:highlight w:val="none"/>
              </w:rPr>
            </w:pPr>
            <w:r>
              <w:rPr>
                <w:rFonts w:ascii="宋体" w:hAnsi="宋体"/>
                <w:color w:val="auto"/>
                <w:kern w:val="0"/>
                <w:szCs w:val="21"/>
                <w:highlight w:val="none"/>
              </w:rPr>
              <w:t>电话：</w:t>
            </w:r>
            <w:r>
              <w:rPr>
                <w:rFonts w:hint="eastAsia" w:ascii="宋体" w:hAnsi="宋体"/>
                <w:color w:val="auto"/>
                <w:kern w:val="0"/>
                <w:szCs w:val="21"/>
                <w:highlight w:val="none"/>
              </w:rPr>
              <w:t>023</w:t>
            </w:r>
            <w:r>
              <w:rPr>
                <w:rFonts w:ascii="宋体" w:hAnsi="宋体"/>
                <w:color w:val="auto"/>
                <w:kern w:val="0"/>
                <w:szCs w:val="21"/>
                <w:highlight w:val="none"/>
              </w:rPr>
              <w:t>-63301790</w:t>
            </w:r>
          </w:p>
        </w:tc>
      </w:tr>
      <w:tr w14:paraId="0C1758E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3212029C">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1.1.4</w:t>
            </w:r>
          </w:p>
        </w:tc>
        <w:tc>
          <w:tcPr>
            <w:tcW w:w="1644" w:type="dxa"/>
            <w:vAlign w:val="center"/>
          </w:tcPr>
          <w:p w14:paraId="4F7ED8F9">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项目名称</w:t>
            </w:r>
          </w:p>
        </w:tc>
        <w:tc>
          <w:tcPr>
            <w:tcW w:w="6490" w:type="dxa"/>
            <w:vAlign w:val="center"/>
          </w:tcPr>
          <w:p w14:paraId="7AF1B991">
            <w:pPr>
              <w:snapToGrid w:val="0"/>
              <w:spacing w:line="400" w:lineRule="exact"/>
              <w:jc w:val="left"/>
              <w:rPr>
                <w:rFonts w:ascii="宋体" w:hAnsi="宋体"/>
                <w:color w:val="auto"/>
                <w:szCs w:val="21"/>
                <w:highlight w:val="none"/>
              </w:rPr>
            </w:pPr>
            <w:r>
              <w:rPr>
                <w:rFonts w:hint="eastAsia" w:ascii="宋体" w:hAnsi="宋体"/>
                <w:snapToGrid w:val="0"/>
                <w:color w:val="auto"/>
                <w:kern w:val="0"/>
                <w:szCs w:val="21"/>
                <w:highlight w:val="none"/>
              </w:rPr>
              <w:t>大田湾全民健身综合楼维修提升项目</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lang w:val="en-US" w:eastAsia="zh-CN"/>
              </w:rPr>
              <w:t>第二次</w:t>
            </w:r>
            <w:r>
              <w:rPr>
                <w:rFonts w:hint="eastAsia" w:ascii="宋体" w:hAnsi="宋体"/>
                <w:snapToGrid w:val="0"/>
                <w:color w:val="auto"/>
                <w:kern w:val="0"/>
                <w:szCs w:val="21"/>
                <w:highlight w:val="none"/>
                <w:lang w:eastAsia="zh-CN"/>
              </w:rPr>
              <w:t>）</w:t>
            </w:r>
          </w:p>
        </w:tc>
      </w:tr>
      <w:tr w14:paraId="325EA2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43F0A21C">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1.1.5</w:t>
            </w:r>
          </w:p>
        </w:tc>
        <w:tc>
          <w:tcPr>
            <w:tcW w:w="1644" w:type="dxa"/>
            <w:vAlign w:val="center"/>
          </w:tcPr>
          <w:p w14:paraId="7921F252">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建设地点</w:t>
            </w:r>
          </w:p>
        </w:tc>
        <w:tc>
          <w:tcPr>
            <w:tcW w:w="6490" w:type="dxa"/>
            <w:vAlign w:val="center"/>
          </w:tcPr>
          <w:p w14:paraId="6C2D4238">
            <w:pPr>
              <w:snapToGrid w:val="0"/>
              <w:spacing w:line="400" w:lineRule="exact"/>
              <w:jc w:val="left"/>
              <w:rPr>
                <w:rFonts w:ascii="宋体" w:hAnsi="宋体"/>
                <w:color w:val="auto"/>
                <w:szCs w:val="21"/>
                <w:highlight w:val="none"/>
              </w:rPr>
            </w:pPr>
            <w:r>
              <w:rPr>
                <w:rFonts w:hint="eastAsia" w:ascii="宋体" w:hAnsi="宋体"/>
                <w:snapToGrid w:val="0"/>
                <w:color w:val="auto"/>
                <w:kern w:val="0"/>
                <w:szCs w:val="21"/>
                <w:highlight w:val="none"/>
              </w:rPr>
              <w:t>重庆市大田湾全民健身中心。</w:t>
            </w:r>
          </w:p>
        </w:tc>
      </w:tr>
      <w:tr w14:paraId="77DD07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1CB73683">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1.1.6</w:t>
            </w:r>
          </w:p>
        </w:tc>
        <w:tc>
          <w:tcPr>
            <w:tcW w:w="1644" w:type="dxa"/>
            <w:vAlign w:val="center"/>
          </w:tcPr>
          <w:p w14:paraId="318D9BB6">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建设规模</w:t>
            </w:r>
          </w:p>
        </w:tc>
        <w:tc>
          <w:tcPr>
            <w:tcW w:w="6490" w:type="dxa"/>
            <w:vAlign w:val="center"/>
          </w:tcPr>
          <w:p w14:paraId="7244BCC4">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color w:val="auto"/>
                <w:kern w:val="0"/>
                <w:szCs w:val="21"/>
                <w:highlight w:val="none"/>
              </w:rPr>
            </w:pPr>
            <w:r>
              <w:rPr>
                <w:rFonts w:hint="eastAsia" w:ascii="宋体" w:hAnsi="宋体"/>
                <w:snapToGrid w:val="0"/>
                <w:color w:val="auto"/>
                <w:kern w:val="0"/>
                <w:szCs w:val="21"/>
                <w:highlight w:val="none"/>
                <w:u w:val="single"/>
              </w:rPr>
              <w:t>项目</w:t>
            </w:r>
            <w:r>
              <w:rPr>
                <w:rFonts w:ascii="宋体" w:hAnsi="宋体"/>
                <w:snapToGrid w:val="0"/>
                <w:color w:val="auto"/>
                <w:kern w:val="0"/>
                <w:szCs w:val="21"/>
                <w:highlight w:val="none"/>
                <w:u w:val="single"/>
              </w:rPr>
              <w:t>位于重庆市渝中区大田湾，其中装饰工程包括车库出入口挡墙防水拆除及</w:t>
            </w:r>
            <w:r>
              <w:rPr>
                <w:rFonts w:hint="eastAsia" w:ascii="宋体" w:hAnsi="宋体"/>
                <w:snapToGrid w:val="0"/>
                <w:color w:val="auto"/>
                <w:kern w:val="0"/>
                <w:szCs w:val="21"/>
                <w:highlight w:val="none"/>
                <w:u w:val="single"/>
              </w:rPr>
              <w:t>恢复</w:t>
            </w:r>
            <w:r>
              <w:rPr>
                <w:rFonts w:ascii="宋体" w:hAnsi="宋体"/>
                <w:snapToGrid w:val="0"/>
                <w:color w:val="auto"/>
                <w:kern w:val="0"/>
                <w:szCs w:val="21"/>
                <w:highlight w:val="none"/>
                <w:u w:val="single"/>
              </w:rPr>
              <w:t>，沉降修补，羽毛球场、乒乓球场地胶地面翻新，楼梯间天地墙及栏杆扶手翻新，卫生间翻新，屋面防水拆除及恢复，网球场天棚排危，外立面真石漆改造、外立面新做百叶窗、外窗统一、门头统一</w:t>
            </w:r>
            <w:r>
              <w:rPr>
                <w:rFonts w:hint="eastAsia" w:ascii="宋体" w:hAnsi="宋体"/>
                <w:snapToGrid w:val="0"/>
                <w:color w:val="auto"/>
                <w:kern w:val="0"/>
                <w:szCs w:val="21"/>
                <w:highlight w:val="none"/>
                <w:u w:val="single"/>
              </w:rPr>
              <w:t>；</w:t>
            </w:r>
            <w:r>
              <w:rPr>
                <w:rFonts w:ascii="宋体" w:hAnsi="宋体"/>
                <w:snapToGrid w:val="0"/>
                <w:color w:val="auto"/>
                <w:kern w:val="0"/>
                <w:szCs w:val="21"/>
                <w:highlight w:val="none"/>
                <w:u w:val="single"/>
              </w:rPr>
              <w:t>安装工程包括卫生间给排水翻新、运动场灯具翻新、新增新风、电线整理</w:t>
            </w:r>
            <w:r>
              <w:rPr>
                <w:rFonts w:hint="eastAsia" w:ascii="宋体" w:hAnsi="宋体"/>
                <w:snapToGrid w:val="0"/>
                <w:color w:val="auto"/>
                <w:kern w:val="0"/>
                <w:szCs w:val="21"/>
                <w:highlight w:val="none"/>
                <w:u w:val="single"/>
              </w:rPr>
              <w:t>等</w:t>
            </w:r>
            <w:r>
              <w:rPr>
                <w:rFonts w:ascii="宋体" w:hAnsi="宋体"/>
                <w:snapToGrid w:val="0"/>
                <w:color w:val="auto"/>
                <w:kern w:val="0"/>
                <w:szCs w:val="21"/>
                <w:highlight w:val="none"/>
                <w:u w:val="single"/>
              </w:rPr>
              <w:t>，</w:t>
            </w:r>
            <w:r>
              <w:rPr>
                <w:rFonts w:hint="eastAsia" w:ascii="宋体" w:hAnsi="宋体"/>
                <w:snapToGrid w:val="0"/>
                <w:color w:val="auto"/>
                <w:kern w:val="0"/>
                <w:szCs w:val="21"/>
                <w:highlight w:val="none"/>
                <w:u w:val="single"/>
              </w:rPr>
              <w:t>项目平面改造面积约18239平米，外立面改造面积约7800平米。</w:t>
            </w:r>
          </w:p>
        </w:tc>
      </w:tr>
      <w:tr w14:paraId="52DEC04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76D5A313">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1.2.1</w:t>
            </w:r>
          </w:p>
        </w:tc>
        <w:tc>
          <w:tcPr>
            <w:tcW w:w="1644" w:type="dxa"/>
            <w:vAlign w:val="center"/>
          </w:tcPr>
          <w:p w14:paraId="3676BF78">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资金来源</w:t>
            </w:r>
          </w:p>
        </w:tc>
        <w:tc>
          <w:tcPr>
            <w:tcW w:w="6490" w:type="dxa"/>
            <w:vAlign w:val="center"/>
          </w:tcPr>
          <w:p w14:paraId="6AABDD59">
            <w:pPr>
              <w:tabs>
                <w:tab w:val="left" w:pos="3840"/>
                <w:tab w:val="left" w:pos="5300"/>
              </w:tabs>
              <w:autoSpaceDE w:val="0"/>
              <w:autoSpaceDN w:val="0"/>
              <w:adjustRightInd w:val="0"/>
              <w:snapToGrid w:val="0"/>
              <w:spacing w:line="460" w:lineRule="exact"/>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u w:val="single"/>
              </w:rPr>
              <w:t>财政资金</w:t>
            </w:r>
          </w:p>
        </w:tc>
      </w:tr>
      <w:tr w14:paraId="490196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6C5C7983">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1.2.2</w:t>
            </w:r>
          </w:p>
        </w:tc>
        <w:tc>
          <w:tcPr>
            <w:tcW w:w="1644" w:type="dxa"/>
            <w:vAlign w:val="center"/>
          </w:tcPr>
          <w:p w14:paraId="6AFEE3DD">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出资比例</w:t>
            </w:r>
          </w:p>
        </w:tc>
        <w:tc>
          <w:tcPr>
            <w:tcW w:w="6490" w:type="dxa"/>
            <w:vAlign w:val="center"/>
          </w:tcPr>
          <w:p w14:paraId="66663D7C">
            <w:pPr>
              <w:snapToGrid w:val="0"/>
              <w:spacing w:line="400" w:lineRule="exact"/>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100%</w:t>
            </w:r>
          </w:p>
        </w:tc>
      </w:tr>
      <w:tr w14:paraId="155057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0AAE530A">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1.2.3</w:t>
            </w:r>
          </w:p>
        </w:tc>
        <w:tc>
          <w:tcPr>
            <w:tcW w:w="1644" w:type="dxa"/>
            <w:vAlign w:val="center"/>
          </w:tcPr>
          <w:p w14:paraId="2B7C570A">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资金落实情况</w:t>
            </w:r>
          </w:p>
        </w:tc>
        <w:tc>
          <w:tcPr>
            <w:tcW w:w="6490" w:type="dxa"/>
            <w:vAlign w:val="center"/>
          </w:tcPr>
          <w:p w14:paraId="78693D15">
            <w:pPr>
              <w:snapToGrid w:val="0"/>
              <w:spacing w:line="400" w:lineRule="exact"/>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已落实</w:t>
            </w:r>
          </w:p>
        </w:tc>
      </w:tr>
      <w:tr w14:paraId="4A249EA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2BB3348D">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1.3.1</w:t>
            </w:r>
          </w:p>
        </w:tc>
        <w:tc>
          <w:tcPr>
            <w:tcW w:w="1644" w:type="dxa"/>
            <w:vAlign w:val="center"/>
          </w:tcPr>
          <w:p w14:paraId="725A7C34">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招标范围</w:t>
            </w:r>
          </w:p>
        </w:tc>
        <w:tc>
          <w:tcPr>
            <w:tcW w:w="6490" w:type="dxa"/>
            <w:vAlign w:val="center"/>
          </w:tcPr>
          <w:p w14:paraId="4EBEA269">
            <w:pPr>
              <w:snapToGrid w:val="0"/>
              <w:spacing w:line="400" w:lineRule="exact"/>
              <w:ind w:firstLine="210" w:firstLineChars="100"/>
              <w:rPr>
                <w:rFonts w:ascii="宋体" w:hAnsi="宋体"/>
                <w:color w:val="auto"/>
                <w:szCs w:val="21"/>
                <w:highlight w:val="none"/>
              </w:rPr>
            </w:pPr>
            <w:r>
              <w:rPr>
                <w:rFonts w:hint="eastAsia" w:ascii="宋体" w:hAnsi="宋体"/>
                <w:snapToGrid w:val="0"/>
                <w:color w:val="auto"/>
                <w:kern w:val="0"/>
                <w:szCs w:val="21"/>
                <w:highlight w:val="none"/>
                <w:u w:val="single"/>
              </w:rPr>
              <w:t>包括施工图范围内的装饰</w:t>
            </w:r>
            <w:r>
              <w:rPr>
                <w:rFonts w:ascii="宋体" w:hAnsi="宋体"/>
                <w:snapToGrid w:val="0"/>
                <w:color w:val="auto"/>
                <w:kern w:val="0"/>
                <w:szCs w:val="21"/>
                <w:highlight w:val="none"/>
                <w:u w:val="single"/>
              </w:rPr>
              <w:t>工程、</w:t>
            </w:r>
            <w:r>
              <w:rPr>
                <w:rFonts w:hint="eastAsia" w:ascii="宋体" w:hAnsi="宋体"/>
                <w:snapToGrid w:val="0"/>
                <w:color w:val="auto"/>
                <w:kern w:val="0"/>
                <w:szCs w:val="21"/>
                <w:highlight w:val="none"/>
                <w:u w:val="single"/>
              </w:rPr>
              <w:t>给排水</w:t>
            </w:r>
            <w:r>
              <w:rPr>
                <w:rFonts w:ascii="宋体" w:hAnsi="宋体"/>
                <w:snapToGrid w:val="0"/>
                <w:color w:val="auto"/>
                <w:kern w:val="0"/>
                <w:szCs w:val="21"/>
                <w:highlight w:val="none"/>
                <w:u w:val="single"/>
              </w:rPr>
              <w:t>工程、</w:t>
            </w:r>
            <w:r>
              <w:rPr>
                <w:rFonts w:hint="eastAsia" w:ascii="宋体" w:hAnsi="宋体"/>
                <w:snapToGrid w:val="0"/>
                <w:color w:val="auto"/>
                <w:kern w:val="0"/>
                <w:szCs w:val="21"/>
                <w:highlight w:val="none"/>
                <w:u w:val="single"/>
              </w:rPr>
              <w:t>新风</w:t>
            </w:r>
            <w:r>
              <w:rPr>
                <w:rFonts w:ascii="宋体" w:hAnsi="宋体"/>
                <w:snapToGrid w:val="0"/>
                <w:color w:val="auto"/>
                <w:kern w:val="0"/>
                <w:szCs w:val="21"/>
                <w:highlight w:val="none"/>
                <w:u w:val="single"/>
              </w:rPr>
              <w:t>工程、强弱电工程</w:t>
            </w:r>
            <w:r>
              <w:rPr>
                <w:rFonts w:hint="eastAsia" w:ascii="宋体" w:hAnsi="宋体"/>
                <w:snapToGrid w:val="0"/>
                <w:color w:val="auto"/>
                <w:kern w:val="0"/>
                <w:szCs w:val="21"/>
                <w:highlight w:val="none"/>
                <w:u w:val="single"/>
              </w:rPr>
              <w:t>等。具体内容详施工图设计文件和工程量清单及说明。</w:t>
            </w:r>
          </w:p>
        </w:tc>
      </w:tr>
      <w:tr w14:paraId="5D4177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2A401E70">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1.3.2</w:t>
            </w:r>
          </w:p>
        </w:tc>
        <w:tc>
          <w:tcPr>
            <w:tcW w:w="1644" w:type="dxa"/>
            <w:vAlign w:val="center"/>
          </w:tcPr>
          <w:p w14:paraId="56CA4E56">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计划工期</w:t>
            </w:r>
          </w:p>
          <w:p w14:paraId="5AD97B83">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缺陷责任期</w:t>
            </w:r>
          </w:p>
        </w:tc>
        <w:tc>
          <w:tcPr>
            <w:tcW w:w="6490" w:type="dxa"/>
            <w:vAlign w:val="center"/>
          </w:tcPr>
          <w:p w14:paraId="606974AF">
            <w:pPr>
              <w:snapToGrid w:val="0"/>
              <w:spacing w:line="400" w:lineRule="exact"/>
              <w:ind w:firstLine="420" w:firstLineChars="200"/>
              <w:rPr>
                <w:rFonts w:ascii="宋体" w:hAnsi="宋体"/>
                <w:snapToGrid w:val="0"/>
                <w:color w:val="auto"/>
                <w:kern w:val="0"/>
                <w:szCs w:val="21"/>
                <w:highlight w:val="none"/>
                <w:u w:val="single"/>
              </w:rPr>
            </w:pPr>
            <w:r>
              <w:rPr>
                <w:rFonts w:hint="eastAsia" w:ascii="宋体" w:hAnsi="宋体"/>
                <w:color w:val="auto"/>
                <w:kern w:val="0"/>
                <w:szCs w:val="21"/>
                <w:highlight w:val="none"/>
              </w:rPr>
              <w:t>工期：</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1</w:t>
            </w:r>
            <w:r>
              <w:rPr>
                <w:rFonts w:hint="eastAsia" w:ascii="宋体" w:hAnsi="宋体"/>
                <w:snapToGrid w:val="0"/>
                <w:color w:val="auto"/>
                <w:kern w:val="0"/>
                <w:szCs w:val="21"/>
                <w:highlight w:val="none"/>
                <w:u w:val="single"/>
              </w:rPr>
              <w:t>8</w:t>
            </w:r>
            <w:r>
              <w:rPr>
                <w:rFonts w:ascii="宋体" w:hAnsi="宋体"/>
                <w:snapToGrid w:val="0"/>
                <w:color w:val="auto"/>
                <w:kern w:val="0"/>
                <w:szCs w:val="21"/>
                <w:highlight w:val="none"/>
                <w:u w:val="single"/>
              </w:rPr>
              <w:t>0</w:t>
            </w:r>
            <w:r>
              <w:rPr>
                <w:rFonts w:hint="eastAsia" w:ascii="宋体" w:hAnsi="宋体"/>
                <w:snapToGrid w:val="0"/>
                <w:color w:val="auto"/>
                <w:kern w:val="0"/>
                <w:szCs w:val="21"/>
                <w:highlight w:val="none"/>
                <w:u w:val="single"/>
              </w:rPr>
              <w:t>日历天</w:t>
            </w:r>
          </w:p>
          <w:p w14:paraId="47CC0E98">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缺陷责任期：</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24</w:t>
            </w:r>
            <w:r>
              <w:rPr>
                <w:rFonts w:hint="eastAsia" w:ascii="宋体" w:hAnsi="宋体"/>
                <w:snapToGrid w:val="0"/>
                <w:color w:val="auto"/>
                <w:kern w:val="0"/>
                <w:szCs w:val="21"/>
                <w:highlight w:val="none"/>
                <w:u w:val="single"/>
              </w:rPr>
              <w:t>个月</w:t>
            </w:r>
          </w:p>
        </w:tc>
      </w:tr>
      <w:tr w14:paraId="6E0B60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479F7A56">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1.3.3</w:t>
            </w:r>
          </w:p>
        </w:tc>
        <w:tc>
          <w:tcPr>
            <w:tcW w:w="1644" w:type="dxa"/>
            <w:vAlign w:val="center"/>
          </w:tcPr>
          <w:p w14:paraId="32F66DA8">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质量要求</w:t>
            </w:r>
          </w:p>
        </w:tc>
        <w:tc>
          <w:tcPr>
            <w:tcW w:w="6490" w:type="dxa"/>
            <w:vAlign w:val="center"/>
          </w:tcPr>
          <w:p w14:paraId="29735A86">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符合强制性质量标准，</w:t>
            </w:r>
            <w:r>
              <w:rPr>
                <w:rFonts w:hint="eastAsia" w:ascii="宋体" w:hAnsi="宋体"/>
                <w:color w:val="auto"/>
                <w:szCs w:val="21"/>
                <w:highlight w:val="none"/>
                <w:u w:val="single"/>
              </w:rPr>
              <w:t>符合</w:t>
            </w:r>
            <w:r>
              <w:rPr>
                <w:rFonts w:ascii="宋体" w:hAnsi="宋体"/>
                <w:color w:val="auto"/>
                <w:szCs w:val="21"/>
                <w:highlight w:val="none"/>
                <w:u w:val="single"/>
              </w:rPr>
              <w:t>国家和重庆市现行有关施工质量验收规范要求，并达到合格标准</w:t>
            </w:r>
            <w:r>
              <w:rPr>
                <w:rFonts w:ascii="宋体" w:hAnsi="宋体"/>
                <w:color w:val="auto"/>
                <w:szCs w:val="21"/>
                <w:highlight w:val="none"/>
              </w:rPr>
              <w:t>。</w:t>
            </w:r>
          </w:p>
        </w:tc>
      </w:tr>
      <w:tr w14:paraId="69121D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772373D7">
            <w:pPr>
              <w:snapToGrid w:val="0"/>
              <w:spacing w:line="400" w:lineRule="exact"/>
              <w:jc w:val="center"/>
              <w:rPr>
                <w:rFonts w:ascii="宋体" w:hAnsi="宋体"/>
                <w:color w:val="auto"/>
                <w:kern w:val="0"/>
                <w:szCs w:val="21"/>
                <w:highlight w:val="none"/>
              </w:rPr>
            </w:pPr>
          </w:p>
          <w:p w14:paraId="107E16ED">
            <w:pPr>
              <w:snapToGrid w:val="0"/>
              <w:spacing w:line="400" w:lineRule="exact"/>
              <w:jc w:val="center"/>
              <w:rPr>
                <w:rFonts w:ascii="宋体" w:hAnsi="宋体"/>
                <w:color w:val="auto"/>
                <w:kern w:val="0"/>
                <w:szCs w:val="21"/>
                <w:highlight w:val="none"/>
              </w:rPr>
            </w:pPr>
          </w:p>
          <w:p w14:paraId="240FA560">
            <w:pPr>
              <w:snapToGrid w:val="0"/>
              <w:spacing w:line="400" w:lineRule="exact"/>
              <w:jc w:val="center"/>
              <w:rPr>
                <w:rFonts w:ascii="宋体" w:hAnsi="宋体"/>
                <w:color w:val="auto"/>
                <w:kern w:val="0"/>
                <w:szCs w:val="21"/>
                <w:highlight w:val="none"/>
              </w:rPr>
            </w:pPr>
          </w:p>
          <w:p w14:paraId="61826C21">
            <w:pPr>
              <w:snapToGrid w:val="0"/>
              <w:spacing w:line="400" w:lineRule="exact"/>
              <w:jc w:val="center"/>
              <w:rPr>
                <w:rFonts w:ascii="宋体" w:hAnsi="宋体"/>
                <w:color w:val="auto"/>
                <w:kern w:val="0"/>
                <w:szCs w:val="21"/>
                <w:highlight w:val="none"/>
              </w:rPr>
            </w:pPr>
          </w:p>
          <w:p w14:paraId="43DBE6B1">
            <w:pPr>
              <w:snapToGrid w:val="0"/>
              <w:spacing w:line="400" w:lineRule="exact"/>
              <w:jc w:val="center"/>
              <w:rPr>
                <w:rFonts w:ascii="宋体" w:hAnsi="宋体"/>
                <w:color w:val="auto"/>
                <w:kern w:val="0"/>
                <w:szCs w:val="21"/>
                <w:highlight w:val="none"/>
              </w:rPr>
            </w:pPr>
          </w:p>
          <w:p w14:paraId="21EE7852">
            <w:pPr>
              <w:snapToGrid w:val="0"/>
              <w:spacing w:line="400" w:lineRule="exact"/>
              <w:jc w:val="center"/>
              <w:rPr>
                <w:rFonts w:ascii="宋体" w:hAnsi="宋体"/>
                <w:color w:val="auto"/>
                <w:kern w:val="0"/>
                <w:szCs w:val="21"/>
                <w:highlight w:val="none"/>
              </w:rPr>
            </w:pPr>
          </w:p>
          <w:p w14:paraId="5C623E13">
            <w:pPr>
              <w:snapToGrid w:val="0"/>
              <w:spacing w:line="400" w:lineRule="exact"/>
              <w:jc w:val="center"/>
              <w:rPr>
                <w:rFonts w:ascii="宋体" w:hAnsi="宋体"/>
                <w:color w:val="auto"/>
                <w:kern w:val="0"/>
                <w:szCs w:val="21"/>
                <w:highlight w:val="none"/>
              </w:rPr>
            </w:pPr>
          </w:p>
          <w:p w14:paraId="00AE3DA7">
            <w:pPr>
              <w:snapToGrid w:val="0"/>
              <w:spacing w:line="400" w:lineRule="exact"/>
              <w:jc w:val="center"/>
              <w:rPr>
                <w:rFonts w:ascii="宋体" w:hAnsi="宋体"/>
                <w:color w:val="auto"/>
                <w:kern w:val="0"/>
                <w:szCs w:val="21"/>
                <w:highlight w:val="none"/>
              </w:rPr>
            </w:pPr>
          </w:p>
          <w:p w14:paraId="7EDC587C">
            <w:pPr>
              <w:snapToGrid w:val="0"/>
              <w:spacing w:line="400" w:lineRule="exact"/>
              <w:jc w:val="center"/>
              <w:rPr>
                <w:rFonts w:ascii="宋体" w:hAnsi="宋体"/>
                <w:color w:val="auto"/>
                <w:kern w:val="0"/>
                <w:szCs w:val="21"/>
                <w:highlight w:val="none"/>
              </w:rPr>
            </w:pPr>
          </w:p>
          <w:p w14:paraId="1C58AF04">
            <w:pPr>
              <w:snapToGrid w:val="0"/>
              <w:spacing w:line="400" w:lineRule="exact"/>
              <w:jc w:val="center"/>
              <w:rPr>
                <w:rFonts w:ascii="宋体" w:hAnsi="宋体"/>
                <w:color w:val="auto"/>
                <w:kern w:val="0"/>
                <w:szCs w:val="21"/>
                <w:highlight w:val="none"/>
              </w:rPr>
            </w:pPr>
          </w:p>
          <w:p w14:paraId="5346B530">
            <w:pPr>
              <w:snapToGrid w:val="0"/>
              <w:spacing w:line="400" w:lineRule="exact"/>
              <w:jc w:val="center"/>
              <w:rPr>
                <w:rFonts w:ascii="宋体" w:hAnsi="宋体"/>
                <w:color w:val="auto"/>
                <w:kern w:val="0"/>
                <w:szCs w:val="21"/>
                <w:highlight w:val="none"/>
              </w:rPr>
            </w:pPr>
          </w:p>
          <w:p w14:paraId="406C2EED">
            <w:pPr>
              <w:snapToGrid w:val="0"/>
              <w:spacing w:line="400" w:lineRule="exact"/>
              <w:jc w:val="center"/>
              <w:rPr>
                <w:rFonts w:ascii="宋体" w:hAnsi="宋体"/>
                <w:color w:val="auto"/>
                <w:kern w:val="0"/>
                <w:szCs w:val="21"/>
                <w:highlight w:val="none"/>
              </w:rPr>
            </w:pPr>
          </w:p>
          <w:p w14:paraId="36120EEF">
            <w:pPr>
              <w:snapToGrid w:val="0"/>
              <w:spacing w:line="400" w:lineRule="exact"/>
              <w:jc w:val="center"/>
              <w:rPr>
                <w:rFonts w:ascii="宋体" w:hAnsi="宋体"/>
                <w:color w:val="auto"/>
                <w:kern w:val="0"/>
                <w:szCs w:val="21"/>
                <w:highlight w:val="none"/>
              </w:rPr>
            </w:pPr>
          </w:p>
          <w:p w14:paraId="64907082">
            <w:pPr>
              <w:snapToGrid w:val="0"/>
              <w:spacing w:line="400" w:lineRule="exact"/>
              <w:jc w:val="center"/>
              <w:rPr>
                <w:rFonts w:ascii="宋体" w:hAnsi="宋体"/>
                <w:color w:val="auto"/>
                <w:kern w:val="0"/>
                <w:szCs w:val="21"/>
                <w:highlight w:val="none"/>
              </w:rPr>
            </w:pPr>
          </w:p>
          <w:p w14:paraId="37473706">
            <w:pPr>
              <w:snapToGrid w:val="0"/>
              <w:spacing w:line="400" w:lineRule="exact"/>
              <w:jc w:val="center"/>
              <w:rPr>
                <w:rFonts w:ascii="宋体" w:hAnsi="宋体"/>
                <w:color w:val="auto"/>
                <w:kern w:val="0"/>
                <w:szCs w:val="21"/>
                <w:highlight w:val="none"/>
              </w:rPr>
            </w:pPr>
          </w:p>
          <w:p w14:paraId="2B0CF83C">
            <w:pPr>
              <w:snapToGrid w:val="0"/>
              <w:spacing w:line="400" w:lineRule="exact"/>
              <w:jc w:val="center"/>
              <w:rPr>
                <w:rFonts w:ascii="宋体" w:hAnsi="宋体"/>
                <w:color w:val="auto"/>
                <w:kern w:val="0"/>
                <w:szCs w:val="21"/>
                <w:highlight w:val="none"/>
              </w:rPr>
            </w:pPr>
          </w:p>
          <w:p w14:paraId="5271FBC3">
            <w:pPr>
              <w:snapToGrid w:val="0"/>
              <w:spacing w:line="400" w:lineRule="exact"/>
              <w:jc w:val="center"/>
              <w:rPr>
                <w:rFonts w:ascii="宋体" w:hAnsi="宋体"/>
                <w:color w:val="auto"/>
                <w:kern w:val="0"/>
                <w:szCs w:val="21"/>
                <w:highlight w:val="none"/>
              </w:rPr>
            </w:pPr>
          </w:p>
          <w:p w14:paraId="4D427E3C">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1.4.1</w:t>
            </w:r>
          </w:p>
          <w:p w14:paraId="5C9ADF4D">
            <w:pPr>
              <w:snapToGrid w:val="0"/>
              <w:spacing w:line="400" w:lineRule="exact"/>
              <w:jc w:val="center"/>
              <w:rPr>
                <w:rFonts w:ascii="宋体" w:hAnsi="宋体"/>
                <w:color w:val="auto"/>
                <w:kern w:val="0"/>
                <w:szCs w:val="21"/>
                <w:highlight w:val="none"/>
              </w:rPr>
            </w:pPr>
          </w:p>
          <w:p w14:paraId="7D1D71F5">
            <w:pPr>
              <w:snapToGrid w:val="0"/>
              <w:spacing w:line="400" w:lineRule="exact"/>
              <w:jc w:val="center"/>
              <w:rPr>
                <w:rFonts w:ascii="宋体" w:hAnsi="宋体"/>
                <w:color w:val="auto"/>
                <w:kern w:val="0"/>
                <w:szCs w:val="21"/>
                <w:highlight w:val="none"/>
              </w:rPr>
            </w:pPr>
          </w:p>
          <w:p w14:paraId="64FC358F">
            <w:pPr>
              <w:snapToGrid w:val="0"/>
              <w:spacing w:line="400" w:lineRule="exact"/>
              <w:jc w:val="center"/>
              <w:rPr>
                <w:rFonts w:ascii="宋体" w:hAnsi="宋体"/>
                <w:color w:val="auto"/>
                <w:kern w:val="0"/>
                <w:szCs w:val="21"/>
                <w:highlight w:val="none"/>
              </w:rPr>
            </w:pPr>
          </w:p>
          <w:p w14:paraId="684AD11F">
            <w:pPr>
              <w:snapToGrid w:val="0"/>
              <w:spacing w:line="400" w:lineRule="exact"/>
              <w:jc w:val="center"/>
              <w:rPr>
                <w:rFonts w:ascii="宋体" w:hAnsi="宋体"/>
                <w:color w:val="auto"/>
                <w:kern w:val="0"/>
                <w:szCs w:val="21"/>
                <w:highlight w:val="none"/>
              </w:rPr>
            </w:pPr>
          </w:p>
          <w:p w14:paraId="0BB246C4">
            <w:pPr>
              <w:snapToGrid w:val="0"/>
              <w:spacing w:line="400" w:lineRule="exact"/>
              <w:jc w:val="center"/>
              <w:rPr>
                <w:rFonts w:ascii="宋体" w:hAnsi="宋体"/>
                <w:color w:val="auto"/>
                <w:kern w:val="0"/>
                <w:szCs w:val="21"/>
                <w:highlight w:val="none"/>
              </w:rPr>
            </w:pPr>
          </w:p>
          <w:p w14:paraId="78967524">
            <w:pPr>
              <w:snapToGrid w:val="0"/>
              <w:spacing w:line="400" w:lineRule="exact"/>
              <w:jc w:val="center"/>
              <w:rPr>
                <w:rFonts w:ascii="宋体" w:hAnsi="宋体"/>
                <w:color w:val="auto"/>
                <w:kern w:val="0"/>
                <w:szCs w:val="21"/>
                <w:highlight w:val="none"/>
              </w:rPr>
            </w:pPr>
          </w:p>
          <w:p w14:paraId="731876ED">
            <w:pPr>
              <w:snapToGrid w:val="0"/>
              <w:spacing w:line="400" w:lineRule="exact"/>
              <w:jc w:val="center"/>
              <w:rPr>
                <w:rFonts w:ascii="宋体" w:hAnsi="宋体"/>
                <w:color w:val="auto"/>
                <w:kern w:val="0"/>
                <w:szCs w:val="21"/>
                <w:highlight w:val="none"/>
              </w:rPr>
            </w:pPr>
          </w:p>
          <w:p w14:paraId="7FB3DC89">
            <w:pPr>
              <w:snapToGrid w:val="0"/>
              <w:spacing w:line="400" w:lineRule="exact"/>
              <w:jc w:val="center"/>
              <w:rPr>
                <w:rFonts w:ascii="宋体" w:hAnsi="宋体"/>
                <w:color w:val="auto"/>
                <w:kern w:val="0"/>
                <w:szCs w:val="21"/>
                <w:highlight w:val="none"/>
              </w:rPr>
            </w:pPr>
          </w:p>
          <w:p w14:paraId="7C9BC609">
            <w:pPr>
              <w:snapToGrid w:val="0"/>
              <w:spacing w:line="400" w:lineRule="exact"/>
              <w:jc w:val="center"/>
              <w:rPr>
                <w:rFonts w:ascii="宋体" w:hAnsi="宋体"/>
                <w:color w:val="auto"/>
                <w:kern w:val="0"/>
                <w:szCs w:val="21"/>
                <w:highlight w:val="none"/>
              </w:rPr>
            </w:pPr>
          </w:p>
          <w:p w14:paraId="4D757304">
            <w:pPr>
              <w:snapToGrid w:val="0"/>
              <w:spacing w:line="400" w:lineRule="exact"/>
              <w:jc w:val="center"/>
              <w:rPr>
                <w:rFonts w:ascii="宋体" w:hAnsi="宋体"/>
                <w:color w:val="auto"/>
                <w:kern w:val="0"/>
                <w:szCs w:val="21"/>
                <w:highlight w:val="none"/>
              </w:rPr>
            </w:pPr>
          </w:p>
          <w:p w14:paraId="6AD61D61">
            <w:pPr>
              <w:snapToGrid w:val="0"/>
              <w:spacing w:line="400" w:lineRule="exact"/>
              <w:jc w:val="center"/>
              <w:rPr>
                <w:rFonts w:ascii="宋体" w:hAnsi="宋体"/>
                <w:color w:val="auto"/>
                <w:kern w:val="0"/>
                <w:szCs w:val="21"/>
                <w:highlight w:val="none"/>
              </w:rPr>
            </w:pPr>
          </w:p>
          <w:p w14:paraId="633A6F47">
            <w:pPr>
              <w:snapToGrid w:val="0"/>
              <w:spacing w:line="400" w:lineRule="exact"/>
              <w:jc w:val="center"/>
              <w:rPr>
                <w:rFonts w:ascii="宋体" w:hAnsi="宋体"/>
                <w:color w:val="auto"/>
                <w:kern w:val="0"/>
                <w:szCs w:val="21"/>
                <w:highlight w:val="none"/>
              </w:rPr>
            </w:pPr>
          </w:p>
          <w:p w14:paraId="428DB8F9">
            <w:pPr>
              <w:snapToGrid w:val="0"/>
              <w:spacing w:line="400" w:lineRule="exact"/>
              <w:jc w:val="center"/>
              <w:rPr>
                <w:rFonts w:ascii="宋体" w:hAnsi="宋体"/>
                <w:color w:val="auto"/>
                <w:kern w:val="0"/>
                <w:szCs w:val="21"/>
                <w:highlight w:val="none"/>
              </w:rPr>
            </w:pPr>
          </w:p>
          <w:p w14:paraId="15271785">
            <w:pPr>
              <w:snapToGrid w:val="0"/>
              <w:spacing w:line="400" w:lineRule="exact"/>
              <w:jc w:val="center"/>
              <w:rPr>
                <w:rFonts w:ascii="宋体" w:hAnsi="宋体"/>
                <w:color w:val="auto"/>
                <w:kern w:val="0"/>
                <w:szCs w:val="21"/>
                <w:highlight w:val="none"/>
              </w:rPr>
            </w:pPr>
          </w:p>
          <w:p w14:paraId="369E20FE">
            <w:pPr>
              <w:snapToGrid w:val="0"/>
              <w:spacing w:line="400" w:lineRule="exact"/>
              <w:jc w:val="center"/>
              <w:rPr>
                <w:rFonts w:ascii="宋体" w:hAnsi="宋体"/>
                <w:color w:val="auto"/>
                <w:kern w:val="0"/>
                <w:szCs w:val="21"/>
                <w:highlight w:val="none"/>
              </w:rPr>
            </w:pPr>
          </w:p>
          <w:p w14:paraId="6C62B762">
            <w:pPr>
              <w:snapToGrid w:val="0"/>
              <w:spacing w:line="400" w:lineRule="exact"/>
              <w:jc w:val="center"/>
              <w:rPr>
                <w:rFonts w:ascii="宋体" w:hAnsi="宋体"/>
                <w:color w:val="auto"/>
                <w:kern w:val="0"/>
                <w:szCs w:val="21"/>
                <w:highlight w:val="none"/>
              </w:rPr>
            </w:pPr>
          </w:p>
          <w:p w14:paraId="12595883">
            <w:pPr>
              <w:snapToGrid w:val="0"/>
              <w:spacing w:line="400" w:lineRule="exact"/>
              <w:jc w:val="center"/>
              <w:rPr>
                <w:rFonts w:ascii="宋体" w:hAnsi="宋体"/>
                <w:color w:val="auto"/>
                <w:kern w:val="0"/>
                <w:szCs w:val="21"/>
                <w:highlight w:val="none"/>
              </w:rPr>
            </w:pPr>
          </w:p>
          <w:p w14:paraId="54AB2ACC">
            <w:pPr>
              <w:snapToGrid w:val="0"/>
              <w:spacing w:line="400" w:lineRule="exact"/>
              <w:jc w:val="center"/>
              <w:rPr>
                <w:rFonts w:ascii="宋体" w:hAnsi="宋体"/>
                <w:color w:val="auto"/>
                <w:kern w:val="0"/>
                <w:szCs w:val="21"/>
                <w:highlight w:val="none"/>
              </w:rPr>
            </w:pPr>
          </w:p>
          <w:p w14:paraId="2B308EA8">
            <w:pPr>
              <w:snapToGrid w:val="0"/>
              <w:spacing w:line="400" w:lineRule="exact"/>
              <w:jc w:val="center"/>
              <w:rPr>
                <w:rFonts w:ascii="宋体" w:hAnsi="宋体"/>
                <w:color w:val="auto"/>
                <w:kern w:val="0"/>
                <w:szCs w:val="21"/>
                <w:highlight w:val="none"/>
              </w:rPr>
            </w:pPr>
          </w:p>
          <w:p w14:paraId="4405C24E">
            <w:pPr>
              <w:snapToGrid w:val="0"/>
              <w:spacing w:line="400" w:lineRule="exact"/>
              <w:jc w:val="center"/>
              <w:rPr>
                <w:rFonts w:ascii="宋体" w:hAnsi="宋体"/>
                <w:color w:val="auto"/>
                <w:kern w:val="0"/>
                <w:szCs w:val="21"/>
                <w:highlight w:val="none"/>
              </w:rPr>
            </w:pPr>
          </w:p>
          <w:p w14:paraId="728B3D19">
            <w:pPr>
              <w:snapToGrid w:val="0"/>
              <w:spacing w:line="400" w:lineRule="exact"/>
              <w:jc w:val="center"/>
              <w:rPr>
                <w:rFonts w:ascii="宋体" w:hAnsi="宋体"/>
                <w:color w:val="auto"/>
                <w:kern w:val="0"/>
                <w:szCs w:val="21"/>
                <w:highlight w:val="none"/>
              </w:rPr>
            </w:pPr>
          </w:p>
          <w:p w14:paraId="4AFBBB15">
            <w:pPr>
              <w:snapToGrid w:val="0"/>
              <w:spacing w:line="400" w:lineRule="exact"/>
              <w:jc w:val="center"/>
              <w:rPr>
                <w:rFonts w:ascii="宋体" w:hAnsi="宋体"/>
                <w:color w:val="auto"/>
                <w:kern w:val="0"/>
                <w:szCs w:val="21"/>
                <w:highlight w:val="none"/>
              </w:rPr>
            </w:pPr>
          </w:p>
          <w:p w14:paraId="4D160304">
            <w:pPr>
              <w:snapToGrid w:val="0"/>
              <w:spacing w:line="400" w:lineRule="exact"/>
              <w:jc w:val="center"/>
              <w:rPr>
                <w:rFonts w:ascii="宋体" w:hAnsi="宋体"/>
                <w:color w:val="auto"/>
                <w:kern w:val="0"/>
                <w:szCs w:val="21"/>
                <w:highlight w:val="none"/>
              </w:rPr>
            </w:pPr>
          </w:p>
          <w:p w14:paraId="02EC7D9D">
            <w:pPr>
              <w:snapToGrid w:val="0"/>
              <w:spacing w:line="400" w:lineRule="exact"/>
              <w:jc w:val="center"/>
              <w:rPr>
                <w:rFonts w:ascii="宋体" w:hAnsi="宋体"/>
                <w:color w:val="auto"/>
                <w:kern w:val="0"/>
                <w:szCs w:val="21"/>
                <w:highlight w:val="none"/>
              </w:rPr>
            </w:pPr>
          </w:p>
          <w:p w14:paraId="7D8CBEFE">
            <w:pPr>
              <w:snapToGrid w:val="0"/>
              <w:spacing w:line="400" w:lineRule="exact"/>
              <w:jc w:val="center"/>
              <w:rPr>
                <w:rFonts w:ascii="宋体" w:hAnsi="宋体"/>
                <w:color w:val="auto"/>
                <w:kern w:val="0"/>
                <w:szCs w:val="21"/>
                <w:highlight w:val="none"/>
              </w:rPr>
            </w:pPr>
          </w:p>
          <w:p w14:paraId="67A7E722">
            <w:pPr>
              <w:snapToGrid w:val="0"/>
              <w:spacing w:line="400" w:lineRule="exact"/>
              <w:jc w:val="center"/>
              <w:rPr>
                <w:rFonts w:ascii="宋体" w:hAnsi="宋体"/>
                <w:color w:val="auto"/>
                <w:kern w:val="0"/>
                <w:szCs w:val="21"/>
                <w:highlight w:val="none"/>
              </w:rPr>
            </w:pPr>
          </w:p>
          <w:p w14:paraId="458ED1CE">
            <w:pPr>
              <w:snapToGrid w:val="0"/>
              <w:spacing w:line="400" w:lineRule="exact"/>
              <w:jc w:val="center"/>
              <w:rPr>
                <w:rFonts w:ascii="宋体" w:hAnsi="宋体"/>
                <w:color w:val="auto"/>
                <w:kern w:val="0"/>
                <w:szCs w:val="21"/>
                <w:highlight w:val="none"/>
              </w:rPr>
            </w:pPr>
          </w:p>
          <w:p w14:paraId="3B9EC112">
            <w:pPr>
              <w:snapToGrid w:val="0"/>
              <w:spacing w:line="400" w:lineRule="exact"/>
              <w:jc w:val="center"/>
              <w:rPr>
                <w:rFonts w:ascii="宋体" w:hAnsi="宋体"/>
                <w:color w:val="auto"/>
                <w:kern w:val="0"/>
                <w:szCs w:val="21"/>
                <w:highlight w:val="none"/>
              </w:rPr>
            </w:pPr>
          </w:p>
          <w:p w14:paraId="0548668B">
            <w:pPr>
              <w:snapToGrid w:val="0"/>
              <w:spacing w:line="400" w:lineRule="exact"/>
              <w:jc w:val="center"/>
              <w:rPr>
                <w:rFonts w:ascii="宋体" w:hAnsi="宋体"/>
                <w:color w:val="auto"/>
                <w:kern w:val="0"/>
                <w:szCs w:val="21"/>
                <w:highlight w:val="none"/>
              </w:rPr>
            </w:pPr>
          </w:p>
          <w:p w14:paraId="78E1DDA9">
            <w:pPr>
              <w:snapToGrid w:val="0"/>
              <w:spacing w:line="400" w:lineRule="exact"/>
              <w:jc w:val="center"/>
              <w:rPr>
                <w:rFonts w:ascii="宋体" w:hAnsi="宋体"/>
                <w:color w:val="auto"/>
                <w:kern w:val="0"/>
                <w:szCs w:val="21"/>
                <w:highlight w:val="none"/>
              </w:rPr>
            </w:pPr>
          </w:p>
          <w:p w14:paraId="5877673C">
            <w:pPr>
              <w:snapToGrid w:val="0"/>
              <w:spacing w:line="400" w:lineRule="exact"/>
              <w:jc w:val="center"/>
              <w:rPr>
                <w:rFonts w:ascii="宋体" w:hAnsi="宋体"/>
                <w:color w:val="auto"/>
                <w:kern w:val="0"/>
                <w:szCs w:val="21"/>
                <w:highlight w:val="none"/>
              </w:rPr>
            </w:pPr>
          </w:p>
          <w:p w14:paraId="4BD8B2A9">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1.4.1</w:t>
            </w:r>
          </w:p>
          <w:p w14:paraId="286F90F1">
            <w:pPr>
              <w:snapToGrid w:val="0"/>
              <w:spacing w:line="400" w:lineRule="exact"/>
              <w:jc w:val="center"/>
              <w:rPr>
                <w:rFonts w:ascii="宋体" w:hAnsi="宋体"/>
                <w:color w:val="auto"/>
                <w:kern w:val="0"/>
                <w:szCs w:val="21"/>
                <w:highlight w:val="none"/>
              </w:rPr>
            </w:pPr>
          </w:p>
          <w:p w14:paraId="7817F67C">
            <w:pPr>
              <w:snapToGrid w:val="0"/>
              <w:spacing w:line="400" w:lineRule="exact"/>
              <w:jc w:val="center"/>
              <w:rPr>
                <w:rFonts w:ascii="宋体" w:hAnsi="宋体"/>
                <w:color w:val="auto"/>
                <w:kern w:val="0"/>
                <w:szCs w:val="21"/>
                <w:highlight w:val="none"/>
              </w:rPr>
            </w:pPr>
          </w:p>
          <w:p w14:paraId="57457825">
            <w:pPr>
              <w:snapToGrid w:val="0"/>
              <w:spacing w:line="400" w:lineRule="exact"/>
              <w:jc w:val="center"/>
              <w:rPr>
                <w:rFonts w:ascii="宋体" w:hAnsi="宋体"/>
                <w:color w:val="auto"/>
                <w:kern w:val="0"/>
                <w:szCs w:val="21"/>
                <w:highlight w:val="none"/>
              </w:rPr>
            </w:pPr>
          </w:p>
          <w:p w14:paraId="424FBB50">
            <w:pPr>
              <w:snapToGrid w:val="0"/>
              <w:spacing w:line="400" w:lineRule="exact"/>
              <w:jc w:val="center"/>
              <w:rPr>
                <w:rFonts w:ascii="宋体" w:hAnsi="宋体"/>
                <w:color w:val="auto"/>
                <w:kern w:val="0"/>
                <w:szCs w:val="21"/>
                <w:highlight w:val="none"/>
              </w:rPr>
            </w:pPr>
          </w:p>
          <w:p w14:paraId="448EA271">
            <w:pPr>
              <w:snapToGrid w:val="0"/>
              <w:spacing w:line="400" w:lineRule="exact"/>
              <w:jc w:val="center"/>
              <w:rPr>
                <w:rFonts w:ascii="宋体" w:hAnsi="宋体"/>
                <w:color w:val="auto"/>
                <w:kern w:val="0"/>
                <w:szCs w:val="21"/>
                <w:highlight w:val="none"/>
              </w:rPr>
            </w:pPr>
          </w:p>
          <w:p w14:paraId="4D63C855">
            <w:pPr>
              <w:snapToGrid w:val="0"/>
              <w:spacing w:line="400" w:lineRule="exact"/>
              <w:jc w:val="center"/>
              <w:rPr>
                <w:rFonts w:ascii="宋体" w:hAnsi="宋体"/>
                <w:color w:val="auto"/>
                <w:kern w:val="0"/>
                <w:szCs w:val="21"/>
                <w:highlight w:val="none"/>
              </w:rPr>
            </w:pPr>
          </w:p>
          <w:p w14:paraId="33CCA436">
            <w:pPr>
              <w:snapToGrid w:val="0"/>
              <w:spacing w:line="400" w:lineRule="exact"/>
              <w:jc w:val="center"/>
              <w:rPr>
                <w:rFonts w:ascii="宋体" w:hAnsi="宋体"/>
                <w:color w:val="auto"/>
                <w:kern w:val="0"/>
                <w:szCs w:val="21"/>
                <w:highlight w:val="none"/>
              </w:rPr>
            </w:pPr>
          </w:p>
          <w:p w14:paraId="538B8F7D">
            <w:pPr>
              <w:snapToGrid w:val="0"/>
              <w:spacing w:line="400" w:lineRule="exact"/>
              <w:jc w:val="center"/>
              <w:rPr>
                <w:rFonts w:ascii="宋体" w:hAnsi="宋体"/>
                <w:color w:val="auto"/>
                <w:kern w:val="0"/>
                <w:szCs w:val="21"/>
                <w:highlight w:val="none"/>
              </w:rPr>
            </w:pPr>
          </w:p>
          <w:p w14:paraId="2801BC28">
            <w:pPr>
              <w:snapToGrid w:val="0"/>
              <w:spacing w:line="400" w:lineRule="exact"/>
              <w:jc w:val="center"/>
              <w:rPr>
                <w:rFonts w:ascii="宋体" w:hAnsi="宋体"/>
                <w:color w:val="auto"/>
                <w:kern w:val="0"/>
                <w:szCs w:val="21"/>
                <w:highlight w:val="none"/>
              </w:rPr>
            </w:pPr>
          </w:p>
          <w:p w14:paraId="0A84746E">
            <w:pPr>
              <w:snapToGrid w:val="0"/>
              <w:spacing w:line="400" w:lineRule="exact"/>
              <w:jc w:val="center"/>
              <w:rPr>
                <w:rFonts w:ascii="宋体" w:hAnsi="宋体"/>
                <w:color w:val="auto"/>
                <w:kern w:val="0"/>
                <w:szCs w:val="21"/>
                <w:highlight w:val="none"/>
              </w:rPr>
            </w:pPr>
          </w:p>
          <w:p w14:paraId="2CC61B7D">
            <w:pPr>
              <w:snapToGrid w:val="0"/>
              <w:spacing w:line="400" w:lineRule="exact"/>
              <w:jc w:val="center"/>
              <w:rPr>
                <w:rFonts w:ascii="宋体" w:hAnsi="宋体"/>
                <w:color w:val="auto"/>
                <w:kern w:val="0"/>
                <w:szCs w:val="21"/>
                <w:highlight w:val="none"/>
              </w:rPr>
            </w:pPr>
          </w:p>
          <w:p w14:paraId="2723C244">
            <w:pPr>
              <w:snapToGrid w:val="0"/>
              <w:spacing w:line="400" w:lineRule="exact"/>
              <w:jc w:val="center"/>
              <w:rPr>
                <w:rFonts w:ascii="宋体" w:hAnsi="宋体"/>
                <w:color w:val="auto"/>
                <w:kern w:val="0"/>
                <w:szCs w:val="21"/>
                <w:highlight w:val="none"/>
              </w:rPr>
            </w:pPr>
          </w:p>
          <w:p w14:paraId="57A1789D">
            <w:pPr>
              <w:snapToGrid w:val="0"/>
              <w:spacing w:line="400" w:lineRule="exact"/>
              <w:jc w:val="center"/>
              <w:rPr>
                <w:rFonts w:ascii="宋体" w:hAnsi="宋体"/>
                <w:color w:val="auto"/>
                <w:kern w:val="0"/>
                <w:szCs w:val="21"/>
                <w:highlight w:val="none"/>
              </w:rPr>
            </w:pPr>
          </w:p>
          <w:p w14:paraId="2BFCB34F">
            <w:pPr>
              <w:snapToGrid w:val="0"/>
              <w:spacing w:line="400" w:lineRule="exact"/>
              <w:jc w:val="center"/>
              <w:rPr>
                <w:rFonts w:ascii="宋体" w:hAnsi="宋体"/>
                <w:color w:val="auto"/>
                <w:kern w:val="0"/>
                <w:szCs w:val="21"/>
                <w:highlight w:val="none"/>
              </w:rPr>
            </w:pPr>
          </w:p>
          <w:p w14:paraId="2E37B773">
            <w:pPr>
              <w:snapToGrid w:val="0"/>
              <w:spacing w:line="400" w:lineRule="exact"/>
              <w:jc w:val="center"/>
              <w:rPr>
                <w:rFonts w:ascii="宋体" w:hAnsi="宋体"/>
                <w:color w:val="auto"/>
                <w:kern w:val="0"/>
                <w:szCs w:val="21"/>
                <w:highlight w:val="none"/>
              </w:rPr>
            </w:pPr>
          </w:p>
          <w:p w14:paraId="43C6AF1E">
            <w:pPr>
              <w:snapToGrid w:val="0"/>
              <w:spacing w:line="400" w:lineRule="exact"/>
              <w:jc w:val="center"/>
              <w:rPr>
                <w:rFonts w:ascii="宋体" w:hAnsi="宋体"/>
                <w:color w:val="auto"/>
                <w:kern w:val="0"/>
                <w:szCs w:val="21"/>
                <w:highlight w:val="none"/>
              </w:rPr>
            </w:pPr>
          </w:p>
          <w:p w14:paraId="46699633">
            <w:pPr>
              <w:snapToGrid w:val="0"/>
              <w:spacing w:line="400" w:lineRule="exact"/>
              <w:jc w:val="center"/>
              <w:rPr>
                <w:rFonts w:ascii="宋体" w:hAnsi="宋体"/>
                <w:color w:val="auto"/>
                <w:kern w:val="0"/>
                <w:szCs w:val="21"/>
                <w:highlight w:val="none"/>
              </w:rPr>
            </w:pPr>
          </w:p>
          <w:p w14:paraId="39D5D0C5">
            <w:pPr>
              <w:snapToGrid w:val="0"/>
              <w:spacing w:line="400" w:lineRule="exact"/>
              <w:jc w:val="center"/>
              <w:rPr>
                <w:rFonts w:ascii="宋体" w:hAnsi="宋体"/>
                <w:color w:val="auto"/>
                <w:kern w:val="0"/>
                <w:szCs w:val="21"/>
                <w:highlight w:val="none"/>
              </w:rPr>
            </w:pPr>
          </w:p>
          <w:p w14:paraId="5D30D36A">
            <w:pPr>
              <w:snapToGrid w:val="0"/>
              <w:spacing w:line="400" w:lineRule="exact"/>
              <w:jc w:val="center"/>
              <w:rPr>
                <w:rFonts w:ascii="宋体" w:hAnsi="宋体"/>
                <w:color w:val="auto"/>
                <w:kern w:val="0"/>
                <w:szCs w:val="21"/>
                <w:highlight w:val="none"/>
              </w:rPr>
            </w:pPr>
          </w:p>
          <w:p w14:paraId="72951F2E">
            <w:pPr>
              <w:snapToGrid w:val="0"/>
              <w:spacing w:line="400" w:lineRule="exact"/>
              <w:jc w:val="center"/>
              <w:rPr>
                <w:rFonts w:ascii="宋体" w:hAnsi="宋体"/>
                <w:color w:val="auto"/>
                <w:kern w:val="0"/>
                <w:szCs w:val="21"/>
                <w:highlight w:val="none"/>
              </w:rPr>
            </w:pPr>
          </w:p>
          <w:p w14:paraId="1A90E292">
            <w:pPr>
              <w:snapToGrid w:val="0"/>
              <w:spacing w:line="400" w:lineRule="exact"/>
              <w:jc w:val="center"/>
              <w:rPr>
                <w:rFonts w:ascii="宋体" w:hAnsi="宋体"/>
                <w:color w:val="auto"/>
                <w:kern w:val="0"/>
                <w:szCs w:val="21"/>
                <w:highlight w:val="none"/>
              </w:rPr>
            </w:pPr>
          </w:p>
          <w:p w14:paraId="619C490F">
            <w:pPr>
              <w:snapToGrid w:val="0"/>
              <w:spacing w:line="400" w:lineRule="exact"/>
              <w:jc w:val="center"/>
              <w:rPr>
                <w:rFonts w:ascii="宋体" w:hAnsi="宋体"/>
                <w:color w:val="auto"/>
                <w:kern w:val="0"/>
                <w:szCs w:val="21"/>
                <w:highlight w:val="none"/>
              </w:rPr>
            </w:pPr>
          </w:p>
          <w:p w14:paraId="5CFB7128">
            <w:pPr>
              <w:snapToGrid w:val="0"/>
              <w:spacing w:line="400" w:lineRule="exact"/>
              <w:jc w:val="center"/>
              <w:rPr>
                <w:rFonts w:ascii="宋体" w:hAnsi="宋体"/>
                <w:color w:val="auto"/>
                <w:kern w:val="0"/>
                <w:szCs w:val="21"/>
                <w:highlight w:val="none"/>
              </w:rPr>
            </w:pPr>
          </w:p>
          <w:p w14:paraId="0DB0BAEA">
            <w:pPr>
              <w:snapToGrid w:val="0"/>
              <w:spacing w:line="400" w:lineRule="exact"/>
              <w:jc w:val="center"/>
              <w:rPr>
                <w:rFonts w:ascii="宋体" w:hAnsi="宋体"/>
                <w:color w:val="auto"/>
                <w:kern w:val="0"/>
                <w:szCs w:val="21"/>
                <w:highlight w:val="none"/>
              </w:rPr>
            </w:pPr>
          </w:p>
          <w:p w14:paraId="7A6FE879">
            <w:pPr>
              <w:snapToGrid w:val="0"/>
              <w:spacing w:line="400" w:lineRule="exact"/>
              <w:jc w:val="center"/>
              <w:rPr>
                <w:rFonts w:ascii="宋体" w:hAnsi="宋体"/>
                <w:color w:val="auto"/>
                <w:kern w:val="0"/>
                <w:szCs w:val="21"/>
                <w:highlight w:val="none"/>
              </w:rPr>
            </w:pPr>
          </w:p>
          <w:p w14:paraId="5B127CF5">
            <w:pPr>
              <w:snapToGrid w:val="0"/>
              <w:spacing w:line="400" w:lineRule="exact"/>
              <w:jc w:val="center"/>
              <w:rPr>
                <w:rFonts w:ascii="宋体" w:hAnsi="宋体"/>
                <w:color w:val="auto"/>
                <w:kern w:val="0"/>
                <w:szCs w:val="21"/>
                <w:highlight w:val="none"/>
              </w:rPr>
            </w:pPr>
          </w:p>
          <w:p w14:paraId="12315706">
            <w:pPr>
              <w:snapToGrid w:val="0"/>
              <w:spacing w:line="400" w:lineRule="exact"/>
              <w:jc w:val="center"/>
              <w:rPr>
                <w:rFonts w:ascii="宋体" w:hAnsi="宋体"/>
                <w:color w:val="auto"/>
                <w:kern w:val="0"/>
                <w:szCs w:val="21"/>
                <w:highlight w:val="none"/>
              </w:rPr>
            </w:pPr>
          </w:p>
          <w:p w14:paraId="01AE99CB">
            <w:pPr>
              <w:snapToGrid w:val="0"/>
              <w:spacing w:line="400" w:lineRule="exact"/>
              <w:jc w:val="center"/>
              <w:rPr>
                <w:rFonts w:ascii="宋体" w:hAnsi="宋体"/>
                <w:color w:val="auto"/>
                <w:kern w:val="0"/>
                <w:szCs w:val="21"/>
                <w:highlight w:val="none"/>
              </w:rPr>
            </w:pPr>
          </w:p>
          <w:p w14:paraId="41B63933">
            <w:pPr>
              <w:snapToGrid w:val="0"/>
              <w:spacing w:line="400" w:lineRule="exact"/>
              <w:jc w:val="center"/>
              <w:rPr>
                <w:rFonts w:ascii="宋体" w:hAnsi="宋体"/>
                <w:color w:val="auto"/>
                <w:kern w:val="0"/>
                <w:szCs w:val="21"/>
                <w:highlight w:val="none"/>
              </w:rPr>
            </w:pPr>
          </w:p>
          <w:p w14:paraId="19C766E9">
            <w:pPr>
              <w:snapToGrid w:val="0"/>
              <w:spacing w:line="400" w:lineRule="exact"/>
              <w:jc w:val="center"/>
              <w:rPr>
                <w:rFonts w:ascii="宋体" w:hAnsi="宋体"/>
                <w:color w:val="auto"/>
                <w:kern w:val="0"/>
                <w:szCs w:val="21"/>
                <w:highlight w:val="none"/>
              </w:rPr>
            </w:pPr>
          </w:p>
          <w:p w14:paraId="4E32A7B9">
            <w:pPr>
              <w:snapToGrid w:val="0"/>
              <w:spacing w:line="400" w:lineRule="exact"/>
              <w:jc w:val="center"/>
              <w:rPr>
                <w:rFonts w:ascii="宋体" w:hAnsi="宋体"/>
                <w:color w:val="auto"/>
                <w:kern w:val="0"/>
                <w:szCs w:val="21"/>
                <w:highlight w:val="none"/>
              </w:rPr>
            </w:pPr>
          </w:p>
          <w:p w14:paraId="4309CD98">
            <w:pPr>
              <w:snapToGrid w:val="0"/>
              <w:spacing w:line="400" w:lineRule="exact"/>
              <w:jc w:val="center"/>
              <w:rPr>
                <w:rFonts w:ascii="宋体" w:hAnsi="宋体"/>
                <w:color w:val="auto"/>
                <w:kern w:val="0"/>
                <w:szCs w:val="21"/>
                <w:highlight w:val="none"/>
              </w:rPr>
            </w:pPr>
          </w:p>
          <w:p w14:paraId="7326B009">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1.4.1</w:t>
            </w:r>
          </w:p>
          <w:p w14:paraId="56B5AF6D">
            <w:pPr>
              <w:snapToGrid w:val="0"/>
              <w:spacing w:line="400" w:lineRule="exact"/>
              <w:jc w:val="center"/>
              <w:rPr>
                <w:rFonts w:ascii="宋体" w:hAnsi="宋体"/>
                <w:color w:val="auto"/>
                <w:kern w:val="0"/>
                <w:szCs w:val="21"/>
                <w:highlight w:val="none"/>
              </w:rPr>
            </w:pPr>
          </w:p>
          <w:p w14:paraId="655EF36A">
            <w:pPr>
              <w:snapToGrid w:val="0"/>
              <w:spacing w:line="400" w:lineRule="exact"/>
              <w:jc w:val="center"/>
              <w:rPr>
                <w:rFonts w:ascii="宋体" w:hAnsi="宋体"/>
                <w:color w:val="auto"/>
                <w:kern w:val="0"/>
                <w:szCs w:val="21"/>
                <w:highlight w:val="none"/>
              </w:rPr>
            </w:pPr>
          </w:p>
          <w:p w14:paraId="52B3310D">
            <w:pPr>
              <w:snapToGrid w:val="0"/>
              <w:spacing w:line="400" w:lineRule="exact"/>
              <w:jc w:val="center"/>
              <w:rPr>
                <w:rFonts w:ascii="宋体" w:hAnsi="宋体"/>
                <w:color w:val="auto"/>
                <w:kern w:val="0"/>
                <w:szCs w:val="21"/>
                <w:highlight w:val="none"/>
              </w:rPr>
            </w:pPr>
          </w:p>
          <w:p w14:paraId="234AB9F1">
            <w:pPr>
              <w:snapToGrid w:val="0"/>
              <w:spacing w:line="400" w:lineRule="exact"/>
              <w:jc w:val="center"/>
              <w:rPr>
                <w:rFonts w:ascii="宋体" w:hAnsi="宋体"/>
                <w:color w:val="auto"/>
                <w:kern w:val="0"/>
                <w:szCs w:val="21"/>
                <w:highlight w:val="none"/>
              </w:rPr>
            </w:pPr>
          </w:p>
          <w:p w14:paraId="4FE9826E">
            <w:pPr>
              <w:snapToGrid w:val="0"/>
              <w:spacing w:line="400" w:lineRule="exact"/>
              <w:jc w:val="center"/>
              <w:rPr>
                <w:rFonts w:ascii="宋体" w:hAnsi="宋体"/>
                <w:color w:val="auto"/>
                <w:kern w:val="0"/>
                <w:szCs w:val="21"/>
                <w:highlight w:val="none"/>
              </w:rPr>
            </w:pPr>
          </w:p>
          <w:p w14:paraId="0294FD2F">
            <w:pPr>
              <w:snapToGrid w:val="0"/>
              <w:spacing w:line="400" w:lineRule="exact"/>
              <w:jc w:val="center"/>
              <w:rPr>
                <w:rFonts w:ascii="宋体" w:hAnsi="宋体"/>
                <w:color w:val="auto"/>
                <w:kern w:val="0"/>
                <w:szCs w:val="21"/>
                <w:highlight w:val="none"/>
              </w:rPr>
            </w:pPr>
          </w:p>
          <w:p w14:paraId="68E4067D">
            <w:pPr>
              <w:snapToGrid w:val="0"/>
              <w:spacing w:line="400" w:lineRule="exact"/>
              <w:jc w:val="center"/>
              <w:rPr>
                <w:rFonts w:ascii="宋体" w:hAnsi="宋体"/>
                <w:color w:val="auto"/>
                <w:kern w:val="0"/>
                <w:szCs w:val="21"/>
                <w:highlight w:val="none"/>
              </w:rPr>
            </w:pPr>
          </w:p>
          <w:p w14:paraId="134ECE1A">
            <w:pPr>
              <w:snapToGrid w:val="0"/>
              <w:spacing w:line="400" w:lineRule="exact"/>
              <w:jc w:val="center"/>
              <w:rPr>
                <w:rFonts w:ascii="宋体" w:hAnsi="宋体"/>
                <w:color w:val="auto"/>
                <w:kern w:val="0"/>
                <w:szCs w:val="21"/>
                <w:highlight w:val="none"/>
              </w:rPr>
            </w:pPr>
          </w:p>
          <w:p w14:paraId="39C74E2E">
            <w:pPr>
              <w:snapToGrid w:val="0"/>
              <w:spacing w:line="400" w:lineRule="exact"/>
              <w:jc w:val="center"/>
              <w:rPr>
                <w:rFonts w:ascii="宋体" w:hAnsi="宋体"/>
                <w:color w:val="auto"/>
                <w:kern w:val="0"/>
                <w:szCs w:val="21"/>
                <w:highlight w:val="none"/>
              </w:rPr>
            </w:pPr>
          </w:p>
          <w:p w14:paraId="19A05F8B">
            <w:pPr>
              <w:snapToGrid w:val="0"/>
              <w:spacing w:line="400" w:lineRule="exact"/>
              <w:jc w:val="center"/>
              <w:rPr>
                <w:rFonts w:ascii="宋体" w:hAnsi="宋体"/>
                <w:color w:val="auto"/>
                <w:kern w:val="0"/>
                <w:szCs w:val="21"/>
                <w:highlight w:val="none"/>
              </w:rPr>
            </w:pPr>
          </w:p>
          <w:p w14:paraId="0D92F6BD">
            <w:pPr>
              <w:snapToGrid w:val="0"/>
              <w:spacing w:line="400" w:lineRule="exact"/>
              <w:jc w:val="center"/>
              <w:rPr>
                <w:rFonts w:ascii="宋体" w:hAnsi="宋体"/>
                <w:color w:val="auto"/>
                <w:kern w:val="0"/>
                <w:szCs w:val="21"/>
                <w:highlight w:val="none"/>
              </w:rPr>
            </w:pPr>
          </w:p>
          <w:p w14:paraId="3DB00368">
            <w:pPr>
              <w:snapToGrid w:val="0"/>
              <w:spacing w:line="400" w:lineRule="exact"/>
              <w:jc w:val="center"/>
              <w:rPr>
                <w:rFonts w:ascii="宋体" w:hAnsi="宋体"/>
                <w:color w:val="auto"/>
                <w:kern w:val="0"/>
                <w:szCs w:val="21"/>
                <w:highlight w:val="none"/>
              </w:rPr>
            </w:pPr>
          </w:p>
          <w:p w14:paraId="52D809B9">
            <w:pPr>
              <w:snapToGrid w:val="0"/>
              <w:spacing w:line="400" w:lineRule="exact"/>
              <w:jc w:val="center"/>
              <w:rPr>
                <w:rFonts w:ascii="宋体" w:hAnsi="宋体"/>
                <w:color w:val="auto"/>
                <w:kern w:val="0"/>
                <w:szCs w:val="21"/>
                <w:highlight w:val="none"/>
              </w:rPr>
            </w:pPr>
          </w:p>
          <w:p w14:paraId="33EFE2E9">
            <w:pPr>
              <w:snapToGrid w:val="0"/>
              <w:spacing w:line="400" w:lineRule="exact"/>
              <w:jc w:val="center"/>
              <w:rPr>
                <w:rFonts w:ascii="宋体" w:hAnsi="宋体"/>
                <w:color w:val="auto"/>
                <w:kern w:val="0"/>
                <w:szCs w:val="21"/>
                <w:highlight w:val="none"/>
              </w:rPr>
            </w:pPr>
          </w:p>
          <w:p w14:paraId="24926AC6">
            <w:pPr>
              <w:snapToGrid w:val="0"/>
              <w:spacing w:line="400" w:lineRule="exact"/>
              <w:jc w:val="center"/>
              <w:rPr>
                <w:rFonts w:ascii="宋体" w:hAnsi="宋体"/>
                <w:color w:val="auto"/>
                <w:kern w:val="0"/>
                <w:szCs w:val="21"/>
                <w:highlight w:val="none"/>
              </w:rPr>
            </w:pPr>
          </w:p>
          <w:p w14:paraId="39F510E4">
            <w:pPr>
              <w:snapToGrid w:val="0"/>
              <w:spacing w:line="400" w:lineRule="exact"/>
              <w:jc w:val="center"/>
              <w:rPr>
                <w:rFonts w:ascii="宋体" w:hAnsi="宋体"/>
                <w:color w:val="auto"/>
                <w:kern w:val="0"/>
                <w:szCs w:val="21"/>
                <w:highlight w:val="none"/>
              </w:rPr>
            </w:pPr>
          </w:p>
          <w:p w14:paraId="603ADCE1">
            <w:pPr>
              <w:snapToGrid w:val="0"/>
              <w:spacing w:line="400" w:lineRule="exact"/>
              <w:jc w:val="center"/>
              <w:rPr>
                <w:rFonts w:ascii="宋体" w:hAnsi="宋体"/>
                <w:color w:val="auto"/>
                <w:kern w:val="0"/>
                <w:szCs w:val="21"/>
                <w:highlight w:val="none"/>
              </w:rPr>
            </w:pPr>
          </w:p>
          <w:p w14:paraId="10CE2D52">
            <w:pPr>
              <w:snapToGrid w:val="0"/>
              <w:spacing w:line="400" w:lineRule="exact"/>
              <w:jc w:val="center"/>
              <w:rPr>
                <w:rFonts w:ascii="宋体" w:hAnsi="宋体"/>
                <w:color w:val="auto"/>
                <w:kern w:val="0"/>
                <w:szCs w:val="21"/>
                <w:highlight w:val="none"/>
              </w:rPr>
            </w:pPr>
          </w:p>
          <w:p w14:paraId="0E9E6B4B">
            <w:pPr>
              <w:snapToGrid w:val="0"/>
              <w:spacing w:line="400" w:lineRule="exact"/>
              <w:jc w:val="center"/>
              <w:rPr>
                <w:rFonts w:ascii="宋体" w:hAnsi="宋体"/>
                <w:color w:val="auto"/>
                <w:kern w:val="0"/>
                <w:szCs w:val="21"/>
                <w:highlight w:val="none"/>
              </w:rPr>
            </w:pPr>
          </w:p>
          <w:p w14:paraId="3E7BD138">
            <w:pPr>
              <w:snapToGrid w:val="0"/>
              <w:spacing w:line="400" w:lineRule="exact"/>
              <w:jc w:val="center"/>
              <w:rPr>
                <w:rFonts w:ascii="宋体" w:hAnsi="宋体"/>
                <w:color w:val="auto"/>
                <w:kern w:val="0"/>
                <w:szCs w:val="21"/>
                <w:highlight w:val="none"/>
              </w:rPr>
            </w:pPr>
          </w:p>
          <w:p w14:paraId="6643D670">
            <w:pPr>
              <w:snapToGrid w:val="0"/>
              <w:spacing w:line="400" w:lineRule="exact"/>
              <w:jc w:val="center"/>
              <w:rPr>
                <w:rFonts w:ascii="宋体" w:hAnsi="宋体"/>
                <w:color w:val="auto"/>
                <w:kern w:val="0"/>
                <w:szCs w:val="21"/>
                <w:highlight w:val="none"/>
              </w:rPr>
            </w:pPr>
          </w:p>
          <w:p w14:paraId="296E1DBB">
            <w:pPr>
              <w:snapToGrid w:val="0"/>
              <w:spacing w:line="400" w:lineRule="exact"/>
              <w:jc w:val="center"/>
              <w:rPr>
                <w:rFonts w:ascii="宋体" w:hAnsi="宋体"/>
                <w:color w:val="auto"/>
                <w:kern w:val="0"/>
                <w:szCs w:val="21"/>
                <w:highlight w:val="none"/>
              </w:rPr>
            </w:pPr>
          </w:p>
          <w:p w14:paraId="03BE0867">
            <w:pPr>
              <w:snapToGrid w:val="0"/>
              <w:spacing w:line="400" w:lineRule="exact"/>
              <w:jc w:val="center"/>
              <w:rPr>
                <w:rFonts w:ascii="宋体" w:hAnsi="宋体"/>
                <w:color w:val="auto"/>
                <w:kern w:val="0"/>
                <w:szCs w:val="21"/>
                <w:highlight w:val="none"/>
              </w:rPr>
            </w:pPr>
          </w:p>
          <w:p w14:paraId="2A7CB51E">
            <w:pPr>
              <w:snapToGrid w:val="0"/>
              <w:spacing w:line="400" w:lineRule="exact"/>
              <w:jc w:val="center"/>
              <w:rPr>
                <w:rFonts w:ascii="宋体" w:hAnsi="宋体"/>
                <w:color w:val="auto"/>
                <w:kern w:val="0"/>
                <w:szCs w:val="21"/>
                <w:highlight w:val="none"/>
              </w:rPr>
            </w:pPr>
          </w:p>
          <w:p w14:paraId="4551D30D">
            <w:pPr>
              <w:snapToGrid w:val="0"/>
              <w:spacing w:line="400" w:lineRule="exact"/>
              <w:jc w:val="center"/>
              <w:rPr>
                <w:rFonts w:ascii="宋体" w:hAnsi="宋体"/>
                <w:color w:val="auto"/>
                <w:kern w:val="0"/>
                <w:szCs w:val="21"/>
                <w:highlight w:val="none"/>
              </w:rPr>
            </w:pPr>
          </w:p>
          <w:p w14:paraId="6BE9FAC4">
            <w:pPr>
              <w:snapToGrid w:val="0"/>
              <w:spacing w:line="400" w:lineRule="exact"/>
              <w:jc w:val="center"/>
              <w:rPr>
                <w:rFonts w:ascii="宋体" w:hAnsi="宋体"/>
                <w:color w:val="auto"/>
                <w:kern w:val="0"/>
                <w:szCs w:val="21"/>
                <w:highlight w:val="none"/>
              </w:rPr>
            </w:pPr>
          </w:p>
          <w:p w14:paraId="53426FEF">
            <w:pPr>
              <w:snapToGrid w:val="0"/>
              <w:spacing w:line="400" w:lineRule="exact"/>
              <w:jc w:val="center"/>
              <w:rPr>
                <w:rFonts w:ascii="宋体" w:hAnsi="宋体"/>
                <w:color w:val="auto"/>
                <w:kern w:val="0"/>
                <w:szCs w:val="21"/>
                <w:highlight w:val="none"/>
              </w:rPr>
            </w:pPr>
          </w:p>
          <w:p w14:paraId="5720FC70">
            <w:pPr>
              <w:snapToGrid w:val="0"/>
              <w:spacing w:line="400" w:lineRule="exact"/>
              <w:jc w:val="center"/>
              <w:rPr>
                <w:rFonts w:ascii="宋体" w:hAnsi="宋体"/>
                <w:color w:val="auto"/>
                <w:kern w:val="0"/>
                <w:szCs w:val="21"/>
                <w:highlight w:val="none"/>
              </w:rPr>
            </w:pPr>
          </w:p>
          <w:p w14:paraId="4F4619D8">
            <w:pPr>
              <w:snapToGrid w:val="0"/>
              <w:spacing w:line="400" w:lineRule="exact"/>
              <w:jc w:val="center"/>
              <w:rPr>
                <w:rFonts w:ascii="宋体" w:hAnsi="宋体"/>
                <w:color w:val="auto"/>
                <w:kern w:val="0"/>
                <w:szCs w:val="21"/>
                <w:highlight w:val="none"/>
              </w:rPr>
            </w:pPr>
          </w:p>
          <w:p w14:paraId="29E5EF3F">
            <w:pPr>
              <w:snapToGrid w:val="0"/>
              <w:spacing w:line="400" w:lineRule="exact"/>
              <w:jc w:val="center"/>
              <w:rPr>
                <w:rFonts w:ascii="宋体" w:hAnsi="宋体"/>
                <w:color w:val="auto"/>
                <w:kern w:val="0"/>
                <w:szCs w:val="21"/>
                <w:highlight w:val="none"/>
              </w:rPr>
            </w:pPr>
          </w:p>
          <w:p w14:paraId="330EC38F">
            <w:pPr>
              <w:snapToGrid w:val="0"/>
              <w:spacing w:line="400" w:lineRule="exact"/>
              <w:jc w:val="center"/>
              <w:rPr>
                <w:rFonts w:ascii="宋体" w:hAnsi="宋体"/>
                <w:color w:val="auto"/>
                <w:kern w:val="0"/>
                <w:szCs w:val="21"/>
                <w:highlight w:val="none"/>
              </w:rPr>
            </w:pPr>
          </w:p>
          <w:p w14:paraId="0077626E">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1.4.1</w:t>
            </w:r>
          </w:p>
          <w:p w14:paraId="55D84749">
            <w:pPr>
              <w:snapToGrid w:val="0"/>
              <w:spacing w:line="400" w:lineRule="exact"/>
              <w:jc w:val="center"/>
              <w:rPr>
                <w:rFonts w:ascii="宋体" w:hAnsi="宋体"/>
                <w:color w:val="auto"/>
                <w:kern w:val="0"/>
                <w:szCs w:val="21"/>
                <w:highlight w:val="none"/>
              </w:rPr>
            </w:pPr>
          </w:p>
          <w:p w14:paraId="4635EEB3">
            <w:pPr>
              <w:snapToGrid w:val="0"/>
              <w:spacing w:line="400" w:lineRule="exact"/>
              <w:jc w:val="center"/>
              <w:rPr>
                <w:rFonts w:ascii="宋体" w:hAnsi="宋体"/>
                <w:color w:val="auto"/>
                <w:kern w:val="0"/>
                <w:szCs w:val="21"/>
                <w:highlight w:val="none"/>
              </w:rPr>
            </w:pPr>
          </w:p>
          <w:p w14:paraId="2AC5CA6F">
            <w:pPr>
              <w:snapToGrid w:val="0"/>
              <w:spacing w:line="400" w:lineRule="exact"/>
              <w:jc w:val="center"/>
              <w:rPr>
                <w:rFonts w:ascii="宋体" w:hAnsi="宋体"/>
                <w:color w:val="auto"/>
                <w:kern w:val="0"/>
                <w:szCs w:val="21"/>
                <w:highlight w:val="none"/>
              </w:rPr>
            </w:pPr>
          </w:p>
          <w:p w14:paraId="4E162C81">
            <w:pPr>
              <w:snapToGrid w:val="0"/>
              <w:spacing w:line="400" w:lineRule="exact"/>
              <w:jc w:val="center"/>
              <w:rPr>
                <w:rFonts w:ascii="宋体" w:hAnsi="宋体"/>
                <w:color w:val="auto"/>
                <w:kern w:val="0"/>
                <w:szCs w:val="21"/>
                <w:highlight w:val="none"/>
              </w:rPr>
            </w:pPr>
          </w:p>
          <w:p w14:paraId="57086489">
            <w:pPr>
              <w:snapToGrid w:val="0"/>
              <w:spacing w:line="400" w:lineRule="exact"/>
              <w:jc w:val="center"/>
              <w:rPr>
                <w:rFonts w:ascii="宋体" w:hAnsi="宋体"/>
                <w:color w:val="auto"/>
                <w:kern w:val="0"/>
                <w:szCs w:val="21"/>
                <w:highlight w:val="none"/>
              </w:rPr>
            </w:pPr>
          </w:p>
          <w:p w14:paraId="784E83FE">
            <w:pPr>
              <w:snapToGrid w:val="0"/>
              <w:spacing w:line="400" w:lineRule="exact"/>
              <w:jc w:val="center"/>
              <w:rPr>
                <w:rFonts w:ascii="宋体" w:hAnsi="宋体"/>
                <w:color w:val="auto"/>
                <w:kern w:val="0"/>
                <w:szCs w:val="21"/>
                <w:highlight w:val="none"/>
              </w:rPr>
            </w:pPr>
          </w:p>
          <w:p w14:paraId="69F69BB3">
            <w:pPr>
              <w:snapToGrid w:val="0"/>
              <w:spacing w:line="400" w:lineRule="exact"/>
              <w:jc w:val="center"/>
              <w:rPr>
                <w:rFonts w:ascii="宋体" w:hAnsi="宋体"/>
                <w:color w:val="auto"/>
                <w:kern w:val="0"/>
                <w:szCs w:val="21"/>
                <w:highlight w:val="none"/>
              </w:rPr>
            </w:pPr>
          </w:p>
          <w:p w14:paraId="0C76C64D">
            <w:pPr>
              <w:snapToGrid w:val="0"/>
              <w:spacing w:line="400" w:lineRule="exact"/>
              <w:jc w:val="center"/>
              <w:rPr>
                <w:rFonts w:ascii="宋体" w:hAnsi="宋体"/>
                <w:color w:val="auto"/>
                <w:kern w:val="0"/>
                <w:szCs w:val="21"/>
                <w:highlight w:val="none"/>
              </w:rPr>
            </w:pPr>
          </w:p>
          <w:p w14:paraId="46BCCBB7">
            <w:pPr>
              <w:snapToGrid w:val="0"/>
              <w:spacing w:line="400" w:lineRule="exact"/>
              <w:jc w:val="center"/>
              <w:rPr>
                <w:rFonts w:ascii="宋体" w:hAnsi="宋体"/>
                <w:color w:val="auto"/>
                <w:kern w:val="0"/>
                <w:szCs w:val="21"/>
                <w:highlight w:val="none"/>
              </w:rPr>
            </w:pPr>
          </w:p>
          <w:p w14:paraId="29C23E03">
            <w:pPr>
              <w:snapToGrid w:val="0"/>
              <w:spacing w:line="400" w:lineRule="exact"/>
              <w:jc w:val="center"/>
              <w:rPr>
                <w:rFonts w:ascii="宋体" w:hAnsi="宋体"/>
                <w:color w:val="auto"/>
                <w:kern w:val="0"/>
                <w:szCs w:val="21"/>
                <w:highlight w:val="none"/>
              </w:rPr>
            </w:pPr>
          </w:p>
          <w:p w14:paraId="50C7D0A7">
            <w:pPr>
              <w:snapToGrid w:val="0"/>
              <w:spacing w:line="400" w:lineRule="exact"/>
              <w:jc w:val="center"/>
              <w:rPr>
                <w:rFonts w:ascii="宋体" w:hAnsi="宋体"/>
                <w:color w:val="auto"/>
                <w:kern w:val="0"/>
                <w:szCs w:val="21"/>
                <w:highlight w:val="none"/>
              </w:rPr>
            </w:pPr>
          </w:p>
          <w:p w14:paraId="34FEACA6">
            <w:pPr>
              <w:snapToGrid w:val="0"/>
              <w:spacing w:line="400" w:lineRule="exact"/>
              <w:jc w:val="center"/>
              <w:rPr>
                <w:rFonts w:ascii="宋体" w:hAnsi="宋体"/>
                <w:color w:val="auto"/>
                <w:kern w:val="0"/>
                <w:szCs w:val="21"/>
                <w:highlight w:val="none"/>
              </w:rPr>
            </w:pPr>
          </w:p>
          <w:p w14:paraId="40CB48E0">
            <w:pPr>
              <w:snapToGrid w:val="0"/>
              <w:spacing w:line="400" w:lineRule="exact"/>
              <w:jc w:val="center"/>
              <w:rPr>
                <w:rFonts w:ascii="宋体" w:hAnsi="宋体"/>
                <w:color w:val="auto"/>
                <w:kern w:val="0"/>
                <w:szCs w:val="21"/>
                <w:highlight w:val="none"/>
              </w:rPr>
            </w:pPr>
          </w:p>
          <w:p w14:paraId="14026640">
            <w:pPr>
              <w:snapToGrid w:val="0"/>
              <w:spacing w:line="400" w:lineRule="exact"/>
              <w:jc w:val="center"/>
              <w:rPr>
                <w:rFonts w:ascii="宋体" w:hAnsi="宋体"/>
                <w:color w:val="auto"/>
                <w:kern w:val="0"/>
                <w:szCs w:val="21"/>
                <w:highlight w:val="none"/>
              </w:rPr>
            </w:pPr>
          </w:p>
          <w:p w14:paraId="487EC4D3">
            <w:pPr>
              <w:snapToGrid w:val="0"/>
              <w:spacing w:line="400" w:lineRule="exact"/>
              <w:jc w:val="center"/>
              <w:rPr>
                <w:rFonts w:ascii="宋体" w:hAnsi="宋体"/>
                <w:color w:val="auto"/>
                <w:kern w:val="0"/>
                <w:szCs w:val="21"/>
                <w:highlight w:val="none"/>
              </w:rPr>
            </w:pPr>
          </w:p>
          <w:p w14:paraId="5DAAE086">
            <w:pPr>
              <w:snapToGrid w:val="0"/>
              <w:spacing w:line="400" w:lineRule="exact"/>
              <w:jc w:val="center"/>
              <w:rPr>
                <w:rFonts w:ascii="宋体" w:hAnsi="宋体"/>
                <w:color w:val="auto"/>
                <w:kern w:val="0"/>
                <w:szCs w:val="21"/>
                <w:highlight w:val="none"/>
              </w:rPr>
            </w:pPr>
          </w:p>
          <w:p w14:paraId="7C6C63F8">
            <w:pPr>
              <w:snapToGrid w:val="0"/>
              <w:spacing w:line="400" w:lineRule="exact"/>
              <w:jc w:val="center"/>
              <w:rPr>
                <w:rFonts w:ascii="宋体" w:hAnsi="宋体"/>
                <w:color w:val="auto"/>
                <w:kern w:val="0"/>
                <w:szCs w:val="21"/>
                <w:highlight w:val="none"/>
              </w:rPr>
            </w:pPr>
          </w:p>
          <w:p w14:paraId="10F9DD75">
            <w:pPr>
              <w:snapToGrid w:val="0"/>
              <w:spacing w:line="400" w:lineRule="exact"/>
              <w:jc w:val="center"/>
              <w:rPr>
                <w:rFonts w:ascii="宋体" w:hAnsi="宋体"/>
                <w:color w:val="auto"/>
                <w:kern w:val="0"/>
                <w:szCs w:val="21"/>
                <w:highlight w:val="none"/>
              </w:rPr>
            </w:pPr>
          </w:p>
          <w:p w14:paraId="14A617FA">
            <w:pPr>
              <w:snapToGrid w:val="0"/>
              <w:spacing w:line="400" w:lineRule="exact"/>
              <w:jc w:val="center"/>
              <w:rPr>
                <w:rFonts w:ascii="宋体" w:hAnsi="宋体"/>
                <w:color w:val="auto"/>
                <w:kern w:val="0"/>
                <w:szCs w:val="21"/>
                <w:highlight w:val="none"/>
              </w:rPr>
            </w:pPr>
          </w:p>
          <w:p w14:paraId="5638A19B">
            <w:pPr>
              <w:snapToGrid w:val="0"/>
              <w:spacing w:line="400" w:lineRule="exact"/>
              <w:jc w:val="center"/>
              <w:rPr>
                <w:rFonts w:ascii="宋体" w:hAnsi="宋体"/>
                <w:color w:val="auto"/>
                <w:kern w:val="0"/>
                <w:szCs w:val="21"/>
                <w:highlight w:val="none"/>
              </w:rPr>
            </w:pPr>
          </w:p>
          <w:p w14:paraId="0180454C">
            <w:pPr>
              <w:snapToGrid w:val="0"/>
              <w:spacing w:line="400" w:lineRule="exact"/>
              <w:jc w:val="center"/>
              <w:rPr>
                <w:rFonts w:ascii="宋体" w:hAnsi="宋体"/>
                <w:color w:val="auto"/>
                <w:kern w:val="0"/>
                <w:szCs w:val="21"/>
                <w:highlight w:val="none"/>
              </w:rPr>
            </w:pPr>
          </w:p>
        </w:tc>
        <w:tc>
          <w:tcPr>
            <w:tcW w:w="1644" w:type="dxa"/>
            <w:vAlign w:val="center"/>
          </w:tcPr>
          <w:p w14:paraId="5F2EAFD6">
            <w:pPr>
              <w:snapToGrid w:val="0"/>
              <w:spacing w:line="400" w:lineRule="exact"/>
              <w:jc w:val="center"/>
              <w:rPr>
                <w:rFonts w:ascii="宋体" w:hAnsi="宋体"/>
                <w:color w:val="auto"/>
                <w:kern w:val="0"/>
                <w:szCs w:val="21"/>
                <w:highlight w:val="none"/>
              </w:rPr>
            </w:pPr>
          </w:p>
          <w:p w14:paraId="229FBAA0">
            <w:pPr>
              <w:snapToGrid w:val="0"/>
              <w:spacing w:line="400" w:lineRule="exact"/>
              <w:jc w:val="center"/>
              <w:rPr>
                <w:rFonts w:ascii="宋体" w:hAnsi="宋体"/>
                <w:color w:val="auto"/>
                <w:kern w:val="0"/>
                <w:szCs w:val="21"/>
                <w:highlight w:val="none"/>
              </w:rPr>
            </w:pPr>
          </w:p>
          <w:p w14:paraId="484C2D7B">
            <w:pPr>
              <w:snapToGrid w:val="0"/>
              <w:spacing w:line="400" w:lineRule="exact"/>
              <w:jc w:val="center"/>
              <w:rPr>
                <w:rFonts w:ascii="宋体" w:hAnsi="宋体"/>
                <w:color w:val="auto"/>
                <w:kern w:val="0"/>
                <w:szCs w:val="21"/>
                <w:highlight w:val="none"/>
              </w:rPr>
            </w:pPr>
          </w:p>
          <w:p w14:paraId="7763E21F">
            <w:pPr>
              <w:snapToGrid w:val="0"/>
              <w:spacing w:line="400" w:lineRule="exact"/>
              <w:jc w:val="center"/>
              <w:rPr>
                <w:rFonts w:ascii="宋体" w:hAnsi="宋体"/>
                <w:color w:val="auto"/>
                <w:kern w:val="0"/>
                <w:szCs w:val="21"/>
                <w:highlight w:val="none"/>
              </w:rPr>
            </w:pPr>
          </w:p>
          <w:p w14:paraId="35FF72D4">
            <w:pPr>
              <w:snapToGrid w:val="0"/>
              <w:spacing w:line="400" w:lineRule="exact"/>
              <w:jc w:val="center"/>
              <w:rPr>
                <w:rFonts w:ascii="宋体" w:hAnsi="宋体"/>
                <w:color w:val="auto"/>
                <w:kern w:val="0"/>
                <w:szCs w:val="21"/>
                <w:highlight w:val="none"/>
              </w:rPr>
            </w:pPr>
          </w:p>
          <w:p w14:paraId="58BAFD03">
            <w:pPr>
              <w:snapToGrid w:val="0"/>
              <w:spacing w:line="400" w:lineRule="exact"/>
              <w:jc w:val="center"/>
              <w:rPr>
                <w:rFonts w:ascii="宋体" w:hAnsi="宋体"/>
                <w:color w:val="auto"/>
                <w:kern w:val="0"/>
                <w:szCs w:val="21"/>
                <w:highlight w:val="none"/>
              </w:rPr>
            </w:pPr>
          </w:p>
          <w:p w14:paraId="018DCFF4">
            <w:pPr>
              <w:snapToGrid w:val="0"/>
              <w:spacing w:line="400" w:lineRule="exact"/>
              <w:jc w:val="center"/>
              <w:rPr>
                <w:rFonts w:ascii="宋体" w:hAnsi="宋体"/>
                <w:color w:val="auto"/>
                <w:kern w:val="0"/>
                <w:szCs w:val="21"/>
                <w:highlight w:val="none"/>
              </w:rPr>
            </w:pPr>
          </w:p>
          <w:p w14:paraId="5ED43C52">
            <w:pPr>
              <w:snapToGrid w:val="0"/>
              <w:spacing w:line="400" w:lineRule="exact"/>
              <w:jc w:val="center"/>
              <w:rPr>
                <w:rFonts w:ascii="宋体" w:hAnsi="宋体"/>
                <w:color w:val="auto"/>
                <w:kern w:val="0"/>
                <w:szCs w:val="21"/>
                <w:highlight w:val="none"/>
              </w:rPr>
            </w:pPr>
          </w:p>
          <w:p w14:paraId="691524C3">
            <w:pPr>
              <w:snapToGrid w:val="0"/>
              <w:spacing w:line="400" w:lineRule="exact"/>
              <w:jc w:val="center"/>
              <w:rPr>
                <w:rFonts w:ascii="宋体" w:hAnsi="宋体"/>
                <w:color w:val="auto"/>
                <w:kern w:val="0"/>
                <w:szCs w:val="21"/>
                <w:highlight w:val="none"/>
              </w:rPr>
            </w:pPr>
          </w:p>
          <w:p w14:paraId="0ECC62D2">
            <w:pPr>
              <w:snapToGrid w:val="0"/>
              <w:spacing w:line="400" w:lineRule="exact"/>
              <w:jc w:val="center"/>
              <w:rPr>
                <w:rFonts w:ascii="宋体" w:hAnsi="宋体"/>
                <w:color w:val="auto"/>
                <w:kern w:val="0"/>
                <w:szCs w:val="21"/>
                <w:highlight w:val="none"/>
              </w:rPr>
            </w:pPr>
          </w:p>
          <w:p w14:paraId="13C9EA8B">
            <w:pPr>
              <w:snapToGrid w:val="0"/>
              <w:spacing w:line="400" w:lineRule="exact"/>
              <w:jc w:val="center"/>
              <w:rPr>
                <w:rFonts w:ascii="宋体" w:hAnsi="宋体"/>
                <w:color w:val="auto"/>
                <w:kern w:val="0"/>
                <w:szCs w:val="21"/>
                <w:highlight w:val="none"/>
              </w:rPr>
            </w:pPr>
          </w:p>
          <w:p w14:paraId="498BA345">
            <w:pPr>
              <w:snapToGrid w:val="0"/>
              <w:spacing w:line="400" w:lineRule="exact"/>
              <w:jc w:val="center"/>
              <w:rPr>
                <w:rFonts w:ascii="宋体" w:hAnsi="宋体"/>
                <w:color w:val="auto"/>
                <w:kern w:val="0"/>
                <w:szCs w:val="21"/>
                <w:highlight w:val="none"/>
              </w:rPr>
            </w:pPr>
          </w:p>
          <w:p w14:paraId="03AFE84A">
            <w:pPr>
              <w:snapToGrid w:val="0"/>
              <w:spacing w:line="400" w:lineRule="exact"/>
              <w:jc w:val="center"/>
              <w:rPr>
                <w:rFonts w:ascii="宋体" w:hAnsi="宋体"/>
                <w:color w:val="auto"/>
                <w:kern w:val="0"/>
                <w:szCs w:val="21"/>
                <w:highlight w:val="none"/>
              </w:rPr>
            </w:pPr>
          </w:p>
          <w:p w14:paraId="58F85A52">
            <w:pPr>
              <w:snapToGrid w:val="0"/>
              <w:spacing w:line="400" w:lineRule="exact"/>
              <w:jc w:val="center"/>
              <w:rPr>
                <w:rFonts w:ascii="宋体" w:hAnsi="宋体"/>
                <w:color w:val="auto"/>
                <w:kern w:val="0"/>
                <w:szCs w:val="21"/>
                <w:highlight w:val="none"/>
              </w:rPr>
            </w:pPr>
          </w:p>
          <w:p w14:paraId="3485855A">
            <w:pPr>
              <w:snapToGrid w:val="0"/>
              <w:spacing w:line="400" w:lineRule="exact"/>
              <w:jc w:val="center"/>
              <w:rPr>
                <w:rFonts w:ascii="宋体" w:hAnsi="宋体"/>
                <w:color w:val="auto"/>
                <w:kern w:val="0"/>
                <w:szCs w:val="21"/>
                <w:highlight w:val="none"/>
              </w:rPr>
            </w:pPr>
          </w:p>
          <w:p w14:paraId="011223D8">
            <w:pPr>
              <w:snapToGrid w:val="0"/>
              <w:spacing w:line="400" w:lineRule="exact"/>
              <w:jc w:val="center"/>
              <w:rPr>
                <w:rFonts w:ascii="宋体" w:hAnsi="宋体"/>
                <w:color w:val="auto"/>
                <w:kern w:val="0"/>
                <w:szCs w:val="21"/>
                <w:highlight w:val="none"/>
              </w:rPr>
            </w:pPr>
          </w:p>
          <w:p w14:paraId="35FE377B">
            <w:pPr>
              <w:snapToGrid w:val="0"/>
              <w:spacing w:line="400" w:lineRule="exact"/>
              <w:jc w:val="center"/>
              <w:rPr>
                <w:rFonts w:ascii="宋体" w:hAnsi="宋体"/>
                <w:color w:val="auto"/>
                <w:kern w:val="0"/>
                <w:szCs w:val="21"/>
                <w:highlight w:val="none"/>
              </w:rPr>
            </w:pPr>
          </w:p>
          <w:p w14:paraId="2AE47185">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投标人资质条件、能力和信誉</w:t>
            </w:r>
          </w:p>
          <w:p w14:paraId="2185CC62">
            <w:pPr>
              <w:snapToGrid w:val="0"/>
              <w:spacing w:line="400" w:lineRule="exact"/>
              <w:jc w:val="center"/>
              <w:rPr>
                <w:rFonts w:ascii="宋体" w:hAnsi="宋体"/>
                <w:color w:val="auto"/>
                <w:kern w:val="0"/>
                <w:szCs w:val="21"/>
                <w:highlight w:val="none"/>
              </w:rPr>
            </w:pPr>
          </w:p>
          <w:p w14:paraId="30B98EC5">
            <w:pPr>
              <w:snapToGrid w:val="0"/>
              <w:spacing w:line="400" w:lineRule="exact"/>
              <w:jc w:val="center"/>
              <w:rPr>
                <w:rFonts w:ascii="宋体" w:hAnsi="宋体"/>
                <w:color w:val="auto"/>
                <w:kern w:val="0"/>
                <w:szCs w:val="21"/>
                <w:highlight w:val="none"/>
              </w:rPr>
            </w:pPr>
          </w:p>
          <w:p w14:paraId="7B7CA491">
            <w:pPr>
              <w:snapToGrid w:val="0"/>
              <w:spacing w:line="400" w:lineRule="exact"/>
              <w:jc w:val="center"/>
              <w:rPr>
                <w:rFonts w:ascii="宋体" w:hAnsi="宋体"/>
                <w:color w:val="auto"/>
                <w:kern w:val="0"/>
                <w:szCs w:val="21"/>
                <w:highlight w:val="none"/>
              </w:rPr>
            </w:pPr>
          </w:p>
          <w:p w14:paraId="7E8F5D70">
            <w:pPr>
              <w:snapToGrid w:val="0"/>
              <w:spacing w:line="400" w:lineRule="exact"/>
              <w:jc w:val="center"/>
              <w:rPr>
                <w:rFonts w:ascii="宋体" w:hAnsi="宋体"/>
                <w:color w:val="auto"/>
                <w:kern w:val="0"/>
                <w:szCs w:val="21"/>
                <w:highlight w:val="none"/>
              </w:rPr>
            </w:pPr>
          </w:p>
          <w:p w14:paraId="18F929C1">
            <w:pPr>
              <w:snapToGrid w:val="0"/>
              <w:spacing w:line="400" w:lineRule="exact"/>
              <w:jc w:val="center"/>
              <w:rPr>
                <w:rFonts w:ascii="宋体" w:hAnsi="宋体"/>
                <w:color w:val="auto"/>
                <w:kern w:val="0"/>
                <w:szCs w:val="21"/>
                <w:highlight w:val="none"/>
              </w:rPr>
            </w:pPr>
          </w:p>
          <w:p w14:paraId="1D740C14">
            <w:pPr>
              <w:snapToGrid w:val="0"/>
              <w:spacing w:line="400" w:lineRule="exact"/>
              <w:jc w:val="center"/>
              <w:rPr>
                <w:rFonts w:ascii="宋体" w:hAnsi="宋体"/>
                <w:color w:val="auto"/>
                <w:kern w:val="0"/>
                <w:szCs w:val="21"/>
                <w:highlight w:val="none"/>
              </w:rPr>
            </w:pPr>
          </w:p>
          <w:p w14:paraId="0B0DA668">
            <w:pPr>
              <w:snapToGrid w:val="0"/>
              <w:spacing w:line="400" w:lineRule="exact"/>
              <w:jc w:val="center"/>
              <w:rPr>
                <w:rFonts w:ascii="宋体" w:hAnsi="宋体"/>
                <w:color w:val="auto"/>
                <w:kern w:val="0"/>
                <w:szCs w:val="21"/>
                <w:highlight w:val="none"/>
              </w:rPr>
            </w:pPr>
          </w:p>
          <w:p w14:paraId="1C8BEFEC">
            <w:pPr>
              <w:snapToGrid w:val="0"/>
              <w:spacing w:line="400" w:lineRule="exact"/>
              <w:jc w:val="center"/>
              <w:rPr>
                <w:rFonts w:ascii="宋体" w:hAnsi="宋体"/>
                <w:color w:val="auto"/>
                <w:kern w:val="0"/>
                <w:szCs w:val="21"/>
                <w:highlight w:val="none"/>
              </w:rPr>
            </w:pPr>
          </w:p>
          <w:p w14:paraId="16E0F6F2">
            <w:pPr>
              <w:snapToGrid w:val="0"/>
              <w:spacing w:line="400" w:lineRule="exact"/>
              <w:jc w:val="center"/>
              <w:rPr>
                <w:rFonts w:ascii="宋体" w:hAnsi="宋体"/>
                <w:color w:val="auto"/>
                <w:kern w:val="0"/>
                <w:szCs w:val="21"/>
                <w:highlight w:val="none"/>
              </w:rPr>
            </w:pPr>
          </w:p>
          <w:p w14:paraId="7BA23218">
            <w:pPr>
              <w:snapToGrid w:val="0"/>
              <w:spacing w:line="400" w:lineRule="exact"/>
              <w:jc w:val="center"/>
              <w:rPr>
                <w:rFonts w:ascii="宋体" w:hAnsi="宋体"/>
                <w:color w:val="auto"/>
                <w:kern w:val="0"/>
                <w:szCs w:val="21"/>
                <w:highlight w:val="none"/>
              </w:rPr>
            </w:pPr>
          </w:p>
          <w:p w14:paraId="47BC0CED">
            <w:pPr>
              <w:snapToGrid w:val="0"/>
              <w:spacing w:line="400" w:lineRule="exact"/>
              <w:jc w:val="center"/>
              <w:rPr>
                <w:rFonts w:ascii="宋体" w:hAnsi="宋体"/>
                <w:color w:val="auto"/>
                <w:kern w:val="0"/>
                <w:szCs w:val="21"/>
                <w:highlight w:val="none"/>
              </w:rPr>
            </w:pPr>
          </w:p>
          <w:p w14:paraId="1F04490B">
            <w:pPr>
              <w:snapToGrid w:val="0"/>
              <w:spacing w:line="400" w:lineRule="exact"/>
              <w:jc w:val="center"/>
              <w:rPr>
                <w:rFonts w:ascii="宋体" w:hAnsi="宋体"/>
                <w:color w:val="auto"/>
                <w:kern w:val="0"/>
                <w:szCs w:val="21"/>
                <w:highlight w:val="none"/>
              </w:rPr>
            </w:pPr>
          </w:p>
          <w:p w14:paraId="5BC24A98">
            <w:pPr>
              <w:snapToGrid w:val="0"/>
              <w:spacing w:line="400" w:lineRule="exact"/>
              <w:jc w:val="center"/>
              <w:rPr>
                <w:rFonts w:ascii="宋体" w:hAnsi="宋体"/>
                <w:color w:val="auto"/>
                <w:kern w:val="0"/>
                <w:szCs w:val="21"/>
                <w:highlight w:val="none"/>
              </w:rPr>
            </w:pPr>
          </w:p>
          <w:p w14:paraId="7B1C136B">
            <w:pPr>
              <w:snapToGrid w:val="0"/>
              <w:spacing w:line="400" w:lineRule="exact"/>
              <w:jc w:val="center"/>
              <w:rPr>
                <w:rFonts w:ascii="宋体" w:hAnsi="宋体"/>
                <w:color w:val="auto"/>
                <w:kern w:val="0"/>
                <w:szCs w:val="21"/>
                <w:highlight w:val="none"/>
              </w:rPr>
            </w:pPr>
          </w:p>
          <w:p w14:paraId="54CDF2B3">
            <w:pPr>
              <w:snapToGrid w:val="0"/>
              <w:spacing w:line="400" w:lineRule="exact"/>
              <w:jc w:val="center"/>
              <w:rPr>
                <w:rFonts w:ascii="宋体" w:hAnsi="宋体"/>
                <w:color w:val="auto"/>
                <w:kern w:val="0"/>
                <w:szCs w:val="21"/>
                <w:highlight w:val="none"/>
              </w:rPr>
            </w:pPr>
          </w:p>
          <w:p w14:paraId="7AA1F82B">
            <w:pPr>
              <w:snapToGrid w:val="0"/>
              <w:spacing w:line="400" w:lineRule="exact"/>
              <w:jc w:val="center"/>
              <w:rPr>
                <w:rFonts w:ascii="宋体" w:hAnsi="宋体"/>
                <w:color w:val="auto"/>
                <w:kern w:val="0"/>
                <w:szCs w:val="21"/>
                <w:highlight w:val="none"/>
              </w:rPr>
            </w:pPr>
          </w:p>
          <w:p w14:paraId="1C0E8913">
            <w:pPr>
              <w:snapToGrid w:val="0"/>
              <w:spacing w:line="400" w:lineRule="exact"/>
              <w:jc w:val="center"/>
              <w:rPr>
                <w:rFonts w:ascii="宋体" w:hAnsi="宋体"/>
                <w:color w:val="auto"/>
                <w:kern w:val="0"/>
                <w:szCs w:val="21"/>
                <w:highlight w:val="none"/>
              </w:rPr>
            </w:pPr>
          </w:p>
          <w:p w14:paraId="18052C64">
            <w:pPr>
              <w:snapToGrid w:val="0"/>
              <w:spacing w:line="400" w:lineRule="exact"/>
              <w:jc w:val="center"/>
              <w:rPr>
                <w:rFonts w:ascii="宋体" w:hAnsi="宋体"/>
                <w:color w:val="auto"/>
                <w:kern w:val="0"/>
                <w:szCs w:val="21"/>
                <w:highlight w:val="none"/>
              </w:rPr>
            </w:pPr>
          </w:p>
          <w:p w14:paraId="1DBFA649">
            <w:pPr>
              <w:snapToGrid w:val="0"/>
              <w:spacing w:line="400" w:lineRule="exact"/>
              <w:jc w:val="center"/>
              <w:rPr>
                <w:rFonts w:ascii="宋体" w:hAnsi="宋体"/>
                <w:color w:val="auto"/>
                <w:kern w:val="0"/>
                <w:szCs w:val="21"/>
                <w:highlight w:val="none"/>
              </w:rPr>
            </w:pPr>
          </w:p>
          <w:p w14:paraId="4974615A">
            <w:pPr>
              <w:snapToGrid w:val="0"/>
              <w:spacing w:line="400" w:lineRule="exact"/>
              <w:jc w:val="center"/>
              <w:rPr>
                <w:rFonts w:ascii="宋体" w:hAnsi="宋体"/>
                <w:color w:val="auto"/>
                <w:kern w:val="0"/>
                <w:szCs w:val="21"/>
                <w:highlight w:val="none"/>
              </w:rPr>
            </w:pPr>
          </w:p>
          <w:p w14:paraId="0187A7E1">
            <w:pPr>
              <w:snapToGrid w:val="0"/>
              <w:spacing w:line="400" w:lineRule="exact"/>
              <w:jc w:val="center"/>
              <w:rPr>
                <w:rFonts w:ascii="宋体" w:hAnsi="宋体"/>
                <w:color w:val="auto"/>
                <w:kern w:val="0"/>
                <w:szCs w:val="21"/>
                <w:highlight w:val="none"/>
              </w:rPr>
            </w:pPr>
          </w:p>
          <w:p w14:paraId="40073EBE">
            <w:pPr>
              <w:snapToGrid w:val="0"/>
              <w:spacing w:line="400" w:lineRule="exact"/>
              <w:jc w:val="center"/>
              <w:rPr>
                <w:rFonts w:ascii="宋体" w:hAnsi="宋体"/>
                <w:color w:val="auto"/>
                <w:kern w:val="0"/>
                <w:szCs w:val="21"/>
                <w:highlight w:val="none"/>
              </w:rPr>
            </w:pPr>
          </w:p>
          <w:p w14:paraId="61EFF996">
            <w:pPr>
              <w:snapToGrid w:val="0"/>
              <w:spacing w:line="400" w:lineRule="exact"/>
              <w:jc w:val="center"/>
              <w:rPr>
                <w:rFonts w:ascii="宋体" w:hAnsi="宋体"/>
                <w:color w:val="auto"/>
                <w:kern w:val="0"/>
                <w:szCs w:val="21"/>
                <w:highlight w:val="none"/>
              </w:rPr>
            </w:pPr>
          </w:p>
          <w:p w14:paraId="1D27A022">
            <w:pPr>
              <w:snapToGrid w:val="0"/>
              <w:spacing w:line="400" w:lineRule="exact"/>
              <w:jc w:val="center"/>
              <w:rPr>
                <w:rFonts w:ascii="宋体" w:hAnsi="宋体"/>
                <w:color w:val="auto"/>
                <w:kern w:val="0"/>
                <w:szCs w:val="21"/>
                <w:highlight w:val="none"/>
              </w:rPr>
            </w:pPr>
          </w:p>
          <w:p w14:paraId="7C5D1CD4">
            <w:pPr>
              <w:snapToGrid w:val="0"/>
              <w:spacing w:line="400" w:lineRule="exact"/>
              <w:jc w:val="center"/>
              <w:rPr>
                <w:rFonts w:ascii="宋体" w:hAnsi="宋体"/>
                <w:color w:val="auto"/>
                <w:kern w:val="0"/>
                <w:szCs w:val="21"/>
                <w:highlight w:val="none"/>
              </w:rPr>
            </w:pPr>
          </w:p>
          <w:p w14:paraId="35C80168">
            <w:pPr>
              <w:snapToGrid w:val="0"/>
              <w:spacing w:line="400" w:lineRule="exact"/>
              <w:jc w:val="center"/>
              <w:rPr>
                <w:rFonts w:ascii="宋体" w:hAnsi="宋体"/>
                <w:color w:val="auto"/>
                <w:kern w:val="0"/>
                <w:szCs w:val="21"/>
                <w:highlight w:val="none"/>
              </w:rPr>
            </w:pPr>
          </w:p>
          <w:p w14:paraId="25855E22">
            <w:pPr>
              <w:snapToGrid w:val="0"/>
              <w:spacing w:line="400" w:lineRule="exact"/>
              <w:jc w:val="center"/>
              <w:rPr>
                <w:rFonts w:ascii="宋体" w:hAnsi="宋体"/>
                <w:color w:val="auto"/>
                <w:kern w:val="0"/>
                <w:szCs w:val="21"/>
                <w:highlight w:val="none"/>
              </w:rPr>
            </w:pPr>
          </w:p>
          <w:p w14:paraId="00941241">
            <w:pPr>
              <w:snapToGrid w:val="0"/>
              <w:spacing w:line="400" w:lineRule="exact"/>
              <w:jc w:val="center"/>
              <w:rPr>
                <w:rFonts w:ascii="宋体" w:hAnsi="宋体"/>
                <w:color w:val="auto"/>
                <w:kern w:val="0"/>
                <w:szCs w:val="21"/>
                <w:highlight w:val="none"/>
              </w:rPr>
            </w:pPr>
          </w:p>
          <w:p w14:paraId="765E7F78">
            <w:pPr>
              <w:snapToGrid w:val="0"/>
              <w:spacing w:line="400" w:lineRule="exact"/>
              <w:jc w:val="center"/>
              <w:rPr>
                <w:rFonts w:ascii="宋体" w:hAnsi="宋体"/>
                <w:color w:val="auto"/>
                <w:kern w:val="0"/>
                <w:szCs w:val="21"/>
                <w:highlight w:val="none"/>
              </w:rPr>
            </w:pPr>
          </w:p>
          <w:p w14:paraId="3955569F">
            <w:pPr>
              <w:snapToGrid w:val="0"/>
              <w:spacing w:line="400" w:lineRule="exact"/>
              <w:jc w:val="center"/>
              <w:rPr>
                <w:rFonts w:ascii="宋体" w:hAnsi="宋体"/>
                <w:color w:val="auto"/>
                <w:kern w:val="0"/>
                <w:szCs w:val="21"/>
                <w:highlight w:val="none"/>
              </w:rPr>
            </w:pPr>
          </w:p>
          <w:p w14:paraId="65F1DAD3">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投标人资质条件、能力和信誉</w:t>
            </w:r>
          </w:p>
          <w:p w14:paraId="33F81573">
            <w:pPr>
              <w:snapToGrid w:val="0"/>
              <w:spacing w:line="400" w:lineRule="exact"/>
              <w:jc w:val="center"/>
              <w:rPr>
                <w:rFonts w:ascii="宋体" w:hAnsi="宋体"/>
                <w:color w:val="auto"/>
                <w:kern w:val="0"/>
                <w:szCs w:val="21"/>
                <w:highlight w:val="none"/>
              </w:rPr>
            </w:pPr>
          </w:p>
          <w:p w14:paraId="72A4485E">
            <w:pPr>
              <w:snapToGrid w:val="0"/>
              <w:spacing w:line="400" w:lineRule="exact"/>
              <w:jc w:val="center"/>
              <w:rPr>
                <w:rFonts w:ascii="宋体" w:hAnsi="宋体"/>
                <w:color w:val="auto"/>
                <w:kern w:val="0"/>
                <w:szCs w:val="21"/>
                <w:highlight w:val="none"/>
              </w:rPr>
            </w:pPr>
          </w:p>
          <w:p w14:paraId="34A0C9E7">
            <w:pPr>
              <w:snapToGrid w:val="0"/>
              <w:spacing w:line="400" w:lineRule="exact"/>
              <w:jc w:val="center"/>
              <w:rPr>
                <w:rFonts w:ascii="宋体" w:hAnsi="宋体"/>
                <w:color w:val="auto"/>
                <w:kern w:val="0"/>
                <w:szCs w:val="21"/>
                <w:highlight w:val="none"/>
              </w:rPr>
            </w:pPr>
          </w:p>
          <w:p w14:paraId="46E726D9">
            <w:pPr>
              <w:snapToGrid w:val="0"/>
              <w:spacing w:line="400" w:lineRule="exact"/>
              <w:jc w:val="center"/>
              <w:rPr>
                <w:rFonts w:ascii="宋体" w:hAnsi="宋体"/>
                <w:color w:val="auto"/>
                <w:kern w:val="0"/>
                <w:szCs w:val="21"/>
                <w:highlight w:val="none"/>
              </w:rPr>
            </w:pPr>
          </w:p>
          <w:p w14:paraId="11D048CB">
            <w:pPr>
              <w:snapToGrid w:val="0"/>
              <w:spacing w:line="400" w:lineRule="exact"/>
              <w:jc w:val="center"/>
              <w:rPr>
                <w:rFonts w:ascii="宋体" w:hAnsi="宋体"/>
                <w:color w:val="auto"/>
                <w:kern w:val="0"/>
                <w:szCs w:val="21"/>
                <w:highlight w:val="none"/>
              </w:rPr>
            </w:pPr>
          </w:p>
          <w:p w14:paraId="320908D0">
            <w:pPr>
              <w:snapToGrid w:val="0"/>
              <w:spacing w:line="400" w:lineRule="exact"/>
              <w:jc w:val="center"/>
              <w:rPr>
                <w:rFonts w:ascii="宋体" w:hAnsi="宋体"/>
                <w:color w:val="auto"/>
                <w:kern w:val="0"/>
                <w:szCs w:val="21"/>
                <w:highlight w:val="none"/>
              </w:rPr>
            </w:pPr>
          </w:p>
          <w:p w14:paraId="70CFCB87">
            <w:pPr>
              <w:snapToGrid w:val="0"/>
              <w:spacing w:line="400" w:lineRule="exact"/>
              <w:jc w:val="center"/>
              <w:rPr>
                <w:rFonts w:ascii="宋体" w:hAnsi="宋体"/>
                <w:color w:val="auto"/>
                <w:kern w:val="0"/>
                <w:szCs w:val="21"/>
                <w:highlight w:val="none"/>
              </w:rPr>
            </w:pPr>
          </w:p>
          <w:p w14:paraId="11EB65A1">
            <w:pPr>
              <w:snapToGrid w:val="0"/>
              <w:spacing w:line="400" w:lineRule="exact"/>
              <w:jc w:val="center"/>
              <w:rPr>
                <w:rFonts w:ascii="宋体" w:hAnsi="宋体"/>
                <w:color w:val="auto"/>
                <w:kern w:val="0"/>
                <w:szCs w:val="21"/>
                <w:highlight w:val="none"/>
              </w:rPr>
            </w:pPr>
          </w:p>
          <w:p w14:paraId="273BCD12">
            <w:pPr>
              <w:snapToGrid w:val="0"/>
              <w:spacing w:line="400" w:lineRule="exact"/>
              <w:jc w:val="center"/>
              <w:rPr>
                <w:rFonts w:ascii="宋体" w:hAnsi="宋体"/>
                <w:color w:val="auto"/>
                <w:kern w:val="0"/>
                <w:szCs w:val="21"/>
                <w:highlight w:val="none"/>
              </w:rPr>
            </w:pPr>
          </w:p>
          <w:p w14:paraId="69AAD9DC">
            <w:pPr>
              <w:snapToGrid w:val="0"/>
              <w:spacing w:line="400" w:lineRule="exact"/>
              <w:jc w:val="center"/>
              <w:rPr>
                <w:rFonts w:ascii="宋体" w:hAnsi="宋体"/>
                <w:color w:val="auto"/>
                <w:kern w:val="0"/>
                <w:szCs w:val="21"/>
                <w:highlight w:val="none"/>
              </w:rPr>
            </w:pPr>
          </w:p>
          <w:p w14:paraId="63FB37E9">
            <w:pPr>
              <w:snapToGrid w:val="0"/>
              <w:spacing w:line="400" w:lineRule="exact"/>
              <w:jc w:val="center"/>
              <w:rPr>
                <w:rFonts w:ascii="宋体" w:hAnsi="宋体"/>
                <w:color w:val="auto"/>
                <w:kern w:val="0"/>
                <w:szCs w:val="21"/>
                <w:highlight w:val="none"/>
              </w:rPr>
            </w:pPr>
          </w:p>
          <w:p w14:paraId="7F9D88BF">
            <w:pPr>
              <w:snapToGrid w:val="0"/>
              <w:spacing w:line="400" w:lineRule="exact"/>
              <w:jc w:val="center"/>
              <w:rPr>
                <w:rFonts w:ascii="宋体" w:hAnsi="宋体"/>
                <w:color w:val="auto"/>
                <w:kern w:val="0"/>
                <w:szCs w:val="21"/>
                <w:highlight w:val="none"/>
              </w:rPr>
            </w:pPr>
          </w:p>
          <w:p w14:paraId="719DC381">
            <w:pPr>
              <w:snapToGrid w:val="0"/>
              <w:spacing w:line="400" w:lineRule="exact"/>
              <w:jc w:val="center"/>
              <w:rPr>
                <w:rFonts w:ascii="宋体" w:hAnsi="宋体"/>
                <w:color w:val="auto"/>
                <w:kern w:val="0"/>
                <w:szCs w:val="21"/>
                <w:highlight w:val="none"/>
              </w:rPr>
            </w:pPr>
          </w:p>
          <w:p w14:paraId="73415024">
            <w:pPr>
              <w:snapToGrid w:val="0"/>
              <w:spacing w:line="400" w:lineRule="exact"/>
              <w:jc w:val="center"/>
              <w:rPr>
                <w:rFonts w:ascii="宋体" w:hAnsi="宋体"/>
                <w:color w:val="auto"/>
                <w:kern w:val="0"/>
                <w:szCs w:val="21"/>
                <w:highlight w:val="none"/>
              </w:rPr>
            </w:pPr>
          </w:p>
          <w:p w14:paraId="11921B6D">
            <w:pPr>
              <w:snapToGrid w:val="0"/>
              <w:spacing w:line="400" w:lineRule="exact"/>
              <w:jc w:val="center"/>
              <w:rPr>
                <w:rFonts w:ascii="宋体" w:hAnsi="宋体"/>
                <w:color w:val="auto"/>
                <w:kern w:val="0"/>
                <w:szCs w:val="21"/>
                <w:highlight w:val="none"/>
              </w:rPr>
            </w:pPr>
          </w:p>
          <w:p w14:paraId="0DA0618A">
            <w:pPr>
              <w:snapToGrid w:val="0"/>
              <w:spacing w:line="400" w:lineRule="exact"/>
              <w:jc w:val="center"/>
              <w:rPr>
                <w:rFonts w:ascii="宋体" w:hAnsi="宋体"/>
                <w:color w:val="auto"/>
                <w:kern w:val="0"/>
                <w:szCs w:val="21"/>
                <w:highlight w:val="none"/>
              </w:rPr>
            </w:pPr>
          </w:p>
          <w:p w14:paraId="7197C048">
            <w:pPr>
              <w:snapToGrid w:val="0"/>
              <w:spacing w:line="400" w:lineRule="exact"/>
              <w:jc w:val="center"/>
              <w:rPr>
                <w:rFonts w:ascii="宋体" w:hAnsi="宋体"/>
                <w:color w:val="auto"/>
                <w:kern w:val="0"/>
                <w:szCs w:val="21"/>
                <w:highlight w:val="none"/>
              </w:rPr>
            </w:pPr>
          </w:p>
          <w:p w14:paraId="698A5CFC">
            <w:pPr>
              <w:snapToGrid w:val="0"/>
              <w:spacing w:line="400" w:lineRule="exact"/>
              <w:jc w:val="center"/>
              <w:rPr>
                <w:rFonts w:ascii="宋体" w:hAnsi="宋体"/>
                <w:color w:val="auto"/>
                <w:kern w:val="0"/>
                <w:szCs w:val="21"/>
                <w:highlight w:val="none"/>
              </w:rPr>
            </w:pPr>
          </w:p>
          <w:p w14:paraId="531147FA">
            <w:pPr>
              <w:snapToGrid w:val="0"/>
              <w:spacing w:line="400" w:lineRule="exact"/>
              <w:jc w:val="center"/>
              <w:rPr>
                <w:rFonts w:ascii="宋体" w:hAnsi="宋体"/>
                <w:color w:val="auto"/>
                <w:kern w:val="0"/>
                <w:szCs w:val="21"/>
                <w:highlight w:val="none"/>
              </w:rPr>
            </w:pPr>
          </w:p>
          <w:p w14:paraId="2960199D">
            <w:pPr>
              <w:snapToGrid w:val="0"/>
              <w:spacing w:line="400" w:lineRule="exact"/>
              <w:jc w:val="center"/>
              <w:rPr>
                <w:rFonts w:ascii="宋体" w:hAnsi="宋体"/>
                <w:color w:val="auto"/>
                <w:kern w:val="0"/>
                <w:szCs w:val="21"/>
                <w:highlight w:val="none"/>
              </w:rPr>
            </w:pPr>
          </w:p>
          <w:p w14:paraId="406A129C">
            <w:pPr>
              <w:snapToGrid w:val="0"/>
              <w:spacing w:line="400" w:lineRule="exact"/>
              <w:jc w:val="center"/>
              <w:rPr>
                <w:rFonts w:ascii="宋体" w:hAnsi="宋体"/>
                <w:color w:val="auto"/>
                <w:kern w:val="0"/>
                <w:szCs w:val="21"/>
                <w:highlight w:val="none"/>
              </w:rPr>
            </w:pPr>
          </w:p>
          <w:p w14:paraId="37988524">
            <w:pPr>
              <w:snapToGrid w:val="0"/>
              <w:spacing w:line="400" w:lineRule="exact"/>
              <w:jc w:val="center"/>
              <w:rPr>
                <w:rFonts w:ascii="宋体" w:hAnsi="宋体"/>
                <w:color w:val="auto"/>
                <w:kern w:val="0"/>
                <w:szCs w:val="21"/>
                <w:highlight w:val="none"/>
              </w:rPr>
            </w:pPr>
          </w:p>
          <w:p w14:paraId="1E2D032B">
            <w:pPr>
              <w:snapToGrid w:val="0"/>
              <w:spacing w:line="400" w:lineRule="exact"/>
              <w:jc w:val="center"/>
              <w:rPr>
                <w:rFonts w:ascii="宋体" w:hAnsi="宋体"/>
                <w:color w:val="auto"/>
                <w:kern w:val="0"/>
                <w:szCs w:val="21"/>
                <w:highlight w:val="none"/>
              </w:rPr>
            </w:pPr>
          </w:p>
          <w:p w14:paraId="6063706D">
            <w:pPr>
              <w:snapToGrid w:val="0"/>
              <w:spacing w:line="400" w:lineRule="exact"/>
              <w:jc w:val="center"/>
              <w:rPr>
                <w:rFonts w:ascii="宋体" w:hAnsi="宋体"/>
                <w:color w:val="auto"/>
                <w:kern w:val="0"/>
                <w:szCs w:val="21"/>
                <w:highlight w:val="none"/>
              </w:rPr>
            </w:pPr>
          </w:p>
          <w:p w14:paraId="297955DB">
            <w:pPr>
              <w:snapToGrid w:val="0"/>
              <w:spacing w:line="400" w:lineRule="exact"/>
              <w:jc w:val="center"/>
              <w:rPr>
                <w:rFonts w:ascii="宋体" w:hAnsi="宋体"/>
                <w:color w:val="auto"/>
                <w:kern w:val="0"/>
                <w:szCs w:val="21"/>
                <w:highlight w:val="none"/>
              </w:rPr>
            </w:pPr>
          </w:p>
          <w:p w14:paraId="626702A7">
            <w:pPr>
              <w:snapToGrid w:val="0"/>
              <w:spacing w:line="400" w:lineRule="exact"/>
              <w:jc w:val="center"/>
              <w:rPr>
                <w:rFonts w:ascii="宋体" w:hAnsi="宋体"/>
                <w:color w:val="auto"/>
                <w:kern w:val="0"/>
                <w:szCs w:val="21"/>
                <w:highlight w:val="none"/>
              </w:rPr>
            </w:pPr>
          </w:p>
          <w:p w14:paraId="7334BFA5">
            <w:pPr>
              <w:snapToGrid w:val="0"/>
              <w:spacing w:line="400" w:lineRule="exact"/>
              <w:jc w:val="center"/>
              <w:rPr>
                <w:rFonts w:ascii="宋体" w:hAnsi="宋体"/>
                <w:color w:val="auto"/>
                <w:kern w:val="0"/>
                <w:szCs w:val="21"/>
                <w:highlight w:val="none"/>
              </w:rPr>
            </w:pPr>
          </w:p>
          <w:p w14:paraId="29AA66D8">
            <w:pPr>
              <w:snapToGrid w:val="0"/>
              <w:spacing w:line="400" w:lineRule="exact"/>
              <w:jc w:val="center"/>
              <w:rPr>
                <w:rFonts w:ascii="宋体" w:hAnsi="宋体"/>
                <w:color w:val="auto"/>
                <w:kern w:val="0"/>
                <w:szCs w:val="21"/>
                <w:highlight w:val="none"/>
              </w:rPr>
            </w:pPr>
          </w:p>
          <w:p w14:paraId="0F26B7BF">
            <w:pPr>
              <w:snapToGrid w:val="0"/>
              <w:spacing w:line="400" w:lineRule="exact"/>
              <w:jc w:val="center"/>
              <w:rPr>
                <w:rFonts w:ascii="宋体" w:hAnsi="宋体"/>
                <w:color w:val="auto"/>
                <w:kern w:val="0"/>
                <w:szCs w:val="21"/>
                <w:highlight w:val="none"/>
              </w:rPr>
            </w:pPr>
          </w:p>
          <w:p w14:paraId="1FF4E6BB">
            <w:pPr>
              <w:snapToGrid w:val="0"/>
              <w:spacing w:line="400" w:lineRule="exact"/>
              <w:jc w:val="center"/>
              <w:rPr>
                <w:rFonts w:ascii="宋体" w:hAnsi="宋体"/>
                <w:color w:val="auto"/>
                <w:kern w:val="0"/>
                <w:szCs w:val="21"/>
                <w:highlight w:val="none"/>
              </w:rPr>
            </w:pPr>
          </w:p>
          <w:p w14:paraId="7C991C3F">
            <w:pPr>
              <w:snapToGrid w:val="0"/>
              <w:spacing w:line="400" w:lineRule="exact"/>
              <w:jc w:val="center"/>
              <w:rPr>
                <w:rFonts w:ascii="宋体" w:hAnsi="宋体"/>
                <w:color w:val="auto"/>
                <w:kern w:val="0"/>
                <w:szCs w:val="21"/>
                <w:highlight w:val="none"/>
              </w:rPr>
            </w:pPr>
          </w:p>
          <w:p w14:paraId="4A6EAC92">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投标人资质条件、能力和信誉</w:t>
            </w:r>
          </w:p>
          <w:p w14:paraId="0B3A0357">
            <w:pPr>
              <w:snapToGrid w:val="0"/>
              <w:spacing w:line="400" w:lineRule="exact"/>
              <w:jc w:val="center"/>
              <w:rPr>
                <w:rFonts w:ascii="宋体" w:hAnsi="宋体"/>
                <w:color w:val="auto"/>
                <w:kern w:val="0"/>
                <w:szCs w:val="21"/>
                <w:highlight w:val="none"/>
              </w:rPr>
            </w:pPr>
          </w:p>
          <w:p w14:paraId="4494FBC9">
            <w:pPr>
              <w:snapToGrid w:val="0"/>
              <w:spacing w:line="400" w:lineRule="exact"/>
              <w:jc w:val="center"/>
              <w:rPr>
                <w:rFonts w:ascii="宋体" w:hAnsi="宋体"/>
                <w:color w:val="auto"/>
                <w:kern w:val="0"/>
                <w:szCs w:val="21"/>
                <w:highlight w:val="none"/>
              </w:rPr>
            </w:pPr>
          </w:p>
          <w:p w14:paraId="0E8D6BCE">
            <w:pPr>
              <w:snapToGrid w:val="0"/>
              <w:spacing w:line="400" w:lineRule="exact"/>
              <w:jc w:val="center"/>
              <w:rPr>
                <w:rFonts w:ascii="宋体" w:hAnsi="宋体"/>
                <w:color w:val="auto"/>
                <w:kern w:val="0"/>
                <w:szCs w:val="21"/>
                <w:highlight w:val="none"/>
              </w:rPr>
            </w:pPr>
          </w:p>
          <w:p w14:paraId="7C38F6A5">
            <w:pPr>
              <w:snapToGrid w:val="0"/>
              <w:spacing w:line="400" w:lineRule="exact"/>
              <w:jc w:val="center"/>
              <w:rPr>
                <w:rFonts w:ascii="宋体" w:hAnsi="宋体"/>
                <w:color w:val="auto"/>
                <w:kern w:val="0"/>
                <w:szCs w:val="21"/>
                <w:highlight w:val="none"/>
              </w:rPr>
            </w:pPr>
          </w:p>
          <w:p w14:paraId="078E0070">
            <w:pPr>
              <w:snapToGrid w:val="0"/>
              <w:spacing w:line="400" w:lineRule="exact"/>
              <w:jc w:val="center"/>
              <w:rPr>
                <w:rFonts w:ascii="宋体" w:hAnsi="宋体"/>
                <w:color w:val="auto"/>
                <w:kern w:val="0"/>
                <w:szCs w:val="21"/>
                <w:highlight w:val="none"/>
              </w:rPr>
            </w:pPr>
          </w:p>
          <w:p w14:paraId="2115B5E5">
            <w:pPr>
              <w:snapToGrid w:val="0"/>
              <w:spacing w:line="400" w:lineRule="exact"/>
              <w:jc w:val="center"/>
              <w:rPr>
                <w:rFonts w:ascii="宋体" w:hAnsi="宋体"/>
                <w:color w:val="auto"/>
                <w:kern w:val="0"/>
                <w:szCs w:val="21"/>
                <w:highlight w:val="none"/>
              </w:rPr>
            </w:pPr>
          </w:p>
          <w:p w14:paraId="3762A1AD">
            <w:pPr>
              <w:snapToGrid w:val="0"/>
              <w:spacing w:line="400" w:lineRule="exact"/>
              <w:jc w:val="center"/>
              <w:rPr>
                <w:rFonts w:ascii="宋体" w:hAnsi="宋体"/>
                <w:color w:val="auto"/>
                <w:kern w:val="0"/>
                <w:szCs w:val="21"/>
                <w:highlight w:val="none"/>
              </w:rPr>
            </w:pPr>
          </w:p>
          <w:p w14:paraId="7F69C674">
            <w:pPr>
              <w:snapToGrid w:val="0"/>
              <w:spacing w:line="400" w:lineRule="exact"/>
              <w:jc w:val="center"/>
              <w:rPr>
                <w:rFonts w:ascii="宋体" w:hAnsi="宋体"/>
                <w:color w:val="auto"/>
                <w:kern w:val="0"/>
                <w:szCs w:val="21"/>
                <w:highlight w:val="none"/>
              </w:rPr>
            </w:pPr>
          </w:p>
          <w:p w14:paraId="6E13CD87">
            <w:pPr>
              <w:snapToGrid w:val="0"/>
              <w:spacing w:line="400" w:lineRule="exact"/>
              <w:jc w:val="center"/>
              <w:rPr>
                <w:rFonts w:ascii="宋体" w:hAnsi="宋体"/>
                <w:color w:val="auto"/>
                <w:kern w:val="0"/>
                <w:szCs w:val="21"/>
                <w:highlight w:val="none"/>
              </w:rPr>
            </w:pPr>
          </w:p>
          <w:p w14:paraId="73B8AB5C">
            <w:pPr>
              <w:snapToGrid w:val="0"/>
              <w:spacing w:line="400" w:lineRule="exact"/>
              <w:jc w:val="center"/>
              <w:rPr>
                <w:rFonts w:ascii="宋体" w:hAnsi="宋体"/>
                <w:color w:val="auto"/>
                <w:kern w:val="0"/>
                <w:szCs w:val="21"/>
                <w:highlight w:val="none"/>
              </w:rPr>
            </w:pPr>
          </w:p>
          <w:p w14:paraId="518AB9B2">
            <w:pPr>
              <w:snapToGrid w:val="0"/>
              <w:spacing w:line="400" w:lineRule="exact"/>
              <w:jc w:val="center"/>
              <w:rPr>
                <w:rFonts w:ascii="宋体" w:hAnsi="宋体"/>
                <w:color w:val="auto"/>
                <w:kern w:val="0"/>
                <w:szCs w:val="21"/>
                <w:highlight w:val="none"/>
              </w:rPr>
            </w:pPr>
          </w:p>
          <w:p w14:paraId="1760AC70">
            <w:pPr>
              <w:snapToGrid w:val="0"/>
              <w:spacing w:line="400" w:lineRule="exact"/>
              <w:jc w:val="center"/>
              <w:rPr>
                <w:rFonts w:ascii="宋体" w:hAnsi="宋体"/>
                <w:color w:val="auto"/>
                <w:kern w:val="0"/>
                <w:szCs w:val="21"/>
                <w:highlight w:val="none"/>
              </w:rPr>
            </w:pPr>
          </w:p>
          <w:p w14:paraId="100758E5">
            <w:pPr>
              <w:snapToGrid w:val="0"/>
              <w:spacing w:line="400" w:lineRule="exact"/>
              <w:jc w:val="center"/>
              <w:rPr>
                <w:rFonts w:ascii="宋体" w:hAnsi="宋体"/>
                <w:color w:val="auto"/>
                <w:kern w:val="0"/>
                <w:szCs w:val="21"/>
                <w:highlight w:val="none"/>
              </w:rPr>
            </w:pPr>
          </w:p>
          <w:p w14:paraId="14AA64E4">
            <w:pPr>
              <w:snapToGrid w:val="0"/>
              <w:spacing w:line="400" w:lineRule="exact"/>
              <w:jc w:val="center"/>
              <w:rPr>
                <w:rFonts w:ascii="宋体" w:hAnsi="宋体"/>
                <w:color w:val="auto"/>
                <w:kern w:val="0"/>
                <w:szCs w:val="21"/>
                <w:highlight w:val="none"/>
              </w:rPr>
            </w:pPr>
          </w:p>
          <w:p w14:paraId="7C5946A3">
            <w:pPr>
              <w:snapToGrid w:val="0"/>
              <w:spacing w:line="400" w:lineRule="exact"/>
              <w:jc w:val="center"/>
              <w:rPr>
                <w:rFonts w:ascii="宋体" w:hAnsi="宋体"/>
                <w:color w:val="auto"/>
                <w:kern w:val="0"/>
                <w:szCs w:val="21"/>
                <w:highlight w:val="none"/>
              </w:rPr>
            </w:pPr>
          </w:p>
          <w:p w14:paraId="1ABA4FAC">
            <w:pPr>
              <w:snapToGrid w:val="0"/>
              <w:spacing w:line="400" w:lineRule="exact"/>
              <w:jc w:val="center"/>
              <w:rPr>
                <w:rFonts w:ascii="宋体" w:hAnsi="宋体"/>
                <w:color w:val="auto"/>
                <w:kern w:val="0"/>
                <w:szCs w:val="21"/>
                <w:highlight w:val="none"/>
              </w:rPr>
            </w:pPr>
          </w:p>
          <w:p w14:paraId="1DE71312">
            <w:pPr>
              <w:snapToGrid w:val="0"/>
              <w:spacing w:line="400" w:lineRule="exact"/>
              <w:jc w:val="center"/>
              <w:rPr>
                <w:rFonts w:ascii="宋体" w:hAnsi="宋体"/>
                <w:color w:val="auto"/>
                <w:kern w:val="0"/>
                <w:szCs w:val="21"/>
                <w:highlight w:val="none"/>
              </w:rPr>
            </w:pPr>
          </w:p>
          <w:p w14:paraId="1ED73702">
            <w:pPr>
              <w:snapToGrid w:val="0"/>
              <w:spacing w:line="400" w:lineRule="exact"/>
              <w:jc w:val="center"/>
              <w:rPr>
                <w:rFonts w:ascii="宋体" w:hAnsi="宋体"/>
                <w:color w:val="auto"/>
                <w:kern w:val="0"/>
                <w:szCs w:val="21"/>
                <w:highlight w:val="none"/>
              </w:rPr>
            </w:pPr>
          </w:p>
          <w:p w14:paraId="5CA3E448">
            <w:pPr>
              <w:snapToGrid w:val="0"/>
              <w:spacing w:line="400" w:lineRule="exact"/>
              <w:jc w:val="center"/>
              <w:rPr>
                <w:rFonts w:ascii="宋体" w:hAnsi="宋体"/>
                <w:color w:val="auto"/>
                <w:kern w:val="0"/>
                <w:szCs w:val="21"/>
                <w:highlight w:val="none"/>
              </w:rPr>
            </w:pPr>
          </w:p>
          <w:p w14:paraId="7BFB6FAA">
            <w:pPr>
              <w:snapToGrid w:val="0"/>
              <w:spacing w:line="400" w:lineRule="exact"/>
              <w:jc w:val="center"/>
              <w:rPr>
                <w:rFonts w:ascii="宋体" w:hAnsi="宋体"/>
                <w:color w:val="auto"/>
                <w:kern w:val="0"/>
                <w:szCs w:val="21"/>
                <w:highlight w:val="none"/>
              </w:rPr>
            </w:pPr>
          </w:p>
          <w:p w14:paraId="42F45417">
            <w:pPr>
              <w:snapToGrid w:val="0"/>
              <w:spacing w:line="400" w:lineRule="exact"/>
              <w:jc w:val="center"/>
              <w:rPr>
                <w:rFonts w:ascii="宋体" w:hAnsi="宋体"/>
                <w:color w:val="auto"/>
                <w:kern w:val="0"/>
                <w:szCs w:val="21"/>
                <w:highlight w:val="none"/>
              </w:rPr>
            </w:pPr>
          </w:p>
          <w:p w14:paraId="114A5E98">
            <w:pPr>
              <w:snapToGrid w:val="0"/>
              <w:spacing w:line="400" w:lineRule="exact"/>
              <w:jc w:val="center"/>
              <w:rPr>
                <w:rFonts w:ascii="宋体" w:hAnsi="宋体"/>
                <w:color w:val="auto"/>
                <w:kern w:val="0"/>
                <w:szCs w:val="21"/>
                <w:highlight w:val="none"/>
              </w:rPr>
            </w:pPr>
          </w:p>
          <w:p w14:paraId="047B860F">
            <w:pPr>
              <w:snapToGrid w:val="0"/>
              <w:spacing w:line="400" w:lineRule="exact"/>
              <w:jc w:val="center"/>
              <w:rPr>
                <w:rFonts w:ascii="宋体" w:hAnsi="宋体"/>
                <w:color w:val="auto"/>
                <w:kern w:val="0"/>
                <w:szCs w:val="21"/>
                <w:highlight w:val="none"/>
              </w:rPr>
            </w:pPr>
          </w:p>
          <w:p w14:paraId="46E97CA8">
            <w:pPr>
              <w:snapToGrid w:val="0"/>
              <w:spacing w:line="400" w:lineRule="exact"/>
              <w:jc w:val="center"/>
              <w:rPr>
                <w:rFonts w:ascii="宋体" w:hAnsi="宋体"/>
                <w:color w:val="auto"/>
                <w:kern w:val="0"/>
                <w:szCs w:val="21"/>
                <w:highlight w:val="none"/>
              </w:rPr>
            </w:pPr>
          </w:p>
          <w:p w14:paraId="34869925">
            <w:pPr>
              <w:snapToGrid w:val="0"/>
              <w:spacing w:line="400" w:lineRule="exact"/>
              <w:jc w:val="center"/>
              <w:rPr>
                <w:rFonts w:ascii="宋体" w:hAnsi="宋体"/>
                <w:color w:val="auto"/>
                <w:kern w:val="0"/>
                <w:szCs w:val="21"/>
                <w:highlight w:val="none"/>
              </w:rPr>
            </w:pPr>
          </w:p>
          <w:p w14:paraId="231583B0">
            <w:pPr>
              <w:snapToGrid w:val="0"/>
              <w:spacing w:line="400" w:lineRule="exact"/>
              <w:jc w:val="center"/>
              <w:rPr>
                <w:rFonts w:ascii="宋体" w:hAnsi="宋体"/>
                <w:color w:val="auto"/>
                <w:kern w:val="0"/>
                <w:szCs w:val="21"/>
                <w:highlight w:val="none"/>
              </w:rPr>
            </w:pPr>
          </w:p>
          <w:p w14:paraId="2F84CFC5">
            <w:pPr>
              <w:snapToGrid w:val="0"/>
              <w:spacing w:line="400" w:lineRule="exact"/>
              <w:jc w:val="center"/>
              <w:rPr>
                <w:rFonts w:ascii="宋体" w:hAnsi="宋体"/>
                <w:color w:val="auto"/>
                <w:kern w:val="0"/>
                <w:szCs w:val="21"/>
                <w:highlight w:val="none"/>
              </w:rPr>
            </w:pPr>
          </w:p>
          <w:p w14:paraId="19A07732">
            <w:pPr>
              <w:snapToGrid w:val="0"/>
              <w:spacing w:line="400" w:lineRule="exact"/>
              <w:jc w:val="center"/>
              <w:rPr>
                <w:rFonts w:ascii="宋体" w:hAnsi="宋体"/>
                <w:color w:val="auto"/>
                <w:kern w:val="0"/>
                <w:szCs w:val="21"/>
                <w:highlight w:val="none"/>
              </w:rPr>
            </w:pPr>
          </w:p>
          <w:p w14:paraId="235BCBAF">
            <w:pPr>
              <w:snapToGrid w:val="0"/>
              <w:spacing w:line="400" w:lineRule="exact"/>
              <w:jc w:val="center"/>
              <w:rPr>
                <w:rFonts w:ascii="宋体" w:hAnsi="宋体"/>
                <w:color w:val="auto"/>
                <w:kern w:val="0"/>
                <w:szCs w:val="21"/>
                <w:highlight w:val="none"/>
              </w:rPr>
            </w:pPr>
          </w:p>
          <w:p w14:paraId="51340D17">
            <w:pPr>
              <w:snapToGrid w:val="0"/>
              <w:spacing w:line="400" w:lineRule="exact"/>
              <w:jc w:val="center"/>
              <w:rPr>
                <w:rFonts w:ascii="宋体" w:hAnsi="宋体"/>
                <w:color w:val="auto"/>
                <w:kern w:val="0"/>
                <w:szCs w:val="21"/>
                <w:highlight w:val="none"/>
              </w:rPr>
            </w:pPr>
          </w:p>
          <w:p w14:paraId="49876986">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投标人资质条件、能力和信誉</w:t>
            </w:r>
          </w:p>
          <w:p w14:paraId="5700474E">
            <w:pPr>
              <w:snapToGrid w:val="0"/>
              <w:spacing w:line="400" w:lineRule="exact"/>
              <w:jc w:val="center"/>
              <w:rPr>
                <w:rFonts w:ascii="宋体" w:hAnsi="宋体"/>
                <w:color w:val="auto"/>
                <w:kern w:val="0"/>
                <w:szCs w:val="21"/>
                <w:highlight w:val="none"/>
              </w:rPr>
            </w:pPr>
          </w:p>
          <w:p w14:paraId="27877FAF">
            <w:pPr>
              <w:snapToGrid w:val="0"/>
              <w:spacing w:line="400" w:lineRule="exact"/>
              <w:jc w:val="center"/>
              <w:rPr>
                <w:rFonts w:ascii="宋体" w:hAnsi="宋体"/>
                <w:color w:val="auto"/>
                <w:kern w:val="0"/>
                <w:szCs w:val="21"/>
                <w:highlight w:val="none"/>
              </w:rPr>
            </w:pPr>
          </w:p>
          <w:p w14:paraId="2DF5D875">
            <w:pPr>
              <w:snapToGrid w:val="0"/>
              <w:spacing w:line="400" w:lineRule="exact"/>
              <w:jc w:val="center"/>
              <w:rPr>
                <w:rFonts w:ascii="宋体" w:hAnsi="宋体"/>
                <w:color w:val="auto"/>
                <w:kern w:val="0"/>
                <w:szCs w:val="21"/>
                <w:highlight w:val="none"/>
              </w:rPr>
            </w:pPr>
          </w:p>
          <w:p w14:paraId="69F7A94C">
            <w:pPr>
              <w:snapToGrid w:val="0"/>
              <w:spacing w:line="400" w:lineRule="exact"/>
              <w:jc w:val="center"/>
              <w:rPr>
                <w:rFonts w:ascii="宋体" w:hAnsi="宋体"/>
                <w:color w:val="auto"/>
                <w:kern w:val="0"/>
                <w:szCs w:val="21"/>
                <w:highlight w:val="none"/>
              </w:rPr>
            </w:pPr>
          </w:p>
          <w:p w14:paraId="0F8867D6">
            <w:pPr>
              <w:snapToGrid w:val="0"/>
              <w:spacing w:line="400" w:lineRule="exact"/>
              <w:jc w:val="center"/>
              <w:rPr>
                <w:rFonts w:ascii="宋体" w:hAnsi="宋体"/>
                <w:color w:val="auto"/>
                <w:kern w:val="0"/>
                <w:szCs w:val="21"/>
                <w:highlight w:val="none"/>
              </w:rPr>
            </w:pPr>
          </w:p>
          <w:p w14:paraId="4B92138C">
            <w:pPr>
              <w:snapToGrid w:val="0"/>
              <w:spacing w:line="400" w:lineRule="exact"/>
              <w:jc w:val="center"/>
              <w:rPr>
                <w:rFonts w:ascii="宋体" w:hAnsi="宋体"/>
                <w:color w:val="auto"/>
                <w:kern w:val="0"/>
                <w:szCs w:val="21"/>
                <w:highlight w:val="none"/>
              </w:rPr>
            </w:pPr>
          </w:p>
          <w:p w14:paraId="76FD367A">
            <w:pPr>
              <w:snapToGrid w:val="0"/>
              <w:spacing w:line="400" w:lineRule="exact"/>
              <w:jc w:val="center"/>
              <w:rPr>
                <w:rFonts w:ascii="宋体" w:hAnsi="宋体"/>
                <w:color w:val="auto"/>
                <w:kern w:val="0"/>
                <w:szCs w:val="21"/>
                <w:highlight w:val="none"/>
              </w:rPr>
            </w:pPr>
          </w:p>
          <w:p w14:paraId="00F4BA52">
            <w:pPr>
              <w:snapToGrid w:val="0"/>
              <w:spacing w:line="400" w:lineRule="exact"/>
              <w:jc w:val="center"/>
              <w:rPr>
                <w:rFonts w:ascii="宋体" w:hAnsi="宋体"/>
                <w:color w:val="auto"/>
                <w:kern w:val="0"/>
                <w:szCs w:val="21"/>
                <w:highlight w:val="none"/>
              </w:rPr>
            </w:pPr>
          </w:p>
          <w:p w14:paraId="7E408F58">
            <w:pPr>
              <w:snapToGrid w:val="0"/>
              <w:spacing w:line="400" w:lineRule="exact"/>
              <w:jc w:val="center"/>
              <w:rPr>
                <w:rFonts w:ascii="宋体" w:hAnsi="宋体"/>
                <w:color w:val="auto"/>
                <w:kern w:val="0"/>
                <w:szCs w:val="21"/>
                <w:highlight w:val="none"/>
              </w:rPr>
            </w:pPr>
          </w:p>
          <w:p w14:paraId="7C1BF1A7">
            <w:pPr>
              <w:snapToGrid w:val="0"/>
              <w:spacing w:line="400" w:lineRule="exact"/>
              <w:jc w:val="center"/>
              <w:rPr>
                <w:rFonts w:ascii="宋体" w:hAnsi="宋体"/>
                <w:color w:val="auto"/>
                <w:kern w:val="0"/>
                <w:szCs w:val="21"/>
                <w:highlight w:val="none"/>
              </w:rPr>
            </w:pPr>
          </w:p>
          <w:p w14:paraId="6966EC72">
            <w:pPr>
              <w:snapToGrid w:val="0"/>
              <w:spacing w:line="400" w:lineRule="exact"/>
              <w:jc w:val="center"/>
              <w:rPr>
                <w:rFonts w:ascii="宋体" w:hAnsi="宋体"/>
                <w:color w:val="auto"/>
                <w:kern w:val="0"/>
                <w:szCs w:val="21"/>
                <w:highlight w:val="none"/>
              </w:rPr>
            </w:pPr>
          </w:p>
          <w:p w14:paraId="3F3BA456">
            <w:pPr>
              <w:snapToGrid w:val="0"/>
              <w:spacing w:line="400" w:lineRule="exact"/>
              <w:jc w:val="center"/>
              <w:rPr>
                <w:rFonts w:ascii="宋体" w:hAnsi="宋体"/>
                <w:color w:val="auto"/>
                <w:kern w:val="0"/>
                <w:szCs w:val="21"/>
                <w:highlight w:val="none"/>
              </w:rPr>
            </w:pPr>
          </w:p>
          <w:p w14:paraId="4471B9BE">
            <w:pPr>
              <w:snapToGrid w:val="0"/>
              <w:spacing w:line="400" w:lineRule="exact"/>
              <w:jc w:val="center"/>
              <w:rPr>
                <w:rFonts w:ascii="宋体" w:hAnsi="宋体"/>
                <w:color w:val="auto"/>
                <w:kern w:val="0"/>
                <w:szCs w:val="21"/>
                <w:highlight w:val="none"/>
              </w:rPr>
            </w:pPr>
          </w:p>
          <w:p w14:paraId="4CEE1F53">
            <w:pPr>
              <w:snapToGrid w:val="0"/>
              <w:spacing w:line="400" w:lineRule="exact"/>
              <w:jc w:val="center"/>
              <w:rPr>
                <w:rFonts w:ascii="宋体" w:hAnsi="宋体"/>
                <w:color w:val="auto"/>
                <w:kern w:val="0"/>
                <w:szCs w:val="21"/>
                <w:highlight w:val="none"/>
              </w:rPr>
            </w:pPr>
          </w:p>
          <w:p w14:paraId="61F594B2">
            <w:pPr>
              <w:snapToGrid w:val="0"/>
              <w:spacing w:line="400" w:lineRule="exact"/>
              <w:jc w:val="center"/>
              <w:rPr>
                <w:rFonts w:ascii="宋体" w:hAnsi="宋体"/>
                <w:color w:val="auto"/>
                <w:kern w:val="0"/>
                <w:szCs w:val="21"/>
                <w:highlight w:val="none"/>
              </w:rPr>
            </w:pPr>
          </w:p>
          <w:p w14:paraId="3D7C9BAD">
            <w:pPr>
              <w:snapToGrid w:val="0"/>
              <w:spacing w:line="400" w:lineRule="exact"/>
              <w:jc w:val="center"/>
              <w:rPr>
                <w:rFonts w:ascii="宋体" w:hAnsi="宋体"/>
                <w:color w:val="auto"/>
                <w:kern w:val="0"/>
                <w:szCs w:val="21"/>
                <w:highlight w:val="none"/>
              </w:rPr>
            </w:pPr>
          </w:p>
          <w:p w14:paraId="5257AA53">
            <w:pPr>
              <w:snapToGrid w:val="0"/>
              <w:spacing w:line="400" w:lineRule="exact"/>
              <w:jc w:val="center"/>
              <w:rPr>
                <w:rFonts w:ascii="宋体" w:hAnsi="宋体"/>
                <w:color w:val="auto"/>
                <w:kern w:val="0"/>
                <w:szCs w:val="21"/>
                <w:highlight w:val="none"/>
              </w:rPr>
            </w:pPr>
          </w:p>
          <w:p w14:paraId="0087F252">
            <w:pPr>
              <w:snapToGrid w:val="0"/>
              <w:spacing w:line="400" w:lineRule="exact"/>
              <w:jc w:val="center"/>
              <w:rPr>
                <w:rFonts w:ascii="宋体" w:hAnsi="宋体"/>
                <w:color w:val="auto"/>
                <w:kern w:val="0"/>
                <w:szCs w:val="21"/>
                <w:highlight w:val="none"/>
              </w:rPr>
            </w:pPr>
          </w:p>
        </w:tc>
        <w:tc>
          <w:tcPr>
            <w:tcW w:w="6490" w:type="dxa"/>
            <w:vAlign w:val="center"/>
          </w:tcPr>
          <w:p w14:paraId="6FF23EA3">
            <w:pPr>
              <w:autoSpaceDE w:val="0"/>
              <w:autoSpaceDN w:val="0"/>
              <w:adjustRightInd w:val="0"/>
              <w:snapToGrid w:val="0"/>
              <w:spacing w:line="400" w:lineRule="exact"/>
              <w:ind w:firstLine="420" w:firstLineChars="200"/>
              <w:rPr>
                <w:rFonts w:ascii="宋体" w:hAnsi="宋体"/>
                <w:color w:val="auto"/>
                <w:szCs w:val="21"/>
                <w:highlight w:val="none"/>
              </w:rPr>
            </w:pPr>
            <w:bookmarkStart w:id="87" w:name="OLE_LINK1"/>
            <w:r>
              <w:rPr>
                <w:rFonts w:ascii="宋体" w:hAnsi="宋体"/>
                <w:color w:val="auto"/>
                <w:szCs w:val="21"/>
                <w:highlight w:val="none"/>
              </w:rPr>
              <w:t>本工程施工招标实行资格后审，投标人应</w:t>
            </w:r>
            <w:bookmarkStart w:id="88" w:name="一是"/>
            <w:bookmarkEnd w:id="88"/>
            <w:r>
              <w:rPr>
                <w:rFonts w:ascii="宋体" w:hAnsi="宋体"/>
                <w:color w:val="auto"/>
                <w:szCs w:val="21"/>
                <w:highlight w:val="none"/>
              </w:rPr>
              <w:t>具备以下资格条件：</w:t>
            </w:r>
          </w:p>
          <w:bookmarkEnd w:id="87"/>
          <w:p w14:paraId="7B9667A9">
            <w:pPr>
              <w:autoSpaceDE w:val="0"/>
              <w:autoSpaceDN w:val="0"/>
              <w:adjustRightInd w:val="0"/>
              <w:snapToGrid w:val="0"/>
              <w:spacing w:line="400" w:lineRule="exact"/>
              <w:ind w:firstLine="422" w:firstLineChars="200"/>
              <w:rPr>
                <w:rFonts w:ascii="宋体" w:hAnsi="宋体"/>
                <w:b/>
                <w:color w:val="auto"/>
                <w:szCs w:val="21"/>
                <w:highlight w:val="none"/>
              </w:rPr>
            </w:pPr>
            <w:r>
              <w:rPr>
                <w:rFonts w:ascii="宋体" w:hAnsi="宋体"/>
                <w:b/>
                <w:color w:val="auto"/>
                <w:szCs w:val="21"/>
                <w:highlight w:val="none"/>
              </w:rPr>
              <w:t>1.资质条件、营业执照及安全生产条件</w:t>
            </w:r>
          </w:p>
          <w:p w14:paraId="6826827D">
            <w:pPr>
              <w:autoSpaceDE w:val="0"/>
              <w:autoSpaceDN w:val="0"/>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（1）具备建设行政主管部门颁发的有效的</w:t>
            </w:r>
            <w:r>
              <w:rPr>
                <w:rFonts w:hint="eastAsia" w:ascii="宋体" w:hAnsi="宋体"/>
                <w:b/>
                <w:color w:val="auto"/>
                <w:highlight w:val="none"/>
                <w:u w:val="single"/>
              </w:rPr>
              <w:t>建筑工程</w:t>
            </w:r>
            <w:r>
              <w:rPr>
                <w:rFonts w:ascii="宋体" w:hAnsi="宋体"/>
                <w:b/>
                <w:color w:val="auto"/>
                <w:highlight w:val="none"/>
                <w:u w:val="single"/>
              </w:rPr>
              <w:t>施工总承包</w:t>
            </w:r>
            <w:r>
              <w:rPr>
                <w:rFonts w:hint="eastAsia" w:ascii="宋体" w:hAnsi="宋体"/>
                <w:b/>
                <w:color w:val="auto"/>
                <w:highlight w:val="none"/>
                <w:u w:val="single"/>
              </w:rPr>
              <w:t>二</w:t>
            </w:r>
            <w:r>
              <w:rPr>
                <w:rFonts w:ascii="宋体" w:hAnsi="宋体"/>
                <w:b/>
                <w:color w:val="auto"/>
                <w:highlight w:val="none"/>
                <w:u w:val="single"/>
              </w:rPr>
              <w:t>级</w:t>
            </w:r>
            <w:r>
              <w:rPr>
                <w:rFonts w:ascii="宋体" w:hAnsi="宋体"/>
                <w:color w:val="auto"/>
                <w:szCs w:val="21"/>
                <w:highlight w:val="none"/>
                <w:u w:val="single"/>
              </w:rPr>
              <w:t>及以上</w:t>
            </w:r>
            <w:r>
              <w:rPr>
                <w:rFonts w:hint="eastAsia" w:ascii="宋体" w:hAnsi="宋体"/>
                <w:color w:val="auto"/>
                <w:szCs w:val="21"/>
                <w:highlight w:val="none"/>
              </w:rPr>
              <w:t>资质</w:t>
            </w:r>
            <w:r>
              <w:rPr>
                <w:rFonts w:ascii="宋体" w:hAnsi="宋体"/>
                <w:color w:val="auto"/>
                <w:szCs w:val="21"/>
                <w:highlight w:val="none"/>
              </w:rPr>
              <w:t>。</w:t>
            </w:r>
          </w:p>
          <w:p w14:paraId="1AB9DB00">
            <w:pPr>
              <w:autoSpaceDE w:val="0"/>
              <w:autoSpaceDN w:val="0"/>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投标人</w:t>
            </w:r>
            <w:r>
              <w:rPr>
                <w:rFonts w:ascii="宋体" w:hAnsi="宋体"/>
                <w:color w:val="auto"/>
                <w:szCs w:val="21"/>
                <w:highlight w:val="none"/>
              </w:rPr>
              <w:t>须</w:t>
            </w:r>
            <w:r>
              <w:rPr>
                <w:rFonts w:hint="eastAsia" w:ascii="宋体" w:hAnsi="宋体"/>
                <w:color w:val="auto"/>
                <w:szCs w:val="21"/>
                <w:highlight w:val="none"/>
              </w:rPr>
              <w:t>在投标文件资格审查部分</w:t>
            </w:r>
            <w:r>
              <w:rPr>
                <w:rFonts w:ascii="宋体" w:hAnsi="宋体"/>
                <w:color w:val="auto"/>
                <w:szCs w:val="21"/>
                <w:highlight w:val="none"/>
              </w:rPr>
              <w:t>提供</w:t>
            </w:r>
            <w:r>
              <w:rPr>
                <w:rFonts w:hint="eastAsia" w:ascii="宋体" w:hAnsi="宋体"/>
                <w:color w:val="auto"/>
                <w:szCs w:val="21"/>
                <w:highlight w:val="none"/>
              </w:rPr>
              <w:t>有效的资质证书</w:t>
            </w:r>
            <w:r>
              <w:rPr>
                <w:rFonts w:ascii="宋体" w:hAnsi="宋体"/>
                <w:color w:val="auto"/>
                <w:szCs w:val="21"/>
                <w:highlight w:val="none"/>
              </w:rPr>
              <w:t>。</w:t>
            </w:r>
          </w:p>
          <w:p w14:paraId="39AFAEE2">
            <w:pPr>
              <w:autoSpaceDE w:val="0"/>
              <w:autoSpaceDN w:val="0"/>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（2）具备有效的营业执照。</w:t>
            </w:r>
          </w:p>
          <w:p w14:paraId="1D5EA137">
            <w:pPr>
              <w:autoSpaceDE w:val="0"/>
              <w:autoSpaceDN w:val="0"/>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投标人</w:t>
            </w:r>
            <w:r>
              <w:rPr>
                <w:rFonts w:ascii="宋体" w:hAnsi="宋体"/>
                <w:color w:val="auto"/>
                <w:szCs w:val="21"/>
                <w:highlight w:val="none"/>
              </w:rPr>
              <w:t>须</w:t>
            </w:r>
            <w:r>
              <w:rPr>
                <w:rFonts w:hint="eastAsia" w:ascii="宋体" w:hAnsi="宋体"/>
                <w:color w:val="auto"/>
                <w:szCs w:val="21"/>
                <w:highlight w:val="none"/>
              </w:rPr>
              <w:t>在投标文件资格审查部分</w:t>
            </w:r>
            <w:r>
              <w:rPr>
                <w:rFonts w:ascii="宋体" w:hAnsi="宋体"/>
                <w:color w:val="auto"/>
                <w:szCs w:val="21"/>
                <w:highlight w:val="none"/>
              </w:rPr>
              <w:t>提供有效的营业执照。</w:t>
            </w:r>
            <w:r>
              <w:rPr>
                <w:rFonts w:hint="eastAsia" w:ascii="宋体" w:hAnsi="宋体"/>
                <w:color w:val="auto"/>
                <w:szCs w:val="21"/>
                <w:highlight w:val="none"/>
              </w:rPr>
              <w:t>注：不得将投标人营业执照记载的经营范围作为评审因素。</w:t>
            </w:r>
          </w:p>
          <w:p w14:paraId="2705F56B">
            <w:pPr>
              <w:autoSpaceDE w:val="0"/>
              <w:autoSpaceDN w:val="0"/>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（3）具备建设行政主管部门颁发的有效的安全生产许可证，</w:t>
            </w:r>
            <w:r>
              <w:rPr>
                <w:rFonts w:hint="eastAsia" w:ascii="宋体" w:hAnsi="宋体"/>
                <w:color w:val="auto"/>
                <w:szCs w:val="21"/>
                <w:highlight w:val="none"/>
              </w:rPr>
              <w:t>企业负责人、拟担任该项目负责人和专职安全生产管理人员（即“三类人员”）具备相应建设行政主管部门颁发的安全生产考核合格证书。</w:t>
            </w:r>
          </w:p>
          <w:p w14:paraId="7BE46127">
            <w:pPr>
              <w:autoSpaceDE w:val="0"/>
              <w:autoSpaceDN w:val="0"/>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投标人须在投标文件资格审查部分提供有效的安全生产许可证</w:t>
            </w:r>
            <w:r>
              <w:rPr>
                <w:rFonts w:ascii="宋体" w:hAnsi="宋体"/>
                <w:color w:val="auto"/>
                <w:szCs w:val="21"/>
                <w:highlight w:val="none"/>
              </w:rPr>
              <w:t>及安全生产考核合格证书。</w:t>
            </w:r>
          </w:p>
          <w:p w14:paraId="184DBDE7">
            <w:pPr>
              <w:autoSpaceDE w:val="0"/>
              <w:autoSpaceDN w:val="0"/>
              <w:adjustRightInd w:val="0"/>
              <w:snapToGrid w:val="0"/>
              <w:spacing w:line="400" w:lineRule="exact"/>
              <w:ind w:firstLine="422" w:firstLineChars="200"/>
              <w:rPr>
                <w:rFonts w:ascii="宋体" w:hAnsi="宋体"/>
                <w:b/>
                <w:color w:val="auto"/>
                <w:szCs w:val="21"/>
                <w:highlight w:val="none"/>
              </w:rPr>
            </w:pPr>
            <w:r>
              <w:rPr>
                <w:rFonts w:hint="eastAsia" w:ascii="宋体" w:hAnsi="宋体"/>
                <w:b/>
                <w:color w:val="auto"/>
                <w:szCs w:val="21"/>
                <w:highlight w:val="none"/>
              </w:rPr>
              <w:sym w:font="Wingdings 2" w:char="F052"/>
            </w:r>
            <w:r>
              <w:rPr>
                <w:rFonts w:ascii="宋体" w:hAnsi="宋体"/>
                <w:b/>
                <w:color w:val="auto"/>
                <w:szCs w:val="21"/>
                <w:highlight w:val="none"/>
              </w:rPr>
              <w:t>2.财务要求</w:t>
            </w:r>
          </w:p>
          <w:p w14:paraId="2550ED4D">
            <w:pPr>
              <w:autoSpaceDE w:val="0"/>
              <w:autoSpaceDN w:val="0"/>
              <w:adjustRightInd w:val="0"/>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u w:val="single"/>
              </w:rPr>
              <w:t>2019</w:t>
            </w:r>
            <w:r>
              <w:rPr>
                <w:rFonts w:hint="eastAsia" w:ascii="宋体" w:hAnsi="宋体"/>
                <w:color w:val="auto"/>
                <w:kern w:val="0"/>
                <w:szCs w:val="21"/>
                <w:highlight w:val="none"/>
              </w:rPr>
              <w:t>、</w:t>
            </w:r>
            <w:r>
              <w:rPr>
                <w:rFonts w:hint="eastAsia" w:ascii="宋体" w:hAnsi="宋体"/>
                <w:color w:val="auto"/>
                <w:kern w:val="0"/>
                <w:szCs w:val="21"/>
                <w:highlight w:val="none"/>
                <w:u w:val="single"/>
              </w:rPr>
              <w:t>2020</w:t>
            </w:r>
            <w:r>
              <w:rPr>
                <w:rFonts w:hint="eastAsia" w:ascii="宋体" w:hAnsi="宋体"/>
                <w:color w:val="auto"/>
                <w:kern w:val="0"/>
                <w:szCs w:val="21"/>
                <w:highlight w:val="none"/>
              </w:rPr>
              <w:t>、</w:t>
            </w:r>
            <w:r>
              <w:rPr>
                <w:rFonts w:hint="eastAsia" w:ascii="宋体" w:hAnsi="宋体"/>
                <w:color w:val="auto"/>
                <w:kern w:val="0"/>
                <w:szCs w:val="21"/>
                <w:highlight w:val="none"/>
                <w:u w:val="single"/>
              </w:rPr>
              <w:t>2021</w:t>
            </w:r>
            <w:r>
              <w:rPr>
                <w:rFonts w:hint="eastAsia" w:ascii="宋体" w:hAnsi="宋体"/>
                <w:color w:val="auto"/>
                <w:kern w:val="0"/>
                <w:szCs w:val="21"/>
                <w:highlight w:val="none"/>
              </w:rPr>
              <w:t>度财务状况不亏损。</w:t>
            </w:r>
          </w:p>
          <w:p w14:paraId="5015538F">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投标人须在投标文件资格审查部分提供经会计师事务所或审计机构出具的合法有效的财务审计报告及财务报表，财务报表须至少包括现金流量表、资产负债表、利润表。</w:t>
            </w:r>
          </w:p>
          <w:p w14:paraId="5445CD9D">
            <w:pPr>
              <w:autoSpaceDE w:val="0"/>
              <w:autoSpaceDN w:val="0"/>
              <w:adjustRightInd w:val="0"/>
              <w:snapToGrid w:val="0"/>
              <w:spacing w:line="400" w:lineRule="exact"/>
              <w:ind w:firstLine="422" w:firstLineChars="200"/>
              <w:rPr>
                <w:rFonts w:ascii="宋体" w:hAnsi="宋体"/>
                <w:b/>
                <w:color w:val="auto"/>
                <w:szCs w:val="21"/>
                <w:highlight w:val="none"/>
              </w:rPr>
            </w:pPr>
            <w:r>
              <w:rPr>
                <w:rFonts w:hint="eastAsia" w:ascii="宋体" w:hAnsi="宋体"/>
                <w:b/>
                <w:color w:val="auto"/>
                <w:szCs w:val="21"/>
                <w:highlight w:val="none"/>
              </w:rPr>
              <w:sym w:font="Wingdings 2" w:char="F052"/>
            </w:r>
            <w:r>
              <w:rPr>
                <w:rFonts w:ascii="宋体" w:hAnsi="宋体"/>
                <w:b/>
                <w:color w:val="auto"/>
                <w:szCs w:val="21"/>
                <w:highlight w:val="none"/>
              </w:rPr>
              <w:t>3.业绩要求</w:t>
            </w:r>
          </w:p>
          <w:p w14:paraId="69112FBF">
            <w:pPr>
              <w:autoSpaceDE w:val="0"/>
              <w:autoSpaceDN w:val="0"/>
              <w:adjustRightInd w:val="0"/>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投标人提供的类似业绩应同时满足以下要求：</w:t>
            </w:r>
          </w:p>
          <w:p w14:paraId="27FD6C3B">
            <w:pPr>
              <w:autoSpaceDE w:val="0"/>
              <w:autoSpaceDN w:val="0"/>
              <w:adjustRightInd w:val="0"/>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3.1业绩时间要求：</w:t>
            </w:r>
          </w:p>
          <w:p w14:paraId="436D68CF">
            <w:pPr>
              <w:autoSpaceDE w:val="0"/>
              <w:autoSpaceDN w:val="0"/>
              <w:adjustRightInd w:val="0"/>
              <w:snapToGrid w:val="0"/>
              <w:spacing w:line="400" w:lineRule="exact"/>
              <w:ind w:firstLine="420" w:firstLineChars="200"/>
              <w:rPr>
                <w:rFonts w:ascii="宋体" w:hAnsi="宋体"/>
                <w:color w:val="auto"/>
                <w:szCs w:val="21"/>
                <w:highlight w:val="none"/>
                <w:u w:val="single"/>
              </w:rPr>
            </w:pPr>
            <w:r>
              <w:rPr>
                <w:rFonts w:ascii="宋体" w:hAnsi="宋体"/>
                <w:color w:val="auto"/>
                <w:kern w:val="0"/>
                <w:szCs w:val="21"/>
                <w:highlight w:val="none"/>
              </w:rPr>
              <w:t>投标截止日前</w:t>
            </w:r>
            <w:r>
              <w:rPr>
                <w:rFonts w:hint="eastAsia" w:ascii="宋体" w:hAnsi="宋体"/>
                <w:color w:val="auto"/>
                <w:kern w:val="0"/>
                <w:szCs w:val="21"/>
                <w:highlight w:val="none"/>
              </w:rPr>
              <w:sym w:font="Wingdings 2" w:char="F052"/>
            </w:r>
            <w:r>
              <w:rPr>
                <w:rFonts w:hint="eastAsia" w:ascii="宋体" w:hAnsi="宋体"/>
                <w:color w:val="auto"/>
                <w:kern w:val="0"/>
                <w:szCs w:val="21"/>
                <w:highlight w:val="none"/>
              </w:rPr>
              <w:t>3</w:t>
            </w:r>
            <w:r>
              <w:rPr>
                <w:rFonts w:ascii="宋体" w:hAnsi="宋体"/>
                <w:color w:val="auto"/>
                <w:szCs w:val="21"/>
                <w:highlight w:val="none"/>
              </w:rPr>
              <w:t>年</w:t>
            </w:r>
            <w:r>
              <w:rPr>
                <w:rFonts w:hint="eastAsia" w:ascii="宋体" w:hAnsi="宋体"/>
                <w:color w:val="auto"/>
                <w:szCs w:val="21"/>
                <w:highlight w:val="none"/>
              </w:rPr>
              <w:t>，指投标人在</w:t>
            </w:r>
            <w:r>
              <w:rPr>
                <w:rFonts w:ascii="宋体" w:hAnsi="宋体"/>
                <w:color w:val="auto"/>
                <w:szCs w:val="21"/>
                <w:highlight w:val="none"/>
                <w:u w:val="single"/>
              </w:rPr>
              <w:t>2019</w:t>
            </w:r>
            <w:r>
              <w:rPr>
                <w:rFonts w:hint="eastAsia" w:ascii="宋体" w:hAnsi="宋体"/>
                <w:color w:val="auto"/>
                <w:szCs w:val="21"/>
                <w:highlight w:val="none"/>
              </w:rPr>
              <w:t>年1月1日起至投标截止日止（以竣工时间为准）完成的1个类似项目的业绩。</w:t>
            </w:r>
          </w:p>
          <w:p w14:paraId="666B37C1">
            <w:pPr>
              <w:autoSpaceDE w:val="0"/>
              <w:autoSpaceDN w:val="0"/>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3.2业绩规模要求：</w:t>
            </w:r>
          </w:p>
          <w:p w14:paraId="2E16C39C">
            <w:pPr>
              <w:autoSpaceDE w:val="0"/>
              <w:autoSpaceDN w:val="0"/>
              <w:adjustRightInd w:val="0"/>
              <w:snapToGrid w:val="0"/>
              <w:spacing w:line="400" w:lineRule="exact"/>
              <w:ind w:firstLine="420" w:firstLineChars="200"/>
              <w:rPr>
                <w:rFonts w:ascii="宋体" w:hAnsi="宋体"/>
                <w:color w:val="auto"/>
                <w:szCs w:val="21"/>
                <w:highlight w:val="none"/>
                <w:u w:val="single"/>
              </w:rPr>
            </w:pPr>
            <w:r>
              <w:rPr>
                <w:rFonts w:hint="eastAsia" w:ascii="宋体" w:hAnsi="宋体"/>
                <w:color w:val="auto"/>
                <w:szCs w:val="21"/>
                <w:highlight w:val="none"/>
              </w:rPr>
              <w:t>工程类别：</w:t>
            </w:r>
            <w:r>
              <w:rPr>
                <w:rFonts w:hint="eastAsia" w:ascii="宋体" w:hAnsi="宋体"/>
                <w:color w:val="auto"/>
                <w:szCs w:val="21"/>
                <w:highlight w:val="none"/>
                <w:u w:val="single"/>
              </w:rPr>
              <w:t>公共建筑（公共建筑指文化建筑、教育建筑、体育建筑、卫生建筑）；</w:t>
            </w:r>
          </w:p>
          <w:p w14:paraId="1FA75065">
            <w:pPr>
              <w:autoSpaceDE w:val="0"/>
              <w:autoSpaceDN w:val="0"/>
              <w:adjustRightInd w:val="0"/>
              <w:snapToGrid w:val="0"/>
              <w:spacing w:line="400" w:lineRule="exact"/>
              <w:ind w:firstLine="420" w:firstLineChars="200"/>
              <w:rPr>
                <w:rFonts w:ascii="宋体" w:hAnsi="宋体"/>
                <w:color w:val="auto"/>
                <w:szCs w:val="21"/>
                <w:highlight w:val="none"/>
                <w:u w:val="single"/>
              </w:rPr>
            </w:pPr>
            <w:r>
              <w:rPr>
                <w:rFonts w:hint="eastAsia" w:ascii="宋体" w:hAnsi="宋体"/>
                <w:color w:val="auto"/>
                <w:szCs w:val="21"/>
                <w:highlight w:val="none"/>
              </w:rPr>
              <w:sym w:font="Wingdings 2" w:char="F052"/>
            </w:r>
            <w:r>
              <w:rPr>
                <w:rFonts w:hint="eastAsia" w:ascii="宋体" w:hAnsi="宋体"/>
                <w:color w:val="auto"/>
                <w:szCs w:val="21"/>
                <w:highlight w:val="none"/>
              </w:rPr>
              <w:t>工程造价：</w:t>
            </w:r>
            <w:r>
              <w:rPr>
                <w:rFonts w:hint="eastAsia" w:ascii="宋体" w:hAnsi="宋体"/>
                <w:color w:val="auto"/>
                <w:szCs w:val="21"/>
                <w:highlight w:val="none"/>
                <w:u w:val="single"/>
              </w:rPr>
              <w:t>单项合同</w:t>
            </w:r>
            <w:r>
              <w:rPr>
                <w:rFonts w:ascii="宋体" w:hAnsi="宋体"/>
                <w:color w:val="auto"/>
                <w:szCs w:val="21"/>
                <w:highlight w:val="none"/>
                <w:u w:val="single"/>
              </w:rPr>
              <w:t>金额</w:t>
            </w:r>
            <w:r>
              <w:rPr>
                <w:rFonts w:hint="eastAsia" w:ascii="宋体" w:hAnsi="宋体"/>
                <w:color w:val="auto"/>
                <w:szCs w:val="21"/>
                <w:highlight w:val="none"/>
                <w:u w:val="single"/>
              </w:rPr>
              <w:t>1</w:t>
            </w:r>
            <w:r>
              <w:rPr>
                <w:rFonts w:ascii="宋体" w:hAnsi="宋体"/>
                <w:color w:val="auto"/>
                <w:szCs w:val="21"/>
                <w:highlight w:val="none"/>
                <w:u w:val="single"/>
              </w:rPr>
              <w:t>0</w:t>
            </w:r>
            <w:r>
              <w:rPr>
                <w:rFonts w:hint="eastAsia" w:ascii="宋体" w:hAnsi="宋体"/>
                <w:color w:val="auto"/>
                <w:szCs w:val="21"/>
                <w:highlight w:val="none"/>
                <w:u w:val="single"/>
              </w:rPr>
              <w:t>00万元</w:t>
            </w:r>
            <w:r>
              <w:rPr>
                <w:rFonts w:ascii="宋体" w:hAnsi="宋体"/>
                <w:color w:val="auto"/>
                <w:szCs w:val="21"/>
                <w:highlight w:val="none"/>
                <w:u w:val="single"/>
              </w:rPr>
              <w:t>及以上</w:t>
            </w:r>
            <w:r>
              <w:rPr>
                <w:rFonts w:hint="eastAsia" w:ascii="宋体" w:hAnsi="宋体"/>
                <w:color w:val="auto"/>
                <w:szCs w:val="21"/>
                <w:highlight w:val="none"/>
                <w:u w:val="single"/>
              </w:rPr>
              <w:t>；</w:t>
            </w:r>
          </w:p>
          <w:p w14:paraId="47FB37E7">
            <w:pPr>
              <w:autoSpaceDE w:val="0"/>
              <w:autoSpaceDN w:val="0"/>
              <w:adjustRightInd w:val="0"/>
              <w:snapToGrid w:val="0"/>
              <w:spacing w:line="400" w:lineRule="exact"/>
              <w:ind w:firstLine="415" w:firstLineChars="198"/>
              <w:rPr>
                <w:rFonts w:ascii="宋体" w:hAnsi="宋体"/>
                <w:color w:val="auto"/>
                <w:szCs w:val="21"/>
                <w:highlight w:val="none"/>
              </w:rPr>
            </w:pPr>
            <w:r>
              <w:rPr>
                <w:rFonts w:hint="eastAsia" w:ascii="宋体" w:hAnsi="宋体"/>
                <w:color w:val="auto"/>
                <w:szCs w:val="21"/>
                <w:highlight w:val="none"/>
              </w:rPr>
              <w:t>3.3业绩证明材料要求：</w:t>
            </w:r>
          </w:p>
          <w:p w14:paraId="3E571FA0">
            <w:pPr>
              <w:autoSpaceDE w:val="0"/>
              <w:autoSpaceDN w:val="0"/>
              <w:adjustRightInd w:val="0"/>
              <w:snapToGrid w:val="0"/>
              <w:spacing w:line="400" w:lineRule="exact"/>
              <w:ind w:firstLine="415" w:firstLineChars="198"/>
              <w:rPr>
                <w:rFonts w:ascii="宋体" w:hAnsi="宋体"/>
                <w:color w:val="auto"/>
                <w:szCs w:val="21"/>
                <w:highlight w:val="none"/>
              </w:rPr>
            </w:pPr>
            <w:r>
              <w:rPr>
                <w:rFonts w:hint="eastAsia" w:ascii="宋体" w:hAnsi="宋体"/>
                <w:color w:val="auto"/>
                <w:szCs w:val="21"/>
                <w:highlight w:val="none"/>
              </w:rPr>
              <w:sym w:font="Wingdings 2" w:char="F052"/>
            </w:r>
            <w:r>
              <w:rPr>
                <w:rFonts w:hint="eastAsia" w:ascii="宋体" w:hAnsi="宋体"/>
                <w:color w:val="auto"/>
                <w:szCs w:val="21"/>
                <w:highlight w:val="none"/>
              </w:rPr>
              <w:t>投标人须在投标文件资格审查部分提供该业绩的中标通知书（直接发包的项目可提供项目发包人出具的项目直接发包情况说明或证明文书代替）、合同协议书和工程竣工验收合格的证明材料。同时须提供该业绩在“全国建筑市场监管公共服务平台”的网页截图，截图数量不限但须确保截图信息清晰显示完整的网站名称、查询网址、工程名称、中标单位名称（或承包单位名称或施工企业名称），截图的其余信息不作为评审依据。若上述资料无法体现工程规模（如有）的，还须提供业主证明。</w:t>
            </w:r>
          </w:p>
          <w:p w14:paraId="684B4057">
            <w:pPr>
              <w:autoSpaceDE w:val="0"/>
              <w:autoSpaceDN w:val="0"/>
              <w:adjustRightInd w:val="0"/>
              <w:snapToGrid w:val="0"/>
              <w:spacing w:line="400" w:lineRule="exact"/>
              <w:ind w:firstLine="415" w:firstLineChars="198"/>
              <w:rPr>
                <w:rFonts w:ascii="宋体" w:hAnsi="宋体"/>
                <w:color w:val="auto"/>
                <w:szCs w:val="21"/>
                <w:highlight w:val="none"/>
              </w:rPr>
            </w:pPr>
            <w:r>
              <w:rPr>
                <w:rFonts w:hint="eastAsia" w:ascii="宋体" w:hAnsi="宋体"/>
                <w:color w:val="auto"/>
                <w:szCs w:val="21"/>
                <w:highlight w:val="none"/>
              </w:rPr>
              <w:t>注：投标人应对其提供的业绩证明材料（含截图）的真实性负责。当上述资料中针对同一指标存在不一致时，以工程竣工验收合格的证明材料为准。</w:t>
            </w:r>
          </w:p>
          <w:p w14:paraId="46EE8695">
            <w:pPr>
              <w:autoSpaceDE w:val="0"/>
              <w:autoSpaceDN w:val="0"/>
              <w:adjustRightInd w:val="0"/>
              <w:snapToGrid w:val="0"/>
              <w:spacing w:line="400" w:lineRule="exact"/>
              <w:ind w:firstLine="415" w:firstLineChars="198"/>
              <w:rPr>
                <w:rFonts w:ascii="宋体" w:hAnsi="宋体"/>
                <w:color w:val="auto"/>
                <w:szCs w:val="21"/>
                <w:highlight w:val="none"/>
              </w:rPr>
            </w:pPr>
            <w:r>
              <w:rPr>
                <w:rFonts w:hint="eastAsia" w:ascii="宋体" w:hAnsi="宋体"/>
                <w:color w:val="auto"/>
                <w:szCs w:val="21"/>
                <w:highlight w:val="none"/>
              </w:rPr>
              <w:t>不满足上述业绩要求的业绩无效。</w:t>
            </w:r>
          </w:p>
          <w:p w14:paraId="1E05BADF">
            <w:pPr>
              <w:adjustRightInd w:val="0"/>
              <w:snapToGrid w:val="0"/>
              <w:spacing w:line="400" w:lineRule="exact"/>
              <w:ind w:firstLine="422" w:firstLineChars="200"/>
              <w:rPr>
                <w:rFonts w:ascii="宋体" w:hAnsi="宋体"/>
                <w:b/>
                <w:color w:val="auto"/>
                <w:szCs w:val="21"/>
                <w:highlight w:val="none"/>
              </w:rPr>
            </w:pPr>
            <w:r>
              <w:rPr>
                <w:rFonts w:ascii="宋体" w:hAnsi="宋体"/>
                <w:b/>
                <w:color w:val="auto"/>
                <w:szCs w:val="21"/>
                <w:highlight w:val="none"/>
              </w:rPr>
              <w:t>4.投标截止日投标资格情况</w:t>
            </w:r>
          </w:p>
          <w:p w14:paraId="621F1356">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投标人自行承诺（格式见第八章投标文件格式）不得存在下列情形之一：</w:t>
            </w:r>
          </w:p>
          <w:p w14:paraId="0C78FB09">
            <w:pPr>
              <w:snapToGrid w:val="0"/>
              <w:spacing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（1）被人民法院列入失信被执行人名单且在被执行期内；</w:t>
            </w:r>
          </w:p>
          <w:p w14:paraId="26D9A6B7">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（2）被列入《重庆市工程建设领域招标投标信用管理暂行办法》规定的重点关注名单且记分达到12分且在记分有效期内；</w:t>
            </w:r>
          </w:p>
          <w:p w14:paraId="7A49977E">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（3）被列入《重庆市工程建设领域招标投标信用管理暂行办法》规定的重庆市工程建设领域招标投标失信惩戒对象名单（以下称黑名单）且在记分有效期内；</w:t>
            </w:r>
          </w:p>
          <w:p w14:paraId="79FE6C43">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（4）被国家、重庆市（含市或任意区县）有关行政部门处以暂停投标资格行政处罚，且在处罚期限内；</w:t>
            </w:r>
          </w:p>
          <w:p w14:paraId="6A1C0B3C">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（5）被重庆市</w:t>
            </w:r>
            <w:r>
              <w:rPr>
                <w:rFonts w:hint="eastAsia" w:asciiTheme="minorEastAsia" w:hAnsiTheme="minorEastAsia" w:eastAsiaTheme="minorEastAsia" w:cstheme="minorEastAsia"/>
                <w:color w:val="auto"/>
                <w:szCs w:val="21"/>
                <w:highlight w:val="none"/>
              </w:rPr>
              <w:t>市级有关行业</w:t>
            </w:r>
            <w:r>
              <w:rPr>
                <w:rFonts w:hint="eastAsia" w:ascii="宋体" w:hAnsi="宋体"/>
                <w:color w:val="auto"/>
                <w:szCs w:val="21"/>
                <w:highlight w:val="none"/>
              </w:rPr>
              <w:t>主管部门暂停在渝承揽新业务且在暂停期内。</w:t>
            </w:r>
          </w:p>
          <w:p w14:paraId="1794C3C6">
            <w:pPr>
              <w:spacing w:line="400" w:lineRule="exact"/>
              <w:ind w:firstLine="420" w:firstLineChars="200"/>
              <w:rPr>
                <w:color w:val="auto"/>
                <w:highlight w:val="none"/>
              </w:rPr>
            </w:pPr>
            <w:r>
              <w:rPr>
                <w:rFonts w:hint="eastAsia"/>
                <w:color w:val="auto"/>
                <w:highlight w:val="none"/>
              </w:rPr>
              <w:t>投标人须在投标文件资格审查部分提供承诺。</w:t>
            </w:r>
          </w:p>
          <w:p w14:paraId="64ACC158">
            <w:pPr>
              <w:spacing w:line="400" w:lineRule="exact"/>
              <w:ind w:firstLine="420" w:firstLineChars="200"/>
              <w:rPr>
                <w:color w:val="auto"/>
                <w:highlight w:val="none"/>
              </w:rPr>
            </w:pPr>
            <w:r>
              <w:rPr>
                <w:rFonts w:hint="eastAsia"/>
                <w:color w:val="auto"/>
                <w:highlight w:val="none"/>
              </w:rPr>
              <w:t>上述第（2）、（3）款信用状况在开标环节进行查询，查询结果交由评标委员会评审，若投标人针对上述第（2）、（3）款的承诺内容与查询结果不符，由评标委员会作否决投标处理。</w:t>
            </w:r>
          </w:p>
          <w:p w14:paraId="028B5DEA">
            <w:pPr>
              <w:spacing w:line="400" w:lineRule="exact"/>
              <w:ind w:firstLine="420" w:firstLineChars="200"/>
              <w:rPr>
                <w:color w:val="auto"/>
                <w:highlight w:val="none"/>
              </w:rPr>
            </w:pPr>
            <w:r>
              <w:rPr>
                <w:rFonts w:hint="eastAsia"/>
                <w:color w:val="auto"/>
                <w:highlight w:val="none"/>
              </w:rPr>
              <w:t>注：投标人是否因有不良行为记分、进入重点关注名单或黑名单而被限制投标的，以开标环节信用状况查询结果为准。联合体投标的，任一成员单位出现被限制投标的情形，该联合体将被否决投标。</w:t>
            </w:r>
          </w:p>
          <w:p w14:paraId="2C04F00F">
            <w:pPr>
              <w:snapToGrid w:val="0"/>
              <w:spacing w:line="400" w:lineRule="exact"/>
              <w:ind w:firstLine="422" w:firstLineChars="200"/>
              <w:rPr>
                <w:rFonts w:ascii="宋体" w:hAnsi="宋体"/>
                <w:b/>
                <w:color w:val="auto"/>
                <w:szCs w:val="21"/>
                <w:highlight w:val="none"/>
              </w:rPr>
            </w:pPr>
            <w:r>
              <w:rPr>
                <w:rFonts w:ascii="宋体" w:hAnsi="宋体"/>
                <w:b/>
                <w:color w:val="auto"/>
                <w:szCs w:val="21"/>
                <w:highlight w:val="none"/>
              </w:rPr>
              <w:t>5.项目经理资格要求</w:t>
            </w:r>
          </w:p>
          <w:p w14:paraId="259D1FC5">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5.1</w:t>
            </w:r>
            <w:r>
              <w:rPr>
                <w:rFonts w:hint="eastAsia"/>
                <w:color w:val="auto"/>
                <w:szCs w:val="21"/>
                <w:highlight w:val="none"/>
              </w:rPr>
              <w:t>投标人拟派的</w:t>
            </w:r>
            <w:r>
              <w:rPr>
                <w:color w:val="auto"/>
                <w:szCs w:val="21"/>
                <w:highlight w:val="none"/>
              </w:rPr>
              <w:t>项目经理必须已在</w:t>
            </w:r>
            <w:r>
              <w:rPr>
                <w:rFonts w:hint="eastAsia"/>
                <w:color w:val="auto"/>
                <w:szCs w:val="21"/>
                <w:highlight w:val="none"/>
              </w:rPr>
              <w:t>投标人本</w:t>
            </w:r>
            <w:r>
              <w:rPr>
                <w:color w:val="auto"/>
                <w:szCs w:val="21"/>
                <w:highlight w:val="none"/>
              </w:rPr>
              <w:t>单位注册并应具有</w:t>
            </w:r>
            <w:r>
              <w:rPr>
                <w:rFonts w:hint="eastAsia"/>
                <w:color w:val="auto"/>
                <w:szCs w:val="21"/>
                <w:highlight w:val="none"/>
                <w:u w:val="single"/>
              </w:rPr>
              <w:t xml:space="preserve">    </w:t>
            </w:r>
            <w:r>
              <w:rPr>
                <w:rFonts w:hint="eastAsia"/>
                <w:b/>
                <w:color w:val="auto"/>
                <w:szCs w:val="21"/>
                <w:highlight w:val="none"/>
                <w:u w:val="single"/>
              </w:rPr>
              <w:t>建筑工程</w:t>
            </w:r>
            <w:r>
              <w:rPr>
                <w:rFonts w:hint="eastAsia"/>
                <w:color w:val="auto"/>
                <w:szCs w:val="21"/>
                <w:highlight w:val="none"/>
              </w:rPr>
              <w:t>专业</w:t>
            </w:r>
            <w:r>
              <w:rPr>
                <w:rFonts w:hint="eastAsia"/>
                <w:b/>
                <w:color w:val="auto"/>
                <w:szCs w:val="21"/>
                <w:highlight w:val="none"/>
                <w:u w:val="single"/>
              </w:rPr>
              <w:t>二</w:t>
            </w:r>
            <w:r>
              <w:rPr>
                <w:b/>
                <w:color w:val="auto"/>
                <w:szCs w:val="21"/>
                <w:highlight w:val="none"/>
                <w:u w:val="single"/>
              </w:rPr>
              <w:t>级</w:t>
            </w:r>
            <w:r>
              <w:rPr>
                <w:color w:val="auto"/>
                <w:szCs w:val="21"/>
                <w:highlight w:val="none"/>
                <w:u w:val="single"/>
              </w:rPr>
              <w:t>及以上</w:t>
            </w:r>
            <w:r>
              <w:rPr>
                <w:color w:val="auto"/>
                <w:szCs w:val="21"/>
                <w:highlight w:val="none"/>
              </w:rPr>
              <w:t>注册建造师执业</w:t>
            </w:r>
            <w:r>
              <w:rPr>
                <w:rFonts w:ascii="宋体" w:hAnsi="宋体"/>
                <w:color w:val="auto"/>
                <w:szCs w:val="21"/>
                <w:highlight w:val="none"/>
              </w:rPr>
              <w:t>资格</w:t>
            </w:r>
            <w:r>
              <w:rPr>
                <w:rFonts w:hint="eastAsia" w:ascii="宋体" w:hAnsi="宋体"/>
                <w:color w:val="auto"/>
                <w:szCs w:val="21"/>
                <w:highlight w:val="none"/>
              </w:rPr>
              <w:t>。</w:t>
            </w:r>
          </w:p>
          <w:p w14:paraId="5E5D3CE6">
            <w:pPr>
              <w:snapToGrid w:val="0"/>
              <w:spacing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5.2项目经理承诺要求：投标人须承诺拟派项目经理按注册建造师的相关规定到岗履职和未被禁止参与投标。</w:t>
            </w:r>
          </w:p>
          <w:p w14:paraId="68CC94EF">
            <w:pPr>
              <w:snapToGrid w:val="0"/>
              <w:spacing w:line="400" w:lineRule="exact"/>
              <w:ind w:firstLine="420" w:firstLineChars="200"/>
              <w:rPr>
                <w:rFonts w:ascii="宋体" w:hAnsi="宋体"/>
                <w:color w:val="auto"/>
                <w:highlight w:val="none"/>
              </w:rPr>
            </w:pPr>
            <w:r>
              <w:rPr>
                <w:rFonts w:ascii="宋体" w:hAnsi="宋体"/>
                <w:color w:val="auto"/>
                <w:highlight w:val="none"/>
              </w:rPr>
              <w:t>5.2.1到岗履职承诺要求：承诺拟派项目经理中标后在本项目任职，签订合同时拟派的项目经理必须与投标文件中的项目经理一致，并满足办理施工许可手续的相关要求。不能按承诺到岗履约的，按合同相关条款处罚并上报行政主管部门，给招标人造成损失的，投标人依法承担违约赔偿责任。拟派项目经理中标后不得随意更换。</w:t>
            </w:r>
          </w:p>
          <w:p w14:paraId="7B09EEB7">
            <w:pPr>
              <w:snapToGrid w:val="0"/>
              <w:spacing w:line="400" w:lineRule="exact"/>
              <w:ind w:firstLine="420" w:firstLineChars="200"/>
              <w:rPr>
                <w:rFonts w:ascii="宋体" w:hAnsi="宋体"/>
                <w:color w:val="auto"/>
                <w:highlight w:val="none"/>
              </w:rPr>
            </w:pPr>
            <w:r>
              <w:rPr>
                <w:rFonts w:ascii="宋体" w:hAnsi="宋体"/>
                <w:color w:val="auto"/>
                <w:highlight w:val="none"/>
              </w:rPr>
              <w:t>5.2.2未被禁止参与投标承诺要求：承诺拟派项目经理未被重庆市</w:t>
            </w:r>
            <w:r>
              <w:rPr>
                <w:rFonts w:hint="eastAsia" w:ascii="宋体" w:hAnsi="宋体"/>
                <w:color w:val="auto"/>
                <w:highlight w:val="none"/>
              </w:rPr>
              <w:t>市级有关行业</w:t>
            </w:r>
            <w:r>
              <w:rPr>
                <w:rFonts w:ascii="宋体" w:hAnsi="宋体"/>
                <w:color w:val="auto"/>
                <w:highlight w:val="none"/>
              </w:rPr>
              <w:t>主管部门暂停在渝承揽新业务。若被暂停在渝承揽新业务但仍参加投标，将被否决投标；已取得中标候选人资格或中标资格的，招标人有权取消其中标候选人资格或中标资格；给招标人造成损失的，投标人依法承担违约赔偿责任。</w:t>
            </w:r>
          </w:p>
          <w:p w14:paraId="5467986B">
            <w:pPr>
              <w:snapToGrid w:val="0"/>
              <w:spacing w:line="400" w:lineRule="exact"/>
              <w:ind w:firstLine="420" w:firstLineChars="200"/>
              <w:rPr>
                <w:rFonts w:ascii="宋体" w:hAnsi="宋体"/>
                <w:color w:val="auto"/>
                <w:highlight w:val="none"/>
              </w:rPr>
            </w:pPr>
            <w:r>
              <w:rPr>
                <w:rFonts w:ascii="宋体" w:hAnsi="宋体"/>
                <w:color w:val="auto"/>
                <w:highlight w:val="none"/>
              </w:rPr>
              <w:t>5.2.3项目经理的其它承诺要求：为保证</w:t>
            </w:r>
            <w:r>
              <w:rPr>
                <w:rFonts w:hint="eastAsia" w:ascii="宋体" w:hAnsi="宋体"/>
                <w:color w:val="auto"/>
                <w:highlight w:val="none"/>
              </w:rPr>
              <w:t>投标人</w:t>
            </w:r>
            <w:r>
              <w:rPr>
                <w:rFonts w:ascii="宋体" w:hAnsi="宋体"/>
                <w:color w:val="auto"/>
                <w:highlight w:val="none"/>
              </w:rPr>
              <w:t>拟派的项目经理到本项目到岗履职，</w:t>
            </w:r>
            <w:r>
              <w:rPr>
                <w:rFonts w:hint="eastAsia" w:ascii="宋体" w:hAnsi="宋体"/>
                <w:color w:val="auto"/>
                <w:highlight w:val="none"/>
              </w:rPr>
              <w:t>投标人</w:t>
            </w:r>
            <w:r>
              <w:rPr>
                <w:rFonts w:ascii="宋体" w:hAnsi="宋体"/>
                <w:color w:val="auto"/>
                <w:highlight w:val="none"/>
              </w:rPr>
              <w:t>还需承诺：</w:t>
            </w:r>
          </w:p>
          <w:p w14:paraId="66C10406">
            <w:pPr>
              <w:snapToGrid w:val="0"/>
              <w:spacing w:line="400" w:lineRule="exact"/>
              <w:ind w:firstLine="420" w:firstLineChars="200"/>
              <w:rPr>
                <w:rFonts w:ascii="宋体" w:hAnsi="宋体"/>
                <w:color w:val="auto"/>
                <w:highlight w:val="none"/>
              </w:rPr>
            </w:pPr>
            <w:r>
              <w:rPr>
                <w:rFonts w:ascii="宋体" w:hAnsi="宋体"/>
                <w:color w:val="auto"/>
                <w:highlight w:val="none"/>
              </w:rPr>
              <w:t>若</w:t>
            </w:r>
            <w:r>
              <w:rPr>
                <w:rFonts w:hint="eastAsia" w:ascii="宋体" w:hAnsi="宋体"/>
                <w:color w:val="auto"/>
                <w:highlight w:val="none"/>
              </w:rPr>
              <w:t>投标人</w:t>
            </w:r>
            <w:r>
              <w:rPr>
                <w:rFonts w:ascii="宋体" w:hAnsi="宋体"/>
                <w:color w:val="auto"/>
                <w:highlight w:val="none"/>
              </w:rPr>
              <w:t>拟派本项目的项目经理有在其他项目任职的情形的（或有在其他项目中标或拟中标的情形的），应在收到中标通知书后</w:t>
            </w:r>
            <w:r>
              <w:rPr>
                <w:rFonts w:ascii="宋体" w:hAnsi="宋体"/>
                <w:color w:val="auto"/>
                <w:highlight w:val="none"/>
                <w:u w:val="single"/>
              </w:rPr>
              <w:t>14</w:t>
            </w:r>
            <w:r>
              <w:rPr>
                <w:rFonts w:ascii="宋体" w:hAnsi="宋体"/>
                <w:color w:val="auto"/>
                <w:highlight w:val="none"/>
              </w:rPr>
              <w:t>日内，办理完成放弃在其他项目任职的手续（或办理完成放弃在其他项目中标</w:t>
            </w:r>
            <w:r>
              <w:rPr>
                <w:rFonts w:hint="eastAsia" w:ascii="宋体" w:hAnsi="宋体"/>
                <w:color w:val="auto"/>
                <w:highlight w:val="none"/>
              </w:rPr>
              <w:t>或拟中标</w:t>
            </w:r>
            <w:r>
              <w:rPr>
                <w:rFonts w:ascii="宋体" w:hAnsi="宋体"/>
                <w:color w:val="auto"/>
                <w:highlight w:val="none"/>
              </w:rPr>
              <w:t>的手续），招标人在合同签订前有权对</w:t>
            </w:r>
            <w:r>
              <w:rPr>
                <w:rFonts w:hint="eastAsia" w:ascii="宋体" w:hAnsi="宋体"/>
                <w:color w:val="auto"/>
                <w:highlight w:val="none"/>
              </w:rPr>
              <w:t>投标人</w:t>
            </w:r>
            <w:r>
              <w:rPr>
                <w:rFonts w:ascii="宋体" w:hAnsi="宋体"/>
                <w:color w:val="auto"/>
                <w:highlight w:val="none"/>
              </w:rPr>
              <w:t>拟派项目经理在其他项目的任职情形（或在其他项目的中标或拟中标情形）进行核查，若与</w:t>
            </w:r>
            <w:r>
              <w:rPr>
                <w:rFonts w:hint="eastAsia" w:ascii="宋体" w:hAnsi="宋体"/>
                <w:color w:val="auto"/>
                <w:highlight w:val="none"/>
              </w:rPr>
              <w:t>投标人</w:t>
            </w:r>
            <w:r>
              <w:rPr>
                <w:rFonts w:ascii="宋体" w:hAnsi="宋体"/>
                <w:color w:val="auto"/>
                <w:highlight w:val="none"/>
              </w:rPr>
              <w:t>承诺内容不符或</w:t>
            </w:r>
            <w:r>
              <w:rPr>
                <w:rFonts w:hint="eastAsia" w:ascii="宋体" w:hAnsi="宋体"/>
                <w:color w:val="auto"/>
                <w:highlight w:val="none"/>
              </w:rPr>
              <w:t>投标人</w:t>
            </w:r>
            <w:r>
              <w:rPr>
                <w:rFonts w:ascii="宋体" w:hAnsi="宋体"/>
                <w:color w:val="auto"/>
                <w:highlight w:val="none"/>
              </w:rPr>
              <w:t>未在上述时间内按照招标文件规定递交放弃在其他项目任职、中标或拟中标的相关资料，视为</w:t>
            </w:r>
            <w:r>
              <w:rPr>
                <w:rFonts w:hint="eastAsia" w:ascii="宋体" w:hAnsi="宋体"/>
                <w:color w:val="auto"/>
                <w:highlight w:val="none"/>
              </w:rPr>
              <w:t>投标人</w:t>
            </w:r>
            <w:r>
              <w:rPr>
                <w:rFonts w:ascii="宋体" w:hAnsi="宋体"/>
                <w:color w:val="auto"/>
                <w:highlight w:val="none"/>
              </w:rPr>
              <w:t>放弃中标资格，招标人不退还其投标保证金。在合同签订时，</w:t>
            </w:r>
            <w:r>
              <w:rPr>
                <w:rFonts w:hint="eastAsia" w:ascii="宋体" w:hAnsi="宋体"/>
                <w:color w:val="auto"/>
                <w:highlight w:val="none"/>
              </w:rPr>
              <w:t>投标人</w:t>
            </w:r>
            <w:r>
              <w:rPr>
                <w:rFonts w:ascii="宋体" w:hAnsi="宋体"/>
                <w:color w:val="auto"/>
                <w:highlight w:val="none"/>
              </w:rPr>
              <w:t>需确保拟派项目经理符合《建筑施工企业项目经理资质管理办法》规定的项目经理任职条件，否则视为</w:t>
            </w:r>
            <w:r>
              <w:rPr>
                <w:rFonts w:hint="eastAsia" w:ascii="宋体" w:hAnsi="宋体"/>
                <w:color w:val="auto"/>
                <w:highlight w:val="none"/>
              </w:rPr>
              <w:t>投标人</w:t>
            </w:r>
            <w:r>
              <w:rPr>
                <w:rFonts w:ascii="宋体" w:hAnsi="宋体"/>
                <w:color w:val="auto"/>
                <w:highlight w:val="none"/>
              </w:rPr>
              <w:t>放弃中标资格，招标人不退还其投标保证金。</w:t>
            </w:r>
          </w:p>
          <w:p w14:paraId="7F00BB7E">
            <w:pPr>
              <w:snapToGrid w:val="0"/>
              <w:spacing w:line="400" w:lineRule="exact"/>
              <w:ind w:firstLine="420" w:firstLineChars="200"/>
              <w:rPr>
                <w:rFonts w:ascii="宋体" w:hAnsi="宋体"/>
                <w:color w:val="auto"/>
                <w:highlight w:val="none"/>
              </w:rPr>
            </w:pPr>
            <w:r>
              <w:rPr>
                <w:rFonts w:ascii="宋体" w:hAnsi="宋体"/>
                <w:color w:val="auto"/>
                <w:highlight w:val="none"/>
              </w:rPr>
              <w:t>放弃在其他项目任职的需提供</w:t>
            </w:r>
            <w:r>
              <w:rPr>
                <w:rFonts w:hint="eastAsia" w:ascii="宋体" w:hAnsi="宋体"/>
                <w:color w:val="auto"/>
                <w:highlight w:val="none"/>
              </w:rPr>
              <w:t>：</w:t>
            </w:r>
            <w:r>
              <w:rPr>
                <w:rFonts w:ascii="宋体" w:hAnsi="宋体"/>
                <w:color w:val="auto"/>
                <w:highlight w:val="none"/>
              </w:rPr>
              <w:t>①</w:t>
            </w:r>
            <w:r>
              <w:rPr>
                <w:rFonts w:hint="eastAsia" w:ascii="宋体" w:hAnsi="宋体"/>
                <w:color w:val="auto"/>
                <w:highlight w:val="none"/>
              </w:rPr>
              <w:t>经</w:t>
            </w:r>
            <w:r>
              <w:rPr>
                <w:rFonts w:ascii="宋体" w:hAnsi="宋体"/>
                <w:color w:val="auto"/>
                <w:highlight w:val="none"/>
              </w:rPr>
              <w:t>业主或建设单位同意任职变更的文件；②负责项目监管的行业行政主管部门出具同意任职变更的证明材料。</w:t>
            </w:r>
          </w:p>
          <w:p w14:paraId="5AC6BD60">
            <w:pPr>
              <w:snapToGrid w:val="0"/>
              <w:spacing w:line="400" w:lineRule="exact"/>
              <w:ind w:firstLine="420" w:firstLineChars="200"/>
              <w:rPr>
                <w:rFonts w:ascii="宋体" w:hAnsi="宋体"/>
                <w:color w:val="auto"/>
                <w:highlight w:val="none"/>
              </w:rPr>
            </w:pPr>
            <w:r>
              <w:rPr>
                <w:rFonts w:ascii="宋体" w:hAnsi="宋体"/>
                <w:color w:val="auto"/>
                <w:highlight w:val="none"/>
              </w:rPr>
              <w:t>放弃在其他项目中标或拟中标的需提供</w:t>
            </w:r>
            <w:r>
              <w:rPr>
                <w:rFonts w:hint="eastAsia" w:ascii="宋体" w:hAnsi="宋体"/>
                <w:color w:val="auto"/>
                <w:highlight w:val="none"/>
              </w:rPr>
              <w:t>：</w:t>
            </w:r>
            <w:r>
              <w:rPr>
                <w:rFonts w:ascii="宋体" w:hAnsi="宋体"/>
                <w:color w:val="auto"/>
                <w:highlight w:val="none"/>
              </w:rPr>
              <w:t>①经中标或拟中标的其他项目建设单位同意的放弃中标函</w:t>
            </w:r>
            <w:r>
              <w:rPr>
                <w:rFonts w:hint="eastAsia" w:ascii="宋体" w:hAnsi="宋体"/>
                <w:color w:val="auto"/>
                <w:highlight w:val="none"/>
              </w:rPr>
              <w:t>。</w:t>
            </w:r>
          </w:p>
          <w:p w14:paraId="72AA14D1">
            <w:pPr>
              <w:snapToGrid w:val="0"/>
              <w:spacing w:line="400" w:lineRule="exact"/>
              <w:ind w:firstLine="420" w:firstLineChars="200"/>
              <w:rPr>
                <w:rFonts w:ascii="宋体" w:hAnsi="宋体"/>
                <w:color w:val="auto"/>
                <w:szCs w:val="21"/>
                <w:highlight w:val="none"/>
              </w:rPr>
            </w:pPr>
            <w:r>
              <w:rPr>
                <w:rFonts w:hint="eastAsia" w:ascii="宋体" w:hAnsi="宋体"/>
                <w:color w:val="auto"/>
                <w:highlight w:val="none"/>
              </w:rPr>
              <w:t>5.2.4未提供上述承诺或承诺内容不符合要求的，由评标委员会作否决投标处理。</w:t>
            </w:r>
          </w:p>
          <w:p w14:paraId="4E85B445">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投标人须在投标文件资格审查部分提供有效的拟派项目经理建造师注册证、身份证、投标人为其缴纳的养老保险证明材料，拟派项目经理到岗履职和未被禁止参与投标的承诺（承诺格式见第八章投标文件格式）。</w:t>
            </w:r>
          </w:p>
          <w:p w14:paraId="6ACC1F2D">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注：（1）提供拟派的项目经理为一级建造师或重庆市二级建造师注册人员的，必须提供建造师电子注册证书，且该建造师电子注册证书须由建造师本人在个人签名处手写本人签名。</w:t>
            </w:r>
          </w:p>
          <w:p w14:paraId="197DF835">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（2）重庆市以外的省级住房城乡建设主管部门对二级建造师电子注册证书使用有明确规定的，从其规定。未规定使用电子注册证书的，可提供纸质证书扫描件。</w:t>
            </w:r>
          </w:p>
          <w:p w14:paraId="1F1FDB5A">
            <w:pPr>
              <w:snapToGrid w:val="0"/>
              <w:spacing w:line="400" w:lineRule="exact"/>
              <w:ind w:firstLine="420" w:firstLineChars="200"/>
              <w:rPr>
                <w:rFonts w:ascii="宋体" w:hAnsi="宋体"/>
                <w:color w:val="auto"/>
                <w:szCs w:val="21"/>
                <w:highlight w:val="none"/>
              </w:rPr>
            </w:pPr>
            <w:r>
              <w:rPr>
                <w:rFonts w:hint="eastAsia" w:ascii="宋体" w:hAnsi="宋体"/>
                <w:color w:val="auto"/>
                <w:kern w:val="0"/>
                <w:szCs w:val="21"/>
                <w:highlight w:val="none"/>
              </w:rPr>
              <w:t>（3）建造师电子注册证书本人手写签名与签名图像笔迹是否一致不作为否决投标的情形。</w:t>
            </w:r>
          </w:p>
          <w:p w14:paraId="264B3558">
            <w:pPr>
              <w:autoSpaceDE w:val="0"/>
              <w:autoSpaceDN w:val="0"/>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sym w:font="Wingdings 2" w:char="F052"/>
            </w:r>
            <w:r>
              <w:rPr>
                <w:rFonts w:hint="eastAsia" w:ascii="宋体" w:hAnsi="宋体"/>
                <w:color w:val="auto"/>
                <w:szCs w:val="21"/>
                <w:highlight w:val="none"/>
              </w:rPr>
              <w:t>5.3项目经理业绩</w:t>
            </w:r>
          </w:p>
          <w:p w14:paraId="422B3488">
            <w:pPr>
              <w:autoSpaceDE w:val="0"/>
              <w:autoSpaceDN w:val="0"/>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投标人提供的项目经理业绩应同时满足以下要求：</w:t>
            </w:r>
          </w:p>
          <w:p w14:paraId="298540B2">
            <w:pPr>
              <w:autoSpaceDE w:val="0"/>
              <w:autoSpaceDN w:val="0"/>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5.3.1业绩时间要求：</w:t>
            </w:r>
          </w:p>
          <w:p w14:paraId="1812E603">
            <w:pPr>
              <w:autoSpaceDE w:val="0"/>
              <w:autoSpaceDN w:val="0"/>
              <w:adjustRightInd w:val="0"/>
              <w:snapToGrid w:val="0"/>
              <w:spacing w:line="400" w:lineRule="exact"/>
              <w:ind w:firstLine="420" w:firstLineChars="200"/>
              <w:rPr>
                <w:rFonts w:ascii="宋体" w:hAnsi="宋体"/>
                <w:color w:val="auto"/>
                <w:szCs w:val="21"/>
                <w:highlight w:val="none"/>
                <w:u w:val="single"/>
              </w:rPr>
            </w:pPr>
            <w:r>
              <w:rPr>
                <w:rFonts w:ascii="宋体" w:hAnsi="宋体"/>
                <w:color w:val="auto"/>
                <w:szCs w:val="21"/>
                <w:highlight w:val="none"/>
              </w:rPr>
              <w:t>投标截止日前</w:t>
            </w:r>
            <w:r>
              <w:rPr>
                <w:rFonts w:hint="eastAsia" w:ascii="宋体" w:hAnsi="宋体"/>
                <w:color w:val="auto"/>
                <w:szCs w:val="21"/>
                <w:highlight w:val="none"/>
              </w:rPr>
              <w:sym w:font="Wingdings 2" w:char="F052"/>
            </w:r>
            <w:r>
              <w:rPr>
                <w:rFonts w:hint="eastAsia" w:ascii="宋体" w:hAnsi="宋体"/>
                <w:color w:val="auto"/>
                <w:szCs w:val="21"/>
                <w:highlight w:val="none"/>
              </w:rPr>
              <w:t>3</w:t>
            </w:r>
            <w:r>
              <w:rPr>
                <w:rFonts w:ascii="宋体" w:hAnsi="宋体"/>
                <w:color w:val="auto"/>
                <w:szCs w:val="21"/>
                <w:highlight w:val="none"/>
              </w:rPr>
              <w:t>年</w:t>
            </w:r>
            <w:r>
              <w:rPr>
                <w:rFonts w:hint="eastAsia" w:ascii="宋体" w:hAnsi="宋体"/>
                <w:color w:val="auto"/>
                <w:szCs w:val="21"/>
                <w:highlight w:val="none"/>
              </w:rPr>
              <w:t>，</w:t>
            </w:r>
            <w:r>
              <w:rPr>
                <w:rFonts w:hint="eastAsia" w:ascii="宋体" w:hAnsi="宋体" w:cs="宋体"/>
                <w:color w:val="auto"/>
                <w:kern w:val="0"/>
                <w:szCs w:val="21"/>
                <w:highlight w:val="none"/>
              </w:rPr>
              <w:t>指投标人拟派的项目经理在</w:t>
            </w:r>
            <w:r>
              <w:rPr>
                <w:rFonts w:ascii="宋体" w:hAnsi="宋体" w:cs="宋体"/>
                <w:color w:val="auto"/>
                <w:kern w:val="0"/>
                <w:szCs w:val="21"/>
                <w:highlight w:val="none"/>
                <w:u w:val="single"/>
              </w:rPr>
              <w:t>2019</w:t>
            </w:r>
            <w:r>
              <w:rPr>
                <w:rFonts w:hint="eastAsia" w:ascii="宋体" w:hAnsi="宋体" w:cs="宋体"/>
                <w:color w:val="auto"/>
                <w:kern w:val="0"/>
                <w:szCs w:val="21"/>
                <w:highlight w:val="none"/>
              </w:rPr>
              <w:t>年1月1日起至</w:t>
            </w:r>
            <w:r>
              <w:rPr>
                <w:rFonts w:hint="eastAsia" w:ascii="宋体" w:hAnsi="宋体"/>
                <w:color w:val="auto"/>
                <w:kern w:val="0"/>
                <w:szCs w:val="21"/>
                <w:highlight w:val="none"/>
              </w:rPr>
              <w:t>投标截止日止（以竣工时间为准）完成</w:t>
            </w:r>
            <w:r>
              <w:rPr>
                <w:rFonts w:hint="eastAsia" w:ascii="宋体" w:hAnsi="宋体"/>
                <w:color w:val="auto"/>
                <w:szCs w:val="21"/>
                <w:highlight w:val="none"/>
              </w:rPr>
              <w:t>的1个类似项目中担任项目经理业绩。</w:t>
            </w:r>
          </w:p>
          <w:p w14:paraId="4BAAB954">
            <w:pPr>
              <w:autoSpaceDE w:val="0"/>
              <w:autoSpaceDN w:val="0"/>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5.3.2业绩规模要求：</w:t>
            </w:r>
          </w:p>
          <w:p w14:paraId="1692378A">
            <w:pPr>
              <w:autoSpaceDE w:val="0"/>
              <w:autoSpaceDN w:val="0"/>
              <w:adjustRightInd w:val="0"/>
              <w:snapToGrid w:val="0"/>
              <w:spacing w:line="400" w:lineRule="exact"/>
              <w:ind w:firstLine="420" w:firstLineChars="200"/>
              <w:rPr>
                <w:rFonts w:ascii="宋体" w:hAnsi="宋体"/>
                <w:color w:val="auto"/>
                <w:szCs w:val="21"/>
                <w:highlight w:val="none"/>
                <w:u w:val="single"/>
              </w:rPr>
            </w:pPr>
            <w:r>
              <w:rPr>
                <w:rFonts w:hint="eastAsia" w:ascii="宋体" w:hAnsi="宋体"/>
                <w:color w:val="auto"/>
                <w:szCs w:val="21"/>
                <w:highlight w:val="none"/>
              </w:rPr>
              <w:t>工程类别：</w:t>
            </w:r>
            <w:r>
              <w:rPr>
                <w:rFonts w:hint="eastAsia" w:ascii="宋体" w:hAnsi="宋体"/>
                <w:color w:val="auto"/>
                <w:szCs w:val="21"/>
                <w:highlight w:val="none"/>
                <w:u w:val="single"/>
              </w:rPr>
              <w:t>公共建筑（公共建筑指文化建筑、教育建筑、体育建筑、卫生建筑）</w:t>
            </w:r>
            <w:r>
              <w:rPr>
                <w:rFonts w:ascii="宋体" w:hAnsi="宋体"/>
                <w:color w:val="auto"/>
                <w:szCs w:val="21"/>
                <w:highlight w:val="none"/>
                <w:u w:val="single"/>
              </w:rPr>
              <w:t>；</w:t>
            </w:r>
          </w:p>
          <w:p w14:paraId="4EDD39E6">
            <w:pPr>
              <w:autoSpaceDE w:val="0"/>
              <w:autoSpaceDN w:val="0"/>
              <w:adjustRightInd w:val="0"/>
              <w:snapToGrid w:val="0"/>
              <w:spacing w:line="400" w:lineRule="exact"/>
              <w:ind w:firstLine="420" w:firstLineChars="200"/>
              <w:rPr>
                <w:rFonts w:ascii="宋体" w:hAnsi="宋体"/>
                <w:color w:val="auto"/>
                <w:szCs w:val="21"/>
                <w:highlight w:val="none"/>
                <w:u w:val="single"/>
              </w:rPr>
            </w:pPr>
            <w:r>
              <w:rPr>
                <w:rFonts w:hint="eastAsia" w:ascii="宋体" w:hAnsi="宋体"/>
                <w:color w:val="auto"/>
                <w:szCs w:val="21"/>
                <w:highlight w:val="none"/>
              </w:rPr>
              <w:sym w:font="Wingdings 2" w:char="F052"/>
            </w:r>
            <w:r>
              <w:rPr>
                <w:rFonts w:hint="eastAsia" w:ascii="宋体" w:hAnsi="宋体"/>
                <w:color w:val="auto"/>
                <w:szCs w:val="21"/>
                <w:highlight w:val="none"/>
              </w:rPr>
              <w:t>工程造价：</w:t>
            </w:r>
            <w:r>
              <w:rPr>
                <w:rFonts w:hint="eastAsia" w:ascii="宋体" w:hAnsi="宋体"/>
                <w:color w:val="auto"/>
                <w:szCs w:val="21"/>
                <w:highlight w:val="none"/>
                <w:u w:val="single"/>
              </w:rPr>
              <w:t>单项合同</w:t>
            </w:r>
            <w:r>
              <w:rPr>
                <w:rFonts w:ascii="宋体" w:hAnsi="宋体"/>
                <w:color w:val="auto"/>
                <w:szCs w:val="21"/>
                <w:highlight w:val="none"/>
                <w:u w:val="single"/>
              </w:rPr>
              <w:t>金额</w:t>
            </w:r>
            <w:r>
              <w:rPr>
                <w:rFonts w:hint="eastAsia" w:ascii="宋体" w:hAnsi="宋体"/>
                <w:color w:val="auto"/>
                <w:szCs w:val="21"/>
                <w:highlight w:val="none"/>
                <w:u w:val="single"/>
              </w:rPr>
              <w:t>1</w:t>
            </w:r>
            <w:r>
              <w:rPr>
                <w:rFonts w:ascii="宋体" w:hAnsi="宋体"/>
                <w:color w:val="auto"/>
                <w:szCs w:val="21"/>
                <w:highlight w:val="none"/>
                <w:u w:val="single"/>
              </w:rPr>
              <w:t>0</w:t>
            </w:r>
            <w:r>
              <w:rPr>
                <w:rFonts w:hint="eastAsia" w:ascii="宋体" w:hAnsi="宋体"/>
                <w:color w:val="auto"/>
                <w:szCs w:val="21"/>
                <w:highlight w:val="none"/>
                <w:u w:val="single"/>
              </w:rPr>
              <w:t>00万元</w:t>
            </w:r>
            <w:r>
              <w:rPr>
                <w:rFonts w:ascii="宋体" w:hAnsi="宋体"/>
                <w:color w:val="auto"/>
                <w:szCs w:val="21"/>
                <w:highlight w:val="none"/>
                <w:u w:val="single"/>
              </w:rPr>
              <w:t>及以上</w:t>
            </w:r>
            <w:r>
              <w:rPr>
                <w:rFonts w:hint="eastAsia" w:ascii="宋体" w:hAnsi="宋体"/>
                <w:color w:val="auto"/>
                <w:szCs w:val="21"/>
                <w:highlight w:val="none"/>
                <w:u w:val="single"/>
              </w:rPr>
              <w:t>；</w:t>
            </w:r>
          </w:p>
          <w:p w14:paraId="586830C2">
            <w:pPr>
              <w:autoSpaceDE w:val="0"/>
              <w:autoSpaceDN w:val="0"/>
              <w:adjustRightInd w:val="0"/>
              <w:snapToGrid w:val="0"/>
              <w:spacing w:line="400" w:lineRule="exact"/>
              <w:ind w:firstLine="415" w:firstLineChars="198"/>
              <w:rPr>
                <w:rFonts w:ascii="宋体" w:hAnsi="宋体"/>
                <w:color w:val="auto"/>
                <w:szCs w:val="21"/>
                <w:highlight w:val="none"/>
              </w:rPr>
            </w:pPr>
            <w:r>
              <w:rPr>
                <w:rFonts w:hint="eastAsia" w:ascii="宋体" w:hAnsi="宋体"/>
                <w:color w:val="auto"/>
                <w:szCs w:val="21"/>
                <w:highlight w:val="none"/>
              </w:rPr>
              <w:t>5.3.3业绩证明材料要求：</w:t>
            </w:r>
          </w:p>
          <w:p w14:paraId="29C3A3D9">
            <w:pPr>
              <w:autoSpaceDE w:val="0"/>
              <w:autoSpaceDN w:val="0"/>
              <w:adjustRightInd w:val="0"/>
              <w:snapToGrid w:val="0"/>
              <w:spacing w:line="400" w:lineRule="exact"/>
              <w:ind w:firstLine="415" w:firstLineChars="198"/>
              <w:rPr>
                <w:rFonts w:ascii="宋体" w:hAnsi="宋体"/>
                <w:color w:val="auto"/>
                <w:szCs w:val="21"/>
                <w:highlight w:val="none"/>
              </w:rPr>
            </w:pPr>
            <w:r>
              <w:rPr>
                <w:rFonts w:hint="eastAsia" w:ascii="宋体" w:hAnsi="宋体"/>
                <w:color w:val="auto"/>
                <w:szCs w:val="21"/>
                <w:highlight w:val="none"/>
              </w:rPr>
              <w:sym w:font="Wingdings 2" w:char="F052"/>
            </w:r>
            <w:r>
              <w:rPr>
                <w:rFonts w:hint="eastAsia" w:ascii="宋体" w:hAnsi="宋体"/>
                <w:color w:val="auto"/>
                <w:szCs w:val="21"/>
                <w:highlight w:val="none"/>
              </w:rPr>
              <w:t>投标人须在投标文件资格审查部分提供该业绩的中标通知书（直接发包的项目可提供项目发包人出具的项目直接发包情况说明或证明文书代替）、合同协议书和工程竣工验收合格的证明材料。同时须提供该业绩在“全国建筑市场监管公共服务平台”的网页截图，截图数量不限但须确保截图信息清晰显示完整的网站名称、查询网址、工程名称、中标单位名称（或承包单位名称或施工企业名称），截图的其余信息不作为评审依据。若上述资料无法体现工程规模（如有）、人员姓名职务信息的，还须提供业主证明。</w:t>
            </w:r>
          </w:p>
          <w:p w14:paraId="2087C338">
            <w:pPr>
              <w:autoSpaceDE w:val="0"/>
              <w:autoSpaceDN w:val="0"/>
              <w:adjustRightInd w:val="0"/>
              <w:snapToGrid w:val="0"/>
              <w:spacing w:line="400" w:lineRule="exact"/>
              <w:ind w:firstLine="415" w:firstLineChars="198"/>
              <w:rPr>
                <w:rFonts w:ascii="宋体" w:hAnsi="宋体"/>
                <w:color w:val="auto"/>
                <w:szCs w:val="21"/>
                <w:highlight w:val="none"/>
              </w:rPr>
            </w:pPr>
            <w:r>
              <w:rPr>
                <w:rFonts w:hint="eastAsia" w:ascii="宋体" w:hAnsi="宋体"/>
                <w:color w:val="auto"/>
                <w:szCs w:val="21"/>
                <w:highlight w:val="none"/>
              </w:rPr>
              <w:t>注：投标人应对其提供的业绩证明材料（含截图）的真实性负责。当上述资料中针对同一指标存在不一致时，以工程竣工验收合格的证明材料为准。</w:t>
            </w:r>
          </w:p>
          <w:p w14:paraId="04C6D458">
            <w:pPr>
              <w:autoSpaceDE w:val="0"/>
              <w:autoSpaceDN w:val="0"/>
              <w:adjustRightInd w:val="0"/>
              <w:snapToGrid w:val="0"/>
              <w:spacing w:line="400" w:lineRule="exact"/>
              <w:ind w:firstLine="415" w:firstLineChars="198"/>
              <w:rPr>
                <w:rFonts w:ascii="宋体" w:hAnsi="宋体"/>
                <w:color w:val="auto"/>
                <w:szCs w:val="21"/>
                <w:highlight w:val="none"/>
              </w:rPr>
            </w:pPr>
            <w:r>
              <w:rPr>
                <w:rFonts w:hint="eastAsia" w:ascii="宋体" w:hAnsi="宋体"/>
                <w:color w:val="auto"/>
                <w:szCs w:val="21"/>
                <w:highlight w:val="none"/>
              </w:rPr>
              <w:t>不满足上述业绩要求的业绩无效。</w:t>
            </w:r>
          </w:p>
          <w:p w14:paraId="72955558">
            <w:pPr>
              <w:autoSpaceDE w:val="0"/>
              <w:autoSpaceDN w:val="0"/>
              <w:adjustRightInd w:val="0"/>
              <w:snapToGrid w:val="0"/>
              <w:spacing w:line="400" w:lineRule="exact"/>
              <w:ind w:firstLine="422" w:firstLineChars="200"/>
              <w:rPr>
                <w:rFonts w:ascii="宋体" w:hAnsi="宋体"/>
                <w:b/>
                <w:color w:val="auto"/>
                <w:szCs w:val="21"/>
                <w:highlight w:val="none"/>
              </w:rPr>
            </w:pPr>
            <w:r>
              <w:rPr>
                <w:rFonts w:ascii="宋体" w:hAnsi="宋体"/>
                <w:b/>
                <w:color w:val="auto"/>
                <w:szCs w:val="21"/>
                <w:highlight w:val="none"/>
              </w:rPr>
              <w:t>6.其他要求</w:t>
            </w:r>
          </w:p>
          <w:p w14:paraId="73D3CE7F">
            <w:pPr>
              <w:snapToGrid w:val="0"/>
              <w:spacing w:line="400" w:lineRule="exact"/>
              <w:ind w:firstLine="420" w:firstLineChars="200"/>
              <w:rPr>
                <w:rFonts w:ascii="宋体" w:hAnsi="宋体"/>
                <w:color w:val="auto"/>
                <w:szCs w:val="21"/>
                <w:highlight w:val="none"/>
              </w:rPr>
            </w:pPr>
            <w:r>
              <w:rPr>
                <w:rFonts w:ascii="宋体" w:hAnsi="宋体"/>
                <w:color w:val="auto"/>
                <w:kern w:val="0"/>
                <w:szCs w:val="21"/>
                <w:highlight w:val="none"/>
              </w:rPr>
              <w:t>（1）</w:t>
            </w:r>
            <w:r>
              <w:rPr>
                <w:rFonts w:ascii="宋体" w:hAnsi="宋体"/>
                <w:color w:val="auto"/>
                <w:szCs w:val="21"/>
                <w:highlight w:val="none"/>
              </w:rPr>
              <w:t>项目技术负责人：</w:t>
            </w:r>
          </w:p>
          <w:p w14:paraId="1ECCAA26">
            <w:pPr>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应具有</w:t>
            </w:r>
            <w:r>
              <w:rPr>
                <w:rFonts w:hint="eastAsia" w:ascii="宋体" w:hAnsi="宋体"/>
                <w:color w:val="auto"/>
                <w:szCs w:val="21"/>
                <w:highlight w:val="none"/>
                <w:u w:val="single"/>
              </w:rPr>
              <w:t>工程类</w:t>
            </w:r>
            <w:r>
              <w:rPr>
                <w:rFonts w:hint="eastAsia" w:ascii="宋体" w:hAnsi="宋体"/>
                <w:b/>
                <w:color w:val="auto"/>
                <w:szCs w:val="21"/>
                <w:highlight w:val="none"/>
                <w:u w:val="single"/>
              </w:rPr>
              <w:t>中</w:t>
            </w:r>
            <w:r>
              <w:rPr>
                <w:rFonts w:ascii="宋体" w:hAnsi="宋体"/>
                <w:color w:val="auto"/>
                <w:szCs w:val="21"/>
                <w:highlight w:val="none"/>
                <w:u w:val="single"/>
              </w:rPr>
              <w:t>级及以上</w:t>
            </w:r>
            <w:r>
              <w:rPr>
                <w:rFonts w:ascii="宋体" w:hAnsi="宋体"/>
                <w:color w:val="auto"/>
                <w:szCs w:val="21"/>
                <w:highlight w:val="none"/>
              </w:rPr>
              <w:t>职称；</w:t>
            </w:r>
          </w:p>
          <w:p w14:paraId="07C10081">
            <w:pPr>
              <w:autoSpaceDE w:val="0"/>
              <w:autoSpaceDN w:val="0"/>
              <w:adjustRightInd w:val="0"/>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投标人须在投标文件资格审查部分提供拟派技术负责人身份证、职称证及投标人本单位为其缴纳的养老保险证明材料。</w:t>
            </w:r>
          </w:p>
          <w:p w14:paraId="612FF2F7">
            <w:pPr>
              <w:autoSpaceDE w:val="0"/>
              <w:autoSpaceDN w:val="0"/>
              <w:adjustRightInd w:val="0"/>
              <w:snapToGrid w:val="0"/>
              <w:spacing w:line="400" w:lineRule="exact"/>
              <w:ind w:firstLine="420" w:firstLineChars="200"/>
              <w:rPr>
                <w:rFonts w:ascii="宋体" w:hAnsi="宋体"/>
                <w:color w:val="auto"/>
                <w:szCs w:val="21"/>
                <w:highlight w:val="none"/>
              </w:rPr>
            </w:pPr>
            <w:r>
              <w:rPr>
                <w:rFonts w:ascii="宋体" w:hAnsi="宋体"/>
                <w:color w:val="auto"/>
                <w:kern w:val="0"/>
                <w:szCs w:val="21"/>
                <w:highlight w:val="none"/>
              </w:rPr>
              <w:t>（2）</w:t>
            </w:r>
            <w:r>
              <w:rPr>
                <w:rFonts w:ascii="宋体" w:hAnsi="宋体"/>
                <w:color w:val="auto"/>
                <w:szCs w:val="21"/>
                <w:highlight w:val="none"/>
              </w:rPr>
              <w:t>主要管理人员：</w:t>
            </w:r>
          </w:p>
          <w:p w14:paraId="43623C15">
            <w:pPr>
              <w:autoSpaceDE w:val="0"/>
              <w:autoSpaceDN w:val="0"/>
              <w:adjustRightIn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投标人自行承诺中标后在签订合同之前，须按照建设行政主管部门的要求组建施工项目部，配置项目管理班子，出具任命文件。任命文件应当明确施工项目部的职责、岗位设置、人员配备，并书面通知建设单位。相关岗位管理人员应持有建设行政主管部门要求的岗位证书，并提供投标人为其缴纳的养老保险证明材料。中标后不能满足该要求的，招标人可取消其中标资格，给招标人造成损失的，投标人依法承担违约赔偿责任。</w:t>
            </w:r>
          </w:p>
          <w:p w14:paraId="1B9E537B">
            <w:pPr>
              <w:autoSpaceDE w:val="0"/>
              <w:autoSpaceDN w:val="0"/>
              <w:adjustRightIn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投标人须在投标文件资格审查部分提供承诺（承诺格式见第八章投标文件格式）。</w:t>
            </w:r>
          </w:p>
          <w:p w14:paraId="7FA78ED3">
            <w:pPr>
              <w:autoSpaceDE w:val="0"/>
              <w:autoSpaceDN w:val="0"/>
              <w:adjustRightInd w:val="0"/>
              <w:snapToGrid w:val="0"/>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w:t>
            </w:r>
            <w:r>
              <w:rPr>
                <w:rFonts w:hint="eastAsia" w:ascii="宋体" w:hAnsi="宋体"/>
                <w:color w:val="auto"/>
                <w:kern w:val="0"/>
                <w:szCs w:val="21"/>
                <w:highlight w:val="none"/>
              </w:rPr>
              <w:t>3</w:t>
            </w:r>
            <w:r>
              <w:rPr>
                <w:rFonts w:ascii="宋体" w:hAnsi="宋体"/>
                <w:color w:val="auto"/>
                <w:kern w:val="0"/>
                <w:szCs w:val="21"/>
                <w:highlight w:val="none"/>
              </w:rPr>
              <w:t>）委托代理人</w:t>
            </w:r>
            <w:r>
              <w:rPr>
                <w:rFonts w:hint="eastAsia" w:ascii="宋体" w:hAnsi="宋体"/>
                <w:color w:val="auto"/>
                <w:kern w:val="0"/>
                <w:szCs w:val="21"/>
                <w:highlight w:val="none"/>
              </w:rPr>
              <w:t>：</w:t>
            </w:r>
          </w:p>
          <w:p w14:paraId="626F5044">
            <w:pPr>
              <w:autoSpaceDE w:val="0"/>
              <w:autoSpaceDN w:val="0"/>
              <w:adjustRightInd w:val="0"/>
              <w:snapToGrid w:val="0"/>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委托代理人必须为投标人本单位</w:t>
            </w:r>
            <w:r>
              <w:rPr>
                <w:rFonts w:hint="eastAsia" w:ascii="宋体" w:hAnsi="宋体"/>
                <w:color w:val="auto"/>
                <w:kern w:val="0"/>
                <w:szCs w:val="21"/>
                <w:highlight w:val="none"/>
              </w:rPr>
              <w:t>人员</w:t>
            </w:r>
            <w:r>
              <w:rPr>
                <w:rFonts w:ascii="宋体" w:hAnsi="宋体"/>
                <w:color w:val="auto"/>
                <w:kern w:val="0"/>
                <w:szCs w:val="21"/>
                <w:highlight w:val="none"/>
              </w:rPr>
              <w:t>。</w:t>
            </w:r>
          </w:p>
          <w:p w14:paraId="3782BF93">
            <w:pPr>
              <w:autoSpaceDE w:val="0"/>
              <w:autoSpaceDN w:val="0"/>
              <w:adjustRightInd w:val="0"/>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投标人</w:t>
            </w:r>
            <w:r>
              <w:rPr>
                <w:rFonts w:ascii="宋体" w:hAnsi="宋体"/>
                <w:color w:val="auto"/>
                <w:kern w:val="0"/>
                <w:szCs w:val="21"/>
                <w:highlight w:val="none"/>
              </w:rPr>
              <w:t>须</w:t>
            </w:r>
            <w:r>
              <w:rPr>
                <w:rFonts w:hint="eastAsia" w:ascii="宋体" w:hAnsi="宋体"/>
                <w:color w:val="auto"/>
                <w:kern w:val="0"/>
                <w:szCs w:val="21"/>
                <w:highlight w:val="none"/>
              </w:rPr>
              <w:t>在投标文件资格审查部分</w:t>
            </w:r>
            <w:r>
              <w:rPr>
                <w:rFonts w:ascii="宋体" w:hAnsi="宋体"/>
                <w:color w:val="auto"/>
                <w:kern w:val="0"/>
                <w:szCs w:val="21"/>
                <w:highlight w:val="none"/>
              </w:rPr>
              <w:t>提供</w:t>
            </w:r>
            <w:r>
              <w:rPr>
                <w:rFonts w:hint="eastAsia" w:ascii="宋体" w:hAnsi="宋体"/>
                <w:color w:val="auto"/>
                <w:kern w:val="0"/>
                <w:szCs w:val="21"/>
                <w:highlight w:val="none"/>
              </w:rPr>
              <w:t>投标人为该</w:t>
            </w:r>
            <w:r>
              <w:rPr>
                <w:rFonts w:ascii="宋体" w:hAnsi="宋体"/>
                <w:color w:val="auto"/>
                <w:kern w:val="0"/>
                <w:szCs w:val="21"/>
                <w:highlight w:val="none"/>
              </w:rPr>
              <w:t>委托代理人</w:t>
            </w:r>
            <w:r>
              <w:rPr>
                <w:rFonts w:hint="eastAsia" w:ascii="宋体" w:hAnsi="宋体"/>
                <w:color w:val="auto"/>
                <w:kern w:val="0"/>
                <w:szCs w:val="21"/>
                <w:highlight w:val="none"/>
              </w:rPr>
              <w:t>缴纳的养老保险证明。否则，将由评标委员会作否决投标处理。</w:t>
            </w:r>
          </w:p>
          <w:p w14:paraId="20E7215B">
            <w:pPr>
              <w:autoSpaceDE w:val="0"/>
              <w:autoSpaceDN w:val="0"/>
              <w:adjustRightInd w:val="0"/>
              <w:snapToGrid w:val="0"/>
              <w:spacing w:line="400" w:lineRule="exact"/>
              <w:ind w:firstLine="417" w:firstLineChars="198"/>
              <w:rPr>
                <w:rFonts w:ascii="宋体" w:hAnsi="宋体" w:cs="宋体"/>
                <w:b/>
                <w:color w:val="auto"/>
                <w:szCs w:val="21"/>
                <w:highlight w:val="none"/>
              </w:rPr>
            </w:pPr>
            <w:r>
              <w:rPr>
                <w:rFonts w:hint="eastAsia" w:ascii="宋体" w:hAnsi="宋体" w:cs="宋体"/>
                <w:b/>
                <w:color w:val="auto"/>
                <w:szCs w:val="21"/>
                <w:highlight w:val="none"/>
              </w:rPr>
              <w:t>特别说明：</w:t>
            </w:r>
          </w:p>
          <w:p w14:paraId="011F3CDF">
            <w:pPr>
              <w:autoSpaceDE w:val="0"/>
              <w:autoSpaceDN w:val="0"/>
              <w:adjustRightInd w:val="0"/>
              <w:snapToGrid w:val="0"/>
              <w:spacing w:line="400" w:lineRule="exact"/>
              <w:ind w:firstLine="415" w:firstLineChars="198"/>
              <w:rPr>
                <w:rFonts w:ascii="宋体" w:hAnsi="宋体" w:cs="宋体"/>
                <w:color w:val="auto"/>
                <w:kern w:val="0"/>
                <w:szCs w:val="21"/>
                <w:highlight w:val="none"/>
              </w:rPr>
            </w:pPr>
            <w:r>
              <w:rPr>
                <w:rFonts w:hint="eastAsia" w:ascii="宋体" w:hAnsi="宋体" w:cs="宋体"/>
                <w:color w:val="auto"/>
                <w:szCs w:val="21"/>
                <w:highlight w:val="none"/>
              </w:rPr>
              <w:t>（</w:t>
            </w:r>
            <w:r>
              <w:rPr>
                <w:rFonts w:ascii="宋体" w:hAnsi="宋体" w:cs="宋体"/>
                <w:color w:val="auto"/>
                <w:szCs w:val="21"/>
                <w:highlight w:val="none"/>
              </w:rPr>
              <w:t>1）</w:t>
            </w:r>
            <w:r>
              <w:rPr>
                <w:rFonts w:hint="eastAsia" w:ascii="宋体" w:hAnsi="宋体" w:cs="宋体"/>
                <w:color w:val="auto"/>
                <w:szCs w:val="21"/>
                <w:highlight w:val="none"/>
              </w:rPr>
              <w:t>上述要求须提交的相关证明材料均为扫描件（原件或复印件的扫描件均可），扫描件须清晰可辨，</w:t>
            </w:r>
            <w:r>
              <w:rPr>
                <w:rFonts w:hint="eastAsia" w:ascii="宋体" w:hAnsi="宋体" w:cs="宋体"/>
                <w:color w:val="auto"/>
                <w:kern w:val="0"/>
                <w:szCs w:val="21"/>
                <w:highlight w:val="none"/>
              </w:rPr>
              <w:t>有一条不满足，则投标文件由评标委员会</w:t>
            </w:r>
            <w:r>
              <w:rPr>
                <w:rFonts w:hint="eastAsia" w:ascii="宋体" w:hAnsi="宋体" w:cs="宋体"/>
                <w:color w:val="auto"/>
                <w:szCs w:val="21"/>
                <w:highlight w:val="none"/>
              </w:rPr>
              <w:t>作否决投标处理</w:t>
            </w:r>
            <w:r>
              <w:rPr>
                <w:rFonts w:hint="eastAsia" w:ascii="宋体" w:hAnsi="宋体" w:cs="宋体"/>
                <w:color w:val="auto"/>
                <w:kern w:val="0"/>
                <w:szCs w:val="21"/>
                <w:highlight w:val="none"/>
              </w:rPr>
              <w:t>。</w:t>
            </w:r>
          </w:p>
          <w:p w14:paraId="094E8C3A">
            <w:pPr>
              <w:autoSpaceDE w:val="0"/>
              <w:autoSpaceDN w:val="0"/>
              <w:adjustRightInd w:val="0"/>
              <w:snapToGrid w:val="0"/>
              <w:spacing w:line="400" w:lineRule="exact"/>
              <w:ind w:firstLine="415" w:firstLineChars="198"/>
              <w:rPr>
                <w:rFonts w:ascii="宋体" w:hAnsi="宋体" w:cs="宋体"/>
                <w:color w:val="auto"/>
                <w:szCs w:val="21"/>
                <w:highlight w:val="none"/>
              </w:rPr>
            </w:pPr>
            <w:r>
              <w:rPr>
                <w:rFonts w:hint="eastAsia" w:ascii="宋体" w:hAnsi="宋体" w:cs="宋体"/>
                <w:color w:val="auto"/>
                <w:szCs w:val="21"/>
                <w:highlight w:val="none"/>
              </w:rPr>
              <w:t>（2）投标人须自行承诺其提供的上述相关证明材料真实有效，不存在弄虚作假情形（格式见第八章投标文件格式）。</w:t>
            </w:r>
            <w:r>
              <w:rPr>
                <w:rFonts w:hint="eastAsia" w:ascii="宋体" w:hAnsi="宋体" w:cs="宋体"/>
                <w:color w:val="auto"/>
                <w:szCs w:val="21"/>
                <w:highlight w:val="none"/>
                <w:u w:val="single"/>
              </w:rPr>
              <w:t>招标人在合同签订前均有权对投标人提供的资料进行核实，若发现弄虚作假，</w:t>
            </w:r>
            <w:r>
              <w:rPr>
                <w:rFonts w:hint="eastAsia" w:asciiTheme="minorEastAsia" w:hAnsiTheme="minorEastAsia" w:eastAsiaTheme="minorEastAsia" w:cstheme="minorEastAsia"/>
                <w:color w:val="auto"/>
                <w:szCs w:val="21"/>
                <w:highlight w:val="none"/>
                <w:u w:val="single"/>
              </w:rPr>
              <w:t>按相关规定</w:t>
            </w:r>
            <w:r>
              <w:rPr>
                <w:rFonts w:hint="eastAsia" w:ascii="宋体" w:hAnsi="宋体" w:cs="宋体"/>
                <w:color w:val="auto"/>
                <w:szCs w:val="21"/>
                <w:highlight w:val="none"/>
                <w:u w:val="single"/>
              </w:rPr>
              <w:t>取消其中标资格，并按相关法律法规报招标投标监督部门，其投标保证金不予退还，投标人承担因此造成的相关责任并赔偿相应损失</w:t>
            </w:r>
            <w:r>
              <w:rPr>
                <w:rFonts w:hint="eastAsia" w:ascii="宋体" w:hAnsi="宋体" w:cs="宋体"/>
                <w:color w:val="auto"/>
                <w:szCs w:val="21"/>
                <w:highlight w:val="none"/>
              </w:rPr>
              <w:t>。</w:t>
            </w:r>
          </w:p>
          <w:p w14:paraId="6FF7C31F">
            <w:pPr>
              <w:spacing w:line="400" w:lineRule="exact"/>
              <w:ind w:firstLine="420" w:firstLineChars="200"/>
              <w:rPr>
                <w:rFonts w:ascii="宋体" w:hAnsi="宋体"/>
                <w:bCs/>
                <w:color w:val="auto"/>
                <w:kern w:val="0"/>
                <w:szCs w:val="21"/>
                <w:highlight w:val="none"/>
              </w:rPr>
            </w:pPr>
            <w:r>
              <w:rPr>
                <w:rFonts w:hint="eastAsia" w:ascii="宋体" w:hAnsi="宋体"/>
                <w:bCs/>
                <w:color w:val="auto"/>
                <w:kern w:val="0"/>
                <w:szCs w:val="21"/>
                <w:highlight w:val="none"/>
              </w:rPr>
              <w:t>（3）</w:t>
            </w:r>
            <w:r>
              <w:rPr>
                <w:rFonts w:ascii="宋体" w:hAnsi="宋体"/>
                <w:bCs/>
                <w:color w:val="auto"/>
                <w:kern w:val="0"/>
                <w:szCs w:val="21"/>
                <w:highlight w:val="none"/>
              </w:rPr>
              <w:t>本招标文件中所要求的人员</w:t>
            </w:r>
            <w:r>
              <w:rPr>
                <w:rFonts w:hint="eastAsia" w:ascii="宋体" w:hAnsi="宋体"/>
                <w:bCs/>
                <w:color w:val="auto"/>
                <w:kern w:val="0"/>
                <w:szCs w:val="21"/>
                <w:highlight w:val="none"/>
              </w:rPr>
              <w:t>养老保险</w:t>
            </w:r>
            <w:r>
              <w:rPr>
                <w:rFonts w:ascii="宋体" w:hAnsi="宋体"/>
                <w:bCs/>
                <w:color w:val="auto"/>
                <w:kern w:val="0"/>
                <w:szCs w:val="21"/>
                <w:highlight w:val="none"/>
              </w:rPr>
              <w:t>证明要求如下：</w:t>
            </w:r>
          </w:p>
          <w:p w14:paraId="6D5BDB65">
            <w:pPr>
              <w:spacing w:line="400" w:lineRule="exact"/>
              <w:ind w:firstLine="420" w:firstLineChars="200"/>
              <w:rPr>
                <w:rFonts w:ascii="宋体" w:hAnsi="宋体"/>
                <w:bCs/>
                <w:color w:val="auto"/>
                <w:kern w:val="0"/>
                <w:szCs w:val="21"/>
                <w:highlight w:val="none"/>
              </w:rPr>
            </w:pPr>
            <w:r>
              <w:rPr>
                <w:rFonts w:ascii="宋体" w:hAnsi="宋体"/>
                <w:bCs/>
                <w:color w:val="auto"/>
                <w:kern w:val="0"/>
                <w:szCs w:val="21"/>
                <w:highlight w:val="none"/>
              </w:rPr>
              <w:t>①</w:t>
            </w:r>
            <w:r>
              <w:rPr>
                <w:rFonts w:hint="eastAsia" w:ascii="宋体" w:hAnsi="宋体"/>
                <w:bCs/>
                <w:color w:val="auto"/>
                <w:kern w:val="0"/>
                <w:szCs w:val="21"/>
                <w:highlight w:val="none"/>
              </w:rPr>
              <w:t>企业</w:t>
            </w:r>
            <w:r>
              <w:rPr>
                <w:rFonts w:ascii="宋体" w:hAnsi="宋体"/>
                <w:bCs/>
                <w:color w:val="auto"/>
                <w:kern w:val="0"/>
                <w:szCs w:val="21"/>
                <w:highlight w:val="none"/>
              </w:rPr>
              <w:t>提供</w:t>
            </w:r>
            <w:r>
              <w:rPr>
                <w:rFonts w:hint="eastAsia" w:ascii="宋体" w:hAnsi="宋体"/>
                <w:bCs/>
                <w:color w:val="auto"/>
                <w:kern w:val="0"/>
                <w:szCs w:val="21"/>
                <w:highlight w:val="none"/>
              </w:rPr>
              <w:t>养老保险</w:t>
            </w:r>
            <w:r>
              <w:rPr>
                <w:rFonts w:ascii="宋体" w:hAnsi="宋体"/>
                <w:bCs/>
                <w:color w:val="auto"/>
                <w:kern w:val="0"/>
                <w:szCs w:val="21"/>
                <w:highlight w:val="none"/>
              </w:rPr>
              <w:t>证明，事业单位提供</w:t>
            </w:r>
            <w:r>
              <w:rPr>
                <w:rFonts w:hint="eastAsia" w:ascii="宋体" w:hAnsi="宋体"/>
                <w:bCs/>
                <w:color w:val="auto"/>
                <w:kern w:val="0"/>
                <w:szCs w:val="21"/>
                <w:highlight w:val="none"/>
              </w:rPr>
              <w:t>养老保险</w:t>
            </w:r>
            <w:r>
              <w:rPr>
                <w:rFonts w:ascii="宋体" w:hAnsi="宋体"/>
                <w:bCs/>
                <w:color w:val="auto"/>
                <w:kern w:val="0"/>
                <w:szCs w:val="21"/>
                <w:highlight w:val="none"/>
              </w:rPr>
              <w:t>证明或行政主管部门在编证明。</w:t>
            </w:r>
          </w:p>
          <w:p w14:paraId="20367A1C">
            <w:pPr>
              <w:spacing w:line="400" w:lineRule="exact"/>
              <w:ind w:firstLine="420" w:firstLineChars="200"/>
              <w:rPr>
                <w:rFonts w:ascii="宋体" w:hAnsi="宋体"/>
                <w:bCs/>
                <w:color w:val="auto"/>
                <w:szCs w:val="21"/>
                <w:highlight w:val="none"/>
              </w:rPr>
            </w:pPr>
            <w:r>
              <w:rPr>
                <w:rFonts w:ascii="宋体" w:hAnsi="宋体"/>
                <w:bCs/>
                <w:color w:val="auto"/>
                <w:kern w:val="0"/>
                <w:szCs w:val="21"/>
                <w:highlight w:val="none"/>
              </w:rPr>
              <w:t>②</w:t>
            </w:r>
            <w:r>
              <w:rPr>
                <w:rFonts w:hint="eastAsia" w:ascii="宋体" w:hAnsi="宋体"/>
                <w:bCs/>
                <w:snapToGrid w:val="0"/>
                <w:color w:val="auto"/>
                <w:kern w:val="0"/>
                <w:szCs w:val="21"/>
                <w:highlight w:val="none"/>
              </w:rPr>
              <w:t>项目经理、</w:t>
            </w:r>
            <w:r>
              <w:rPr>
                <w:rFonts w:ascii="宋体" w:hAnsi="宋体"/>
                <w:bCs/>
                <w:snapToGrid w:val="0"/>
                <w:color w:val="auto"/>
                <w:kern w:val="0"/>
                <w:szCs w:val="21"/>
                <w:highlight w:val="none"/>
              </w:rPr>
              <w:t>项目技术负责人和委托代理人的</w:t>
            </w:r>
            <w:r>
              <w:rPr>
                <w:rFonts w:hint="eastAsia" w:ascii="宋体" w:hAnsi="宋体"/>
                <w:bCs/>
                <w:snapToGrid w:val="0"/>
                <w:color w:val="auto"/>
                <w:kern w:val="0"/>
                <w:szCs w:val="21"/>
                <w:highlight w:val="none"/>
              </w:rPr>
              <w:t>连续养老保险</w:t>
            </w:r>
            <w:r>
              <w:rPr>
                <w:rFonts w:ascii="宋体" w:hAnsi="宋体"/>
                <w:bCs/>
                <w:snapToGrid w:val="0"/>
                <w:color w:val="auto"/>
                <w:kern w:val="0"/>
                <w:szCs w:val="21"/>
                <w:highlight w:val="none"/>
              </w:rPr>
              <w:t>证明期限</w:t>
            </w:r>
            <w:r>
              <w:rPr>
                <w:rFonts w:hint="eastAsia" w:ascii="宋体" w:hAnsi="宋体"/>
                <w:bCs/>
                <w:snapToGrid w:val="0"/>
                <w:color w:val="auto"/>
                <w:kern w:val="0"/>
                <w:szCs w:val="21"/>
                <w:highlight w:val="none"/>
              </w:rPr>
              <w:t>须包含</w:t>
            </w:r>
            <w:r>
              <w:rPr>
                <w:rFonts w:ascii="宋体" w:hAnsi="宋体"/>
                <w:bCs/>
                <w:snapToGrid w:val="0"/>
                <w:color w:val="auto"/>
                <w:kern w:val="0"/>
                <w:szCs w:val="21"/>
                <w:highlight w:val="none"/>
                <w:u w:val="single"/>
              </w:rPr>
              <w:t>2022</w:t>
            </w:r>
            <w:r>
              <w:rPr>
                <w:rFonts w:ascii="宋体" w:hAnsi="宋体"/>
                <w:bCs/>
                <w:snapToGrid w:val="0"/>
                <w:color w:val="auto"/>
                <w:kern w:val="0"/>
                <w:szCs w:val="21"/>
                <w:highlight w:val="none"/>
              </w:rPr>
              <w:t>年</w:t>
            </w:r>
            <w:r>
              <w:rPr>
                <w:rFonts w:hint="eastAsia" w:ascii="宋体" w:hAnsi="宋体"/>
                <w:bCs/>
                <w:snapToGrid w:val="0"/>
                <w:color w:val="auto"/>
                <w:kern w:val="0"/>
                <w:szCs w:val="21"/>
                <w:highlight w:val="none"/>
                <w:u w:val="single"/>
                <w:lang w:val="en-US" w:eastAsia="zh-CN"/>
              </w:rPr>
              <w:t>8</w:t>
            </w:r>
            <w:r>
              <w:rPr>
                <w:rFonts w:ascii="宋体" w:hAnsi="宋体"/>
                <w:bCs/>
                <w:snapToGrid w:val="0"/>
                <w:color w:val="auto"/>
                <w:kern w:val="0"/>
                <w:szCs w:val="21"/>
                <w:highlight w:val="none"/>
              </w:rPr>
              <w:t>月至</w:t>
            </w:r>
            <w:r>
              <w:rPr>
                <w:rFonts w:ascii="宋体" w:hAnsi="宋体"/>
                <w:bCs/>
                <w:snapToGrid w:val="0"/>
                <w:color w:val="auto"/>
                <w:kern w:val="0"/>
                <w:szCs w:val="21"/>
                <w:highlight w:val="none"/>
                <w:u w:val="single"/>
              </w:rPr>
              <w:t>202</w:t>
            </w:r>
            <w:r>
              <w:rPr>
                <w:rFonts w:hint="eastAsia" w:ascii="宋体" w:hAnsi="宋体"/>
                <w:bCs/>
                <w:snapToGrid w:val="0"/>
                <w:color w:val="auto"/>
                <w:kern w:val="0"/>
                <w:szCs w:val="21"/>
                <w:highlight w:val="none"/>
                <w:u w:val="single"/>
                <w:lang w:val="en-US" w:eastAsia="zh-CN"/>
              </w:rPr>
              <w:t>3</w:t>
            </w:r>
            <w:r>
              <w:rPr>
                <w:rFonts w:ascii="宋体" w:hAnsi="宋体"/>
                <w:bCs/>
                <w:snapToGrid w:val="0"/>
                <w:color w:val="auto"/>
                <w:kern w:val="0"/>
                <w:szCs w:val="21"/>
                <w:highlight w:val="none"/>
              </w:rPr>
              <w:t>年</w:t>
            </w:r>
            <w:r>
              <w:rPr>
                <w:rFonts w:hint="eastAsia" w:ascii="宋体" w:hAnsi="宋体"/>
                <w:bCs/>
                <w:snapToGrid w:val="0"/>
                <w:color w:val="auto"/>
                <w:kern w:val="0"/>
                <w:szCs w:val="21"/>
                <w:highlight w:val="none"/>
                <w:u w:val="single"/>
                <w:lang w:val="en-US" w:eastAsia="zh-CN"/>
              </w:rPr>
              <w:t>1</w:t>
            </w:r>
            <w:r>
              <w:rPr>
                <w:rFonts w:ascii="宋体" w:hAnsi="宋体"/>
                <w:bCs/>
                <w:snapToGrid w:val="0"/>
                <w:color w:val="auto"/>
                <w:kern w:val="0"/>
                <w:szCs w:val="21"/>
                <w:highlight w:val="none"/>
              </w:rPr>
              <w:t>月</w:t>
            </w:r>
            <w:r>
              <w:rPr>
                <w:rFonts w:hint="eastAsia" w:ascii="宋体" w:hAnsi="宋体"/>
                <w:bCs/>
                <w:color w:val="auto"/>
                <w:szCs w:val="21"/>
                <w:highlight w:val="none"/>
              </w:rPr>
              <w:t>。提供的养老保险参保证明须体现上述人员的姓名、身份证号（或社保号）、单位名称、本单位参保时间（或起始参保时间），并带有社保部门公章或社保部门的有效电子印章。</w:t>
            </w:r>
          </w:p>
        </w:tc>
      </w:tr>
      <w:tr w14:paraId="3B654F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5F16804C">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1.4.2</w:t>
            </w:r>
          </w:p>
        </w:tc>
        <w:tc>
          <w:tcPr>
            <w:tcW w:w="1644" w:type="dxa"/>
            <w:vAlign w:val="center"/>
          </w:tcPr>
          <w:p w14:paraId="552A5C59">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是否接受联合体投标</w:t>
            </w:r>
          </w:p>
        </w:tc>
        <w:tc>
          <w:tcPr>
            <w:tcW w:w="6490" w:type="dxa"/>
            <w:vAlign w:val="center"/>
          </w:tcPr>
          <w:p w14:paraId="63F04888">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sym w:font="Wingdings 2" w:char="F052"/>
            </w:r>
            <w:r>
              <w:rPr>
                <w:rFonts w:ascii="宋体" w:hAnsi="宋体"/>
                <w:color w:val="auto"/>
                <w:kern w:val="0"/>
                <w:szCs w:val="21"/>
                <w:highlight w:val="none"/>
              </w:rPr>
              <w:t>不接受</w:t>
            </w:r>
          </w:p>
        </w:tc>
      </w:tr>
      <w:tr w14:paraId="2912261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260FA9DE">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1.9.1</w:t>
            </w:r>
          </w:p>
        </w:tc>
        <w:tc>
          <w:tcPr>
            <w:tcW w:w="1644" w:type="dxa"/>
            <w:vAlign w:val="center"/>
          </w:tcPr>
          <w:p w14:paraId="05864FA3">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踏勘现场</w:t>
            </w:r>
          </w:p>
        </w:tc>
        <w:tc>
          <w:tcPr>
            <w:tcW w:w="6490" w:type="dxa"/>
            <w:vAlign w:val="center"/>
          </w:tcPr>
          <w:p w14:paraId="0631F699">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sym w:font="Wingdings 2" w:char="F052"/>
            </w:r>
            <w:r>
              <w:rPr>
                <w:rFonts w:ascii="宋体" w:hAnsi="宋体"/>
                <w:color w:val="auto"/>
                <w:kern w:val="0"/>
                <w:szCs w:val="21"/>
                <w:highlight w:val="none"/>
              </w:rPr>
              <w:t>不组织</w:t>
            </w:r>
          </w:p>
        </w:tc>
      </w:tr>
      <w:tr w14:paraId="62566B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5C2EB51F">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1.10.1</w:t>
            </w:r>
          </w:p>
        </w:tc>
        <w:tc>
          <w:tcPr>
            <w:tcW w:w="1644" w:type="dxa"/>
            <w:vAlign w:val="center"/>
          </w:tcPr>
          <w:p w14:paraId="544E80E0">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投标预备会</w:t>
            </w:r>
          </w:p>
        </w:tc>
        <w:tc>
          <w:tcPr>
            <w:tcW w:w="6490" w:type="dxa"/>
            <w:vAlign w:val="center"/>
          </w:tcPr>
          <w:p w14:paraId="77DE98FA">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sym w:font="Wingdings 2" w:char="F052"/>
            </w:r>
            <w:r>
              <w:rPr>
                <w:rFonts w:ascii="宋体" w:hAnsi="宋体"/>
                <w:color w:val="auto"/>
                <w:kern w:val="0"/>
                <w:szCs w:val="21"/>
                <w:highlight w:val="none"/>
              </w:rPr>
              <w:t>不召开</w:t>
            </w:r>
          </w:p>
        </w:tc>
      </w:tr>
      <w:tr w14:paraId="2B44DC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4409DCAE">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1.11</w:t>
            </w:r>
          </w:p>
        </w:tc>
        <w:tc>
          <w:tcPr>
            <w:tcW w:w="1644" w:type="dxa"/>
            <w:vAlign w:val="center"/>
          </w:tcPr>
          <w:p w14:paraId="2BD3C925">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分包</w:t>
            </w:r>
          </w:p>
        </w:tc>
        <w:tc>
          <w:tcPr>
            <w:tcW w:w="6490" w:type="dxa"/>
            <w:vAlign w:val="center"/>
          </w:tcPr>
          <w:p w14:paraId="7CA14A92">
            <w:pPr>
              <w:snapToGrid w:val="0"/>
              <w:spacing w:line="400" w:lineRule="exact"/>
              <w:ind w:firstLine="420" w:firstLineChars="200"/>
              <w:rPr>
                <w:color w:val="auto"/>
                <w:highlight w:val="none"/>
              </w:rPr>
            </w:pPr>
            <w:r>
              <w:rPr>
                <w:rFonts w:hint="eastAsia" w:ascii="宋体" w:hAnsi="宋体"/>
                <w:color w:val="auto"/>
                <w:kern w:val="0"/>
                <w:szCs w:val="21"/>
                <w:highlight w:val="none"/>
              </w:rPr>
              <w:sym w:font="Wingdings 2" w:char="F052"/>
            </w:r>
            <w:r>
              <w:rPr>
                <w:color w:val="auto"/>
                <w:highlight w:val="none"/>
              </w:rPr>
              <w:t>不允许</w:t>
            </w:r>
          </w:p>
        </w:tc>
      </w:tr>
      <w:tr w14:paraId="28205F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70B9C38D">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2.1</w:t>
            </w:r>
          </w:p>
        </w:tc>
        <w:tc>
          <w:tcPr>
            <w:tcW w:w="1644" w:type="dxa"/>
            <w:vAlign w:val="center"/>
          </w:tcPr>
          <w:p w14:paraId="33B6C3D1">
            <w:pPr>
              <w:snapToGrid w:val="0"/>
              <w:spacing w:after="15" w:afterLines="5" w:line="400" w:lineRule="exact"/>
              <w:jc w:val="center"/>
              <w:rPr>
                <w:rFonts w:ascii="宋体" w:hAnsi="宋体"/>
                <w:color w:val="auto"/>
                <w:kern w:val="0"/>
                <w:szCs w:val="21"/>
                <w:highlight w:val="none"/>
              </w:rPr>
            </w:pPr>
            <w:r>
              <w:rPr>
                <w:rFonts w:ascii="宋体" w:hAnsi="宋体"/>
                <w:color w:val="auto"/>
                <w:kern w:val="0"/>
                <w:szCs w:val="21"/>
                <w:highlight w:val="none"/>
              </w:rPr>
              <w:t>构成招标文件的其他材料</w:t>
            </w:r>
          </w:p>
        </w:tc>
        <w:tc>
          <w:tcPr>
            <w:tcW w:w="6490" w:type="dxa"/>
            <w:vAlign w:val="center"/>
          </w:tcPr>
          <w:p w14:paraId="741BD790">
            <w:pPr>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招标人发出的</w:t>
            </w:r>
            <w:r>
              <w:rPr>
                <w:rFonts w:hint="eastAsia" w:ascii="宋体" w:hAnsi="宋体"/>
                <w:color w:val="auto"/>
                <w:szCs w:val="21"/>
                <w:highlight w:val="none"/>
              </w:rPr>
              <w:t>澄清</w:t>
            </w:r>
            <w:r>
              <w:rPr>
                <w:rFonts w:ascii="宋体" w:hAnsi="宋体"/>
                <w:color w:val="auto"/>
                <w:szCs w:val="21"/>
                <w:highlight w:val="none"/>
              </w:rPr>
              <w:t>及</w:t>
            </w:r>
            <w:r>
              <w:rPr>
                <w:rFonts w:hint="eastAsia" w:ascii="宋体" w:hAnsi="宋体"/>
                <w:color w:val="auto"/>
                <w:szCs w:val="21"/>
                <w:highlight w:val="none"/>
              </w:rPr>
              <w:t>修改</w:t>
            </w:r>
          </w:p>
        </w:tc>
      </w:tr>
      <w:tr w14:paraId="377FD0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39D502C7">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2</w:t>
            </w:r>
            <w:r>
              <w:rPr>
                <w:rFonts w:ascii="宋体" w:hAnsi="宋体"/>
                <w:color w:val="auto"/>
                <w:kern w:val="0"/>
                <w:szCs w:val="21"/>
                <w:highlight w:val="none"/>
              </w:rPr>
              <w:t>.</w:t>
            </w:r>
            <w:r>
              <w:rPr>
                <w:rFonts w:hint="eastAsia" w:ascii="宋体" w:hAnsi="宋体"/>
                <w:color w:val="auto"/>
                <w:kern w:val="0"/>
                <w:szCs w:val="21"/>
                <w:highlight w:val="none"/>
              </w:rPr>
              <w:t>2</w:t>
            </w:r>
            <w:r>
              <w:rPr>
                <w:rFonts w:ascii="宋体" w:hAnsi="宋体"/>
                <w:color w:val="auto"/>
                <w:kern w:val="0"/>
                <w:szCs w:val="21"/>
                <w:highlight w:val="none"/>
              </w:rPr>
              <w:t>.</w:t>
            </w:r>
            <w:r>
              <w:rPr>
                <w:rFonts w:hint="eastAsia" w:ascii="宋体" w:hAnsi="宋体"/>
                <w:color w:val="auto"/>
                <w:kern w:val="0"/>
                <w:szCs w:val="21"/>
                <w:highlight w:val="none"/>
              </w:rPr>
              <w:t>1</w:t>
            </w:r>
          </w:p>
        </w:tc>
        <w:tc>
          <w:tcPr>
            <w:tcW w:w="1644" w:type="dxa"/>
            <w:tcBorders>
              <w:bottom w:val="single" w:color="auto" w:sz="4" w:space="0"/>
            </w:tcBorders>
            <w:vAlign w:val="center"/>
          </w:tcPr>
          <w:p w14:paraId="615004A1">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投标人对招标文件提出</w:t>
            </w:r>
            <w:r>
              <w:rPr>
                <w:rFonts w:hint="eastAsia" w:ascii="宋体" w:hAnsi="宋体"/>
                <w:color w:val="auto"/>
                <w:kern w:val="0"/>
                <w:szCs w:val="21"/>
                <w:highlight w:val="none"/>
              </w:rPr>
              <w:t>疑问</w:t>
            </w:r>
            <w:r>
              <w:rPr>
                <w:rFonts w:ascii="宋体" w:hAnsi="宋体"/>
                <w:color w:val="auto"/>
                <w:kern w:val="0"/>
                <w:szCs w:val="21"/>
                <w:highlight w:val="none"/>
              </w:rPr>
              <w:t>的截止时间</w:t>
            </w:r>
          </w:p>
        </w:tc>
        <w:tc>
          <w:tcPr>
            <w:tcW w:w="6490" w:type="dxa"/>
            <w:vAlign w:val="center"/>
          </w:tcPr>
          <w:p w14:paraId="6F86B940">
            <w:pPr>
              <w:snapToGrid w:val="0"/>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投标人应仔细</w:t>
            </w:r>
            <w:r>
              <w:rPr>
                <w:rFonts w:hint="eastAsia" w:ascii="宋体" w:hAnsi="宋体"/>
                <w:color w:val="auto"/>
                <w:kern w:val="0"/>
                <w:szCs w:val="21"/>
                <w:highlight w:val="none"/>
              </w:rPr>
              <w:t>阅读</w:t>
            </w:r>
            <w:r>
              <w:rPr>
                <w:rFonts w:ascii="宋体" w:hAnsi="宋体"/>
                <w:color w:val="auto"/>
                <w:kern w:val="0"/>
                <w:szCs w:val="21"/>
                <w:highlight w:val="none"/>
              </w:rPr>
              <w:t>招标文件</w:t>
            </w:r>
            <w:r>
              <w:rPr>
                <w:rFonts w:hint="eastAsia" w:ascii="宋体" w:hAnsi="宋体"/>
                <w:color w:val="auto"/>
                <w:kern w:val="0"/>
                <w:szCs w:val="21"/>
                <w:highlight w:val="none"/>
              </w:rPr>
              <w:t>及附件</w:t>
            </w:r>
            <w:r>
              <w:rPr>
                <w:rFonts w:ascii="宋体" w:hAnsi="宋体"/>
                <w:color w:val="auto"/>
                <w:kern w:val="0"/>
                <w:szCs w:val="21"/>
                <w:highlight w:val="none"/>
              </w:rPr>
              <w:t>的所有内容，如有文字表述不清，图纸尺寸标注不明以及存在错、漏、缺、概念模糊和有可能出现歧义或理解上的偏差的内容等应</w:t>
            </w:r>
            <w:r>
              <w:rPr>
                <w:rFonts w:hint="eastAsia" w:ascii="宋体" w:hAnsi="宋体" w:cs="宋体"/>
                <w:color w:val="auto"/>
                <w:kern w:val="0"/>
                <w:szCs w:val="21"/>
                <w:highlight w:val="none"/>
              </w:rPr>
              <w:t>在招标公告规定的时间</w:t>
            </w:r>
            <w:r>
              <w:rPr>
                <w:rFonts w:ascii="宋体" w:hAnsi="宋体"/>
                <w:color w:val="auto"/>
                <w:kern w:val="0"/>
                <w:szCs w:val="21"/>
                <w:highlight w:val="none"/>
              </w:rPr>
              <w:t>前</w:t>
            </w:r>
            <w:r>
              <w:rPr>
                <w:rFonts w:hint="eastAsia" w:ascii="宋体" w:hAnsi="宋体"/>
                <w:color w:val="auto"/>
                <w:kern w:val="0"/>
                <w:szCs w:val="21"/>
                <w:highlight w:val="none"/>
              </w:rPr>
              <w:t>在本项目招标公告网页下方“我要提问”栏</w:t>
            </w:r>
            <w:r>
              <w:rPr>
                <w:rFonts w:ascii="宋体" w:hAnsi="宋体"/>
                <w:color w:val="auto"/>
                <w:kern w:val="0"/>
                <w:szCs w:val="21"/>
                <w:highlight w:val="none"/>
              </w:rPr>
              <w:t>提交。</w:t>
            </w:r>
          </w:p>
        </w:tc>
      </w:tr>
      <w:tr w14:paraId="58ECB9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1335" w:type="dxa"/>
            <w:vMerge w:val="restart"/>
            <w:vAlign w:val="center"/>
          </w:tcPr>
          <w:p w14:paraId="039F8199">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2.2.2</w:t>
            </w:r>
          </w:p>
        </w:tc>
        <w:tc>
          <w:tcPr>
            <w:tcW w:w="1644" w:type="dxa"/>
            <w:tcBorders>
              <w:top w:val="single" w:color="auto" w:sz="4" w:space="0"/>
            </w:tcBorders>
            <w:vAlign w:val="center"/>
          </w:tcPr>
          <w:p w14:paraId="4703D730">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招标人对招标文件澄清的截止时间</w:t>
            </w:r>
          </w:p>
        </w:tc>
        <w:tc>
          <w:tcPr>
            <w:tcW w:w="6490" w:type="dxa"/>
            <w:vAlign w:val="center"/>
          </w:tcPr>
          <w:p w14:paraId="4DE88CC7">
            <w:pPr>
              <w:snapToGrid w:val="0"/>
              <w:spacing w:line="400" w:lineRule="exact"/>
              <w:ind w:firstLine="420" w:firstLineChars="200"/>
              <w:rPr>
                <w:rFonts w:ascii="宋体" w:hAnsi="宋体"/>
                <w:snapToGrid w:val="0"/>
                <w:color w:val="auto"/>
                <w:kern w:val="0"/>
                <w:szCs w:val="21"/>
                <w:highlight w:val="none"/>
              </w:rPr>
            </w:pPr>
            <w:r>
              <w:rPr>
                <w:rFonts w:hint="eastAsia" w:ascii="宋体" w:hAnsi="宋体"/>
                <w:color w:val="auto"/>
                <w:szCs w:val="21"/>
                <w:highlight w:val="none"/>
              </w:rPr>
              <w:t>招标人应在招标公告规定的时间前</w:t>
            </w:r>
            <w:r>
              <w:rPr>
                <w:rFonts w:ascii="宋体" w:hAnsi="宋体"/>
                <w:color w:val="auto"/>
                <w:szCs w:val="21"/>
                <w:highlight w:val="none"/>
              </w:rPr>
              <w:t>，</w:t>
            </w:r>
            <w:r>
              <w:rPr>
                <w:rFonts w:ascii="宋体" w:hAnsi="宋体"/>
                <w:color w:val="auto"/>
                <w:kern w:val="0"/>
                <w:szCs w:val="21"/>
                <w:highlight w:val="none"/>
              </w:rPr>
              <w:t>在</w:t>
            </w:r>
            <w:r>
              <w:rPr>
                <w:rFonts w:hint="eastAsia" w:ascii="宋体" w:hAnsi="宋体"/>
                <w:color w:val="auto"/>
                <w:kern w:val="0"/>
                <w:szCs w:val="21"/>
                <w:highlight w:val="none"/>
                <w:u w:val="single"/>
              </w:rPr>
              <w:t>重庆市公共资源交易网（www.cqggzy.com）</w:t>
            </w:r>
            <w:r>
              <w:rPr>
                <w:rFonts w:ascii="宋体" w:hAnsi="宋体"/>
                <w:color w:val="auto"/>
                <w:kern w:val="0"/>
                <w:szCs w:val="21"/>
                <w:highlight w:val="none"/>
              </w:rPr>
              <w:t>发布</w:t>
            </w:r>
            <w:r>
              <w:rPr>
                <w:rFonts w:hint="eastAsia" w:ascii="宋体" w:hAnsi="宋体"/>
                <w:color w:val="auto"/>
                <w:kern w:val="0"/>
                <w:szCs w:val="21"/>
                <w:highlight w:val="none"/>
              </w:rPr>
              <w:t>澄清</w:t>
            </w:r>
            <w:r>
              <w:rPr>
                <w:rFonts w:ascii="宋体" w:hAnsi="宋体"/>
                <w:color w:val="auto"/>
                <w:kern w:val="0"/>
                <w:szCs w:val="21"/>
                <w:highlight w:val="none"/>
              </w:rPr>
              <w:t>。</w:t>
            </w:r>
          </w:p>
        </w:tc>
      </w:tr>
      <w:tr w14:paraId="0AA589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335" w:type="dxa"/>
            <w:vMerge w:val="continue"/>
            <w:vAlign w:val="center"/>
          </w:tcPr>
          <w:p w14:paraId="5E852CEC">
            <w:pPr>
              <w:snapToGrid w:val="0"/>
              <w:spacing w:line="400" w:lineRule="exact"/>
              <w:jc w:val="center"/>
              <w:rPr>
                <w:rFonts w:ascii="宋体" w:hAnsi="宋体"/>
                <w:color w:val="auto"/>
                <w:kern w:val="0"/>
                <w:szCs w:val="21"/>
                <w:highlight w:val="none"/>
              </w:rPr>
            </w:pPr>
          </w:p>
        </w:tc>
        <w:tc>
          <w:tcPr>
            <w:tcW w:w="1644" w:type="dxa"/>
            <w:vAlign w:val="center"/>
          </w:tcPr>
          <w:p w14:paraId="31C9A34C">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投标截止时间</w:t>
            </w:r>
          </w:p>
        </w:tc>
        <w:tc>
          <w:tcPr>
            <w:tcW w:w="6490" w:type="dxa"/>
            <w:vAlign w:val="center"/>
          </w:tcPr>
          <w:p w14:paraId="022C8751">
            <w:pPr>
              <w:snapToGrid w:val="0"/>
              <w:spacing w:line="400" w:lineRule="exact"/>
              <w:ind w:firstLine="420" w:firstLineChars="200"/>
              <w:rPr>
                <w:rFonts w:ascii="宋体" w:hAnsi="宋体"/>
                <w:color w:val="auto"/>
                <w:szCs w:val="21"/>
                <w:highlight w:val="none"/>
                <w:u w:val="single"/>
              </w:rPr>
            </w:pPr>
            <w:r>
              <w:rPr>
                <w:rFonts w:hint="eastAsia" w:ascii="宋体" w:hAnsi="宋体"/>
                <w:color w:val="auto"/>
                <w:szCs w:val="21"/>
                <w:highlight w:val="none"/>
              </w:rPr>
              <w:t>详见招标公告规定的投标截止时间。</w:t>
            </w:r>
          </w:p>
        </w:tc>
      </w:tr>
      <w:tr w14:paraId="2774C2F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2C8A6977">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2.2.3</w:t>
            </w:r>
          </w:p>
        </w:tc>
        <w:tc>
          <w:tcPr>
            <w:tcW w:w="1644" w:type="dxa"/>
            <w:vAlign w:val="center"/>
          </w:tcPr>
          <w:p w14:paraId="62E1F156">
            <w:pPr>
              <w:snapToGrid w:val="0"/>
              <w:spacing w:after="15" w:afterLines="5" w:line="400" w:lineRule="exact"/>
              <w:jc w:val="center"/>
              <w:rPr>
                <w:rFonts w:ascii="宋体" w:hAnsi="宋体"/>
                <w:color w:val="auto"/>
                <w:kern w:val="0"/>
                <w:szCs w:val="21"/>
                <w:highlight w:val="none"/>
              </w:rPr>
            </w:pPr>
            <w:r>
              <w:rPr>
                <w:rFonts w:ascii="宋体" w:hAnsi="宋体"/>
                <w:color w:val="auto"/>
                <w:kern w:val="0"/>
                <w:szCs w:val="21"/>
                <w:highlight w:val="none"/>
              </w:rPr>
              <w:t>招标人对招标文件进行</w:t>
            </w:r>
            <w:r>
              <w:rPr>
                <w:rFonts w:hint="eastAsia" w:ascii="宋体" w:hAnsi="宋体"/>
                <w:color w:val="auto"/>
                <w:kern w:val="0"/>
                <w:szCs w:val="21"/>
                <w:highlight w:val="none"/>
              </w:rPr>
              <w:t>修改</w:t>
            </w:r>
            <w:r>
              <w:rPr>
                <w:rFonts w:ascii="宋体" w:hAnsi="宋体"/>
                <w:color w:val="auto"/>
                <w:kern w:val="0"/>
                <w:szCs w:val="21"/>
                <w:highlight w:val="none"/>
              </w:rPr>
              <w:t>的时间</w:t>
            </w:r>
          </w:p>
        </w:tc>
        <w:tc>
          <w:tcPr>
            <w:tcW w:w="6490" w:type="dxa"/>
            <w:vAlign w:val="center"/>
          </w:tcPr>
          <w:p w14:paraId="0A3A7135">
            <w:pPr>
              <w:snapToGrid w:val="0"/>
              <w:spacing w:line="400" w:lineRule="exact"/>
              <w:ind w:firstLine="420" w:firstLineChars="200"/>
              <w:rPr>
                <w:rFonts w:ascii="宋体" w:hAnsi="宋体"/>
                <w:color w:val="auto"/>
                <w:szCs w:val="21"/>
                <w:highlight w:val="none"/>
              </w:rPr>
            </w:pPr>
            <w:r>
              <w:rPr>
                <w:rFonts w:hint="eastAsia" w:ascii="宋体" w:hAnsi="宋体"/>
                <w:snapToGrid w:val="0"/>
                <w:color w:val="auto"/>
                <w:kern w:val="0"/>
                <w:szCs w:val="21"/>
                <w:highlight w:val="none"/>
              </w:rPr>
              <w:t>修改</w:t>
            </w:r>
            <w:r>
              <w:rPr>
                <w:rFonts w:ascii="宋体" w:hAnsi="宋体"/>
                <w:snapToGrid w:val="0"/>
                <w:color w:val="auto"/>
                <w:kern w:val="0"/>
                <w:szCs w:val="21"/>
                <w:highlight w:val="none"/>
              </w:rPr>
              <w:t>内容可能影响投标文件编制的，须在投标截止时间15日前发布，发布时间至投标截止时间不足15日的，须相应延后投标截止时间。</w:t>
            </w:r>
          </w:p>
        </w:tc>
      </w:tr>
      <w:tr w14:paraId="17776A9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055439B5">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2.2.4</w:t>
            </w:r>
          </w:p>
        </w:tc>
        <w:tc>
          <w:tcPr>
            <w:tcW w:w="1644" w:type="dxa"/>
            <w:vAlign w:val="center"/>
          </w:tcPr>
          <w:p w14:paraId="1BF35F31">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投标人对招标文件及澄清修改提出异议的截止时间</w:t>
            </w:r>
          </w:p>
        </w:tc>
        <w:tc>
          <w:tcPr>
            <w:tcW w:w="6490" w:type="dxa"/>
            <w:vAlign w:val="center"/>
          </w:tcPr>
          <w:p w14:paraId="44FE347A">
            <w:pPr>
              <w:snapToGri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投标人对招标文件和</w:t>
            </w:r>
            <w:r>
              <w:rPr>
                <w:rFonts w:hint="eastAsia" w:ascii="宋体" w:hAnsi="宋体"/>
                <w:snapToGrid w:val="0"/>
                <w:color w:val="auto"/>
                <w:kern w:val="0"/>
                <w:szCs w:val="21"/>
                <w:highlight w:val="none"/>
              </w:rPr>
              <w:t>澄清修改</w:t>
            </w:r>
            <w:r>
              <w:rPr>
                <w:rFonts w:ascii="宋体" w:hAnsi="宋体"/>
                <w:snapToGrid w:val="0"/>
                <w:color w:val="auto"/>
                <w:kern w:val="0"/>
                <w:szCs w:val="21"/>
                <w:highlight w:val="none"/>
              </w:rPr>
              <w:t>有异议的，应当在投标截止时间10日前，</w:t>
            </w:r>
            <w:r>
              <w:rPr>
                <w:rFonts w:hint="eastAsia" w:ascii="宋体" w:hAnsi="宋体"/>
                <w:snapToGrid w:val="0"/>
                <w:color w:val="auto"/>
                <w:kern w:val="0"/>
                <w:szCs w:val="21"/>
                <w:highlight w:val="none"/>
              </w:rPr>
              <w:t>通过重庆市电子招投标系统提出</w:t>
            </w:r>
            <w:r>
              <w:rPr>
                <w:rFonts w:ascii="宋体" w:hAnsi="宋体"/>
                <w:snapToGrid w:val="0"/>
                <w:color w:val="auto"/>
                <w:kern w:val="0"/>
                <w:szCs w:val="21"/>
                <w:highlight w:val="none"/>
              </w:rPr>
              <w:t>。招标人应当自收到异议之日起3日内做出答复，</w:t>
            </w:r>
            <w:r>
              <w:rPr>
                <w:rFonts w:hint="eastAsia" w:ascii="宋体" w:hAnsi="宋体"/>
                <w:snapToGrid w:val="0"/>
                <w:color w:val="auto"/>
                <w:kern w:val="0"/>
                <w:szCs w:val="21"/>
                <w:highlight w:val="none"/>
              </w:rPr>
              <w:t>答复内容可能影响投标文件编制的，将以修改的形式于投标截止时间15日前在</w:t>
            </w:r>
            <w:r>
              <w:rPr>
                <w:rFonts w:hint="eastAsia" w:ascii="宋体" w:hAnsi="宋体"/>
                <w:snapToGrid w:val="0"/>
                <w:color w:val="auto"/>
                <w:kern w:val="0"/>
                <w:szCs w:val="21"/>
                <w:highlight w:val="none"/>
                <w:u w:val="single"/>
              </w:rPr>
              <w:t>重庆市公共资源交易网（www.cqggzy.com）</w:t>
            </w:r>
            <w:r>
              <w:rPr>
                <w:rFonts w:hint="eastAsia" w:ascii="宋体" w:hAnsi="宋体"/>
                <w:snapToGrid w:val="0"/>
                <w:color w:val="auto"/>
                <w:kern w:val="0"/>
                <w:szCs w:val="21"/>
                <w:highlight w:val="none"/>
              </w:rPr>
              <w:t>澄清修改区发布，发布时间至投标截止时间不足15日的，须相应延后投标截止时间。</w:t>
            </w:r>
          </w:p>
        </w:tc>
      </w:tr>
      <w:tr w14:paraId="6399E69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5ED4A9AC">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3.1.1</w:t>
            </w:r>
          </w:p>
        </w:tc>
        <w:tc>
          <w:tcPr>
            <w:tcW w:w="1644" w:type="dxa"/>
            <w:vAlign w:val="center"/>
          </w:tcPr>
          <w:p w14:paraId="7EB06697">
            <w:pPr>
              <w:snapToGrid w:val="0"/>
              <w:spacing w:after="31" w:afterLines="10" w:line="400" w:lineRule="exact"/>
              <w:jc w:val="center"/>
              <w:rPr>
                <w:rFonts w:ascii="宋体" w:hAnsi="宋体"/>
                <w:color w:val="auto"/>
                <w:kern w:val="0"/>
                <w:szCs w:val="21"/>
                <w:highlight w:val="none"/>
              </w:rPr>
            </w:pPr>
            <w:r>
              <w:rPr>
                <w:rFonts w:ascii="宋体" w:hAnsi="宋体"/>
                <w:color w:val="auto"/>
                <w:kern w:val="0"/>
                <w:szCs w:val="21"/>
                <w:highlight w:val="none"/>
              </w:rPr>
              <w:t>构成投标文件的其他材料</w:t>
            </w:r>
          </w:p>
        </w:tc>
        <w:tc>
          <w:tcPr>
            <w:tcW w:w="6490" w:type="dxa"/>
            <w:vAlign w:val="center"/>
          </w:tcPr>
          <w:p w14:paraId="63A9B010">
            <w:pPr>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投标人的书面澄清、说明和补正（但不得改变投标文件的实质性内容）</w:t>
            </w:r>
          </w:p>
        </w:tc>
      </w:tr>
      <w:tr w14:paraId="72A94F3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47842DF8">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3.2</w:t>
            </w:r>
          </w:p>
        </w:tc>
        <w:tc>
          <w:tcPr>
            <w:tcW w:w="1644" w:type="dxa"/>
            <w:vAlign w:val="center"/>
          </w:tcPr>
          <w:p w14:paraId="0E9061D0">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投标报价</w:t>
            </w:r>
          </w:p>
        </w:tc>
        <w:tc>
          <w:tcPr>
            <w:tcW w:w="6490" w:type="dxa"/>
            <w:vAlign w:val="center"/>
          </w:tcPr>
          <w:p w14:paraId="40755F50">
            <w:pPr>
              <w:pStyle w:val="2"/>
              <w:tabs>
                <w:tab w:val="left" w:pos="546"/>
                <w:tab w:val="left" w:pos="711"/>
              </w:tabs>
              <w:snapToGrid w:val="0"/>
              <w:spacing w:after="0" w:line="400" w:lineRule="exact"/>
              <w:ind w:firstLine="420" w:firstLineChars="200"/>
              <w:rPr>
                <w:rFonts w:ascii="宋体" w:hAnsi="宋体" w:cs="宋体"/>
                <w:color w:val="auto"/>
                <w:szCs w:val="21"/>
                <w:highlight w:val="none"/>
              </w:rPr>
            </w:pPr>
            <w:r>
              <w:rPr>
                <w:rFonts w:ascii="宋体" w:hAnsi="宋体"/>
                <w:color w:val="auto"/>
                <w:szCs w:val="21"/>
                <w:highlight w:val="none"/>
              </w:rPr>
              <w:t>1.</w:t>
            </w:r>
            <w:r>
              <w:rPr>
                <w:rFonts w:hint="eastAsia" w:ascii="宋体" w:hAnsi="宋体" w:cs="宋体"/>
                <w:color w:val="auto"/>
                <w:szCs w:val="21"/>
                <w:highlight w:val="none"/>
              </w:rPr>
              <w:t>使用国有资金投资的建设工程发承包，必须采用工程量清单计价。工程量清单应采用综合单价计价。</w:t>
            </w:r>
          </w:p>
          <w:p w14:paraId="223FED86">
            <w:pPr>
              <w:pStyle w:val="2"/>
              <w:tabs>
                <w:tab w:val="left" w:pos="546"/>
                <w:tab w:val="left" w:pos="711"/>
              </w:tabs>
              <w:snapToGrid w:val="0"/>
              <w:spacing w:after="0" w:line="400" w:lineRule="exact"/>
              <w:ind w:left="6" w:leftChars="3" w:firstLine="420" w:firstLineChars="200"/>
              <w:rPr>
                <w:rFonts w:ascii="宋体" w:hAnsi="宋体" w:cs="宋体"/>
                <w:color w:val="auto"/>
                <w:szCs w:val="21"/>
                <w:highlight w:val="none"/>
              </w:rPr>
            </w:pPr>
            <w:r>
              <w:rPr>
                <w:rFonts w:ascii="宋体" w:hAnsi="宋体" w:cs="宋体"/>
                <w:color w:val="auto"/>
                <w:szCs w:val="21"/>
                <w:highlight w:val="none"/>
              </w:rPr>
              <w:t>2.</w:t>
            </w:r>
            <w:r>
              <w:rPr>
                <w:rFonts w:hint="eastAsia" w:ascii="宋体" w:hAnsi="宋体" w:cs="宋体"/>
                <w:color w:val="auto"/>
                <w:szCs w:val="21"/>
                <w:highlight w:val="none"/>
              </w:rPr>
              <w:t>投标人应按《建设工程工程量清单计价规范》（GB50500-2013）及重庆市相关工程量清单计价规则的要求填写相应清单表格。投标人应按本须知、《重庆市建设工程费用定额》（CQFYDE-2018）、《重庆市住房和城乡建设委员会关于适用增值税新税率调整建设工程计价依据的通知》（渝建〔2019〕143号）和第五章“工程量清单”的要求填写相应清单表格。投标人的投标报价应是本章投标人须知前附表第1.3.1项中所述的本工程合同段招标范围内的全部工程的投标报价，并以投标人在工程量清单中提出的单价或总价</w:t>
            </w:r>
            <w:r>
              <w:rPr>
                <w:rFonts w:ascii="宋体" w:hAnsi="宋体" w:cs="宋体"/>
                <w:color w:val="auto"/>
                <w:szCs w:val="21"/>
                <w:highlight w:val="none"/>
              </w:rPr>
              <w:footnoteReference w:id="0"/>
            </w:r>
            <w:r>
              <w:rPr>
                <w:rFonts w:hint="eastAsia" w:ascii="宋体" w:hAnsi="宋体" w:cs="宋体"/>
                <w:color w:val="auto"/>
                <w:szCs w:val="21"/>
                <w:highlight w:val="none"/>
              </w:rPr>
              <w:t>为依据。</w:t>
            </w:r>
          </w:p>
          <w:p w14:paraId="2F0961BD">
            <w:pPr>
              <w:tabs>
                <w:tab w:val="left" w:pos="546"/>
                <w:tab w:val="left" w:pos="711"/>
              </w:tabs>
              <w:snapToGrid w:val="0"/>
              <w:spacing w:line="400" w:lineRule="exact"/>
              <w:ind w:left="6" w:leftChars="3" w:firstLine="420" w:firstLineChars="200"/>
              <w:rPr>
                <w:rFonts w:ascii="宋体" w:hAnsi="宋体"/>
                <w:color w:val="auto"/>
                <w:szCs w:val="21"/>
                <w:highlight w:val="none"/>
              </w:rPr>
            </w:pPr>
            <w:r>
              <w:rPr>
                <w:rFonts w:ascii="宋体" w:hAnsi="宋体" w:cs="宋体"/>
                <w:color w:val="auto"/>
                <w:szCs w:val="21"/>
                <w:highlight w:val="none"/>
              </w:rPr>
              <w:t>3.</w:t>
            </w:r>
            <w:r>
              <w:rPr>
                <w:rFonts w:hint="eastAsia" w:ascii="宋体" w:hAnsi="宋体" w:cs="宋体"/>
                <w:color w:val="auto"/>
                <w:szCs w:val="21"/>
                <w:highlight w:val="none"/>
              </w:rPr>
              <w:t>投标人应认真填写工程量清单中所列的本合同各工程子目的单价或总价。投标人没有填入单价或总价的工程子目，招标人将认为该子目的价款已包括在工程量清单其他子目的单价和总价中。投标人必须按招标工程量清单填报价格。项目编码、项目名称、项目特征、计量单位、工程量必须与招标工程量清单一致。否则交由评标委员会作</w:t>
            </w:r>
            <w:r>
              <w:rPr>
                <w:rFonts w:hint="eastAsia" w:ascii="宋体" w:hAnsi="宋体"/>
                <w:color w:val="auto"/>
                <w:szCs w:val="21"/>
                <w:highlight w:val="none"/>
              </w:rPr>
              <w:t>否决投标处理。</w:t>
            </w:r>
          </w:p>
          <w:p w14:paraId="2CA11300">
            <w:pPr>
              <w:tabs>
                <w:tab w:val="left" w:pos="546"/>
                <w:tab w:val="left" w:pos="711"/>
              </w:tabs>
              <w:snapToGrid w:val="0"/>
              <w:spacing w:line="400" w:lineRule="exact"/>
              <w:ind w:left="6" w:leftChars="3" w:firstLine="420" w:firstLineChars="200"/>
              <w:rPr>
                <w:rFonts w:ascii="宋体" w:hAnsi="宋体"/>
                <w:color w:val="auto"/>
                <w:szCs w:val="21"/>
                <w:highlight w:val="none"/>
              </w:rPr>
            </w:pPr>
            <w:r>
              <w:rPr>
                <w:rFonts w:hint="eastAsia" w:ascii="宋体" w:hAnsi="宋体"/>
                <w:color w:val="auto"/>
                <w:szCs w:val="21"/>
                <w:highlight w:val="none"/>
              </w:rPr>
              <w:t>注：评标过程中，评标委员会可以运用评标系统辅助工具对投标人投标工程量清单进行清标。当清标结果显红时，评标委员会应深入了解显红的原因后，对照招标文件否决投标情况一览表的规定，对确实不满足招标文件相关要求的，方可作否决投标处理。</w:t>
            </w:r>
          </w:p>
          <w:p w14:paraId="73FE4930">
            <w:pPr>
              <w:tabs>
                <w:tab w:val="left" w:pos="546"/>
                <w:tab w:val="left" w:pos="711"/>
              </w:tabs>
              <w:snapToGrid w:val="0"/>
              <w:spacing w:line="400" w:lineRule="exact"/>
              <w:ind w:left="6" w:leftChars="3" w:firstLine="420" w:firstLineChars="200"/>
              <w:rPr>
                <w:rFonts w:ascii="宋体" w:hAnsi="宋体" w:cs="宋体"/>
                <w:color w:val="auto"/>
                <w:szCs w:val="21"/>
                <w:highlight w:val="none"/>
              </w:rPr>
            </w:pPr>
            <w:r>
              <w:rPr>
                <w:rFonts w:ascii="宋体" w:hAnsi="宋体" w:cs="宋体"/>
                <w:color w:val="auto"/>
                <w:szCs w:val="21"/>
                <w:highlight w:val="none"/>
              </w:rPr>
              <w:t>4.</w:t>
            </w:r>
            <w:r>
              <w:rPr>
                <w:rFonts w:hint="eastAsia" w:ascii="宋体" w:hAnsi="宋体" w:cs="宋体"/>
                <w:color w:val="auto"/>
                <w:szCs w:val="21"/>
                <w:highlight w:val="none"/>
              </w:rPr>
              <w:t>投标函中的总报价与已标价工程量清单总报价不一致，或工程量清单总报价与依据单价、工程数量、分部分项工程合价计算出的结果不一致，由评标委员会作否决投标处理。</w:t>
            </w:r>
          </w:p>
          <w:p w14:paraId="635DC795">
            <w:pPr>
              <w:pStyle w:val="2"/>
              <w:tabs>
                <w:tab w:val="left" w:pos="546"/>
                <w:tab w:val="left" w:pos="711"/>
              </w:tabs>
              <w:snapToGrid w:val="0"/>
              <w:spacing w:after="0" w:line="400" w:lineRule="exact"/>
              <w:ind w:left="6" w:leftChars="3" w:firstLine="420" w:firstLineChars="200"/>
              <w:rPr>
                <w:rFonts w:ascii="宋体" w:hAnsi="宋体" w:cs="宋体"/>
                <w:color w:val="auto"/>
                <w:szCs w:val="21"/>
                <w:highlight w:val="none"/>
                <w:u w:val="single"/>
              </w:rPr>
            </w:pPr>
            <w:r>
              <w:rPr>
                <w:rFonts w:ascii="宋体" w:hAnsi="宋体" w:cs="宋体"/>
                <w:color w:val="auto"/>
                <w:szCs w:val="21"/>
                <w:highlight w:val="none"/>
              </w:rPr>
              <w:t>5.</w:t>
            </w:r>
            <w:r>
              <w:rPr>
                <w:rFonts w:hint="eastAsia" w:ascii="宋体" w:hAnsi="宋体" w:cs="宋体"/>
                <w:color w:val="auto"/>
                <w:szCs w:val="21"/>
                <w:highlight w:val="none"/>
                <w:u w:val="single"/>
              </w:rPr>
              <w:t>（1）在合同实施期间，单价和总价均不调整。</w:t>
            </w:r>
          </w:p>
          <w:p w14:paraId="563859E2">
            <w:pPr>
              <w:pStyle w:val="2"/>
              <w:tabs>
                <w:tab w:val="left" w:pos="546"/>
                <w:tab w:val="left" w:pos="711"/>
              </w:tabs>
              <w:snapToGrid w:val="0"/>
              <w:spacing w:after="0" w:line="400" w:lineRule="exact"/>
              <w:ind w:left="6" w:leftChars="3" w:firstLine="420" w:firstLineChars="200"/>
              <w:rPr>
                <w:rFonts w:ascii="宋体" w:hAnsi="宋体" w:cs="宋体"/>
                <w:color w:val="auto"/>
                <w:szCs w:val="21"/>
                <w:highlight w:val="none"/>
              </w:rPr>
            </w:pPr>
            <w:r>
              <w:rPr>
                <w:rFonts w:hint="eastAsia" w:ascii="宋体" w:hAnsi="宋体" w:cs="宋体"/>
                <w:color w:val="auto"/>
                <w:szCs w:val="21"/>
                <w:highlight w:val="none"/>
              </w:rPr>
              <w:t>（2）增值税计税方法由招标人依据国家税法规定选择：</w:t>
            </w:r>
          </w:p>
          <w:p w14:paraId="0F280183">
            <w:pPr>
              <w:pStyle w:val="2"/>
              <w:tabs>
                <w:tab w:val="left" w:pos="546"/>
                <w:tab w:val="left" w:pos="711"/>
              </w:tabs>
              <w:snapToGrid w:val="0"/>
              <w:spacing w:after="0" w:line="400" w:lineRule="exact"/>
              <w:ind w:left="6" w:leftChars="3" w:firstLine="420" w:firstLineChars="200"/>
              <w:rPr>
                <w:rFonts w:ascii="宋体" w:hAnsi="宋体" w:cs="宋体"/>
                <w:color w:val="auto"/>
                <w:szCs w:val="21"/>
                <w:highlight w:val="none"/>
              </w:rPr>
            </w:pPr>
            <w:r>
              <w:rPr>
                <w:rFonts w:hint="eastAsia" w:ascii="宋体" w:hAnsi="宋体" w:cs="宋体"/>
                <w:color w:val="auto"/>
                <w:szCs w:val="21"/>
                <w:highlight w:val="none"/>
              </w:rPr>
              <w:sym w:font="Wingdings 2" w:char="F052"/>
            </w:r>
            <w:r>
              <w:rPr>
                <w:rFonts w:hint="eastAsia" w:ascii="宋体" w:hAnsi="宋体" w:cs="宋体"/>
                <w:color w:val="auto"/>
                <w:szCs w:val="21"/>
                <w:highlight w:val="none"/>
              </w:rPr>
              <w:t>一般计税法</w:t>
            </w:r>
          </w:p>
          <w:p w14:paraId="596ADB27">
            <w:pPr>
              <w:pStyle w:val="2"/>
              <w:tabs>
                <w:tab w:val="left" w:pos="546"/>
                <w:tab w:val="left" w:pos="711"/>
              </w:tabs>
              <w:snapToGrid w:val="0"/>
              <w:spacing w:after="0" w:line="400" w:lineRule="exact"/>
              <w:ind w:left="6" w:leftChars="3" w:firstLine="420" w:firstLineChars="200"/>
              <w:rPr>
                <w:rFonts w:ascii="宋体" w:hAnsi="宋体" w:cs="宋体"/>
                <w:color w:val="auto"/>
                <w:szCs w:val="21"/>
                <w:highlight w:val="none"/>
              </w:rPr>
            </w:pPr>
            <w:r>
              <w:rPr>
                <w:rFonts w:ascii="宋体" w:hAnsi="宋体" w:cs="宋体"/>
                <w:color w:val="auto"/>
                <w:szCs w:val="21"/>
                <w:highlight w:val="none"/>
              </w:rPr>
              <w:t>6.</w:t>
            </w:r>
            <w:r>
              <w:rPr>
                <w:rFonts w:hint="eastAsia" w:ascii="宋体" w:hAnsi="宋体" w:cs="宋体"/>
                <w:color w:val="auto"/>
                <w:szCs w:val="21"/>
                <w:highlight w:val="none"/>
              </w:rPr>
              <w:t>如发现工程量清单中的数量与图纸中数量不一致，应于本须知第2.2.1项中规定的时间前书面通知招标人核查，除非招标人以修改的形式予以更正，否则，应以工程量清单中列出的数量为准。</w:t>
            </w:r>
          </w:p>
          <w:p w14:paraId="3633CC0C">
            <w:pPr>
              <w:tabs>
                <w:tab w:val="left" w:pos="546"/>
                <w:tab w:val="left" w:pos="711"/>
              </w:tabs>
              <w:snapToGrid w:val="0"/>
              <w:spacing w:line="400" w:lineRule="exact"/>
              <w:ind w:firstLine="420" w:firstLineChars="200"/>
              <w:rPr>
                <w:rFonts w:ascii="宋体" w:hAnsi="宋体"/>
                <w:color w:val="auto"/>
                <w:szCs w:val="21"/>
                <w:highlight w:val="none"/>
              </w:rPr>
            </w:pPr>
            <w:r>
              <w:rPr>
                <w:rFonts w:ascii="宋体" w:hAnsi="宋体" w:cs="宋体"/>
                <w:color w:val="auto"/>
                <w:szCs w:val="21"/>
                <w:highlight w:val="none"/>
              </w:rPr>
              <w:t>7.</w:t>
            </w:r>
            <w:r>
              <w:rPr>
                <w:rFonts w:hint="eastAsia" w:ascii="宋体" w:hAnsi="宋体" w:cs="宋体"/>
                <w:color w:val="auto"/>
                <w:szCs w:val="21"/>
                <w:highlight w:val="none"/>
              </w:rPr>
              <w:t>招标人在工程量清单中所列出的暂列金额、暂估价等暂定金额，投标人不得修改</w:t>
            </w:r>
            <w:r>
              <w:rPr>
                <w:rFonts w:hint="eastAsia" w:ascii="宋体" w:hAnsi="宋体"/>
                <w:color w:val="auto"/>
                <w:szCs w:val="21"/>
                <w:highlight w:val="none"/>
              </w:rPr>
              <w:t>，否则由评标委员会作否决投标处理。</w:t>
            </w:r>
          </w:p>
          <w:p w14:paraId="319B40B0">
            <w:pPr>
              <w:tabs>
                <w:tab w:val="left" w:pos="546"/>
                <w:tab w:val="left" w:pos="711"/>
              </w:tabs>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8.</w:t>
            </w:r>
            <w:r>
              <w:rPr>
                <w:rFonts w:hint="eastAsia" w:ascii="宋体" w:hAnsi="宋体"/>
                <w:color w:val="auto"/>
                <w:szCs w:val="21"/>
                <w:highlight w:val="none"/>
              </w:rPr>
              <w:t>本工程招标将设置投标总报价最高限价，投标总报价最高限价为</w:t>
            </w:r>
            <w:r>
              <w:rPr>
                <w:rFonts w:hint="eastAsia" w:ascii="宋体" w:hAnsi="宋体"/>
                <w:b/>
                <w:color w:val="auto"/>
                <w:szCs w:val="21"/>
                <w:highlight w:val="none"/>
              </w:rPr>
              <w:t xml:space="preserve"> </w:t>
            </w:r>
            <w:r>
              <w:rPr>
                <w:rFonts w:hint="eastAsia" w:ascii="宋体" w:hAnsi="宋体"/>
                <w:b/>
                <w:color w:val="auto"/>
                <w:szCs w:val="21"/>
                <w:highlight w:val="none"/>
                <w:u w:val="single"/>
              </w:rPr>
              <w:t>14512820.01元（大写：壹仟肆佰伍拾壹万贰仟捌佰贰拾元零壹分）</w:t>
            </w:r>
            <w:r>
              <w:rPr>
                <w:rFonts w:hint="eastAsia" w:ascii="宋体" w:hAnsi="宋体"/>
                <w:color w:val="auto"/>
                <w:szCs w:val="21"/>
                <w:highlight w:val="none"/>
              </w:rPr>
              <w:t>，投标人的投标总报价不得超过投标总报价最高限价，否则由评标委员会作否决投标处理。</w:t>
            </w:r>
          </w:p>
          <w:p w14:paraId="7B60BD24">
            <w:pPr>
              <w:tabs>
                <w:tab w:val="left" w:pos="546"/>
                <w:tab w:val="left" w:pos="711"/>
              </w:tabs>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本工程招标将设置全部清单综合单价最高限价，全部清单综合单价最高限价详见随招标文件</w:t>
            </w:r>
            <w:r>
              <w:rPr>
                <w:rFonts w:ascii="宋体" w:hAnsi="宋体" w:cs="宋体"/>
                <w:color w:val="auto"/>
                <w:szCs w:val="21"/>
                <w:highlight w:val="none"/>
              </w:rPr>
              <w:t>发布的工程量清单</w:t>
            </w:r>
            <w:r>
              <w:rPr>
                <w:rFonts w:hint="eastAsia" w:ascii="宋体" w:hAnsi="宋体" w:cs="宋体"/>
                <w:color w:val="auto"/>
                <w:szCs w:val="21"/>
                <w:highlight w:val="none"/>
              </w:rPr>
              <w:t>，投标人的每项清单综合单价报价不得超过每项清单综合单价最高限价，否则由评标委员会作否决投标处理。</w:t>
            </w:r>
          </w:p>
          <w:p w14:paraId="1D6627DC">
            <w:pPr>
              <w:pStyle w:val="2"/>
              <w:spacing w:after="0" w:line="400" w:lineRule="exact"/>
              <w:ind w:firstLine="420" w:firstLineChars="200"/>
              <w:rPr>
                <w:rFonts w:ascii="宋体" w:hAnsi="宋体" w:cs="宋体"/>
                <w:color w:val="auto"/>
                <w:szCs w:val="21"/>
                <w:highlight w:val="none"/>
              </w:rPr>
            </w:pPr>
            <w:r>
              <w:rPr>
                <w:rFonts w:ascii="宋体" w:hAnsi="宋体" w:cs="宋体"/>
                <w:color w:val="auto"/>
                <w:szCs w:val="21"/>
                <w:highlight w:val="none"/>
              </w:rPr>
              <w:t>9.安全文明施工费：</w:t>
            </w:r>
          </w:p>
          <w:p w14:paraId="53AB800A">
            <w:pPr>
              <w:pStyle w:val="2"/>
              <w:tabs>
                <w:tab w:val="left" w:pos="546"/>
                <w:tab w:val="left" w:pos="711"/>
              </w:tabs>
              <w:snapToGrid w:val="0"/>
              <w:spacing w:after="0" w:line="400" w:lineRule="exact"/>
              <w:ind w:firstLine="420" w:firstLineChars="200"/>
              <w:rPr>
                <w:rFonts w:ascii="宋体" w:hAnsi="宋体" w:cs="宋体"/>
                <w:color w:val="auto"/>
                <w:szCs w:val="21"/>
                <w:highlight w:val="none"/>
              </w:rPr>
            </w:pPr>
            <w:r>
              <w:rPr>
                <w:rFonts w:ascii="宋体" w:hAnsi="宋体" w:cs="宋体"/>
                <w:color w:val="auto"/>
                <w:szCs w:val="21"/>
                <w:highlight w:val="none"/>
              </w:rPr>
              <w:t>9.1</w:t>
            </w:r>
            <w:r>
              <w:rPr>
                <w:rFonts w:hint="eastAsia" w:ascii="宋体" w:hAnsi="宋体" w:cs="宋体"/>
                <w:color w:val="auto"/>
                <w:szCs w:val="21"/>
                <w:highlight w:val="none"/>
              </w:rPr>
              <w:t>根据《重庆城乡建设委员会关于印发</w:t>
            </w:r>
            <w:r>
              <w:rPr>
                <w:rFonts w:ascii="宋体" w:hAnsi="宋体" w:cs="宋体"/>
                <w:color w:val="auto"/>
                <w:szCs w:val="21"/>
                <w:highlight w:val="none"/>
              </w:rPr>
              <w:t>&lt;</w:t>
            </w:r>
            <w:r>
              <w:rPr>
                <w:rFonts w:hint="eastAsia" w:ascii="宋体" w:hAnsi="宋体" w:cs="宋体"/>
                <w:color w:val="auto"/>
                <w:szCs w:val="21"/>
                <w:highlight w:val="none"/>
              </w:rPr>
              <w:t>重庆市建设工程安全文明施工费计取及使用管理规定</w:t>
            </w:r>
            <w:r>
              <w:rPr>
                <w:rFonts w:ascii="宋体" w:hAnsi="宋体" w:cs="宋体"/>
                <w:color w:val="auto"/>
                <w:szCs w:val="21"/>
                <w:highlight w:val="none"/>
              </w:rPr>
              <w:t>&gt;</w:t>
            </w:r>
            <w:r>
              <w:rPr>
                <w:rFonts w:hint="eastAsia" w:ascii="宋体" w:hAnsi="宋体" w:cs="宋体"/>
                <w:color w:val="auto"/>
                <w:szCs w:val="21"/>
                <w:highlight w:val="none"/>
              </w:rPr>
              <w:t>的通知》（渝建发〔2014〕25号）规定，安全文明施工费由安全施工费、文明施工费、环境保护费及临时设施费组成。</w:t>
            </w:r>
          </w:p>
          <w:p w14:paraId="1BAC8C0C">
            <w:pPr>
              <w:pStyle w:val="85"/>
              <w:spacing w:line="400" w:lineRule="exact"/>
              <w:ind w:firstLineChars="200"/>
              <w:rPr>
                <w:color w:val="auto"/>
                <w:sz w:val="21"/>
                <w:szCs w:val="21"/>
                <w:highlight w:val="none"/>
              </w:rPr>
            </w:pPr>
            <w:r>
              <w:rPr>
                <w:color w:val="auto"/>
                <w:sz w:val="21"/>
                <w:szCs w:val="21"/>
                <w:highlight w:val="none"/>
              </w:rPr>
              <w:t>9.2本工程安全文明施工费由招标人根据《建设工程工程量清单计价规范》（GB50500-2013）、《重庆市建设工程工程量清单计价规则》（CQJJGZ-2013）、《</w:t>
            </w:r>
            <w:r>
              <w:rPr>
                <w:rFonts w:hint="eastAsia"/>
                <w:color w:val="auto"/>
                <w:sz w:val="21"/>
                <w:szCs w:val="21"/>
                <w:highlight w:val="none"/>
              </w:rPr>
              <w:t>重庆市城乡建设委员会</w:t>
            </w:r>
            <w:r>
              <w:rPr>
                <w:color w:val="auto"/>
                <w:sz w:val="21"/>
                <w:szCs w:val="21"/>
                <w:highlight w:val="none"/>
              </w:rPr>
              <w:t>关于印发&lt;重庆市建设工程安全文明施工费计取及使用管理规定&gt;的通知》（渝建发</w:t>
            </w:r>
            <w:r>
              <w:rPr>
                <w:rFonts w:hint="eastAsia"/>
                <w:color w:val="auto"/>
                <w:sz w:val="21"/>
                <w:szCs w:val="21"/>
                <w:highlight w:val="none"/>
              </w:rPr>
              <w:t>〔</w:t>
            </w:r>
            <w:r>
              <w:rPr>
                <w:color w:val="auto"/>
                <w:sz w:val="21"/>
                <w:szCs w:val="21"/>
                <w:highlight w:val="none"/>
              </w:rPr>
              <w:t>2014</w:t>
            </w:r>
            <w:r>
              <w:rPr>
                <w:rFonts w:hint="eastAsia"/>
                <w:color w:val="auto"/>
                <w:sz w:val="21"/>
                <w:szCs w:val="21"/>
                <w:highlight w:val="none"/>
              </w:rPr>
              <w:t>〕</w:t>
            </w:r>
            <w:r>
              <w:rPr>
                <w:color w:val="auto"/>
                <w:sz w:val="21"/>
                <w:szCs w:val="21"/>
                <w:highlight w:val="none"/>
              </w:rPr>
              <w:t>25号）</w:t>
            </w:r>
            <w:r>
              <w:rPr>
                <w:rFonts w:hint="eastAsia"/>
                <w:color w:val="auto"/>
                <w:sz w:val="21"/>
                <w:szCs w:val="21"/>
                <w:highlight w:val="none"/>
              </w:rPr>
              <w:t>、《重庆市住房和城乡建设委员会关于调整建设施工现场形象品质提升安全文明施工费计取的通知》（渝建管〔2020〕97号）</w:t>
            </w:r>
            <w:r>
              <w:rPr>
                <w:color w:val="auto"/>
                <w:sz w:val="21"/>
                <w:szCs w:val="21"/>
                <w:highlight w:val="none"/>
              </w:rPr>
              <w:t>、</w:t>
            </w:r>
            <w:r>
              <w:rPr>
                <w:rFonts w:hint="eastAsia"/>
                <w:color w:val="auto"/>
                <w:sz w:val="21"/>
                <w:szCs w:val="21"/>
                <w:highlight w:val="none"/>
              </w:rPr>
              <w:t>《重庆市建设工程费用定额》（CQFYDE-2018）、《重庆市住房和城乡建设委员会关于适用增值税新税率调整建设工程计价依据的通知》（渝建〔2019〕143号）</w:t>
            </w:r>
            <w:r>
              <w:rPr>
                <w:color w:val="auto"/>
                <w:sz w:val="21"/>
                <w:szCs w:val="21"/>
                <w:highlight w:val="none"/>
              </w:rPr>
              <w:t>的相关规定和费用标准单列计算，安全文明施工费为暂定金额，</w:t>
            </w:r>
            <w:r>
              <w:rPr>
                <w:rFonts w:hint="eastAsia"/>
                <w:color w:val="auto"/>
                <w:sz w:val="21"/>
                <w:szCs w:val="21"/>
                <w:highlight w:val="none"/>
              </w:rPr>
              <w:t>本工程安全</w:t>
            </w:r>
            <w:r>
              <w:rPr>
                <w:color w:val="auto"/>
                <w:sz w:val="21"/>
                <w:szCs w:val="21"/>
                <w:highlight w:val="none"/>
              </w:rPr>
              <w:t>文明施工费暂定金额</w:t>
            </w:r>
            <w:r>
              <w:rPr>
                <w:rFonts w:hint="eastAsia"/>
                <w:color w:val="auto"/>
                <w:sz w:val="21"/>
                <w:szCs w:val="21"/>
                <w:highlight w:val="none"/>
              </w:rPr>
              <w:t>为</w:t>
            </w:r>
            <w:r>
              <w:rPr>
                <w:rFonts w:hint="eastAsia"/>
                <w:b/>
                <w:color w:val="auto"/>
                <w:sz w:val="21"/>
                <w:szCs w:val="21"/>
                <w:highlight w:val="none"/>
                <w:u w:val="single"/>
              </w:rPr>
              <w:t xml:space="preserve"> 385222.17元</w:t>
            </w:r>
            <w:r>
              <w:rPr>
                <w:color w:val="auto"/>
                <w:sz w:val="21"/>
                <w:szCs w:val="21"/>
                <w:highlight w:val="none"/>
              </w:rPr>
              <w:t>。《投标函》中的安全文明施工费</w:t>
            </w:r>
            <w:r>
              <w:rPr>
                <w:rFonts w:hint="eastAsia"/>
                <w:color w:val="auto"/>
                <w:sz w:val="21"/>
                <w:szCs w:val="21"/>
                <w:highlight w:val="none"/>
              </w:rPr>
              <w:t>金额或工程量清单中安全文明施工费的汇总金额未</w:t>
            </w:r>
            <w:r>
              <w:rPr>
                <w:color w:val="auto"/>
                <w:sz w:val="21"/>
                <w:szCs w:val="21"/>
                <w:highlight w:val="none"/>
              </w:rPr>
              <w:t>按照招标人给出的暂定金额填报</w:t>
            </w:r>
            <w:r>
              <w:rPr>
                <w:rFonts w:hint="eastAsia"/>
                <w:color w:val="auto"/>
                <w:sz w:val="21"/>
                <w:szCs w:val="21"/>
                <w:highlight w:val="none"/>
              </w:rPr>
              <w:t>的</w:t>
            </w:r>
            <w:r>
              <w:rPr>
                <w:color w:val="auto"/>
                <w:sz w:val="21"/>
                <w:szCs w:val="21"/>
                <w:highlight w:val="none"/>
              </w:rPr>
              <w:t>，视为对招标文件不作实质性响应，其投标文件</w:t>
            </w:r>
            <w:r>
              <w:rPr>
                <w:rFonts w:hint="eastAsia"/>
                <w:color w:val="auto"/>
                <w:sz w:val="21"/>
                <w:szCs w:val="21"/>
                <w:highlight w:val="none"/>
              </w:rPr>
              <w:t>由评标委员会</w:t>
            </w:r>
            <w:r>
              <w:rPr>
                <w:color w:val="auto"/>
                <w:sz w:val="21"/>
                <w:szCs w:val="21"/>
                <w:highlight w:val="none"/>
              </w:rPr>
              <w:t>作否决投标处理。</w:t>
            </w:r>
            <w:r>
              <w:rPr>
                <w:rFonts w:hint="eastAsia"/>
                <w:color w:val="auto"/>
                <w:sz w:val="21"/>
                <w:szCs w:val="21"/>
                <w:highlight w:val="none"/>
              </w:rPr>
              <w:t>注：采用全费用清单计价的项目，安全文明施工费仅针对《投标函》中的安全文明施工费进行评审。</w:t>
            </w:r>
          </w:p>
          <w:p w14:paraId="7C9166A3">
            <w:pPr>
              <w:tabs>
                <w:tab w:val="left" w:pos="546"/>
                <w:tab w:val="left" w:pos="711"/>
              </w:tabs>
              <w:snapToGrid w:val="0"/>
              <w:spacing w:line="400" w:lineRule="exact"/>
              <w:ind w:firstLine="420" w:firstLineChars="200"/>
              <w:rPr>
                <w:rFonts w:ascii="宋体" w:hAnsi="宋体" w:cs="宋体"/>
                <w:color w:val="auto"/>
                <w:szCs w:val="21"/>
                <w:highlight w:val="none"/>
              </w:rPr>
            </w:pPr>
            <w:r>
              <w:rPr>
                <w:rFonts w:ascii="宋体" w:hAnsi="宋体"/>
                <w:color w:val="auto"/>
                <w:szCs w:val="21"/>
                <w:highlight w:val="none"/>
              </w:rPr>
              <w:t>10.</w:t>
            </w:r>
            <w:r>
              <w:rPr>
                <w:rFonts w:hint="eastAsia" w:ascii="宋体" w:hAnsi="宋体"/>
                <w:color w:val="auto"/>
                <w:szCs w:val="21"/>
                <w:highlight w:val="none"/>
              </w:rPr>
              <w:t>本工程所需材料（含设备）价格由投标人参照重庆市建设工</w:t>
            </w:r>
            <w:r>
              <w:rPr>
                <w:rFonts w:hint="eastAsia" w:ascii="宋体" w:hAnsi="宋体" w:cs="宋体"/>
                <w:color w:val="auto"/>
                <w:szCs w:val="21"/>
                <w:highlight w:val="none"/>
              </w:rPr>
              <w:t>程造价管理总站发布的《重庆工程造价信息》或工程造价管理机构发布的工程造价信息（造价信息引用时限为招标公告发布日期前一期），并结合市场行情及自身实力进行自主报价。</w:t>
            </w:r>
          </w:p>
          <w:p w14:paraId="18AC6170">
            <w:pPr>
              <w:pStyle w:val="2"/>
              <w:tabs>
                <w:tab w:val="left" w:pos="546"/>
                <w:tab w:val="left" w:pos="711"/>
              </w:tabs>
              <w:snapToGrid w:val="0"/>
              <w:spacing w:after="0" w:line="400" w:lineRule="exact"/>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11.本项目建筑安装材料价格风险按照《重庆市城乡建设委员会关于进一步加强建筑安装材料价格风险管控的指导意见》（渝建〔2018〕61号）执行。本项目主要材料及设备价格风险内容、范围及调整方法为：</w:t>
            </w:r>
            <w:r>
              <w:rPr>
                <w:rFonts w:hint="eastAsia" w:ascii="宋体" w:hAnsi="宋体" w:cs="宋体"/>
                <w:color w:val="auto"/>
                <w:szCs w:val="21"/>
                <w:highlight w:val="none"/>
                <w:u w:val="single"/>
              </w:rPr>
              <w:t>详见合同</w:t>
            </w:r>
            <w:r>
              <w:rPr>
                <w:rFonts w:ascii="宋体" w:hAnsi="宋体" w:cs="宋体"/>
                <w:color w:val="auto"/>
                <w:szCs w:val="21"/>
                <w:highlight w:val="none"/>
                <w:u w:val="single"/>
              </w:rPr>
              <w:t>专用条款。</w:t>
            </w:r>
            <w:r>
              <w:rPr>
                <w:rFonts w:hint="eastAsia" w:ascii="宋体" w:hAnsi="宋体" w:cs="宋体"/>
                <w:color w:val="auto"/>
                <w:szCs w:val="21"/>
                <w:highlight w:val="none"/>
                <w:u w:val="single"/>
              </w:rPr>
              <w:t xml:space="preserve"> </w:t>
            </w:r>
          </w:p>
          <w:p w14:paraId="7ED99AD2">
            <w:pPr>
              <w:pStyle w:val="2"/>
              <w:tabs>
                <w:tab w:val="left" w:pos="546"/>
                <w:tab w:val="left" w:pos="711"/>
              </w:tabs>
              <w:snapToGrid w:val="0"/>
              <w:spacing w:after="0" w:line="400" w:lineRule="exact"/>
              <w:ind w:firstLine="420" w:firstLineChars="200"/>
              <w:rPr>
                <w:rFonts w:ascii="宋体" w:hAnsi="宋体" w:cs="宋体"/>
                <w:color w:val="auto"/>
                <w:szCs w:val="21"/>
                <w:highlight w:val="none"/>
              </w:rPr>
            </w:pPr>
            <w:r>
              <w:rPr>
                <w:rFonts w:ascii="宋体" w:hAnsi="宋体" w:cs="宋体"/>
                <w:color w:val="auto"/>
                <w:szCs w:val="21"/>
                <w:highlight w:val="none"/>
              </w:rPr>
              <w:t>1</w:t>
            </w: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本项目所采用技术、工艺和产品等必须执行重庆市住房和城乡建设委员会关于发布《重庆市建设领域禁止、限制使用落后技术通告（2019年版）（渝建发〔2019〕25号）的规定。</w:t>
            </w:r>
          </w:p>
          <w:p w14:paraId="31BD980B">
            <w:pPr>
              <w:pStyle w:val="2"/>
              <w:tabs>
                <w:tab w:val="left" w:pos="546"/>
                <w:tab w:val="left" w:pos="711"/>
              </w:tabs>
              <w:snapToGrid w:val="0"/>
              <w:spacing w:after="0" w:line="400" w:lineRule="exact"/>
              <w:ind w:firstLine="420" w:firstLineChars="200"/>
              <w:rPr>
                <w:rFonts w:ascii="宋体" w:hAnsi="宋体" w:cs="宋体"/>
                <w:color w:val="auto"/>
                <w:szCs w:val="21"/>
                <w:highlight w:val="none"/>
              </w:rPr>
            </w:pPr>
            <w:r>
              <w:rPr>
                <w:rFonts w:ascii="宋体" w:hAnsi="宋体" w:cs="宋体"/>
                <w:color w:val="auto"/>
                <w:szCs w:val="21"/>
                <w:highlight w:val="none"/>
              </w:rPr>
              <w:t>1</w:t>
            </w:r>
            <w:r>
              <w:rPr>
                <w:rFonts w:hint="eastAsia" w:ascii="宋体" w:hAnsi="宋体" w:cs="宋体"/>
                <w:color w:val="auto"/>
                <w:szCs w:val="21"/>
                <w:highlight w:val="none"/>
              </w:rPr>
              <w:t>3</w:t>
            </w:r>
            <w:r>
              <w:rPr>
                <w:rFonts w:ascii="宋体" w:hAnsi="宋体" w:cs="宋体"/>
                <w:color w:val="auto"/>
                <w:szCs w:val="21"/>
                <w:highlight w:val="none"/>
              </w:rPr>
              <w:t>.</w:t>
            </w:r>
            <w:r>
              <w:rPr>
                <w:rFonts w:hint="eastAsia" w:ascii="宋体" w:hAnsi="宋体" w:cs="宋体"/>
                <w:color w:val="auto"/>
                <w:szCs w:val="21"/>
                <w:highlight w:val="none"/>
              </w:rPr>
              <w:t>本工程主体结构若需混凝土，则必须使用商品混凝土，不得自建搅拌站。</w:t>
            </w:r>
          </w:p>
        </w:tc>
      </w:tr>
      <w:tr w14:paraId="001994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5BDB6F0F">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3.3.1</w:t>
            </w:r>
          </w:p>
        </w:tc>
        <w:tc>
          <w:tcPr>
            <w:tcW w:w="1644" w:type="dxa"/>
            <w:vAlign w:val="center"/>
          </w:tcPr>
          <w:p w14:paraId="602D8DD9">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投标有效期</w:t>
            </w:r>
          </w:p>
        </w:tc>
        <w:tc>
          <w:tcPr>
            <w:tcW w:w="6490" w:type="dxa"/>
            <w:vAlign w:val="center"/>
          </w:tcPr>
          <w:p w14:paraId="69F76DB1">
            <w:pPr>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u w:val="single"/>
              </w:rPr>
              <w:t xml:space="preserve"> 90 </w:t>
            </w:r>
            <w:r>
              <w:rPr>
                <w:rFonts w:ascii="宋体" w:hAnsi="宋体"/>
                <w:color w:val="auto"/>
                <w:szCs w:val="21"/>
                <w:highlight w:val="none"/>
              </w:rPr>
              <w:t>日历天（从提交投标文件截止日起计算）</w:t>
            </w:r>
          </w:p>
        </w:tc>
      </w:tr>
      <w:tr w14:paraId="10D92D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5A97E129">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3.4</w:t>
            </w:r>
          </w:p>
        </w:tc>
        <w:tc>
          <w:tcPr>
            <w:tcW w:w="1644" w:type="dxa"/>
            <w:vAlign w:val="center"/>
          </w:tcPr>
          <w:p w14:paraId="76517F9B">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投标保证金</w:t>
            </w:r>
          </w:p>
        </w:tc>
        <w:tc>
          <w:tcPr>
            <w:tcW w:w="6490" w:type="dxa"/>
            <w:vAlign w:val="center"/>
          </w:tcPr>
          <w:p w14:paraId="178E6D8A">
            <w:pPr>
              <w:snapToGrid w:val="0"/>
              <w:spacing w:line="400" w:lineRule="exact"/>
              <w:ind w:firstLine="420" w:firstLineChars="200"/>
              <w:rPr>
                <w:color w:val="auto"/>
                <w:highlight w:val="none"/>
              </w:rPr>
            </w:pPr>
            <w:r>
              <w:rPr>
                <w:rFonts w:hint="eastAsia"/>
                <w:color w:val="auto"/>
                <w:highlight w:val="none"/>
              </w:rPr>
              <w:t>投标保证金的交纳方式：投标人可选择以下二种方式之一。</w:t>
            </w:r>
          </w:p>
          <w:p w14:paraId="70331583">
            <w:pPr>
              <w:snapToGrid w:val="0"/>
              <w:spacing w:line="400" w:lineRule="exact"/>
              <w:ind w:firstLine="420" w:firstLineChars="200"/>
              <w:rPr>
                <w:color w:val="auto"/>
                <w:highlight w:val="none"/>
              </w:rPr>
            </w:pPr>
            <w:r>
              <w:rPr>
                <w:rFonts w:hint="eastAsia"/>
                <w:color w:val="auto"/>
                <w:highlight w:val="none"/>
              </w:rPr>
              <w:t>方式一</w:t>
            </w:r>
          </w:p>
          <w:p w14:paraId="6EFC8C34">
            <w:pPr>
              <w:snapToGrid w:val="0"/>
              <w:spacing w:line="400" w:lineRule="exact"/>
              <w:ind w:firstLine="420" w:firstLineChars="200"/>
              <w:rPr>
                <w:color w:val="auto"/>
                <w:highlight w:val="none"/>
              </w:rPr>
            </w:pPr>
            <w:r>
              <w:rPr>
                <w:color w:val="auto"/>
                <w:highlight w:val="none"/>
              </w:rPr>
              <w:t>一、</w:t>
            </w:r>
            <w:r>
              <w:rPr>
                <w:rFonts w:hint="eastAsia"/>
                <w:color w:val="auto"/>
                <w:highlight w:val="none"/>
              </w:rPr>
              <w:t>以电子投标保函形式交纳投标保证金</w:t>
            </w:r>
          </w:p>
          <w:p w14:paraId="7FF161D2">
            <w:pPr>
              <w:snapToGrid w:val="0"/>
              <w:spacing w:line="400" w:lineRule="exact"/>
              <w:ind w:firstLine="420" w:firstLineChars="200"/>
              <w:rPr>
                <w:color w:val="auto"/>
                <w:highlight w:val="none"/>
              </w:rPr>
            </w:pPr>
            <w:r>
              <w:rPr>
                <w:rFonts w:hint="eastAsia"/>
                <w:color w:val="auto"/>
                <w:highlight w:val="none"/>
              </w:rPr>
              <w:t>1. 电子投标保函交纳形式及要求：投标人在投标截止时间前通过重庆市公共资源交易金融服务平台电子投标保函系统向金融机构申请开具电子投标保函，电子投标保函应至少体现如下内容：①担保项目必须为本项目；②受益人必须为本项目招标人；③保函担保金额必须满足本项目要求；④保函生效时间必须在投标截止时间前，有效期限必须至少包含整个投标有效期；⑤保函须不可撤销且见索即付。</w:t>
            </w:r>
          </w:p>
          <w:p w14:paraId="31D963F5">
            <w:pPr>
              <w:snapToGrid w:val="0"/>
              <w:spacing w:line="400" w:lineRule="exact"/>
              <w:ind w:firstLine="420" w:firstLineChars="200"/>
              <w:rPr>
                <w:color w:val="auto"/>
                <w:highlight w:val="none"/>
              </w:rPr>
            </w:pPr>
            <w:r>
              <w:rPr>
                <w:rFonts w:hint="eastAsia"/>
                <w:color w:val="auto"/>
                <w:highlight w:val="none"/>
              </w:rPr>
              <w:t>若投标截止时间延期，则电子投标保函提交的截止时间和投标截止时间应当保持一致。</w:t>
            </w:r>
          </w:p>
          <w:p w14:paraId="1873493C">
            <w:pPr>
              <w:snapToGrid w:val="0"/>
              <w:spacing w:line="400" w:lineRule="exact"/>
              <w:ind w:firstLine="420" w:firstLineChars="200"/>
              <w:rPr>
                <w:color w:val="auto"/>
                <w:highlight w:val="none"/>
              </w:rPr>
            </w:pPr>
            <w:r>
              <w:rPr>
                <w:rFonts w:hint="eastAsia" w:ascii="宋体" w:hAnsi="宋体"/>
                <w:color w:val="auto"/>
                <w:kern w:val="0"/>
                <w:szCs w:val="21"/>
                <w:highlight w:val="none"/>
              </w:rPr>
              <w:t>不满足上述要求的电子</w:t>
            </w:r>
            <w:r>
              <w:rPr>
                <w:rFonts w:ascii="宋体" w:hAnsi="宋体"/>
                <w:color w:val="auto"/>
                <w:kern w:val="0"/>
                <w:szCs w:val="21"/>
                <w:highlight w:val="none"/>
              </w:rPr>
              <w:t>投标保函无效。</w:t>
            </w:r>
          </w:p>
          <w:p w14:paraId="791F2585">
            <w:pPr>
              <w:snapToGrid w:val="0"/>
              <w:spacing w:line="400" w:lineRule="exact"/>
              <w:ind w:firstLine="420" w:firstLineChars="200"/>
              <w:rPr>
                <w:color w:val="auto"/>
                <w:highlight w:val="none"/>
              </w:rPr>
            </w:pPr>
            <w:r>
              <w:rPr>
                <w:color w:val="auto"/>
                <w:highlight w:val="none"/>
              </w:rPr>
              <w:t>2</w:t>
            </w:r>
            <w:r>
              <w:rPr>
                <w:rFonts w:hint="eastAsia"/>
                <w:color w:val="auto"/>
                <w:highlight w:val="none"/>
              </w:rPr>
              <w:t>. 以电子投标保函形式担保的</w:t>
            </w:r>
            <w:r>
              <w:rPr>
                <w:color w:val="auto"/>
                <w:highlight w:val="none"/>
              </w:rPr>
              <w:t>投标保证金的金额：</w:t>
            </w:r>
            <w:r>
              <w:rPr>
                <w:rFonts w:hint="eastAsia"/>
                <w:color w:val="auto"/>
                <w:highlight w:val="none"/>
                <w:u w:val="single"/>
                <w:lang w:val="en-US" w:eastAsia="zh-CN"/>
              </w:rPr>
              <w:t>29</w:t>
            </w:r>
            <w:r>
              <w:rPr>
                <w:color w:val="auto"/>
                <w:highlight w:val="none"/>
              </w:rPr>
              <w:t>万元整（人民币）</w:t>
            </w:r>
            <w:r>
              <w:rPr>
                <w:rFonts w:hint="eastAsia"/>
                <w:color w:val="auto"/>
                <w:highlight w:val="none"/>
              </w:rPr>
              <w:t>，重庆市工程建设领域招标投标守信激励对象名单（以下简称红名单）中的投标人投标保证金金额为应缴纳金额的50%。投标人是否属于红名单，以开标环节信用状况查询结果为准。</w:t>
            </w:r>
          </w:p>
          <w:p w14:paraId="0ECC2CD2">
            <w:pPr>
              <w:snapToGrid w:val="0"/>
              <w:spacing w:line="400" w:lineRule="exact"/>
              <w:ind w:firstLine="420" w:firstLineChars="200"/>
              <w:rPr>
                <w:color w:val="auto"/>
                <w:highlight w:val="none"/>
              </w:rPr>
            </w:pPr>
            <w:r>
              <w:rPr>
                <w:rFonts w:hint="eastAsia"/>
                <w:color w:val="auto"/>
                <w:highlight w:val="none"/>
              </w:rPr>
              <w:t>3. 电子投标保函</w:t>
            </w:r>
          </w:p>
          <w:p w14:paraId="56D2D9AF">
            <w:pPr>
              <w:snapToGrid w:val="0"/>
              <w:spacing w:line="400" w:lineRule="exact"/>
              <w:ind w:firstLine="420" w:firstLineChars="200"/>
              <w:rPr>
                <w:color w:val="auto"/>
                <w:highlight w:val="none"/>
              </w:rPr>
            </w:pPr>
            <w:r>
              <w:rPr>
                <w:rFonts w:hint="eastAsia"/>
                <w:color w:val="auto"/>
                <w:highlight w:val="none"/>
              </w:rPr>
              <w:t>以</w:t>
            </w:r>
            <w:r>
              <w:rPr>
                <w:rFonts w:hint="eastAsia"/>
                <w:color w:val="auto"/>
                <w:highlight w:val="none"/>
                <w:u w:val="single"/>
              </w:rPr>
              <w:t>重庆市公共资源交易中心</w:t>
            </w:r>
            <w:r>
              <w:rPr>
                <w:rFonts w:hint="eastAsia"/>
                <w:color w:val="auto"/>
                <w:highlight w:val="none"/>
              </w:rPr>
              <w:t>开标现场展示的电子投标保函交纳情况为准，投标人在投标时无须再提供电子投标保函的相关资料。</w:t>
            </w:r>
          </w:p>
          <w:p w14:paraId="2403148A">
            <w:pPr>
              <w:snapToGrid w:val="0"/>
              <w:spacing w:line="400" w:lineRule="exact"/>
              <w:ind w:firstLine="420" w:firstLineChars="200"/>
              <w:rPr>
                <w:color w:val="auto"/>
                <w:highlight w:val="none"/>
              </w:rPr>
            </w:pPr>
            <w:r>
              <w:rPr>
                <w:color w:val="auto"/>
                <w:highlight w:val="none"/>
              </w:rPr>
              <w:t>二、</w:t>
            </w:r>
            <w:r>
              <w:rPr>
                <w:rFonts w:hint="eastAsia"/>
                <w:color w:val="auto"/>
                <w:highlight w:val="none"/>
              </w:rPr>
              <w:t>电子</w:t>
            </w:r>
            <w:r>
              <w:rPr>
                <w:color w:val="auto"/>
                <w:highlight w:val="none"/>
              </w:rPr>
              <w:t>投标保函的</w:t>
            </w:r>
            <w:r>
              <w:rPr>
                <w:rFonts w:hint="eastAsia"/>
                <w:color w:val="auto"/>
                <w:highlight w:val="none"/>
              </w:rPr>
              <w:t>注销</w:t>
            </w:r>
          </w:p>
          <w:p w14:paraId="065A3D71">
            <w:pPr>
              <w:snapToGrid w:val="0"/>
              <w:spacing w:line="400" w:lineRule="exact"/>
              <w:ind w:firstLine="420" w:firstLineChars="200"/>
              <w:rPr>
                <w:color w:val="auto"/>
                <w:highlight w:val="none"/>
              </w:rPr>
            </w:pPr>
            <w:r>
              <w:rPr>
                <w:rFonts w:hint="eastAsia"/>
                <w:color w:val="auto"/>
                <w:highlight w:val="none"/>
              </w:rPr>
              <w:t>招标人应当在法定时间内确定中标人。招标人应当在中标通知书发出后2个工作日内将中标通知书和电子投标保函退还通知抄告</w:t>
            </w:r>
            <w:r>
              <w:rPr>
                <w:rFonts w:hint="eastAsia"/>
                <w:color w:val="auto"/>
                <w:highlight w:val="none"/>
                <w:u w:val="single"/>
              </w:rPr>
              <w:t>重庆市公共资源交易中心</w:t>
            </w:r>
            <w:r>
              <w:rPr>
                <w:rFonts w:hint="eastAsia"/>
                <w:color w:val="auto"/>
                <w:highlight w:val="none"/>
              </w:rPr>
              <w:t>，</w:t>
            </w:r>
            <w:r>
              <w:rPr>
                <w:rFonts w:hint="eastAsia"/>
                <w:color w:val="auto"/>
                <w:highlight w:val="none"/>
                <w:u w:val="single"/>
              </w:rPr>
              <w:t>重庆市公共资源交易中心</w:t>
            </w:r>
            <w:r>
              <w:rPr>
                <w:rFonts w:hint="eastAsia"/>
                <w:color w:val="auto"/>
                <w:highlight w:val="none"/>
              </w:rPr>
              <w:t>在收到电子投标保函退还通知后2个工作日内，将保函注销信息推送给重庆市公共资源交易金融服务平台，由保函出具机构注销除中标人和中标候选人以外的投标人电子投标保函。</w:t>
            </w:r>
          </w:p>
          <w:p w14:paraId="7AE18E1F">
            <w:pPr>
              <w:spacing w:line="400" w:lineRule="exact"/>
              <w:ind w:firstLine="420" w:firstLineChars="200"/>
              <w:rPr>
                <w:color w:val="auto"/>
                <w:highlight w:val="none"/>
              </w:rPr>
            </w:pPr>
            <w:r>
              <w:rPr>
                <w:rFonts w:hint="eastAsia"/>
                <w:color w:val="auto"/>
                <w:highlight w:val="none"/>
              </w:rPr>
              <w:t>招标人应当在法定时间内和中标人签订合同。招标人应当在合同生效后2个工作日内将签订的合同和电子投标保函退还通知抄告</w:t>
            </w:r>
            <w:r>
              <w:rPr>
                <w:rFonts w:hint="eastAsia"/>
                <w:color w:val="auto"/>
                <w:highlight w:val="none"/>
                <w:u w:val="single"/>
              </w:rPr>
              <w:t>重庆市公共资源交易中心</w:t>
            </w:r>
            <w:r>
              <w:rPr>
                <w:rFonts w:hint="eastAsia"/>
                <w:color w:val="auto"/>
                <w:highlight w:val="none"/>
              </w:rPr>
              <w:t>，</w:t>
            </w:r>
            <w:r>
              <w:rPr>
                <w:rFonts w:hint="eastAsia"/>
                <w:color w:val="auto"/>
                <w:highlight w:val="none"/>
                <w:u w:val="single"/>
              </w:rPr>
              <w:t>重庆市公共资源交易中心</w:t>
            </w:r>
            <w:r>
              <w:rPr>
                <w:rFonts w:hint="eastAsia"/>
                <w:color w:val="auto"/>
                <w:highlight w:val="none"/>
              </w:rPr>
              <w:t>在收到电子投标保函退还通知后2个工作日内，将保函注销信息推送给重庆市公共资源交易金融服务平台，由保函出具机构注销中标人和中标候选人的电子投标保函。</w:t>
            </w:r>
          </w:p>
          <w:p w14:paraId="265E47B7">
            <w:pPr>
              <w:snapToGrid w:val="0"/>
              <w:spacing w:line="400" w:lineRule="exact"/>
              <w:ind w:firstLine="420" w:firstLineChars="200"/>
              <w:rPr>
                <w:color w:val="auto"/>
                <w:highlight w:val="none"/>
              </w:rPr>
            </w:pPr>
          </w:p>
          <w:p w14:paraId="6AE7E629">
            <w:pPr>
              <w:snapToGrid w:val="0"/>
              <w:spacing w:line="400" w:lineRule="exact"/>
              <w:ind w:firstLine="420" w:firstLineChars="200"/>
              <w:rPr>
                <w:color w:val="auto"/>
                <w:highlight w:val="none"/>
              </w:rPr>
            </w:pPr>
            <w:r>
              <w:rPr>
                <w:rFonts w:hint="eastAsia"/>
                <w:color w:val="auto"/>
                <w:highlight w:val="none"/>
              </w:rPr>
              <w:t>方式二</w:t>
            </w:r>
          </w:p>
          <w:p w14:paraId="486C6459">
            <w:pPr>
              <w:snapToGrid w:val="0"/>
              <w:spacing w:line="400" w:lineRule="exact"/>
              <w:ind w:firstLine="420" w:firstLineChars="200"/>
              <w:rPr>
                <w:color w:val="auto"/>
                <w:highlight w:val="none"/>
              </w:rPr>
            </w:pPr>
            <w:r>
              <w:rPr>
                <w:rFonts w:hint="eastAsia"/>
                <w:color w:val="auto"/>
                <w:highlight w:val="none"/>
              </w:rPr>
              <w:t>一、以转账支票或电汇形式交纳投标保证金</w:t>
            </w:r>
          </w:p>
          <w:p w14:paraId="18110B67">
            <w:pPr>
              <w:snapToGrid w:val="0"/>
              <w:spacing w:line="400" w:lineRule="exact"/>
              <w:ind w:firstLine="420" w:firstLineChars="200"/>
              <w:rPr>
                <w:color w:val="auto"/>
                <w:highlight w:val="none"/>
              </w:rPr>
            </w:pPr>
            <w:r>
              <w:rPr>
                <w:rFonts w:hint="eastAsia"/>
                <w:color w:val="auto"/>
                <w:highlight w:val="none"/>
              </w:rPr>
              <w:t>1、投标保证金交款形式及要求：投标人从企业的基本账户（开户行）在投标截止时间前通过转账支票直接划付或以电汇方式直接划付至下面指定的投标保证金账户。若投标截止时间延期，则投标保证金提交的截止时间和投标截止时间应当保持一致。</w:t>
            </w:r>
            <w:r>
              <w:rPr>
                <w:rFonts w:hint="eastAsia" w:ascii="宋体" w:hAnsi="宋体"/>
                <w:color w:val="auto"/>
                <w:kern w:val="0"/>
                <w:szCs w:val="21"/>
                <w:highlight w:val="none"/>
              </w:rPr>
              <w:t>不满足上述要求的投标保证金</w:t>
            </w:r>
            <w:r>
              <w:rPr>
                <w:rFonts w:ascii="宋体" w:hAnsi="宋体"/>
                <w:color w:val="auto"/>
                <w:kern w:val="0"/>
                <w:szCs w:val="21"/>
                <w:highlight w:val="none"/>
              </w:rPr>
              <w:t>无效。</w:t>
            </w:r>
          </w:p>
          <w:p w14:paraId="7C28AC8B">
            <w:pPr>
              <w:snapToGrid w:val="0"/>
              <w:spacing w:line="400" w:lineRule="exact"/>
              <w:ind w:firstLine="420" w:firstLineChars="200"/>
              <w:rPr>
                <w:color w:val="auto"/>
                <w:highlight w:val="none"/>
              </w:rPr>
            </w:pPr>
            <w:r>
              <w:rPr>
                <w:rFonts w:hint="eastAsia"/>
                <w:color w:val="auto"/>
                <w:highlight w:val="none"/>
              </w:rPr>
              <w:t>投标人自行考虑汇入时间风险，如同城汇入、异地汇入、跨行汇入的时间要求。</w:t>
            </w:r>
          </w:p>
          <w:p w14:paraId="78B2E544">
            <w:pPr>
              <w:snapToGrid w:val="0"/>
              <w:spacing w:line="400" w:lineRule="exact"/>
              <w:ind w:firstLine="420" w:firstLineChars="200"/>
              <w:rPr>
                <w:color w:val="auto"/>
                <w:highlight w:val="none"/>
              </w:rPr>
            </w:pPr>
            <w:r>
              <w:rPr>
                <w:rFonts w:hint="eastAsia"/>
                <w:color w:val="auto"/>
                <w:highlight w:val="none"/>
              </w:rPr>
              <w:t>2、以转账支票或电汇形式提交投标保证金的金额：</w:t>
            </w:r>
            <w:r>
              <w:rPr>
                <w:rFonts w:hint="eastAsia"/>
                <w:color w:val="auto"/>
                <w:highlight w:val="none"/>
                <w:u w:val="single"/>
                <w:lang w:val="en-US" w:eastAsia="zh-CN"/>
              </w:rPr>
              <w:t>29</w:t>
            </w:r>
            <w:r>
              <w:rPr>
                <w:rFonts w:hint="eastAsia"/>
                <w:color w:val="auto"/>
                <w:highlight w:val="none"/>
              </w:rPr>
              <w:t>万元整（人民币）</w:t>
            </w:r>
            <w:r>
              <w:rPr>
                <w:rFonts w:hint="eastAsia" w:ascii="宋体" w:hAnsi="宋体"/>
                <w:color w:val="auto"/>
                <w:kern w:val="0"/>
                <w:szCs w:val="21"/>
                <w:highlight w:val="none"/>
              </w:rPr>
              <w:t>，红名单</w:t>
            </w:r>
            <w:r>
              <w:rPr>
                <w:rFonts w:hint="eastAsia"/>
                <w:color w:val="auto"/>
                <w:highlight w:val="none"/>
              </w:rPr>
              <w:t>中的投标人投标保证金金额为应缴纳金额的50%。投标人是否属于红名单，以开标环节信用状况查询结果为准。</w:t>
            </w:r>
          </w:p>
          <w:p w14:paraId="20B6817D">
            <w:pPr>
              <w:snapToGrid w:val="0"/>
              <w:spacing w:line="400" w:lineRule="exact"/>
              <w:ind w:firstLine="420" w:firstLineChars="200"/>
              <w:rPr>
                <w:color w:val="auto"/>
                <w:highlight w:val="none"/>
              </w:rPr>
            </w:pPr>
            <w:r>
              <w:rPr>
                <w:rFonts w:hint="eastAsia"/>
                <w:color w:val="auto"/>
                <w:highlight w:val="none"/>
              </w:rPr>
              <w:t>3、投标保证金账户及账号（任选其一）：</w:t>
            </w:r>
          </w:p>
          <w:p w14:paraId="5CBC253F">
            <w:pPr>
              <w:snapToGrid w:val="0"/>
              <w:spacing w:line="400" w:lineRule="exact"/>
              <w:ind w:firstLine="420" w:firstLineChars="200"/>
              <w:rPr>
                <w:color w:val="auto"/>
                <w:highlight w:val="none"/>
              </w:rPr>
            </w:pPr>
            <w:r>
              <w:rPr>
                <w:rFonts w:hint="eastAsia"/>
                <w:color w:val="auto"/>
                <w:highlight w:val="none"/>
              </w:rPr>
              <w:t>详见</w:t>
            </w:r>
            <w:r>
              <w:rPr>
                <w:rFonts w:hint="eastAsia"/>
                <w:color w:val="auto"/>
                <w:highlight w:val="none"/>
                <w:u w:val="single"/>
              </w:rPr>
              <w:t>重庆市公共资源交易网（www.cqggzy.com）</w:t>
            </w:r>
            <w:r>
              <w:rPr>
                <w:rFonts w:hint="eastAsia"/>
                <w:color w:val="auto"/>
                <w:highlight w:val="none"/>
              </w:rPr>
              <w:t>对应本项目招标公告信息栏中的保证金信息。</w:t>
            </w:r>
          </w:p>
          <w:p w14:paraId="220F114F">
            <w:pPr>
              <w:snapToGrid w:val="0"/>
              <w:spacing w:line="400" w:lineRule="exact"/>
              <w:ind w:firstLine="420" w:firstLineChars="200"/>
              <w:rPr>
                <w:color w:val="auto"/>
                <w:highlight w:val="none"/>
              </w:rPr>
            </w:pPr>
            <w:r>
              <w:rPr>
                <w:rFonts w:hint="eastAsia"/>
                <w:color w:val="auto"/>
                <w:highlight w:val="none"/>
              </w:rPr>
              <w:t>投标保证金以</w:t>
            </w:r>
            <w:r>
              <w:rPr>
                <w:rFonts w:hint="eastAsia"/>
                <w:color w:val="auto"/>
                <w:highlight w:val="none"/>
                <w:u w:val="single"/>
              </w:rPr>
              <w:t>重庆市公共资源交易中心</w:t>
            </w:r>
            <w:r>
              <w:rPr>
                <w:rFonts w:hint="eastAsia"/>
                <w:color w:val="auto"/>
                <w:highlight w:val="none"/>
              </w:rPr>
              <w:t>开标现场展示的保证金交纳情况为准。投标人须在投标文件资格审查部分</w:t>
            </w:r>
            <w:r>
              <w:rPr>
                <w:rFonts w:hint="eastAsia" w:ascii="宋体" w:hAnsi="宋体"/>
                <w:color w:val="auto"/>
                <w:kern w:val="0"/>
                <w:szCs w:val="21"/>
                <w:highlight w:val="none"/>
              </w:rPr>
              <w:t>“其他资料”中</w:t>
            </w:r>
            <w:r>
              <w:rPr>
                <w:rFonts w:hint="eastAsia"/>
                <w:color w:val="auto"/>
                <w:highlight w:val="none"/>
              </w:rPr>
              <w:t>提供企业基本账户开户证明文件。</w:t>
            </w:r>
          </w:p>
          <w:p w14:paraId="3A967F34">
            <w:pPr>
              <w:snapToGrid w:val="0"/>
              <w:spacing w:line="400" w:lineRule="exact"/>
              <w:ind w:firstLine="420" w:firstLineChars="200"/>
              <w:rPr>
                <w:color w:val="auto"/>
                <w:highlight w:val="none"/>
                <w:u w:val="single"/>
              </w:rPr>
            </w:pPr>
            <w:r>
              <w:rPr>
                <w:rFonts w:hint="eastAsia"/>
                <w:color w:val="auto"/>
                <w:highlight w:val="none"/>
              </w:rPr>
              <w:t>4、投标人必须在付款凭证备注栏中注明是“</w:t>
            </w:r>
            <w:r>
              <w:rPr>
                <w:rFonts w:hint="eastAsia"/>
                <w:color w:val="auto"/>
                <w:highlight w:val="none"/>
                <w:u w:val="single"/>
              </w:rPr>
              <w:t>大田湾全民健身综合楼维修提升项目</w:t>
            </w:r>
            <w:r>
              <w:rPr>
                <w:rFonts w:hint="eastAsia"/>
                <w:color w:val="auto"/>
                <w:highlight w:val="none"/>
                <w:u w:val="single"/>
                <w:lang w:eastAsia="zh-CN"/>
              </w:rPr>
              <w:t>（</w:t>
            </w:r>
            <w:r>
              <w:rPr>
                <w:rFonts w:hint="eastAsia"/>
                <w:color w:val="auto"/>
                <w:highlight w:val="none"/>
                <w:u w:val="single"/>
                <w:lang w:val="en-US" w:eastAsia="zh-CN"/>
              </w:rPr>
              <w:t>第二次</w:t>
            </w:r>
            <w:r>
              <w:rPr>
                <w:rFonts w:hint="eastAsia"/>
                <w:color w:val="auto"/>
                <w:highlight w:val="none"/>
                <w:u w:val="single"/>
                <w:lang w:eastAsia="zh-CN"/>
              </w:rPr>
              <w:t>）</w:t>
            </w:r>
            <w:r>
              <w:rPr>
                <w:rFonts w:hint="eastAsia"/>
                <w:color w:val="auto"/>
                <w:highlight w:val="none"/>
              </w:rPr>
              <w:t>项目投标保证金”。项目名称可简写成：</w:t>
            </w:r>
            <w:r>
              <w:rPr>
                <w:rFonts w:hint="eastAsia"/>
                <w:color w:val="auto"/>
                <w:highlight w:val="none"/>
                <w:u w:val="single"/>
              </w:rPr>
              <w:t>大田湾全民健身楼</w:t>
            </w:r>
            <w:r>
              <w:rPr>
                <w:color w:val="auto"/>
                <w:highlight w:val="none"/>
                <w:u w:val="single"/>
              </w:rPr>
              <w:t>提升</w:t>
            </w:r>
            <w:r>
              <w:rPr>
                <w:rFonts w:hint="eastAsia"/>
                <w:color w:val="auto"/>
                <w:highlight w:val="none"/>
                <w:u w:val="single"/>
              </w:rPr>
              <w:t>工程</w:t>
            </w:r>
            <w:r>
              <w:rPr>
                <w:rFonts w:hint="eastAsia"/>
                <w:color w:val="auto"/>
                <w:highlight w:val="none"/>
                <w:u w:val="single"/>
                <w:lang w:eastAsia="zh-CN"/>
              </w:rPr>
              <w:t>（</w:t>
            </w:r>
            <w:r>
              <w:rPr>
                <w:rFonts w:hint="eastAsia"/>
                <w:color w:val="auto"/>
                <w:highlight w:val="none"/>
                <w:u w:val="single"/>
                <w:lang w:val="en-US" w:eastAsia="zh-CN"/>
              </w:rPr>
              <w:t>第二次</w:t>
            </w:r>
            <w:r>
              <w:rPr>
                <w:rFonts w:hint="eastAsia"/>
                <w:color w:val="auto"/>
                <w:highlight w:val="none"/>
                <w:u w:val="single"/>
                <w:lang w:eastAsia="zh-CN"/>
              </w:rPr>
              <w:t>）</w:t>
            </w:r>
            <w:r>
              <w:rPr>
                <w:rFonts w:hint="eastAsia"/>
                <w:color w:val="auto"/>
                <w:highlight w:val="none"/>
                <w:u w:val="single"/>
              </w:rPr>
              <w:t>。</w:t>
            </w:r>
          </w:p>
          <w:p w14:paraId="4A58131E">
            <w:pPr>
              <w:snapToGrid w:val="0"/>
              <w:spacing w:line="400" w:lineRule="exact"/>
              <w:ind w:firstLine="420" w:firstLineChars="200"/>
              <w:rPr>
                <w:color w:val="auto"/>
                <w:highlight w:val="none"/>
              </w:rPr>
            </w:pPr>
            <w:r>
              <w:rPr>
                <w:rFonts w:hint="eastAsia"/>
                <w:color w:val="auto"/>
                <w:highlight w:val="none"/>
              </w:rPr>
              <w:t>5、投标保证金有效期与投标有效期一致。</w:t>
            </w:r>
          </w:p>
          <w:p w14:paraId="1E96CFF4">
            <w:pPr>
              <w:snapToGrid w:val="0"/>
              <w:spacing w:line="400" w:lineRule="exact"/>
              <w:ind w:firstLine="420" w:firstLineChars="200"/>
              <w:rPr>
                <w:color w:val="auto"/>
                <w:highlight w:val="none"/>
              </w:rPr>
            </w:pPr>
            <w:r>
              <w:rPr>
                <w:rFonts w:hint="eastAsia"/>
                <w:color w:val="auto"/>
                <w:highlight w:val="none"/>
                <w:u w:val="single"/>
              </w:rPr>
              <w:t>6、根据重庆市公共资源交易中心《关于开展公共资源交易市场主体信息登记工作的公告》的要求，投标人在开标前需在重庆市公共资源交易网（www.cqggzy.com）办理市场主体信息登记手续。因故未能提前办理市场主体信息登记或更新的，评标过程中由评标委员会根据投标人在投标文件中提供的企业基本账户开户证明文件核实其投标保证金是否由基本账户转入，未从基本账户转入的，由评标委员会作否决投标处理。</w:t>
            </w:r>
          </w:p>
          <w:p w14:paraId="2A600D57">
            <w:pPr>
              <w:snapToGrid w:val="0"/>
              <w:spacing w:line="400" w:lineRule="exact"/>
              <w:ind w:firstLine="420" w:firstLineChars="200"/>
              <w:rPr>
                <w:color w:val="auto"/>
                <w:highlight w:val="none"/>
              </w:rPr>
            </w:pPr>
            <w:r>
              <w:rPr>
                <w:rFonts w:hint="eastAsia"/>
                <w:color w:val="auto"/>
                <w:highlight w:val="none"/>
              </w:rPr>
              <w:t>二、投标保证金的退还</w:t>
            </w:r>
          </w:p>
          <w:p w14:paraId="40136C7B">
            <w:pPr>
              <w:snapToGrid w:val="0"/>
              <w:spacing w:line="400" w:lineRule="exact"/>
              <w:ind w:firstLine="420" w:firstLineChars="200"/>
              <w:rPr>
                <w:color w:val="auto"/>
                <w:highlight w:val="none"/>
              </w:rPr>
            </w:pPr>
            <w:r>
              <w:rPr>
                <w:rFonts w:hint="eastAsia"/>
                <w:color w:val="auto"/>
                <w:highlight w:val="none"/>
              </w:rPr>
              <w:t>招标人应当在法定时间内确定中标人。招标人应当在中标通知书发出后2个工作日内将中标通知书和保证金退还通知抄告</w:t>
            </w:r>
            <w:r>
              <w:rPr>
                <w:rFonts w:hint="eastAsia"/>
                <w:color w:val="auto"/>
                <w:highlight w:val="none"/>
                <w:u w:val="single"/>
              </w:rPr>
              <w:t>重庆市公共资源交易中心</w:t>
            </w:r>
            <w:r>
              <w:rPr>
                <w:rFonts w:hint="eastAsia"/>
                <w:color w:val="auto"/>
                <w:highlight w:val="none"/>
              </w:rPr>
              <w:t>，</w:t>
            </w:r>
            <w:r>
              <w:rPr>
                <w:rFonts w:hint="eastAsia"/>
                <w:color w:val="auto"/>
                <w:highlight w:val="none"/>
                <w:u w:val="single"/>
              </w:rPr>
              <w:t>重庆市公共资源交易中心</w:t>
            </w:r>
            <w:r>
              <w:rPr>
                <w:rFonts w:hint="eastAsia"/>
                <w:color w:val="auto"/>
                <w:highlight w:val="none"/>
              </w:rPr>
              <w:t>在收到保证金退还通知后2个工作日内，向除中标人和中标候选人以外的投标人，退还投标保证金及银行同期活期存款利息。</w:t>
            </w:r>
          </w:p>
          <w:p w14:paraId="4A941BFD">
            <w:pPr>
              <w:snapToGrid w:val="0"/>
              <w:spacing w:line="400" w:lineRule="exact"/>
              <w:ind w:firstLine="420" w:firstLineChars="200"/>
              <w:rPr>
                <w:color w:val="auto"/>
                <w:highlight w:val="none"/>
              </w:rPr>
            </w:pPr>
            <w:r>
              <w:rPr>
                <w:rFonts w:hint="eastAsia"/>
                <w:color w:val="auto"/>
                <w:highlight w:val="none"/>
              </w:rPr>
              <w:t>招标人应当在法定时间内和中标人签订合同。招标人应当在合同生效后2个工作日内将签订的合同和保证金退还通知抄告</w:t>
            </w:r>
            <w:r>
              <w:rPr>
                <w:rFonts w:hint="eastAsia"/>
                <w:color w:val="auto"/>
                <w:highlight w:val="none"/>
                <w:u w:val="single"/>
              </w:rPr>
              <w:t>重庆市公共资源交易中心</w:t>
            </w:r>
            <w:r>
              <w:rPr>
                <w:rFonts w:hint="eastAsia"/>
                <w:color w:val="auto"/>
                <w:highlight w:val="none"/>
              </w:rPr>
              <w:t>，</w:t>
            </w:r>
            <w:r>
              <w:rPr>
                <w:rFonts w:hint="eastAsia"/>
                <w:color w:val="auto"/>
                <w:highlight w:val="none"/>
                <w:u w:val="single"/>
              </w:rPr>
              <w:t>重庆市公共资源交易中心</w:t>
            </w:r>
            <w:r>
              <w:rPr>
                <w:rFonts w:hint="eastAsia"/>
                <w:color w:val="auto"/>
                <w:highlight w:val="none"/>
              </w:rPr>
              <w:t>在收到保证金退还通知后2个工作日内，向中标人和中标候选人退还投标保证金及银行同期活期存款利息。</w:t>
            </w:r>
          </w:p>
          <w:p w14:paraId="1319C59F">
            <w:pPr>
              <w:snapToGrid w:val="0"/>
              <w:spacing w:line="400" w:lineRule="exact"/>
              <w:ind w:firstLine="420" w:firstLineChars="200"/>
              <w:jc w:val="left"/>
              <w:rPr>
                <w:rFonts w:ascii="宋体" w:hAnsi="宋体"/>
                <w:color w:val="auto"/>
                <w:kern w:val="0"/>
                <w:szCs w:val="21"/>
                <w:highlight w:val="none"/>
              </w:rPr>
            </w:pPr>
            <w:r>
              <w:rPr>
                <w:rFonts w:hint="eastAsia"/>
                <w:color w:val="auto"/>
                <w:highlight w:val="none"/>
              </w:rPr>
              <w:t>投标保证金专用账户由</w:t>
            </w:r>
            <w:r>
              <w:rPr>
                <w:rFonts w:hint="eastAsia"/>
                <w:color w:val="auto"/>
                <w:highlight w:val="none"/>
                <w:u w:val="single"/>
              </w:rPr>
              <w:t>重庆市公共资源交易中心</w:t>
            </w:r>
            <w:r>
              <w:rPr>
                <w:rFonts w:hint="eastAsia"/>
                <w:color w:val="auto"/>
                <w:highlight w:val="none"/>
              </w:rPr>
              <w:t>制定，关于保证金相关情况的问题请咨询</w:t>
            </w:r>
            <w:r>
              <w:rPr>
                <w:rFonts w:hint="eastAsia"/>
                <w:color w:val="auto"/>
                <w:highlight w:val="none"/>
                <w:u w:val="single"/>
              </w:rPr>
              <w:t>重庆市公共资源交易中心</w:t>
            </w:r>
            <w:r>
              <w:rPr>
                <w:rFonts w:hint="eastAsia"/>
                <w:color w:val="auto"/>
                <w:highlight w:val="none"/>
              </w:rPr>
              <w:t>，联系电话023-</w:t>
            </w:r>
            <w:r>
              <w:rPr>
                <w:color w:val="auto"/>
                <w:highlight w:val="none"/>
                <w:u w:val="single"/>
              </w:rPr>
              <w:t>63626436</w:t>
            </w:r>
            <w:r>
              <w:rPr>
                <w:rFonts w:hint="eastAsia"/>
                <w:color w:val="auto"/>
                <w:highlight w:val="none"/>
              </w:rPr>
              <w:t>。</w:t>
            </w:r>
          </w:p>
        </w:tc>
      </w:tr>
      <w:tr w14:paraId="5AD9576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356F2D3C">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3.6</w:t>
            </w:r>
          </w:p>
        </w:tc>
        <w:tc>
          <w:tcPr>
            <w:tcW w:w="1644" w:type="dxa"/>
            <w:vAlign w:val="center"/>
          </w:tcPr>
          <w:p w14:paraId="3CCC76D7">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是否允许递交</w:t>
            </w:r>
          </w:p>
          <w:p w14:paraId="1EB5C1D4">
            <w:pPr>
              <w:snapToGrid w:val="0"/>
              <w:spacing w:after="93" w:afterLines="30" w:line="400" w:lineRule="exact"/>
              <w:jc w:val="center"/>
              <w:rPr>
                <w:rFonts w:ascii="宋体" w:hAnsi="宋体"/>
                <w:color w:val="auto"/>
                <w:kern w:val="0"/>
                <w:szCs w:val="21"/>
                <w:highlight w:val="none"/>
              </w:rPr>
            </w:pPr>
            <w:r>
              <w:rPr>
                <w:rFonts w:ascii="宋体" w:hAnsi="宋体"/>
                <w:color w:val="auto"/>
                <w:kern w:val="0"/>
                <w:szCs w:val="21"/>
                <w:highlight w:val="none"/>
              </w:rPr>
              <w:t>备选投标方案</w:t>
            </w:r>
          </w:p>
        </w:tc>
        <w:tc>
          <w:tcPr>
            <w:tcW w:w="6490" w:type="dxa"/>
            <w:vAlign w:val="center"/>
          </w:tcPr>
          <w:p w14:paraId="732BD1D1">
            <w:pPr>
              <w:snapToGrid w:val="0"/>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sym w:font="Wingdings 2" w:char="F052"/>
            </w:r>
            <w:r>
              <w:rPr>
                <w:rFonts w:ascii="宋体" w:hAnsi="宋体"/>
                <w:color w:val="auto"/>
                <w:kern w:val="0"/>
                <w:szCs w:val="21"/>
                <w:highlight w:val="none"/>
              </w:rPr>
              <w:t>不允许</w:t>
            </w:r>
          </w:p>
        </w:tc>
      </w:tr>
      <w:tr w14:paraId="40F0B1B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61D3E9D0">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3.7.1</w:t>
            </w:r>
          </w:p>
        </w:tc>
        <w:tc>
          <w:tcPr>
            <w:tcW w:w="1644" w:type="dxa"/>
            <w:vAlign w:val="center"/>
          </w:tcPr>
          <w:p w14:paraId="38260128">
            <w:pPr>
              <w:snapToGrid w:val="0"/>
              <w:spacing w:after="93" w:afterLines="30" w:line="400" w:lineRule="exact"/>
              <w:jc w:val="center"/>
              <w:rPr>
                <w:rFonts w:ascii="宋体" w:hAnsi="宋体"/>
                <w:color w:val="auto"/>
                <w:kern w:val="0"/>
                <w:szCs w:val="21"/>
                <w:highlight w:val="none"/>
              </w:rPr>
            </w:pPr>
            <w:r>
              <w:rPr>
                <w:rFonts w:hint="eastAsia" w:ascii="宋体" w:hAnsi="宋体"/>
                <w:color w:val="auto"/>
                <w:kern w:val="0"/>
                <w:szCs w:val="21"/>
                <w:highlight w:val="none"/>
              </w:rPr>
              <w:t>投标文件格式要求</w:t>
            </w:r>
          </w:p>
        </w:tc>
        <w:tc>
          <w:tcPr>
            <w:tcW w:w="6490" w:type="dxa"/>
            <w:vAlign w:val="center"/>
          </w:tcPr>
          <w:p w14:paraId="24073CF7">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编制投标文件时不得对第八章“投标文件格式”的相应要素作实质性修改，否则视为重大偏差，由评标委员会作否决投标处理。</w:t>
            </w:r>
          </w:p>
        </w:tc>
      </w:tr>
      <w:tr w14:paraId="495866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69696655">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3.7.3</w:t>
            </w:r>
          </w:p>
        </w:tc>
        <w:tc>
          <w:tcPr>
            <w:tcW w:w="1644" w:type="dxa"/>
            <w:vAlign w:val="center"/>
          </w:tcPr>
          <w:p w14:paraId="24946484">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签名</w:t>
            </w:r>
            <w:r>
              <w:rPr>
                <w:rFonts w:ascii="宋体" w:hAnsi="宋体"/>
                <w:color w:val="auto"/>
                <w:kern w:val="0"/>
                <w:szCs w:val="21"/>
                <w:highlight w:val="none"/>
              </w:rPr>
              <w:t>盖章要求</w:t>
            </w:r>
          </w:p>
        </w:tc>
        <w:tc>
          <w:tcPr>
            <w:tcW w:w="6490" w:type="dxa"/>
            <w:vAlign w:val="center"/>
          </w:tcPr>
          <w:p w14:paraId="279D9667">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投标文件应使用专用的“新点投标文件制作软件（重庆版）”编制而成。第八章 投标文件格式要求法定代表人或其委托代理人</w:t>
            </w:r>
            <w:r>
              <w:rPr>
                <w:rFonts w:hint="eastAsia" w:ascii="宋体" w:hAnsi="宋体"/>
                <w:color w:val="auto"/>
                <w:kern w:val="0"/>
                <w:szCs w:val="21"/>
                <w:highlight w:val="none"/>
              </w:rPr>
              <w:t>签名</w:t>
            </w:r>
            <w:r>
              <w:rPr>
                <w:rFonts w:hint="eastAsia" w:ascii="宋体" w:hAnsi="宋体"/>
                <w:color w:val="auto"/>
                <w:szCs w:val="21"/>
                <w:highlight w:val="none"/>
              </w:rPr>
              <w:t>（或盖章）的须齐全，</w:t>
            </w:r>
            <w:r>
              <w:rPr>
                <w:rFonts w:hint="eastAsia" w:asciiTheme="minorEastAsia" w:hAnsiTheme="minorEastAsia" w:eastAsiaTheme="minorEastAsia" w:cstheme="minorEastAsia"/>
                <w:color w:val="auto"/>
                <w:szCs w:val="21"/>
                <w:highlight w:val="none"/>
              </w:rPr>
              <w:t>要求签名的，签名采用手写签名或签章或加盖CA数字证书均可，</w:t>
            </w:r>
            <w:r>
              <w:rPr>
                <w:rFonts w:hint="eastAsia" w:ascii="宋体" w:hAnsi="宋体"/>
                <w:color w:val="auto"/>
                <w:szCs w:val="21"/>
                <w:highlight w:val="none"/>
              </w:rPr>
              <w:t>要求加盖单位法人章的，应使用 CA 数字证书加盖投标人的单位电子印章。</w:t>
            </w:r>
          </w:p>
          <w:p w14:paraId="06BC3756">
            <w:pPr>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未按上述规定执行的，交由评标委员会作否决投标处理。</w:t>
            </w:r>
          </w:p>
        </w:tc>
      </w:tr>
      <w:tr w14:paraId="32F9831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61919F11">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3.7.4</w:t>
            </w:r>
          </w:p>
        </w:tc>
        <w:tc>
          <w:tcPr>
            <w:tcW w:w="1644" w:type="dxa"/>
            <w:vAlign w:val="center"/>
          </w:tcPr>
          <w:p w14:paraId="097D37C0">
            <w:pPr>
              <w:snapToGrid w:val="0"/>
              <w:spacing w:line="400" w:lineRule="exact"/>
              <w:rPr>
                <w:rFonts w:ascii="宋体" w:hAnsi="宋体"/>
                <w:color w:val="auto"/>
                <w:spacing w:val="-6"/>
                <w:kern w:val="0"/>
                <w:szCs w:val="21"/>
                <w:highlight w:val="none"/>
              </w:rPr>
            </w:pPr>
            <w:r>
              <w:rPr>
                <w:rFonts w:ascii="宋体" w:hAnsi="宋体"/>
                <w:color w:val="auto"/>
                <w:spacing w:val="-6"/>
                <w:kern w:val="0"/>
                <w:szCs w:val="21"/>
                <w:highlight w:val="none"/>
              </w:rPr>
              <w:t>投标文件的份数</w:t>
            </w:r>
          </w:p>
        </w:tc>
        <w:tc>
          <w:tcPr>
            <w:tcW w:w="6490" w:type="dxa"/>
            <w:vAlign w:val="center"/>
          </w:tcPr>
          <w:p w14:paraId="3B12DFF7">
            <w:pPr>
              <w:autoSpaceDE w:val="0"/>
              <w:autoSpaceDN w:val="0"/>
              <w:adjustRightInd w:val="0"/>
              <w:snapToGrid w:val="0"/>
              <w:spacing w:after="93" w:afterLines="30" w:line="400" w:lineRule="exact"/>
              <w:ind w:firstLine="420" w:firstLineChars="200"/>
              <w:rPr>
                <w:rFonts w:ascii="宋体" w:hAnsi="宋体"/>
                <w:i/>
                <w:color w:val="auto"/>
                <w:kern w:val="0"/>
                <w:szCs w:val="21"/>
                <w:highlight w:val="none"/>
              </w:rPr>
            </w:pPr>
            <w:r>
              <w:rPr>
                <w:rFonts w:hint="eastAsia" w:ascii="宋体" w:hAnsi="宋体"/>
                <w:color w:val="auto"/>
                <w:kern w:val="0"/>
                <w:szCs w:val="21"/>
                <w:highlight w:val="none"/>
              </w:rPr>
              <w:t>本工程采用全流程电子招标投标，投标人提供的投标文件为：加密电子投标文件（网上递交）一份。</w:t>
            </w:r>
          </w:p>
        </w:tc>
      </w:tr>
      <w:tr w14:paraId="6700A5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00" w:hRule="atLeast"/>
          <w:jc w:val="center"/>
        </w:trPr>
        <w:tc>
          <w:tcPr>
            <w:tcW w:w="1335" w:type="dxa"/>
            <w:vAlign w:val="center"/>
          </w:tcPr>
          <w:p w14:paraId="539FD4E2">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3.7.5</w:t>
            </w:r>
          </w:p>
        </w:tc>
        <w:tc>
          <w:tcPr>
            <w:tcW w:w="1644" w:type="dxa"/>
            <w:vAlign w:val="center"/>
          </w:tcPr>
          <w:p w14:paraId="0BC47929">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编制</w:t>
            </w:r>
            <w:r>
              <w:rPr>
                <w:rFonts w:ascii="宋体" w:hAnsi="宋体"/>
                <w:color w:val="auto"/>
                <w:kern w:val="0"/>
                <w:szCs w:val="21"/>
                <w:highlight w:val="none"/>
              </w:rPr>
              <w:t>要求</w:t>
            </w:r>
          </w:p>
        </w:tc>
        <w:tc>
          <w:tcPr>
            <w:tcW w:w="6490" w:type="dxa"/>
            <w:vAlign w:val="center"/>
          </w:tcPr>
          <w:p w14:paraId="6FCEE90F">
            <w:pPr>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具体要求：</w:t>
            </w:r>
          </w:p>
          <w:p w14:paraId="091CCDC9">
            <w:pPr>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（1）投标函部分</w:t>
            </w:r>
          </w:p>
          <w:p w14:paraId="2108C8B5">
            <w:pPr>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应按照第八章规定格式排版，</w:t>
            </w:r>
            <w:r>
              <w:rPr>
                <w:rFonts w:hint="eastAsia" w:asciiTheme="minorEastAsia" w:hAnsiTheme="minorEastAsia" w:eastAsiaTheme="minorEastAsia" w:cstheme="minorEastAsia"/>
                <w:color w:val="auto"/>
                <w:szCs w:val="21"/>
                <w:highlight w:val="none"/>
              </w:rPr>
              <w:t>原则上</w:t>
            </w:r>
            <w:r>
              <w:rPr>
                <w:rFonts w:hint="eastAsia" w:ascii="宋体" w:hAnsi="宋体"/>
                <w:color w:val="auto"/>
                <w:szCs w:val="21"/>
                <w:highlight w:val="none"/>
              </w:rPr>
              <w:t>应编制目录</w:t>
            </w:r>
            <w:r>
              <w:rPr>
                <w:rFonts w:hint="eastAsia" w:asciiTheme="minorEastAsia" w:hAnsiTheme="minorEastAsia" w:eastAsiaTheme="minorEastAsia" w:cstheme="minorEastAsia"/>
                <w:color w:val="auto"/>
                <w:szCs w:val="21"/>
                <w:highlight w:val="none"/>
              </w:rPr>
              <w:t>，但不得将目录编制作为评审因素</w:t>
            </w:r>
            <w:r>
              <w:rPr>
                <w:rFonts w:hint="eastAsia" w:ascii="宋体" w:hAnsi="宋体"/>
                <w:color w:val="auto"/>
                <w:szCs w:val="21"/>
                <w:highlight w:val="none"/>
              </w:rPr>
              <w:t>。</w:t>
            </w:r>
          </w:p>
          <w:p w14:paraId="2141D2B1">
            <w:pPr>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（2）经济部分</w:t>
            </w:r>
          </w:p>
          <w:p w14:paraId="793D3B66">
            <w:pPr>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应按照第八章规定格式排版，</w:t>
            </w:r>
            <w:r>
              <w:rPr>
                <w:rFonts w:hint="eastAsia" w:asciiTheme="minorEastAsia" w:hAnsiTheme="minorEastAsia" w:eastAsiaTheme="minorEastAsia" w:cstheme="minorEastAsia"/>
                <w:color w:val="auto"/>
                <w:szCs w:val="21"/>
                <w:highlight w:val="none"/>
              </w:rPr>
              <w:t>原则上</w:t>
            </w:r>
            <w:r>
              <w:rPr>
                <w:rFonts w:hint="eastAsia" w:ascii="宋体" w:hAnsi="宋体"/>
                <w:color w:val="auto"/>
                <w:szCs w:val="21"/>
                <w:highlight w:val="none"/>
              </w:rPr>
              <w:t>应编制目录</w:t>
            </w:r>
            <w:r>
              <w:rPr>
                <w:rFonts w:hint="eastAsia" w:asciiTheme="minorEastAsia" w:hAnsiTheme="minorEastAsia" w:eastAsiaTheme="minorEastAsia" w:cstheme="minorEastAsia"/>
                <w:color w:val="auto"/>
                <w:szCs w:val="21"/>
                <w:highlight w:val="none"/>
              </w:rPr>
              <w:t>，但不得将目录编制作为评审因素</w:t>
            </w:r>
            <w:r>
              <w:rPr>
                <w:rFonts w:hint="eastAsia" w:ascii="宋体" w:hAnsi="宋体"/>
                <w:color w:val="auto"/>
                <w:szCs w:val="21"/>
                <w:highlight w:val="none"/>
              </w:rPr>
              <w:t>。</w:t>
            </w:r>
          </w:p>
          <w:p w14:paraId="48D57216">
            <w:pPr>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（3）技术部分</w:t>
            </w:r>
          </w:p>
          <w:p w14:paraId="70716C55">
            <w:pPr>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电子投标文件技术暗标不设封面，整个《技术方案》均不得出现白页和倒页；不得出现与本工程无关的内容；不得显示与投标人企业有关的任何信息；《技术方案》文本部分的文字采用四号仿宋字体，文本部分采用A4页面；图表内的字体、字号大小不限，图表部分采用A3或A4页面；文字、图表不得使用彩色和不得编制页码。违反上述任何一项，采用经评审的最低投标价法的其投标文件《技术方案》符合性评审不合格，由评标委员会作否决投标处理；采用综合评估法的其投标文件《技术方案》部分为零分。</w:t>
            </w:r>
          </w:p>
          <w:p w14:paraId="6E52BD74">
            <w:pPr>
              <w:adjustRightInd w:val="0"/>
              <w:snapToGrid w:val="0"/>
              <w:spacing w:line="400" w:lineRule="exact"/>
              <w:ind w:firstLine="420" w:firstLineChars="200"/>
              <w:rPr>
                <w:rStyle w:val="55"/>
                <w:color w:val="auto"/>
                <w:highlight w:val="none"/>
              </w:rPr>
            </w:pPr>
            <w:r>
              <w:rPr>
                <w:rFonts w:hint="eastAsia" w:ascii="宋体" w:hAnsi="宋体"/>
                <w:color w:val="auto"/>
                <w:szCs w:val="21"/>
                <w:highlight w:val="none"/>
              </w:rPr>
              <w:t>（技术方案原则上不超过</w:t>
            </w:r>
            <w:r>
              <w:rPr>
                <w:rFonts w:ascii="宋体" w:hAnsi="宋体"/>
                <w:color w:val="auto"/>
                <w:szCs w:val="21"/>
                <w:highlight w:val="none"/>
                <w:u w:val="single"/>
              </w:rPr>
              <w:t>200</w:t>
            </w:r>
            <w:r>
              <w:rPr>
                <w:rFonts w:hint="eastAsia" w:ascii="宋体" w:hAnsi="宋体"/>
                <w:color w:val="auto"/>
                <w:szCs w:val="21"/>
                <w:highlight w:val="none"/>
              </w:rPr>
              <w:t>页</w:t>
            </w:r>
            <w:r>
              <w:rPr>
                <w:rFonts w:hint="eastAsia" w:asciiTheme="minorEastAsia" w:hAnsiTheme="minorEastAsia" w:eastAsiaTheme="minorEastAsia" w:cstheme="minorEastAsia"/>
                <w:color w:val="auto"/>
                <w:szCs w:val="21"/>
                <w:highlight w:val="none"/>
              </w:rPr>
              <w:t>，但不得将页数作为评审因素</w:t>
            </w:r>
            <w:r>
              <w:rPr>
                <w:rFonts w:hint="eastAsia" w:ascii="宋体" w:hAnsi="宋体"/>
                <w:color w:val="auto"/>
                <w:szCs w:val="21"/>
                <w:highlight w:val="none"/>
              </w:rPr>
              <w:t>。）</w:t>
            </w:r>
          </w:p>
          <w:p w14:paraId="6A19D62D">
            <w:pPr>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（4）资格审查部分</w:t>
            </w:r>
          </w:p>
          <w:p w14:paraId="1DAF0F32">
            <w:pPr>
              <w:adjustRightInd w:val="0"/>
              <w:snapToGrid w:val="0"/>
              <w:spacing w:line="400" w:lineRule="exact"/>
              <w:ind w:firstLine="420" w:firstLineChars="200"/>
              <w:rPr>
                <w:rStyle w:val="55"/>
                <w:color w:val="auto"/>
                <w:highlight w:val="none"/>
              </w:rPr>
            </w:pPr>
            <w:r>
              <w:rPr>
                <w:rFonts w:hint="eastAsia" w:ascii="宋体" w:hAnsi="宋体"/>
                <w:color w:val="auto"/>
                <w:szCs w:val="21"/>
                <w:highlight w:val="none"/>
              </w:rPr>
              <w:t>应按照第八章规定格式排版，</w:t>
            </w:r>
            <w:r>
              <w:rPr>
                <w:rFonts w:hint="eastAsia" w:asciiTheme="minorEastAsia" w:hAnsiTheme="minorEastAsia" w:eastAsiaTheme="minorEastAsia" w:cstheme="minorEastAsia"/>
                <w:color w:val="auto"/>
                <w:szCs w:val="21"/>
                <w:highlight w:val="none"/>
              </w:rPr>
              <w:t>原则上</w:t>
            </w:r>
            <w:r>
              <w:rPr>
                <w:rFonts w:hint="eastAsia" w:ascii="宋体" w:hAnsi="宋体"/>
                <w:color w:val="auto"/>
                <w:szCs w:val="21"/>
                <w:highlight w:val="none"/>
              </w:rPr>
              <w:t>应编制目录</w:t>
            </w:r>
            <w:r>
              <w:rPr>
                <w:rFonts w:hint="eastAsia" w:asciiTheme="minorEastAsia" w:hAnsiTheme="minorEastAsia" w:eastAsiaTheme="minorEastAsia" w:cstheme="minorEastAsia"/>
                <w:color w:val="auto"/>
                <w:szCs w:val="21"/>
                <w:highlight w:val="none"/>
              </w:rPr>
              <w:t>，但不得将目录编制作为评审因素</w:t>
            </w:r>
            <w:r>
              <w:rPr>
                <w:rFonts w:hint="eastAsia" w:ascii="宋体" w:hAnsi="宋体"/>
                <w:color w:val="auto"/>
                <w:szCs w:val="21"/>
                <w:highlight w:val="none"/>
              </w:rPr>
              <w:t>。</w:t>
            </w:r>
          </w:p>
        </w:tc>
      </w:tr>
      <w:tr w14:paraId="2CFB5FC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19DDCC62">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4.1.1</w:t>
            </w:r>
          </w:p>
        </w:tc>
        <w:tc>
          <w:tcPr>
            <w:tcW w:w="1644" w:type="dxa"/>
            <w:vAlign w:val="center"/>
          </w:tcPr>
          <w:p w14:paraId="4C3728A5">
            <w:pPr>
              <w:snapToGrid w:val="0"/>
              <w:spacing w:line="400" w:lineRule="exact"/>
              <w:jc w:val="center"/>
              <w:rPr>
                <w:rFonts w:ascii="宋体" w:hAnsi="宋体"/>
                <w:color w:val="auto"/>
                <w:spacing w:val="-6"/>
                <w:kern w:val="0"/>
                <w:szCs w:val="21"/>
                <w:highlight w:val="none"/>
              </w:rPr>
            </w:pPr>
            <w:r>
              <w:rPr>
                <w:rFonts w:ascii="宋体" w:hAnsi="宋体"/>
                <w:color w:val="auto"/>
                <w:spacing w:val="-6"/>
                <w:kern w:val="0"/>
                <w:szCs w:val="21"/>
                <w:highlight w:val="none"/>
              </w:rPr>
              <w:t>投标文件的密封</w:t>
            </w:r>
          </w:p>
        </w:tc>
        <w:tc>
          <w:tcPr>
            <w:tcW w:w="6490" w:type="dxa"/>
            <w:vAlign w:val="center"/>
          </w:tcPr>
          <w:p w14:paraId="0B73EA21">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电子投标文件的加密</w:t>
            </w:r>
          </w:p>
          <w:p w14:paraId="2236E7D0">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加密的电子投标文件应按照本章第4.1.3项要求制作并加密，未按要求加密的电子投标文件，将无法上传至重庆市电子招投标系统，逾期未完成上传投标文件的，视为撤回投标文件。</w:t>
            </w:r>
          </w:p>
          <w:p w14:paraId="6FCF9AD0">
            <w:pPr>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投标人如需递交不加密电子投标文件，应用“投标文件”袋单独封装，并在封口处加盖投标人单位法人章，同时“投标文件”袋应按本表第4.1.2项的规定写明相应内容。“投标文件”袋未按要求密封的，招标人或代理机构应该拒收。</w:t>
            </w:r>
          </w:p>
        </w:tc>
      </w:tr>
      <w:tr w14:paraId="6E9859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0294399C">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4.1.2</w:t>
            </w:r>
          </w:p>
        </w:tc>
        <w:tc>
          <w:tcPr>
            <w:tcW w:w="1644" w:type="dxa"/>
            <w:vAlign w:val="center"/>
          </w:tcPr>
          <w:p w14:paraId="3473B93E">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封套上写明</w:t>
            </w:r>
          </w:p>
        </w:tc>
        <w:tc>
          <w:tcPr>
            <w:tcW w:w="6490" w:type="dxa"/>
            <w:vAlign w:val="center"/>
          </w:tcPr>
          <w:p w14:paraId="4C576A68">
            <w:pPr>
              <w:snapToGrid w:val="0"/>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应在</w:t>
            </w:r>
            <w:r>
              <w:rPr>
                <w:rFonts w:ascii="宋体" w:hAnsi="宋体"/>
                <w:color w:val="auto"/>
                <w:szCs w:val="21"/>
                <w:highlight w:val="none"/>
              </w:rPr>
              <w:t xml:space="preserve"> </w:t>
            </w:r>
            <w:r>
              <w:rPr>
                <w:rFonts w:ascii="宋体" w:hAnsi="宋体"/>
                <w:color w:val="auto"/>
                <w:kern w:val="0"/>
                <w:szCs w:val="21"/>
                <w:highlight w:val="none"/>
              </w:rPr>
              <w:t>“投标文件”袋封套上写明如下内容：</w:t>
            </w:r>
          </w:p>
          <w:p w14:paraId="1C6340B6">
            <w:pPr>
              <w:snapToGrid w:val="0"/>
              <w:spacing w:line="400" w:lineRule="exact"/>
              <w:ind w:firstLine="420" w:firstLineChars="200"/>
              <w:rPr>
                <w:rFonts w:ascii="宋体" w:hAnsi="宋体"/>
                <w:color w:val="auto"/>
                <w:kern w:val="0"/>
                <w:szCs w:val="21"/>
                <w:highlight w:val="none"/>
                <w:u w:val="single"/>
              </w:rPr>
            </w:pPr>
            <w:r>
              <w:rPr>
                <w:rFonts w:ascii="宋体" w:hAnsi="宋体"/>
                <w:color w:val="auto"/>
                <w:kern w:val="0"/>
                <w:szCs w:val="21"/>
                <w:highlight w:val="none"/>
              </w:rPr>
              <w:t>招标人名称：</w:t>
            </w:r>
            <w:r>
              <w:rPr>
                <w:rFonts w:hint="eastAsia" w:ascii="宋体" w:hAnsi="宋体"/>
                <w:color w:val="auto"/>
                <w:kern w:val="0"/>
                <w:szCs w:val="21"/>
                <w:highlight w:val="none"/>
                <w:u w:val="single"/>
              </w:rPr>
              <w:t xml:space="preserve">            </w:t>
            </w:r>
          </w:p>
          <w:p w14:paraId="03662B38">
            <w:pPr>
              <w:snapToGrid w:val="0"/>
              <w:spacing w:line="400" w:lineRule="exact"/>
              <w:ind w:firstLine="420" w:firstLineChars="200"/>
              <w:rPr>
                <w:rFonts w:ascii="宋体" w:hAnsi="宋体"/>
                <w:color w:val="auto"/>
                <w:kern w:val="0"/>
                <w:szCs w:val="21"/>
                <w:highlight w:val="none"/>
                <w:u w:val="single"/>
              </w:rPr>
            </w:pPr>
            <w:r>
              <w:rPr>
                <w:rFonts w:hint="eastAsia" w:ascii="宋体" w:hAnsi="宋体"/>
                <w:color w:val="auto"/>
                <w:kern w:val="0"/>
                <w:szCs w:val="21"/>
                <w:highlight w:val="none"/>
              </w:rPr>
              <w:t>投标人名称：</w:t>
            </w:r>
            <w:r>
              <w:rPr>
                <w:rFonts w:hint="eastAsia" w:ascii="宋体" w:hAnsi="宋体"/>
                <w:color w:val="auto"/>
                <w:kern w:val="0"/>
                <w:szCs w:val="21"/>
                <w:highlight w:val="none"/>
                <w:u w:val="single"/>
              </w:rPr>
              <w:t xml:space="preserve">            </w:t>
            </w:r>
          </w:p>
          <w:p w14:paraId="6B583183">
            <w:pPr>
              <w:snapToGrid w:val="0"/>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u w:val="single"/>
              </w:rPr>
              <w:t xml:space="preserve">                （项目名称）</w:t>
            </w:r>
            <w:r>
              <w:rPr>
                <w:rFonts w:ascii="宋体" w:hAnsi="宋体"/>
                <w:color w:val="auto"/>
                <w:kern w:val="0"/>
                <w:szCs w:val="21"/>
                <w:highlight w:val="none"/>
              </w:rPr>
              <w:t>投标文件</w:t>
            </w:r>
          </w:p>
          <w:p w14:paraId="74508BEE">
            <w:pPr>
              <w:snapToGrid w:val="0"/>
              <w:spacing w:line="400" w:lineRule="exact"/>
              <w:ind w:firstLine="420" w:firstLineChars="200"/>
              <w:rPr>
                <w:rFonts w:ascii="宋体" w:hAnsi="宋体"/>
                <w:color w:val="auto"/>
                <w:szCs w:val="21"/>
                <w:highlight w:val="none"/>
              </w:rPr>
            </w:pPr>
            <w:r>
              <w:rPr>
                <w:rFonts w:ascii="宋体" w:hAnsi="宋体"/>
                <w:color w:val="auto"/>
                <w:kern w:val="0"/>
                <w:szCs w:val="21"/>
                <w:highlight w:val="none"/>
              </w:rPr>
              <w:t>在</w:t>
            </w: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时</w:t>
            </w:r>
            <w:r>
              <w:rPr>
                <w:rFonts w:hint="eastAsia" w:ascii="宋体" w:hAnsi="宋体"/>
                <w:color w:val="auto"/>
                <w:kern w:val="0"/>
                <w:szCs w:val="21"/>
                <w:highlight w:val="none"/>
                <w:u w:val="single"/>
              </w:rPr>
              <w:t xml:space="preserve">    </w:t>
            </w:r>
            <w:r>
              <w:rPr>
                <w:rFonts w:ascii="宋体" w:hAnsi="宋体"/>
                <w:color w:val="auto"/>
                <w:kern w:val="0"/>
                <w:szCs w:val="21"/>
                <w:highlight w:val="none"/>
              </w:rPr>
              <w:t>分前不得开启</w:t>
            </w:r>
          </w:p>
        </w:tc>
      </w:tr>
      <w:tr w14:paraId="632A66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177FD23C">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4.2.2</w:t>
            </w:r>
          </w:p>
        </w:tc>
        <w:tc>
          <w:tcPr>
            <w:tcW w:w="1644" w:type="dxa"/>
            <w:vAlign w:val="center"/>
          </w:tcPr>
          <w:p w14:paraId="3B02FA4A">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递交投标文件地点</w:t>
            </w:r>
          </w:p>
        </w:tc>
        <w:tc>
          <w:tcPr>
            <w:tcW w:w="6490" w:type="dxa"/>
            <w:vAlign w:val="center"/>
          </w:tcPr>
          <w:p w14:paraId="5B963247">
            <w:pPr>
              <w:snapToGrid w:val="0"/>
              <w:spacing w:line="400" w:lineRule="exact"/>
              <w:ind w:firstLine="420" w:firstLineChars="200"/>
              <w:rPr>
                <w:rFonts w:ascii="宋体" w:hAnsi="宋体"/>
                <w:bCs/>
                <w:color w:val="auto"/>
                <w:szCs w:val="21"/>
                <w:highlight w:val="none"/>
              </w:rPr>
            </w:pPr>
            <w:r>
              <w:rPr>
                <w:rFonts w:hint="eastAsia" w:ascii="宋体" w:hAnsi="宋体"/>
                <w:bCs/>
                <w:color w:val="auto"/>
                <w:szCs w:val="21"/>
                <w:highlight w:val="none"/>
              </w:rPr>
              <w:t>投标人应当在投标截止时间前，通过互联网使用CA数字证书登录重庆市电子招投标系统，将加密的电子投标文件上传。</w:t>
            </w:r>
          </w:p>
          <w:p w14:paraId="2E6B0892">
            <w:pPr>
              <w:snapToGrid w:val="0"/>
              <w:spacing w:line="400" w:lineRule="exact"/>
              <w:ind w:firstLine="420" w:firstLineChars="200"/>
              <w:rPr>
                <w:rFonts w:ascii="宋体" w:hAnsi="宋体"/>
                <w:bCs/>
                <w:color w:val="auto"/>
                <w:szCs w:val="21"/>
                <w:highlight w:val="none"/>
              </w:rPr>
            </w:pPr>
            <w:r>
              <w:rPr>
                <w:rFonts w:hint="eastAsia" w:ascii="宋体" w:hAnsi="宋体"/>
                <w:bCs/>
                <w:color w:val="auto"/>
                <w:szCs w:val="21"/>
                <w:highlight w:val="none"/>
              </w:rPr>
              <w:t>特别注意：投标人如需现场递交不加密电子投标文件（光盘备份）等备用资料，则须在投标截止时间前递交，递交地点为</w:t>
            </w:r>
            <w:r>
              <w:rPr>
                <w:rFonts w:hint="eastAsia" w:ascii="宋体" w:hAnsi="宋体"/>
                <w:bCs/>
                <w:color w:val="auto"/>
                <w:szCs w:val="21"/>
                <w:highlight w:val="none"/>
                <w:u w:val="single"/>
              </w:rPr>
              <w:t>重庆市公共资源交易中心</w:t>
            </w:r>
            <w:r>
              <w:rPr>
                <w:rFonts w:hint="eastAsia" w:ascii="宋体" w:hAnsi="宋体"/>
                <w:bCs/>
                <w:color w:val="auto"/>
                <w:szCs w:val="21"/>
                <w:highlight w:val="none"/>
              </w:rPr>
              <w:t>开标区（具体</w:t>
            </w:r>
            <w:bookmarkStart w:id="2197" w:name="_GoBack"/>
            <w:bookmarkEnd w:id="2197"/>
            <w:r>
              <w:rPr>
                <w:rFonts w:hint="eastAsia" w:ascii="宋体" w:hAnsi="宋体"/>
                <w:bCs/>
                <w:color w:val="auto"/>
                <w:szCs w:val="21"/>
                <w:highlight w:val="none"/>
                <w:lang w:eastAsia="zh-CN"/>
              </w:rPr>
              <w:t>请登录</w:t>
            </w:r>
            <w:r>
              <w:rPr>
                <w:rFonts w:hint="eastAsia" w:ascii="宋体" w:hAnsi="宋体"/>
                <w:bCs/>
                <w:color w:val="auto"/>
                <w:szCs w:val="21"/>
                <w:highlight w:val="none"/>
                <w:u w:val="single"/>
              </w:rPr>
              <w:t>重庆市公共资源交易网（www.cqggzy.com）</w:t>
            </w:r>
            <w:r>
              <w:rPr>
                <w:rFonts w:hint="eastAsia" w:ascii="宋体" w:hAnsi="宋体"/>
                <w:bCs/>
                <w:color w:val="auto"/>
                <w:szCs w:val="21"/>
                <w:highlight w:val="none"/>
              </w:rPr>
              <w:t>查询或递交文件当日见交易中心大厅电子显示屏）。</w:t>
            </w:r>
          </w:p>
        </w:tc>
      </w:tr>
      <w:tr w14:paraId="2B69628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7FD94ED1">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4.2.3</w:t>
            </w:r>
          </w:p>
        </w:tc>
        <w:tc>
          <w:tcPr>
            <w:tcW w:w="1644" w:type="dxa"/>
            <w:vAlign w:val="center"/>
          </w:tcPr>
          <w:p w14:paraId="2C8CDB24">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是否退还投标文件</w:t>
            </w:r>
          </w:p>
        </w:tc>
        <w:tc>
          <w:tcPr>
            <w:tcW w:w="6490" w:type="dxa"/>
            <w:vAlign w:val="center"/>
          </w:tcPr>
          <w:p w14:paraId="7D4B0BD8">
            <w:pPr>
              <w:snapToGrid w:val="0"/>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否</w:t>
            </w:r>
          </w:p>
        </w:tc>
      </w:tr>
      <w:tr w14:paraId="279A94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0A2B149D">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5.1</w:t>
            </w:r>
            <w:r>
              <w:rPr>
                <w:rFonts w:hint="eastAsia" w:ascii="宋体" w:hAnsi="宋体"/>
                <w:color w:val="auto"/>
                <w:kern w:val="0"/>
                <w:szCs w:val="21"/>
                <w:highlight w:val="none"/>
              </w:rPr>
              <w:t>.1</w:t>
            </w:r>
          </w:p>
        </w:tc>
        <w:tc>
          <w:tcPr>
            <w:tcW w:w="1644" w:type="dxa"/>
            <w:vAlign w:val="center"/>
          </w:tcPr>
          <w:p w14:paraId="4DE7D6F1">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开标时间和</w:t>
            </w:r>
          </w:p>
          <w:p w14:paraId="08F9577B">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地点</w:t>
            </w:r>
          </w:p>
        </w:tc>
        <w:tc>
          <w:tcPr>
            <w:tcW w:w="6490" w:type="dxa"/>
            <w:vAlign w:val="center"/>
          </w:tcPr>
          <w:p w14:paraId="121E25E7">
            <w:pPr>
              <w:snapToGrid w:val="0"/>
              <w:spacing w:line="400" w:lineRule="exact"/>
              <w:ind w:firstLine="420" w:firstLineChars="200"/>
              <w:rPr>
                <w:rFonts w:ascii="宋体" w:hAnsi="宋体"/>
                <w:bCs/>
                <w:color w:val="auto"/>
                <w:szCs w:val="21"/>
                <w:highlight w:val="none"/>
              </w:rPr>
            </w:pPr>
            <w:r>
              <w:rPr>
                <w:rFonts w:ascii="宋体" w:hAnsi="宋体"/>
                <w:color w:val="auto"/>
                <w:kern w:val="0"/>
                <w:szCs w:val="21"/>
                <w:highlight w:val="none"/>
              </w:rPr>
              <w:t>开标地点：</w:t>
            </w:r>
            <w:r>
              <w:rPr>
                <w:rFonts w:ascii="宋体" w:hAnsi="宋体"/>
                <w:bCs/>
                <w:color w:val="auto"/>
                <w:szCs w:val="21"/>
                <w:highlight w:val="none"/>
                <w:u w:val="single"/>
              </w:rPr>
              <w:t>重庆市</w:t>
            </w:r>
            <w:r>
              <w:rPr>
                <w:rFonts w:hint="eastAsia" w:ascii="宋体" w:hAnsi="宋体"/>
                <w:bCs/>
                <w:color w:val="auto"/>
                <w:szCs w:val="21"/>
                <w:highlight w:val="none"/>
                <w:u w:val="single"/>
              </w:rPr>
              <w:t>公共资源</w:t>
            </w:r>
            <w:r>
              <w:rPr>
                <w:rFonts w:ascii="宋体" w:hAnsi="宋体"/>
                <w:bCs/>
                <w:color w:val="auto"/>
                <w:szCs w:val="21"/>
                <w:highlight w:val="none"/>
                <w:u w:val="single"/>
              </w:rPr>
              <w:t>交易中心</w:t>
            </w:r>
            <w:r>
              <w:rPr>
                <w:rFonts w:ascii="宋体" w:hAnsi="宋体"/>
                <w:bCs/>
                <w:color w:val="auto"/>
                <w:szCs w:val="21"/>
                <w:highlight w:val="none"/>
              </w:rPr>
              <w:t>开标室（具体</w:t>
            </w:r>
            <w:r>
              <w:rPr>
                <w:rFonts w:hint="eastAsia" w:ascii="宋体" w:hAnsi="宋体"/>
                <w:bCs/>
                <w:color w:val="auto"/>
                <w:szCs w:val="21"/>
                <w:highlight w:val="none"/>
                <w:lang w:eastAsia="zh-CN"/>
              </w:rPr>
              <w:t>请登录</w:t>
            </w:r>
            <w:r>
              <w:rPr>
                <w:rFonts w:hint="eastAsia" w:ascii="宋体" w:hAnsi="宋体"/>
                <w:bCs/>
                <w:color w:val="auto"/>
                <w:szCs w:val="21"/>
                <w:highlight w:val="none"/>
                <w:u w:val="single"/>
              </w:rPr>
              <w:t>重庆市公共资源交易网（www.cqggzy.com）</w:t>
            </w:r>
            <w:r>
              <w:rPr>
                <w:rFonts w:ascii="宋体" w:hAnsi="宋体"/>
                <w:bCs/>
                <w:color w:val="auto"/>
                <w:szCs w:val="21"/>
                <w:highlight w:val="none"/>
              </w:rPr>
              <w:t>查询或递交文件当日见交易中心大厅电子显示屏）。</w:t>
            </w:r>
          </w:p>
          <w:p w14:paraId="36A3A281">
            <w:pPr>
              <w:snapToGrid w:val="0"/>
              <w:spacing w:line="400" w:lineRule="exact"/>
              <w:ind w:firstLine="420" w:firstLineChars="200"/>
              <w:rPr>
                <w:rFonts w:ascii="宋体" w:hAnsi="宋体"/>
                <w:bCs/>
                <w:color w:val="auto"/>
                <w:szCs w:val="21"/>
                <w:highlight w:val="none"/>
              </w:rPr>
            </w:pPr>
            <w:r>
              <w:rPr>
                <w:rFonts w:hint="eastAsia" w:ascii="宋体" w:hAnsi="宋体"/>
                <w:bCs/>
                <w:color w:val="auto"/>
                <w:szCs w:val="21"/>
                <w:highlight w:val="none"/>
              </w:rPr>
              <w:t>特别注意：1、解密投标文件需使用加密电子投标文件的CA数字证书。投标人代表可携带该CA数字证书到开标现场完成投标文件解密工作，或通过互联网使用该CA数字证书登录重庆市电子招投标系统，采用远程解密的方式在投标须知前附表规定的时间内完成投标文件解密工作。</w:t>
            </w:r>
          </w:p>
          <w:p w14:paraId="4A06C851">
            <w:pPr>
              <w:snapToGrid w:val="0"/>
              <w:spacing w:line="400" w:lineRule="exact"/>
              <w:ind w:firstLine="420" w:firstLineChars="200"/>
              <w:rPr>
                <w:rFonts w:ascii="宋体" w:hAnsi="宋体"/>
                <w:bCs/>
                <w:color w:val="auto"/>
                <w:szCs w:val="21"/>
                <w:highlight w:val="none"/>
              </w:rPr>
            </w:pPr>
            <w:r>
              <w:rPr>
                <w:rFonts w:hint="eastAsia" w:asciiTheme="minorEastAsia" w:hAnsiTheme="minorEastAsia" w:eastAsiaTheme="minorEastAsia" w:cstheme="minorEastAsia"/>
                <w:bCs/>
                <w:color w:val="auto"/>
                <w:szCs w:val="21"/>
                <w:highlight w:val="none"/>
              </w:rPr>
              <w:t>2、本项目开标将试用“重庆市工程建设项目不见面开标系统”（以下简称：不见面开标系统）。不出席现场开标的投标人也可登录不见面开标系统参与全过程开标活动。开标活动信息以开标现场或不见面开标系统收到并展示的信息为准。</w:t>
            </w:r>
          </w:p>
        </w:tc>
      </w:tr>
      <w:tr w14:paraId="4D89311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7A699995">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5.1.2</w:t>
            </w:r>
          </w:p>
        </w:tc>
        <w:tc>
          <w:tcPr>
            <w:tcW w:w="1644" w:type="dxa"/>
            <w:vAlign w:val="center"/>
          </w:tcPr>
          <w:p w14:paraId="74A0DFE2">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解密时间</w:t>
            </w:r>
          </w:p>
        </w:tc>
        <w:tc>
          <w:tcPr>
            <w:tcW w:w="6490" w:type="dxa"/>
            <w:vAlign w:val="center"/>
          </w:tcPr>
          <w:p w14:paraId="3429E763">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解密时长为 30 分钟。</w:t>
            </w:r>
          </w:p>
          <w:p w14:paraId="1E2AEC5A">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特别注意：因电子招标投标系统原因影响解密时间的，招标人可根据现场实际情况延长解密时间；因投标人原因未完成解密工作的，视为撤销其投标文件，其投标保证金不予退还。</w:t>
            </w:r>
          </w:p>
        </w:tc>
      </w:tr>
      <w:tr w14:paraId="1B8002F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070BF655">
            <w:pPr>
              <w:snapToGrid w:val="0"/>
              <w:spacing w:line="400" w:lineRule="exact"/>
              <w:jc w:val="center"/>
              <w:rPr>
                <w:rFonts w:ascii="宋体" w:hAnsi="宋体"/>
                <w:color w:val="auto"/>
                <w:szCs w:val="21"/>
                <w:highlight w:val="none"/>
              </w:rPr>
            </w:pPr>
            <w:r>
              <w:rPr>
                <w:rFonts w:hint="eastAsia" w:ascii="宋体" w:hAnsi="宋体"/>
                <w:color w:val="auto"/>
                <w:szCs w:val="21"/>
                <w:highlight w:val="none"/>
              </w:rPr>
              <w:t>5.2</w:t>
            </w:r>
          </w:p>
        </w:tc>
        <w:tc>
          <w:tcPr>
            <w:tcW w:w="1644" w:type="dxa"/>
            <w:vAlign w:val="center"/>
          </w:tcPr>
          <w:p w14:paraId="44474061">
            <w:pPr>
              <w:snapToGrid w:val="0"/>
              <w:spacing w:line="400" w:lineRule="exact"/>
              <w:jc w:val="center"/>
              <w:rPr>
                <w:rFonts w:ascii="宋体" w:hAnsi="宋体"/>
                <w:color w:val="auto"/>
                <w:szCs w:val="21"/>
                <w:highlight w:val="none"/>
              </w:rPr>
            </w:pPr>
            <w:r>
              <w:rPr>
                <w:rFonts w:hint="eastAsia" w:ascii="宋体" w:hAnsi="宋体"/>
                <w:color w:val="auto"/>
                <w:szCs w:val="21"/>
                <w:highlight w:val="none"/>
              </w:rPr>
              <w:t>开标程序</w:t>
            </w:r>
          </w:p>
        </w:tc>
        <w:tc>
          <w:tcPr>
            <w:tcW w:w="6490" w:type="dxa"/>
            <w:vAlign w:val="center"/>
          </w:tcPr>
          <w:p w14:paraId="65334CB6">
            <w:pPr>
              <w:autoSpaceDE w:val="0"/>
              <w:autoSpaceDN w:val="0"/>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主持人按下列程序进行开标：</w:t>
            </w:r>
          </w:p>
          <w:p w14:paraId="30910C28">
            <w:pPr>
              <w:autoSpaceDE w:val="0"/>
              <w:autoSpaceDN w:val="0"/>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 开标时间（应与投标截止时间一致），交易系统自动提取所有在投标截止时间前成功递交的投标文件，系统自动展示投标人数量是否大于（等于）3家，经招标人或代理机构确认达到法定开标条件的，系统进入开标环节。</w:t>
            </w:r>
          </w:p>
          <w:p w14:paraId="0E057C59">
            <w:pPr>
              <w:autoSpaceDE w:val="0"/>
              <w:autoSpaceDN w:val="0"/>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 投标文件提取完成，经招标人或代理机构确认开始解密环节，系统提示投标人在招标文件规定的时间内自行解密其经加密的电子投标文件。</w:t>
            </w:r>
          </w:p>
          <w:p w14:paraId="366E335D">
            <w:pPr>
              <w:autoSpaceDE w:val="0"/>
              <w:autoSpaceDN w:val="0"/>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在规定的时间内投标人未成功解密投标文件的处理方式：①对因故不能解密的，经投标人申请，可以采取导入由相应投标人提供的不加密的电子投标文件（光盘备份）作为补救措施；②对因电子招投标系统原因造成的未解密情况，投标人又未提供不加密的电子投标文件（光盘备份）作为补救措施的，视为投标人撤回投标文件；③对因投标人原因造成的未解密情况，视为投标人撤销投标文件。</w:t>
            </w:r>
          </w:p>
          <w:p w14:paraId="23BC08BD">
            <w:pPr>
              <w:autoSpaceDE w:val="0"/>
              <w:autoSpaceDN w:val="0"/>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 解密全部完成或招标文件规定的解密时间截止后，经招标人或代理机构确认，进入唱标环节。交易系统展示最终解密结果，主持人公布所有投标人名称和成功解密投标人名单，并备注投标人未成功解密投标文件的原因（若有）。</w:t>
            </w:r>
          </w:p>
          <w:p w14:paraId="4F23363A">
            <w:pPr>
              <w:autoSpaceDE w:val="0"/>
              <w:autoSpaceDN w:val="0"/>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4. 汇总投标保证金交纳情况</w:t>
            </w:r>
          </w:p>
          <w:p w14:paraId="2CB49812">
            <w:pPr>
              <w:autoSpaceDE w:val="0"/>
              <w:autoSpaceDN w:val="0"/>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4.1 展示以电子投标保函方式递交投标保证金的情况，展示内容应至少包含投标人名称、金额、投标保函提交时间、保函有效期及是否具有不可撤销且见索即付属性等。电子投标保函应在投标截止时间前提交至指定系统，异常情况在开标记录表“异常情况”栏中记录并交由评标委员会评审。</w:t>
            </w:r>
          </w:p>
          <w:p w14:paraId="50878778">
            <w:pPr>
              <w:autoSpaceDE w:val="0"/>
              <w:autoSpaceDN w:val="0"/>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4.2 展示以电子转账方式递交投标保证金的情况，展示内容应至少包含投标人名称、金额、投标保证金打入指定账户的时间等，异常情况在开标记录表“异常情况”栏中记录并交由评标委员会评审。</w:t>
            </w:r>
          </w:p>
          <w:p w14:paraId="5C828665">
            <w:pPr>
              <w:autoSpaceDE w:val="0"/>
              <w:autoSpaceDN w:val="0"/>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4.3 展示以纸质投标保函方式递交投标保证金的情况，并记录在“纸质投标保函递交情况一览表”中，异常情况在开标记录表“异常情况”栏中记录。</w:t>
            </w:r>
          </w:p>
          <w:p w14:paraId="281E0A3F">
            <w:pPr>
              <w:autoSpaceDE w:val="0"/>
              <w:autoSpaceDN w:val="0"/>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4.4 打印所有投标人的投标保证金交纳情况，并由招标人代表、监标人、记录人签名确认。</w:t>
            </w:r>
          </w:p>
          <w:p w14:paraId="1690F48B">
            <w:pPr>
              <w:autoSpaceDE w:val="0"/>
              <w:autoSpaceDN w:val="0"/>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5. 公布最高限价，采用经评审最低投标价法的系统自动计算最高限价的85%数值，以便评标委员会评审。</w:t>
            </w:r>
          </w:p>
          <w:p w14:paraId="514CA1B1">
            <w:pPr>
              <w:autoSpaceDE w:val="0"/>
              <w:autoSpaceDN w:val="0"/>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6. 公布投标人名称、投标报价、质量目标、工期及其他内容。</w:t>
            </w:r>
          </w:p>
          <w:p w14:paraId="42C89E07">
            <w:pPr>
              <w:autoSpaceDE w:val="0"/>
              <w:autoSpaceDN w:val="0"/>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在重庆市工程建设领域招标投标信用平台上查询、公布所有投标人（含联合体成员单位）信用状况（若遇特殊情况，可在开标现场或开标当日，采用人工方式在“重庆市公共资源交易监督网”的“信用信息”栏目查询、核实），汇总并打印所有投标人的信用查询结果，并由招标人代表、监标人、记录人签名确认。</w:t>
            </w:r>
          </w:p>
          <w:p w14:paraId="2F98211D">
            <w:pPr>
              <w:autoSpaceDE w:val="0"/>
              <w:autoSpaceDN w:val="0"/>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8</w:t>
            </w:r>
            <w:r>
              <w:rPr>
                <w:rFonts w:hint="eastAsia" w:ascii="宋体" w:hAnsi="宋体"/>
                <w:color w:val="auto"/>
                <w:szCs w:val="21"/>
                <w:highlight w:val="none"/>
              </w:rPr>
              <w:t>.投标人对开标有异议的，应当场或在线（不见面开标适用）提出，由招标人或代理机构当场或在线（不见面开标适用）答复，并记录到开标记录表中。异议处理完毕后，汇总开标情况，打印开标记录表。</w:t>
            </w:r>
          </w:p>
          <w:p w14:paraId="142D15D2">
            <w:pPr>
              <w:autoSpaceDE w:val="0"/>
              <w:autoSpaceDN w:val="0"/>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9</w:t>
            </w:r>
            <w:r>
              <w:rPr>
                <w:rFonts w:hint="eastAsia" w:ascii="宋体" w:hAnsi="宋体"/>
                <w:color w:val="auto"/>
                <w:szCs w:val="21"/>
                <w:highlight w:val="none"/>
              </w:rPr>
              <w:t>. 投标人代表、招标人代表、监标人、主持人、记录人等有关人员在开标记录上签名确认。因其他原因未能签名的，视为默认开标结果。</w:t>
            </w:r>
          </w:p>
          <w:p w14:paraId="2BE944F5">
            <w:pPr>
              <w:autoSpaceDE w:val="0"/>
              <w:autoSpaceDN w:val="0"/>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纸质投标保函原件、投标保证金缴纳情况表、开标记录表、投标人信用情况汇总表一并交由评标委员会评审。</w:t>
            </w:r>
          </w:p>
          <w:p w14:paraId="60E8431F">
            <w:pPr>
              <w:autoSpaceDE w:val="0"/>
              <w:autoSpaceDN w:val="0"/>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w:t>
            </w:r>
            <w:r>
              <w:rPr>
                <w:rFonts w:ascii="宋体" w:hAnsi="宋体"/>
                <w:color w:val="auto"/>
                <w:szCs w:val="21"/>
                <w:highlight w:val="none"/>
              </w:rPr>
              <w:t>0</w:t>
            </w:r>
            <w:r>
              <w:rPr>
                <w:rFonts w:hint="eastAsia" w:ascii="宋体" w:hAnsi="宋体"/>
                <w:color w:val="auto"/>
                <w:szCs w:val="21"/>
                <w:highlight w:val="none"/>
              </w:rPr>
              <w:t>.主持人宣布开标结束。</w:t>
            </w:r>
          </w:p>
        </w:tc>
      </w:tr>
      <w:tr w14:paraId="20DCE9C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02E4C876">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6.1.1</w:t>
            </w:r>
          </w:p>
        </w:tc>
        <w:tc>
          <w:tcPr>
            <w:tcW w:w="1644" w:type="dxa"/>
            <w:vAlign w:val="center"/>
          </w:tcPr>
          <w:p w14:paraId="0EC3372B">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评标委员会的组建</w:t>
            </w:r>
          </w:p>
        </w:tc>
        <w:tc>
          <w:tcPr>
            <w:tcW w:w="6490" w:type="dxa"/>
            <w:vAlign w:val="center"/>
          </w:tcPr>
          <w:p w14:paraId="13F9B475">
            <w:pPr>
              <w:autoSpaceDE w:val="0"/>
              <w:autoSpaceDN w:val="0"/>
              <w:adjustRightInd w:val="0"/>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由招标人按法律法规及相关规定依法组建评标委员会。</w:t>
            </w:r>
          </w:p>
        </w:tc>
      </w:tr>
      <w:tr w14:paraId="404D7E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718CFEBF">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7.1</w:t>
            </w:r>
          </w:p>
        </w:tc>
        <w:tc>
          <w:tcPr>
            <w:tcW w:w="1644" w:type="dxa"/>
            <w:vAlign w:val="center"/>
          </w:tcPr>
          <w:p w14:paraId="3F7D315D">
            <w:pPr>
              <w:snapToGrid w:val="0"/>
              <w:spacing w:after="62" w:afterLines="20" w:line="400" w:lineRule="exact"/>
              <w:jc w:val="center"/>
              <w:rPr>
                <w:rFonts w:ascii="宋体" w:hAnsi="宋体"/>
                <w:color w:val="auto"/>
                <w:kern w:val="0"/>
                <w:szCs w:val="21"/>
                <w:highlight w:val="none"/>
              </w:rPr>
            </w:pPr>
            <w:r>
              <w:rPr>
                <w:rFonts w:ascii="宋体" w:hAnsi="宋体"/>
                <w:color w:val="auto"/>
                <w:kern w:val="0"/>
                <w:szCs w:val="21"/>
                <w:highlight w:val="none"/>
              </w:rPr>
              <w:t>是否授权评标委员会确定中标人</w:t>
            </w:r>
          </w:p>
        </w:tc>
        <w:tc>
          <w:tcPr>
            <w:tcW w:w="6490" w:type="dxa"/>
            <w:vAlign w:val="center"/>
          </w:tcPr>
          <w:p w14:paraId="100DDB7E">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sym w:font="Wingdings 2" w:char="F052"/>
            </w:r>
            <w:r>
              <w:rPr>
                <w:rFonts w:hint="eastAsia" w:ascii="宋体" w:hAnsi="宋体"/>
                <w:color w:val="auto"/>
                <w:kern w:val="0"/>
                <w:szCs w:val="21"/>
                <w:highlight w:val="none"/>
              </w:rPr>
              <w:t>B</w:t>
            </w:r>
            <w:r>
              <w:rPr>
                <w:rFonts w:ascii="宋体" w:hAnsi="宋体"/>
                <w:color w:val="auto"/>
                <w:kern w:val="0"/>
                <w:szCs w:val="21"/>
                <w:highlight w:val="none"/>
              </w:rPr>
              <w:t>否，推荐经评审综合得分由高到低排名前三名为中标候选人。</w:t>
            </w:r>
          </w:p>
        </w:tc>
      </w:tr>
      <w:tr w14:paraId="054644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2F01AA70">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7.2</w:t>
            </w:r>
          </w:p>
        </w:tc>
        <w:tc>
          <w:tcPr>
            <w:tcW w:w="1644" w:type="dxa"/>
            <w:vAlign w:val="center"/>
          </w:tcPr>
          <w:p w14:paraId="722D8159">
            <w:pPr>
              <w:snapToGrid w:val="0"/>
              <w:spacing w:after="62" w:afterLines="20" w:line="400" w:lineRule="exact"/>
              <w:jc w:val="center"/>
              <w:rPr>
                <w:rFonts w:ascii="宋体" w:hAnsi="宋体"/>
                <w:color w:val="auto"/>
                <w:kern w:val="0"/>
                <w:szCs w:val="21"/>
                <w:highlight w:val="none"/>
              </w:rPr>
            </w:pPr>
            <w:r>
              <w:rPr>
                <w:rFonts w:ascii="宋体" w:hAnsi="宋体"/>
                <w:color w:val="auto"/>
                <w:kern w:val="0"/>
                <w:szCs w:val="21"/>
                <w:highlight w:val="none"/>
              </w:rPr>
              <w:t>中标公示</w:t>
            </w:r>
          </w:p>
        </w:tc>
        <w:tc>
          <w:tcPr>
            <w:tcW w:w="6490" w:type="dxa"/>
            <w:vAlign w:val="center"/>
          </w:tcPr>
          <w:p w14:paraId="376FA4DA">
            <w:pPr>
              <w:snapToGrid w:val="0"/>
              <w:spacing w:line="400" w:lineRule="exact"/>
              <w:ind w:firstLine="420" w:firstLineChars="200"/>
              <w:rPr>
                <w:rFonts w:ascii="宋体" w:hAnsi="宋体"/>
                <w:color w:val="auto"/>
                <w:kern w:val="0"/>
                <w:szCs w:val="21"/>
                <w:highlight w:val="none"/>
              </w:rPr>
            </w:pPr>
            <w:r>
              <w:rPr>
                <w:rFonts w:hint="eastAsia" w:ascii="宋体" w:hAnsi="宋体" w:cs="宋体"/>
                <w:color w:val="auto"/>
                <w:szCs w:val="21"/>
                <w:highlight w:val="none"/>
              </w:rPr>
              <w:t>招标人在收到评标报告后3日内将评标结果在</w:t>
            </w:r>
            <w:r>
              <w:rPr>
                <w:rFonts w:hint="eastAsia" w:ascii="宋体" w:hAnsi="宋体" w:cs="宋体"/>
                <w:color w:val="auto"/>
                <w:szCs w:val="21"/>
                <w:highlight w:val="none"/>
                <w:u w:val="single"/>
              </w:rPr>
              <w:t>重庆市公共</w:t>
            </w:r>
            <w:r>
              <w:rPr>
                <w:rFonts w:ascii="宋体" w:hAnsi="宋体" w:cs="宋体"/>
                <w:color w:val="auto"/>
                <w:szCs w:val="21"/>
                <w:highlight w:val="none"/>
                <w:u w:val="single"/>
              </w:rPr>
              <w:t>资源交易网</w:t>
            </w:r>
            <w:r>
              <w:rPr>
                <w:rFonts w:hint="eastAsia" w:ascii="宋体" w:hAnsi="宋体" w:cs="宋体"/>
                <w:color w:val="auto"/>
                <w:szCs w:val="21"/>
                <w:highlight w:val="none"/>
              </w:rPr>
              <w:t>上进行公示，公示期为3日。为深化信息公开，接受社会监督，本项目将按照《招标公告和公示信息发布管理办法》（国家发改委令第10号）的要求，公示内容包括中标候选人名称、排序、投标报价、质量、工期；中标候选人资质、投标业绩名称，中标候选人项目经理姓名及其相关证书名称和编号、投标业绩名称；否决投标情况及理由；提出异议、投诉的渠道和方式。</w:t>
            </w:r>
          </w:p>
        </w:tc>
      </w:tr>
      <w:tr w14:paraId="21360B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7AE9E8FE">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7.3.1</w:t>
            </w:r>
          </w:p>
        </w:tc>
        <w:tc>
          <w:tcPr>
            <w:tcW w:w="1644" w:type="dxa"/>
            <w:vAlign w:val="center"/>
          </w:tcPr>
          <w:p w14:paraId="37365585">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履约担保</w:t>
            </w:r>
          </w:p>
        </w:tc>
        <w:tc>
          <w:tcPr>
            <w:tcW w:w="6490" w:type="dxa"/>
            <w:vAlign w:val="center"/>
          </w:tcPr>
          <w:p w14:paraId="24FB5888">
            <w:pPr>
              <w:snapToGrid w:val="0"/>
              <w:spacing w:line="400" w:lineRule="exact"/>
              <w:ind w:firstLine="420" w:firstLineChars="200"/>
              <w:rPr>
                <w:rFonts w:ascii="宋体" w:hAnsi="宋体"/>
                <w:i/>
                <w:color w:val="auto"/>
                <w:kern w:val="0"/>
                <w:szCs w:val="21"/>
                <w:highlight w:val="none"/>
              </w:rPr>
            </w:pPr>
            <w:r>
              <w:rPr>
                <w:rFonts w:hint="eastAsia" w:ascii="宋体" w:hAnsi="宋体"/>
                <w:color w:val="auto"/>
                <w:kern w:val="0"/>
                <w:szCs w:val="21"/>
                <w:highlight w:val="none"/>
              </w:rPr>
              <w:t>1、中标人是否提供履约担保：</w:t>
            </w:r>
            <w:r>
              <w:rPr>
                <w:rFonts w:hint="eastAsia" w:ascii="宋体" w:hAnsi="宋体"/>
                <w:color w:val="auto"/>
                <w:kern w:val="0"/>
                <w:szCs w:val="21"/>
                <w:highlight w:val="none"/>
                <w:u w:val="single"/>
              </w:rPr>
              <w:t>提供</w:t>
            </w:r>
            <w:r>
              <w:rPr>
                <w:rFonts w:hint="eastAsia" w:ascii="宋体" w:hAnsi="宋体"/>
                <w:color w:val="auto"/>
                <w:kern w:val="0"/>
                <w:szCs w:val="21"/>
                <w:highlight w:val="none"/>
              </w:rPr>
              <w:t>。</w:t>
            </w:r>
          </w:p>
          <w:p w14:paraId="44C39B9B">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2、中标人提供履约担保的形式、金额及期限：</w:t>
            </w:r>
          </w:p>
          <w:p w14:paraId="7A14EB97">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1）履约担保的形式：现金或履约保函或现金+履约保函的组合，履约保函包括银行保函、保证保险和担保保函，其示范文本详见第四章合同条款及格式附件。中标人提交的履约保函应严格执行其示范文本，不得对示范文本中的实质性内容进行修改</w:t>
            </w:r>
            <w:r>
              <w:rPr>
                <w:rFonts w:hint="eastAsia" w:ascii="宋体" w:hAnsi="宋体"/>
                <w:color w:val="auto"/>
                <w:szCs w:val="21"/>
                <w:highlight w:val="none"/>
              </w:rPr>
              <w:t>。</w:t>
            </w:r>
          </w:p>
          <w:p w14:paraId="2E9CB3BD">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2）具体要求：履约保函的开立人应当是具有相应资格的银行、保险机构、融资担保公司，其信用资质、履约能力、担保能力、赔付流程、安全保密等应符合履约保函业务条件。履约保函应合法合规，符合招投标行政监督部门、行业主管部门和金融监管部门的相关规定，满足招标文件约定要求。中标人应选择在渝依法设立总部或者设有分支机构的金融机构开具履约保函（包括纸质保函或电子保函）。履约保函为纸质保函的，纸质保函应注明在重庆市辖区范围内的核验地址和核验方式，并确保该纸质保函能在开立人在渝的总部或者分支机构进行核验。中标人对所提交的履约保函的真实性、合法性、有效性负责。</w:t>
            </w:r>
          </w:p>
          <w:p w14:paraId="78048414">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（3）履约担保的金额：</w:t>
            </w:r>
            <w:r>
              <w:rPr>
                <w:rFonts w:hint="eastAsia" w:ascii="宋体" w:hAnsi="宋体"/>
                <w:color w:val="auto"/>
                <w:kern w:val="0"/>
                <w:szCs w:val="21"/>
                <w:highlight w:val="none"/>
                <w:u w:val="single"/>
              </w:rPr>
              <w:t xml:space="preserve">中标合同金额的10%  </w:t>
            </w:r>
            <w:r>
              <w:rPr>
                <w:rFonts w:hint="eastAsia" w:ascii="宋体" w:hAnsi="宋体"/>
                <w:color w:val="auto"/>
                <w:kern w:val="0"/>
                <w:szCs w:val="21"/>
                <w:highlight w:val="none"/>
              </w:rPr>
              <w:t>，红名单中的中标人履约担保金额为应缴纳金额的</w:t>
            </w:r>
            <w:r>
              <w:rPr>
                <w:rFonts w:hint="eastAsia"/>
                <w:color w:val="auto"/>
                <w:highlight w:val="none"/>
                <w:u w:val="single"/>
              </w:rPr>
              <w:t xml:space="preserve"> 8</w:t>
            </w:r>
            <w:r>
              <w:rPr>
                <w:color w:val="auto"/>
                <w:highlight w:val="none"/>
                <w:u w:val="single"/>
              </w:rPr>
              <w:t>0%</w:t>
            </w:r>
            <w:r>
              <w:rPr>
                <w:rFonts w:hint="eastAsia" w:ascii="宋体" w:hAnsi="宋体"/>
                <w:color w:val="auto"/>
                <w:kern w:val="0"/>
                <w:szCs w:val="21"/>
                <w:highlight w:val="none"/>
              </w:rPr>
              <w:t>。中标人是否属于红名单</w:t>
            </w:r>
            <w:r>
              <w:rPr>
                <w:rFonts w:hint="eastAsia" w:ascii="宋体" w:hAnsi="宋体"/>
                <w:color w:val="auto"/>
                <w:kern w:val="0"/>
                <w:szCs w:val="21"/>
                <w:highlight w:val="none"/>
              </w:rPr>
              <w:sym w:font="Wingdings 2" w:char="F052"/>
            </w:r>
            <w:r>
              <w:rPr>
                <w:rFonts w:hint="eastAsia" w:ascii="宋体" w:hAnsi="宋体"/>
                <w:color w:val="auto"/>
                <w:kern w:val="0"/>
                <w:szCs w:val="21"/>
                <w:highlight w:val="none"/>
              </w:rPr>
              <w:t>方式一：以开标环节信用状况查询结果为准。</w:t>
            </w:r>
          </w:p>
          <w:p w14:paraId="4415A165">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（4）履约担保的提交时间：见专用合同条款。</w:t>
            </w:r>
          </w:p>
          <w:p w14:paraId="4123CD18">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（5）履约担保的期限：见专用合同条款。</w:t>
            </w:r>
          </w:p>
          <w:p w14:paraId="3F8FA419">
            <w:pPr>
              <w:snapToGrid w:val="0"/>
              <w:spacing w:after="62" w:afterLines="20"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（6）履约担保的退还时间：见专用合同条款。</w:t>
            </w:r>
          </w:p>
        </w:tc>
      </w:tr>
      <w:tr w14:paraId="0310A7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57603F74">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7.4.1</w:t>
            </w:r>
          </w:p>
        </w:tc>
        <w:tc>
          <w:tcPr>
            <w:tcW w:w="1644" w:type="dxa"/>
            <w:vAlign w:val="center"/>
          </w:tcPr>
          <w:p w14:paraId="11B55F97">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签订合同</w:t>
            </w:r>
          </w:p>
        </w:tc>
        <w:tc>
          <w:tcPr>
            <w:tcW w:w="6490" w:type="dxa"/>
            <w:vAlign w:val="center"/>
          </w:tcPr>
          <w:p w14:paraId="7ED216C1">
            <w:pPr>
              <w:snapToGrid w:val="0"/>
              <w:spacing w:after="62" w:afterLines="20"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依法必须进行招标的项目，中标候选人有《招标投标法实施条例》第七十四条规定行为的，视为特别严重信用不良行为且情节特别严重，按信用记分上限一次性记12分，纳入黑名单管理；中标人有《招标投标法实施条例》第七十四条规定行为的，按中标项目金额10‰罚款上限予以行政处罚，按信用记分上限一次性并处记12分，纳入黑名单管理。</w:t>
            </w:r>
          </w:p>
        </w:tc>
      </w:tr>
      <w:tr w14:paraId="12CF145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517C7865">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8.1</w:t>
            </w:r>
          </w:p>
        </w:tc>
        <w:tc>
          <w:tcPr>
            <w:tcW w:w="1644" w:type="dxa"/>
            <w:vAlign w:val="center"/>
          </w:tcPr>
          <w:p w14:paraId="01D4FDAC">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重新招标</w:t>
            </w:r>
            <w:r>
              <w:rPr>
                <w:rFonts w:hint="eastAsia" w:ascii="宋体" w:hAnsi="宋体"/>
                <w:color w:val="auto"/>
                <w:kern w:val="0"/>
                <w:szCs w:val="21"/>
                <w:highlight w:val="none"/>
              </w:rPr>
              <w:t>的情形</w:t>
            </w:r>
          </w:p>
        </w:tc>
        <w:tc>
          <w:tcPr>
            <w:tcW w:w="6490" w:type="dxa"/>
            <w:vAlign w:val="center"/>
          </w:tcPr>
          <w:p w14:paraId="1FE3654E">
            <w:pPr>
              <w:snapToGrid w:val="0"/>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1.按投标人须知第8.1（1）执行；</w:t>
            </w:r>
          </w:p>
          <w:p w14:paraId="21DD69C5">
            <w:pPr>
              <w:snapToGrid w:val="0"/>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2.按投标人须知第8.1（2）执行；</w:t>
            </w:r>
          </w:p>
          <w:p w14:paraId="2865B94E">
            <w:pPr>
              <w:snapToGrid w:val="0"/>
              <w:spacing w:line="400" w:lineRule="exact"/>
              <w:ind w:firstLine="420" w:firstLineChars="200"/>
              <w:rPr>
                <w:rFonts w:ascii="宋体" w:hAnsi="宋体"/>
                <w:color w:val="auto"/>
                <w:kern w:val="0"/>
                <w:szCs w:val="21"/>
                <w:highlight w:val="none"/>
              </w:rPr>
            </w:pPr>
            <w:r>
              <w:rPr>
                <w:rFonts w:ascii="宋体" w:hAnsi="宋体"/>
                <w:snapToGrid w:val="0"/>
                <w:color w:val="auto"/>
                <w:kern w:val="0"/>
                <w:szCs w:val="21"/>
                <w:highlight w:val="none"/>
              </w:rPr>
              <w:t>3.</w:t>
            </w:r>
            <w:r>
              <w:rPr>
                <w:rFonts w:ascii="宋体" w:hAnsi="宋体"/>
                <w:color w:val="auto"/>
                <w:kern w:val="0"/>
                <w:szCs w:val="21"/>
                <w:highlight w:val="none"/>
              </w:rPr>
              <w:t>按投标人须知第8.1（3）执行；</w:t>
            </w:r>
          </w:p>
          <w:p w14:paraId="71562E69">
            <w:pPr>
              <w:snapToGrid w:val="0"/>
              <w:spacing w:line="400" w:lineRule="exact"/>
              <w:ind w:firstLine="420" w:firstLineChars="200"/>
              <w:rPr>
                <w:rFonts w:ascii="宋体" w:hAnsi="宋体"/>
                <w:color w:val="auto"/>
                <w:kern w:val="0"/>
                <w:szCs w:val="21"/>
                <w:highlight w:val="none"/>
              </w:rPr>
            </w:pPr>
            <w:r>
              <w:rPr>
                <w:rFonts w:ascii="宋体" w:hAnsi="宋体"/>
                <w:snapToGrid w:val="0"/>
                <w:color w:val="auto"/>
                <w:kern w:val="0"/>
                <w:szCs w:val="21"/>
                <w:highlight w:val="none"/>
              </w:rPr>
              <w:t>4.</w:t>
            </w:r>
            <w:r>
              <w:rPr>
                <w:rFonts w:ascii="宋体" w:hAnsi="宋体"/>
                <w:color w:val="auto"/>
                <w:kern w:val="0"/>
                <w:szCs w:val="21"/>
                <w:highlight w:val="none"/>
              </w:rPr>
              <w:t>按投标人须知第8.1（4）执行</w:t>
            </w:r>
            <w:r>
              <w:rPr>
                <w:rFonts w:hint="eastAsia" w:ascii="宋体" w:hAnsi="宋体"/>
                <w:color w:val="auto"/>
                <w:kern w:val="0"/>
                <w:szCs w:val="21"/>
                <w:highlight w:val="none"/>
              </w:rPr>
              <w:t>。</w:t>
            </w:r>
          </w:p>
          <w:p w14:paraId="104A3289">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注：本款只适用于首次招标。</w:t>
            </w:r>
          </w:p>
        </w:tc>
      </w:tr>
      <w:tr w14:paraId="766F7E4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3AF38C4B">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8.2</w:t>
            </w:r>
          </w:p>
        </w:tc>
        <w:tc>
          <w:tcPr>
            <w:tcW w:w="1644" w:type="dxa"/>
            <w:vAlign w:val="center"/>
          </w:tcPr>
          <w:p w14:paraId="3470B4DA">
            <w:pPr>
              <w:snapToGrid w:val="0"/>
              <w:spacing w:line="400" w:lineRule="exact"/>
              <w:jc w:val="center"/>
              <w:rPr>
                <w:color w:val="auto"/>
                <w:highlight w:val="none"/>
              </w:rPr>
            </w:pPr>
            <w:bookmarkStart w:id="89" w:name="_Toc509218709"/>
            <w:bookmarkStart w:id="90" w:name="_Toc536628250"/>
            <w:bookmarkStart w:id="91" w:name="_Toc430530434"/>
            <w:bookmarkStart w:id="92" w:name="_Toc16930431"/>
            <w:bookmarkStart w:id="93" w:name="_Toc13210670"/>
            <w:r>
              <w:rPr>
                <w:rFonts w:hint="eastAsia" w:ascii="宋体" w:hAnsi="宋体"/>
                <w:color w:val="auto"/>
                <w:kern w:val="0"/>
                <w:szCs w:val="21"/>
                <w:highlight w:val="none"/>
              </w:rPr>
              <w:t>重新</w:t>
            </w:r>
            <w:r>
              <w:rPr>
                <w:rFonts w:ascii="宋体" w:hAnsi="宋体"/>
                <w:color w:val="auto"/>
                <w:kern w:val="0"/>
                <w:szCs w:val="21"/>
                <w:highlight w:val="none"/>
              </w:rPr>
              <w:t>招标和不再招标</w:t>
            </w:r>
            <w:bookmarkEnd w:id="89"/>
            <w:bookmarkEnd w:id="90"/>
            <w:bookmarkEnd w:id="91"/>
            <w:bookmarkEnd w:id="92"/>
            <w:bookmarkEnd w:id="93"/>
          </w:p>
        </w:tc>
        <w:tc>
          <w:tcPr>
            <w:tcW w:w="6490" w:type="dxa"/>
            <w:vAlign w:val="center"/>
          </w:tcPr>
          <w:p w14:paraId="6DE1DA38">
            <w:pPr>
              <w:autoSpaceDE w:val="0"/>
              <w:autoSpaceDN w:val="0"/>
              <w:adjustRightInd w:val="0"/>
              <w:snapToGrid w:val="0"/>
              <w:spacing w:after="62" w:afterLines="20" w:line="400" w:lineRule="exact"/>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备案手续的依法必须进行招标的项目，应当报原项目投资主管部门审批、核准、备案</w:t>
            </w:r>
            <w:r>
              <w:rPr>
                <w:rFonts w:ascii="宋体" w:hAnsi="宋体"/>
                <w:snapToGrid w:val="0"/>
                <w:color w:val="auto"/>
                <w:kern w:val="0"/>
                <w:szCs w:val="21"/>
                <w:highlight w:val="none"/>
              </w:rPr>
              <w:t>。</w:t>
            </w:r>
          </w:p>
        </w:tc>
      </w:tr>
      <w:tr w14:paraId="3D8F01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54CCAEB1">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10</w:t>
            </w:r>
          </w:p>
        </w:tc>
        <w:tc>
          <w:tcPr>
            <w:tcW w:w="8134" w:type="dxa"/>
            <w:gridSpan w:val="2"/>
            <w:vAlign w:val="center"/>
          </w:tcPr>
          <w:p w14:paraId="5E709BBC">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需要补充的其他内容</w:t>
            </w:r>
          </w:p>
        </w:tc>
      </w:tr>
      <w:tr w14:paraId="127750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25433688">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10.1</w:t>
            </w:r>
          </w:p>
        </w:tc>
        <w:tc>
          <w:tcPr>
            <w:tcW w:w="1644" w:type="dxa"/>
            <w:vAlign w:val="center"/>
          </w:tcPr>
          <w:p w14:paraId="136387D7">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支付担保</w:t>
            </w:r>
          </w:p>
        </w:tc>
        <w:tc>
          <w:tcPr>
            <w:tcW w:w="6490" w:type="dxa"/>
            <w:vAlign w:val="center"/>
          </w:tcPr>
          <w:p w14:paraId="67C7595E">
            <w:pPr>
              <w:snapToGrid w:val="0"/>
              <w:spacing w:after="124" w:afterLines="40"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不提供</w:t>
            </w:r>
          </w:p>
        </w:tc>
      </w:tr>
      <w:tr w14:paraId="246DC2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28398392">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10.2</w:t>
            </w:r>
          </w:p>
        </w:tc>
        <w:tc>
          <w:tcPr>
            <w:tcW w:w="1644" w:type="dxa"/>
            <w:vAlign w:val="center"/>
          </w:tcPr>
          <w:p w14:paraId="2C0AF363">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项目经理答辩</w:t>
            </w:r>
          </w:p>
        </w:tc>
        <w:tc>
          <w:tcPr>
            <w:tcW w:w="6490" w:type="dxa"/>
            <w:vAlign w:val="center"/>
          </w:tcPr>
          <w:p w14:paraId="79D165F3">
            <w:pPr>
              <w:snapToGrid w:val="0"/>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项目经理答辩</w:t>
            </w:r>
            <w:r>
              <w:rPr>
                <w:rFonts w:hint="eastAsia" w:ascii="宋体" w:hAnsi="宋体"/>
                <w:color w:val="auto"/>
                <w:kern w:val="0"/>
                <w:szCs w:val="21"/>
                <w:highlight w:val="none"/>
              </w:rPr>
              <w:t>（综合评估法可选用）</w:t>
            </w:r>
            <w:r>
              <w:rPr>
                <w:rFonts w:ascii="宋体" w:hAnsi="宋体"/>
                <w:color w:val="auto"/>
                <w:kern w:val="0"/>
                <w:szCs w:val="21"/>
                <w:highlight w:val="none"/>
              </w:rPr>
              <w:t>：</w:t>
            </w:r>
            <w:r>
              <w:rPr>
                <w:rFonts w:hint="eastAsia" w:ascii="宋体" w:hAnsi="宋体"/>
                <w:color w:val="auto"/>
                <w:kern w:val="0"/>
                <w:szCs w:val="21"/>
                <w:highlight w:val="none"/>
              </w:rPr>
              <w:t xml:space="preserve"> </w:t>
            </w:r>
            <w:r>
              <w:rPr>
                <w:rFonts w:hint="eastAsia" w:ascii="宋体" w:hAnsi="宋体"/>
                <w:color w:val="auto"/>
                <w:kern w:val="0"/>
                <w:szCs w:val="21"/>
                <w:highlight w:val="none"/>
              </w:rPr>
              <w:sym w:font="Wingdings 2" w:char="F052"/>
            </w:r>
            <w:r>
              <w:rPr>
                <w:rFonts w:ascii="宋体" w:hAnsi="宋体"/>
                <w:color w:val="auto"/>
                <w:kern w:val="0"/>
                <w:szCs w:val="21"/>
                <w:highlight w:val="none"/>
              </w:rPr>
              <w:t>无</w:t>
            </w:r>
          </w:p>
        </w:tc>
      </w:tr>
      <w:tr w14:paraId="455F59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5E65B39F">
            <w:pPr>
              <w:snapToGrid w:val="0"/>
              <w:spacing w:line="400" w:lineRule="exact"/>
              <w:jc w:val="center"/>
              <w:rPr>
                <w:rFonts w:ascii="宋体" w:hAnsi="宋体"/>
                <w:color w:val="auto"/>
                <w:kern w:val="0"/>
                <w:szCs w:val="21"/>
                <w:highlight w:val="none"/>
              </w:rPr>
            </w:pPr>
            <w:r>
              <w:rPr>
                <w:rFonts w:ascii="宋体" w:hAnsi="宋体"/>
                <w:color w:val="auto"/>
                <w:kern w:val="0"/>
                <w:szCs w:val="21"/>
                <w:highlight w:val="none"/>
              </w:rPr>
              <w:t>10.3</w:t>
            </w:r>
          </w:p>
        </w:tc>
        <w:tc>
          <w:tcPr>
            <w:tcW w:w="1644" w:type="dxa"/>
            <w:vAlign w:val="center"/>
          </w:tcPr>
          <w:p w14:paraId="54F75227">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异议、</w:t>
            </w:r>
            <w:r>
              <w:rPr>
                <w:rFonts w:ascii="宋体" w:hAnsi="宋体"/>
                <w:color w:val="auto"/>
                <w:kern w:val="0"/>
                <w:szCs w:val="21"/>
                <w:highlight w:val="none"/>
              </w:rPr>
              <w:t>投诉处理</w:t>
            </w:r>
          </w:p>
        </w:tc>
        <w:tc>
          <w:tcPr>
            <w:tcW w:w="6490" w:type="dxa"/>
            <w:vAlign w:val="center"/>
          </w:tcPr>
          <w:p w14:paraId="1B78A465">
            <w:pPr>
              <w:widowControl/>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1.</w:t>
            </w:r>
            <w:r>
              <w:rPr>
                <w:rFonts w:hint="eastAsia" w:ascii="宋体" w:hAnsi="宋体"/>
                <w:color w:val="auto"/>
                <w:kern w:val="0"/>
                <w:szCs w:val="21"/>
                <w:highlight w:val="none"/>
              </w:rPr>
              <w:t xml:space="preserve"> </w:t>
            </w:r>
            <w:r>
              <w:rPr>
                <w:rFonts w:ascii="宋体" w:hAnsi="宋体"/>
                <w:color w:val="auto"/>
                <w:kern w:val="0"/>
                <w:szCs w:val="21"/>
                <w:highlight w:val="none"/>
              </w:rPr>
              <w:t>投标人或者其他利害关系人就本项目的招标文件</w:t>
            </w:r>
            <w:r>
              <w:rPr>
                <w:rFonts w:hint="eastAsia" w:ascii="宋体" w:hAnsi="宋体"/>
                <w:color w:val="auto"/>
                <w:kern w:val="0"/>
                <w:szCs w:val="21"/>
                <w:highlight w:val="none"/>
              </w:rPr>
              <w:t>（含澄清修改）、开标情况、</w:t>
            </w:r>
            <w:r>
              <w:rPr>
                <w:rFonts w:ascii="宋体" w:hAnsi="宋体"/>
                <w:color w:val="auto"/>
                <w:kern w:val="0"/>
                <w:szCs w:val="21"/>
                <w:highlight w:val="none"/>
              </w:rPr>
              <w:t>评标结果等事项提出投诉</w:t>
            </w:r>
            <w:r>
              <w:rPr>
                <w:rFonts w:hint="eastAsia" w:ascii="宋体" w:hAnsi="宋体"/>
                <w:color w:val="auto"/>
                <w:kern w:val="0"/>
                <w:szCs w:val="21"/>
                <w:highlight w:val="none"/>
              </w:rPr>
              <w:t>的</w:t>
            </w:r>
            <w:r>
              <w:rPr>
                <w:rFonts w:ascii="宋体" w:hAnsi="宋体"/>
                <w:color w:val="auto"/>
                <w:kern w:val="0"/>
                <w:szCs w:val="21"/>
                <w:highlight w:val="none"/>
              </w:rPr>
              <w:t>，应当先向招标人提出异议；招标人应当在规定时间内答复；对招标人的答复不满意，可向行政监督部门投诉。</w:t>
            </w:r>
          </w:p>
          <w:p w14:paraId="701E6BBF">
            <w:pPr>
              <w:widowControl/>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提出异议或投诉时应当包括下列内容：</w:t>
            </w:r>
          </w:p>
          <w:p w14:paraId="15906FFB">
            <w:pPr>
              <w:widowControl/>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（1）异议人或投诉人的名称、地址及有效联系方式；</w:t>
            </w:r>
          </w:p>
          <w:p w14:paraId="16F5244E">
            <w:pPr>
              <w:widowControl/>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（2）被异议人或被投诉人的名称、地址及有效联系方式；</w:t>
            </w:r>
          </w:p>
          <w:p w14:paraId="660B9499">
            <w:pPr>
              <w:widowControl/>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（3）异议或投诉事项的基本事实；</w:t>
            </w:r>
          </w:p>
          <w:p w14:paraId="21A59E98">
            <w:pPr>
              <w:widowControl/>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（4）请求及主张；</w:t>
            </w:r>
          </w:p>
          <w:p w14:paraId="1AE56C62">
            <w:pPr>
              <w:widowControl/>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（5）涉及事项的证据、证明材料。</w:t>
            </w:r>
          </w:p>
          <w:p w14:paraId="7AC6C839">
            <w:pPr>
              <w:widowControl/>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异议人或投诉人是法人的，异议书或投诉书必须由其法定代表人或者委托代理人签名并加盖单位</w:t>
            </w:r>
            <w:r>
              <w:rPr>
                <w:rFonts w:ascii="宋体" w:hAnsi="宋体"/>
                <w:color w:val="auto"/>
                <w:kern w:val="0"/>
                <w:szCs w:val="21"/>
                <w:highlight w:val="none"/>
              </w:rPr>
              <w:t>公</w:t>
            </w:r>
            <w:r>
              <w:rPr>
                <w:rFonts w:hint="eastAsia" w:ascii="宋体" w:hAnsi="宋体"/>
                <w:color w:val="auto"/>
                <w:kern w:val="0"/>
                <w:szCs w:val="21"/>
                <w:highlight w:val="none"/>
              </w:rPr>
              <w:t>章；异议人或投诉人是其他组织或者自然人的，异议书或投诉书必须由其主要负责人签名或者异议人（或投诉人）本人签名，并附有效身份证明。如有关材料是外文，应当同时提供中文译本。</w:t>
            </w:r>
          </w:p>
          <w:p w14:paraId="41DECAAA">
            <w:pPr>
              <w:widowControl/>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2.</w:t>
            </w:r>
            <w:r>
              <w:rPr>
                <w:rFonts w:hint="eastAsia" w:ascii="宋体" w:hAnsi="宋体"/>
                <w:color w:val="auto"/>
                <w:kern w:val="0"/>
                <w:szCs w:val="21"/>
                <w:highlight w:val="none"/>
              </w:rPr>
              <w:t xml:space="preserve"> </w:t>
            </w:r>
            <w:r>
              <w:rPr>
                <w:rFonts w:ascii="宋体" w:hAnsi="宋体"/>
                <w:color w:val="auto"/>
                <w:kern w:val="0"/>
                <w:szCs w:val="21"/>
                <w:highlight w:val="none"/>
              </w:rPr>
              <w:t>行政监督部门依照《</w:t>
            </w:r>
            <w:r>
              <w:rPr>
                <w:rFonts w:hint="eastAsia" w:ascii="宋体" w:hAnsi="宋体"/>
                <w:color w:val="auto"/>
                <w:kern w:val="0"/>
                <w:szCs w:val="21"/>
                <w:highlight w:val="none"/>
              </w:rPr>
              <w:t>中华人民共和国</w:t>
            </w:r>
            <w:r>
              <w:rPr>
                <w:rFonts w:ascii="宋体" w:hAnsi="宋体"/>
                <w:color w:val="auto"/>
                <w:kern w:val="0"/>
                <w:szCs w:val="21"/>
                <w:highlight w:val="none"/>
              </w:rPr>
              <w:t>招标投标法》、《</w:t>
            </w:r>
            <w:r>
              <w:rPr>
                <w:rFonts w:hint="eastAsia" w:ascii="宋体" w:hAnsi="宋体"/>
                <w:color w:val="auto"/>
                <w:kern w:val="0"/>
                <w:szCs w:val="21"/>
                <w:highlight w:val="none"/>
              </w:rPr>
              <w:t>中华人民共和国</w:t>
            </w:r>
            <w:r>
              <w:rPr>
                <w:rFonts w:ascii="宋体" w:hAnsi="宋体"/>
                <w:color w:val="auto"/>
                <w:kern w:val="0"/>
                <w:szCs w:val="21"/>
                <w:highlight w:val="none"/>
              </w:rPr>
              <w:t>招标投标法实施条例》、《重庆市招标投标条例》、《工程建设项目招标投标活动投诉处理办法》（七部委令第11号（根据九部门2013年第23号令修正））、</w:t>
            </w:r>
            <w:r>
              <w:rPr>
                <w:rFonts w:hint="eastAsia" w:asciiTheme="minorEastAsia" w:hAnsiTheme="minorEastAsia" w:eastAsiaTheme="minorEastAsia" w:cstheme="minorEastAsia"/>
                <w:color w:val="auto"/>
                <w:kern w:val="0"/>
                <w:szCs w:val="21"/>
                <w:highlight w:val="none"/>
              </w:rPr>
              <w:t>《关于印发&lt;重庆市招标投标活动投诉处理实施细则（修订）&gt;的通知》（渝公管发〔2021〕54号）</w:t>
            </w:r>
            <w:r>
              <w:rPr>
                <w:rFonts w:ascii="宋体" w:hAnsi="宋体"/>
                <w:color w:val="auto"/>
                <w:kern w:val="0"/>
                <w:szCs w:val="21"/>
                <w:highlight w:val="none"/>
              </w:rPr>
              <w:t>等法律法规文件处理投诉。</w:t>
            </w:r>
          </w:p>
          <w:p w14:paraId="033C6542">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3. 根据《重庆市工程建设领域招标投标信用管理暂行办法》的规定，投标人捏造事实、伪造材料，或者以非法手段获取证明材料进行质疑或者投诉的，将被列入黑名单管理；</w:t>
            </w:r>
            <w:r>
              <w:rPr>
                <w:rFonts w:ascii="宋体" w:hAnsi="宋体"/>
                <w:color w:val="auto"/>
                <w:kern w:val="0"/>
                <w:szCs w:val="21"/>
                <w:highlight w:val="none"/>
              </w:rPr>
              <w:t>给他人造成损失的，依法承担赔偿责任。</w:t>
            </w:r>
          </w:p>
          <w:p w14:paraId="12F69338">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4.</w:t>
            </w:r>
            <w:r>
              <w:rPr>
                <w:rFonts w:hint="eastAsia"/>
                <w:color w:val="auto"/>
                <w:highlight w:val="none"/>
              </w:rPr>
              <w:t xml:space="preserve"> </w:t>
            </w:r>
            <w:r>
              <w:rPr>
                <w:rFonts w:hint="eastAsia" w:ascii="宋体" w:hAnsi="宋体"/>
                <w:color w:val="auto"/>
                <w:kern w:val="0"/>
                <w:szCs w:val="21"/>
                <w:highlight w:val="none"/>
              </w:rPr>
              <w:t>异议受理单位：</w:t>
            </w:r>
          </w:p>
          <w:p w14:paraId="3CC2ADB0">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市体育局系统基建维修和政府采购项目业务公开监督电话：</w:t>
            </w:r>
            <w:r>
              <w:rPr>
                <w:rFonts w:hint="eastAsia" w:ascii="宋体" w:hAnsi="宋体"/>
                <w:color w:val="auto"/>
                <w:kern w:val="0"/>
                <w:szCs w:val="21"/>
                <w:highlight w:val="none"/>
                <w:u w:val="single"/>
              </w:rPr>
              <w:t>023-61665134</w:t>
            </w:r>
            <w:r>
              <w:rPr>
                <w:rFonts w:hint="eastAsia" w:ascii="宋体" w:hAnsi="宋体"/>
                <w:color w:val="auto"/>
                <w:kern w:val="0"/>
                <w:szCs w:val="21"/>
                <w:highlight w:val="none"/>
              </w:rPr>
              <w:t>；</w:t>
            </w:r>
          </w:p>
          <w:p w14:paraId="4B10B8AE">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市体育局系统基建维修和政府采购项目业务监督邮箱：</w:t>
            </w:r>
            <w:r>
              <w:rPr>
                <w:color w:val="auto"/>
                <w:highlight w:val="none"/>
              </w:rPr>
              <w:fldChar w:fldCharType="begin"/>
            </w:r>
            <w:r>
              <w:rPr>
                <w:color w:val="auto"/>
                <w:highlight w:val="none"/>
              </w:rPr>
              <w:instrText xml:space="preserve"> HYPERLINK "mailto:cqtyjjcc@163.com" </w:instrText>
            </w:r>
            <w:r>
              <w:rPr>
                <w:color w:val="auto"/>
                <w:highlight w:val="none"/>
              </w:rPr>
              <w:fldChar w:fldCharType="separate"/>
            </w:r>
            <w:r>
              <w:rPr>
                <w:rStyle w:val="54"/>
                <w:rFonts w:hint="eastAsia" w:ascii="宋体" w:hAnsi="宋体"/>
                <w:color w:val="auto"/>
                <w:kern w:val="0"/>
                <w:szCs w:val="21"/>
                <w:highlight w:val="none"/>
              </w:rPr>
              <w:t>cqtyjjcc@163.com</w:t>
            </w:r>
            <w:r>
              <w:rPr>
                <w:rStyle w:val="54"/>
                <w:rFonts w:hint="eastAsia" w:ascii="宋体" w:hAnsi="宋体"/>
                <w:color w:val="auto"/>
                <w:kern w:val="0"/>
                <w:szCs w:val="21"/>
                <w:highlight w:val="none"/>
              </w:rPr>
              <w:fldChar w:fldCharType="end"/>
            </w:r>
            <w:r>
              <w:rPr>
                <w:rFonts w:hint="eastAsia" w:ascii="宋体" w:hAnsi="宋体"/>
                <w:color w:val="auto"/>
                <w:kern w:val="0"/>
                <w:szCs w:val="21"/>
                <w:highlight w:val="none"/>
              </w:rPr>
              <w:t>。</w:t>
            </w:r>
          </w:p>
          <w:p w14:paraId="6F36D68C">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投诉受理部门：</w:t>
            </w:r>
          </w:p>
          <w:p w14:paraId="04D8900A">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市体育局系统基建维修和政府采购项目纪检监督电话：</w:t>
            </w:r>
            <w:r>
              <w:rPr>
                <w:rFonts w:hint="eastAsia" w:ascii="宋体" w:hAnsi="宋体"/>
                <w:color w:val="auto"/>
                <w:kern w:val="0"/>
                <w:szCs w:val="21"/>
                <w:highlight w:val="none"/>
                <w:u w:val="single"/>
              </w:rPr>
              <w:t>023-61665193</w:t>
            </w:r>
            <w:r>
              <w:rPr>
                <w:rFonts w:hint="eastAsia" w:ascii="宋体" w:hAnsi="宋体"/>
                <w:color w:val="auto"/>
                <w:kern w:val="0"/>
                <w:szCs w:val="21"/>
                <w:highlight w:val="none"/>
              </w:rPr>
              <w:t>；</w:t>
            </w:r>
          </w:p>
          <w:p w14:paraId="52B9443E">
            <w:pPr>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市体育局系统基建维修和政府采购项目纪检监督邮箱：</w:t>
            </w:r>
            <w:r>
              <w:rPr>
                <w:rFonts w:hint="eastAsia" w:ascii="宋体" w:hAnsi="宋体"/>
                <w:color w:val="auto"/>
                <w:kern w:val="0"/>
                <w:szCs w:val="21"/>
                <w:highlight w:val="none"/>
                <w:u w:val="single"/>
              </w:rPr>
              <w:t>cqtyjjw@163.com</w:t>
            </w:r>
            <w:r>
              <w:rPr>
                <w:rFonts w:hint="eastAsia" w:ascii="宋体" w:hAnsi="宋体"/>
                <w:color w:val="auto"/>
                <w:kern w:val="0"/>
                <w:szCs w:val="21"/>
                <w:highlight w:val="none"/>
              </w:rPr>
              <w:t>。</w:t>
            </w:r>
          </w:p>
        </w:tc>
      </w:tr>
      <w:tr w14:paraId="2DEE62D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08B3DCF8">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10.4</w:t>
            </w:r>
          </w:p>
        </w:tc>
        <w:tc>
          <w:tcPr>
            <w:tcW w:w="1644" w:type="dxa"/>
            <w:vAlign w:val="center"/>
          </w:tcPr>
          <w:p w14:paraId="5E9F0786">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工程量清单</w:t>
            </w:r>
          </w:p>
          <w:p w14:paraId="60E518EF">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编制说明</w:t>
            </w:r>
          </w:p>
        </w:tc>
        <w:tc>
          <w:tcPr>
            <w:tcW w:w="6490" w:type="dxa"/>
            <w:vAlign w:val="center"/>
          </w:tcPr>
          <w:p w14:paraId="2A7640CE">
            <w:pPr>
              <w:widowControl/>
              <w:spacing w:line="400" w:lineRule="exact"/>
              <w:ind w:firstLine="422" w:firstLineChars="200"/>
              <w:rPr>
                <w:rFonts w:ascii="宋体" w:hAnsi="宋体"/>
                <w:b/>
                <w:color w:val="auto"/>
                <w:kern w:val="0"/>
                <w:szCs w:val="21"/>
                <w:highlight w:val="none"/>
              </w:rPr>
            </w:pPr>
            <w:r>
              <w:rPr>
                <w:rFonts w:ascii="宋体" w:hAnsi="宋体"/>
                <w:b/>
                <w:color w:val="auto"/>
                <w:kern w:val="0"/>
                <w:szCs w:val="21"/>
                <w:highlight w:val="none"/>
              </w:rPr>
              <w:t>/</w:t>
            </w:r>
          </w:p>
        </w:tc>
      </w:tr>
      <w:tr w14:paraId="29FEFA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10F3ED33">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10.5</w:t>
            </w:r>
          </w:p>
        </w:tc>
        <w:tc>
          <w:tcPr>
            <w:tcW w:w="1644" w:type="dxa"/>
            <w:vAlign w:val="center"/>
          </w:tcPr>
          <w:p w14:paraId="3A659465">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建筑</w:t>
            </w:r>
            <w:r>
              <w:rPr>
                <w:rFonts w:ascii="宋体" w:hAnsi="宋体"/>
                <w:color w:val="auto"/>
                <w:kern w:val="0"/>
                <w:szCs w:val="21"/>
                <w:highlight w:val="none"/>
              </w:rPr>
              <w:t>领域实施农民工工资专用账户相关</w:t>
            </w:r>
            <w:r>
              <w:rPr>
                <w:rFonts w:hint="eastAsia" w:ascii="宋体" w:hAnsi="宋体"/>
                <w:color w:val="auto"/>
                <w:kern w:val="0"/>
                <w:szCs w:val="21"/>
                <w:highlight w:val="none"/>
              </w:rPr>
              <w:t>要求</w:t>
            </w:r>
          </w:p>
        </w:tc>
        <w:tc>
          <w:tcPr>
            <w:tcW w:w="6490" w:type="dxa"/>
            <w:vAlign w:val="center"/>
          </w:tcPr>
          <w:p w14:paraId="3BDA3717">
            <w:pPr>
              <w:widowControl/>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本项目在</w:t>
            </w:r>
            <w:r>
              <w:rPr>
                <w:rFonts w:ascii="宋体" w:hAnsi="宋体"/>
                <w:color w:val="auto"/>
                <w:kern w:val="0"/>
                <w:szCs w:val="21"/>
                <w:highlight w:val="none"/>
              </w:rPr>
              <w:t>实施过程中</w:t>
            </w:r>
            <w:r>
              <w:rPr>
                <w:rFonts w:hint="eastAsia" w:ascii="宋体" w:hAnsi="宋体"/>
                <w:color w:val="auto"/>
                <w:kern w:val="0"/>
                <w:szCs w:val="21"/>
                <w:highlight w:val="none"/>
              </w:rPr>
              <w:t>，中标人</w:t>
            </w:r>
            <w:r>
              <w:rPr>
                <w:rFonts w:ascii="宋体" w:hAnsi="宋体"/>
                <w:color w:val="auto"/>
                <w:kern w:val="0"/>
                <w:szCs w:val="21"/>
                <w:highlight w:val="none"/>
              </w:rPr>
              <w:t>必须执行</w:t>
            </w:r>
            <w:r>
              <w:rPr>
                <w:rFonts w:hint="eastAsia" w:ascii="宋体" w:hAnsi="宋体"/>
                <w:color w:val="auto"/>
                <w:kern w:val="0"/>
                <w:szCs w:val="21"/>
                <w:highlight w:val="none"/>
                <w:u w:val="single"/>
              </w:rPr>
              <w:t>《保障农民工工资支付条例》（中华人民共和国国务院令第724号）、《重庆市人民政府办公厅关于全面治理拖欠农民工工资问题的实施意见》（渝府办发〔2016〕101号）、《重庆市</w:t>
            </w:r>
            <w:r>
              <w:rPr>
                <w:rFonts w:ascii="宋体" w:hAnsi="宋体"/>
                <w:color w:val="auto"/>
                <w:kern w:val="0"/>
                <w:szCs w:val="21"/>
                <w:highlight w:val="none"/>
                <w:u w:val="single"/>
              </w:rPr>
              <w:t>城乡建设</w:t>
            </w:r>
            <w:r>
              <w:rPr>
                <w:rFonts w:hint="eastAsia" w:ascii="宋体" w:hAnsi="宋体"/>
                <w:color w:val="auto"/>
                <w:kern w:val="0"/>
                <w:szCs w:val="21"/>
                <w:highlight w:val="none"/>
                <w:u w:val="single"/>
              </w:rPr>
              <w:t>委员会</w:t>
            </w:r>
            <w:r>
              <w:rPr>
                <w:rFonts w:ascii="宋体" w:hAnsi="宋体"/>
                <w:color w:val="auto"/>
                <w:kern w:val="0"/>
                <w:szCs w:val="21"/>
                <w:highlight w:val="none"/>
                <w:u w:val="single"/>
              </w:rPr>
              <w:t>、中国人民银行重庆营业管理部、中国银行业</w:t>
            </w:r>
            <w:r>
              <w:rPr>
                <w:rFonts w:hint="eastAsia" w:ascii="宋体" w:hAnsi="宋体"/>
                <w:color w:val="auto"/>
                <w:kern w:val="0"/>
                <w:szCs w:val="21"/>
                <w:highlight w:val="none"/>
                <w:u w:val="single"/>
              </w:rPr>
              <w:t>监督</w:t>
            </w:r>
            <w:r>
              <w:rPr>
                <w:rFonts w:ascii="宋体" w:hAnsi="宋体"/>
                <w:color w:val="auto"/>
                <w:kern w:val="0"/>
                <w:szCs w:val="21"/>
                <w:highlight w:val="none"/>
                <w:u w:val="single"/>
              </w:rPr>
              <w:t>管理委员会重庆监管局</w:t>
            </w:r>
            <w:r>
              <w:rPr>
                <w:rFonts w:hint="eastAsia" w:ascii="宋体" w:hAnsi="宋体"/>
                <w:color w:val="auto"/>
                <w:kern w:val="0"/>
                <w:szCs w:val="21"/>
                <w:highlight w:val="none"/>
                <w:u w:val="single"/>
              </w:rPr>
              <w:t>关于</w:t>
            </w:r>
            <w:r>
              <w:rPr>
                <w:rFonts w:ascii="宋体" w:hAnsi="宋体"/>
                <w:color w:val="auto"/>
                <w:kern w:val="0"/>
                <w:szCs w:val="21"/>
                <w:highlight w:val="none"/>
                <w:u w:val="single"/>
              </w:rPr>
              <w:t>建筑领域实施农民工工资专用账户管理及银行代发制度（</w:t>
            </w:r>
            <w:r>
              <w:rPr>
                <w:rFonts w:hint="eastAsia" w:ascii="宋体" w:hAnsi="宋体"/>
                <w:color w:val="auto"/>
                <w:kern w:val="0"/>
                <w:szCs w:val="21"/>
                <w:highlight w:val="none"/>
                <w:u w:val="single"/>
              </w:rPr>
              <w:t>试行</w:t>
            </w:r>
            <w:r>
              <w:rPr>
                <w:rFonts w:ascii="宋体" w:hAnsi="宋体"/>
                <w:color w:val="auto"/>
                <w:kern w:val="0"/>
                <w:szCs w:val="21"/>
                <w:highlight w:val="none"/>
                <w:u w:val="single"/>
              </w:rPr>
              <w:t>）</w:t>
            </w:r>
            <w:r>
              <w:rPr>
                <w:rFonts w:hint="eastAsia" w:ascii="宋体" w:hAnsi="宋体"/>
                <w:color w:val="auto"/>
                <w:kern w:val="0"/>
                <w:szCs w:val="21"/>
                <w:highlight w:val="none"/>
                <w:u w:val="single"/>
              </w:rPr>
              <w:t>的</w:t>
            </w:r>
            <w:r>
              <w:rPr>
                <w:rFonts w:ascii="宋体" w:hAnsi="宋体"/>
                <w:color w:val="auto"/>
                <w:kern w:val="0"/>
                <w:szCs w:val="21"/>
                <w:highlight w:val="none"/>
                <w:u w:val="single"/>
              </w:rPr>
              <w:t>通知</w:t>
            </w:r>
            <w:r>
              <w:rPr>
                <w:rFonts w:hint="eastAsia" w:ascii="宋体" w:hAnsi="宋体"/>
                <w:color w:val="auto"/>
                <w:kern w:val="0"/>
                <w:szCs w:val="21"/>
                <w:highlight w:val="none"/>
                <w:u w:val="single"/>
              </w:rPr>
              <w:t>》（渝</w:t>
            </w:r>
            <w:r>
              <w:rPr>
                <w:rFonts w:ascii="宋体" w:hAnsi="宋体"/>
                <w:color w:val="auto"/>
                <w:kern w:val="0"/>
                <w:szCs w:val="21"/>
                <w:highlight w:val="none"/>
                <w:u w:val="single"/>
              </w:rPr>
              <w:t>建发</w:t>
            </w:r>
            <w:r>
              <w:rPr>
                <w:rFonts w:hint="eastAsia" w:ascii="宋体" w:hAnsi="宋体"/>
                <w:color w:val="auto"/>
                <w:kern w:val="0"/>
                <w:szCs w:val="21"/>
                <w:highlight w:val="none"/>
                <w:u w:val="single"/>
              </w:rPr>
              <w:t>〔201</w:t>
            </w:r>
            <w:r>
              <w:rPr>
                <w:rFonts w:ascii="宋体" w:hAnsi="宋体"/>
                <w:color w:val="auto"/>
                <w:kern w:val="0"/>
                <w:szCs w:val="21"/>
                <w:highlight w:val="none"/>
                <w:u w:val="single"/>
              </w:rPr>
              <w:t>7</w:t>
            </w:r>
            <w:r>
              <w:rPr>
                <w:rFonts w:hint="eastAsia" w:ascii="宋体" w:hAnsi="宋体"/>
                <w:color w:val="auto"/>
                <w:kern w:val="0"/>
                <w:szCs w:val="21"/>
                <w:highlight w:val="none"/>
                <w:u w:val="single"/>
              </w:rPr>
              <w:t>〕13号）、《重庆市住房和城乡建设委员会关于优化调整建筑领域农民工工资专用账户管理及工资保证金制度的通知》（渝建发〔2020〕7号 ）、《重庆市住房和城乡建设委员会关于调整市政及机电安装工程农民工工资专用账户人工费拨付比例有关事宜的通知》（渝建管〔2021〕211号 ）及《重庆市建设工程造价管理总站关于建筑领域农民工工资专户管理网络系统正式运行有关事宜的通知》</w:t>
            </w:r>
            <w:r>
              <w:rPr>
                <w:rFonts w:hint="eastAsia" w:ascii="宋体" w:hAnsi="宋体"/>
                <w:color w:val="auto"/>
                <w:kern w:val="0"/>
                <w:szCs w:val="21"/>
                <w:highlight w:val="none"/>
              </w:rPr>
              <w:t>，实行农民工工资专用账户管理及银行代发制度，填报相应的网络管理系统。</w:t>
            </w:r>
          </w:p>
          <w:p w14:paraId="6D1956D4">
            <w:pPr>
              <w:widowControl/>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投标人中标后，在与发包人签订的合同中，必须明确在我市的农民工工资专用账户信息、人工费（工资款）支付比例；在项目开工后，为农民工办理平安卡和工资卡，委托银行通过农民工工资专用账户直接将农民工工资发放至工资卡，并按照有关规定在“工资专户管理网络系统”中填报相关信息</w:t>
            </w:r>
            <w:r>
              <w:rPr>
                <w:rFonts w:ascii="宋体" w:hAnsi="宋体"/>
                <w:color w:val="auto"/>
                <w:kern w:val="0"/>
                <w:szCs w:val="21"/>
                <w:highlight w:val="none"/>
              </w:rPr>
              <w:t>。</w:t>
            </w:r>
          </w:p>
        </w:tc>
      </w:tr>
      <w:tr w14:paraId="5BA8000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4543C0C2">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10.6</w:t>
            </w:r>
          </w:p>
        </w:tc>
        <w:tc>
          <w:tcPr>
            <w:tcW w:w="1644" w:type="dxa"/>
            <w:vAlign w:val="center"/>
          </w:tcPr>
          <w:p w14:paraId="030C5DD8">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低价风险担保</w:t>
            </w:r>
          </w:p>
        </w:tc>
        <w:tc>
          <w:tcPr>
            <w:tcW w:w="6490" w:type="dxa"/>
            <w:vAlign w:val="center"/>
          </w:tcPr>
          <w:p w14:paraId="04ECB397">
            <w:pPr>
              <w:autoSpaceDE w:val="0"/>
              <w:autoSpaceDN w:val="0"/>
              <w:adjustRightInd w:val="0"/>
              <w:snapToGrid w:val="0"/>
              <w:spacing w:line="400" w:lineRule="exact"/>
              <w:ind w:firstLine="420" w:firstLineChars="200"/>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1、低价风险担保：中标价低于最高限价的85%时提供，如不按时足额提供，视为中标人放弃中标，招标人有权不退还其投标保证金，</w:t>
            </w:r>
            <w:r>
              <w:rPr>
                <w:rFonts w:hint="eastAsia" w:asciiTheme="minorEastAsia" w:hAnsiTheme="minorEastAsia" w:eastAsiaTheme="minorEastAsia" w:cstheme="minorEastAsia"/>
                <w:color w:val="auto"/>
                <w:szCs w:val="21"/>
                <w:highlight w:val="none"/>
              </w:rPr>
              <w:t>并报招标投标行政监督部门按照信用管理办法的规定处理，对中标人的不良行为直接记12分，纳入重点关注名单</w:t>
            </w:r>
            <w:r>
              <w:rPr>
                <w:rFonts w:hint="eastAsia" w:asciiTheme="minorEastAsia" w:hAnsiTheme="minorEastAsia" w:eastAsiaTheme="minorEastAsia" w:cstheme="minorEastAsia"/>
                <w:color w:val="auto"/>
                <w:kern w:val="0"/>
                <w:szCs w:val="21"/>
                <w:highlight w:val="none"/>
              </w:rPr>
              <w:t>。</w:t>
            </w:r>
          </w:p>
          <w:p w14:paraId="4F8A347F">
            <w:pPr>
              <w:autoSpaceDE w:val="0"/>
              <w:autoSpaceDN w:val="0"/>
              <w:adjustRightInd w:val="0"/>
              <w:snapToGrid w:val="0"/>
              <w:spacing w:line="400" w:lineRule="exact"/>
              <w:ind w:firstLine="420" w:firstLineChars="200"/>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2、中标人提供低价风险担保的形式、金额及期限：</w:t>
            </w:r>
          </w:p>
          <w:p w14:paraId="7801AC0D">
            <w:pPr>
              <w:autoSpaceDE w:val="0"/>
              <w:autoSpaceDN w:val="0"/>
              <w:adjustRightInd w:val="0"/>
              <w:snapToGrid w:val="0"/>
              <w:spacing w:line="400" w:lineRule="exact"/>
              <w:ind w:firstLine="420" w:firstLineChars="200"/>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（1）低价风险担保的形式：现金或银行保函</w:t>
            </w:r>
            <w:r>
              <w:rPr>
                <w:rFonts w:hint="eastAsia" w:asciiTheme="minorEastAsia" w:hAnsiTheme="minorEastAsia" w:eastAsiaTheme="minorEastAsia" w:cstheme="minorEastAsia"/>
                <w:color w:val="auto"/>
                <w:szCs w:val="21"/>
                <w:highlight w:val="none"/>
              </w:rPr>
              <w:t>或现金+银行保函的组合；采用银行保函形式的，保函必须为不可撤销、不可转让且见索即付的独立保函，保函格式详见第四章合同条款及格式附件，中标人出具保函时，不得修改“低价风险担保保函”名称，也不得对低价风险担保保函示范文本中付款条件等实质性内容进行修改，否则视为不符合招标文件规定</w:t>
            </w:r>
            <w:r>
              <w:rPr>
                <w:rFonts w:hint="eastAsia" w:asciiTheme="minorEastAsia" w:hAnsiTheme="minorEastAsia" w:eastAsiaTheme="minorEastAsia" w:cstheme="minorEastAsia"/>
                <w:color w:val="auto"/>
                <w:kern w:val="0"/>
                <w:szCs w:val="21"/>
                <w:highlight w:val="none"/>
              </w:rPr>
              <w:t>。</w:t>
            </w:r>
          </w:p>
          <w:p w14:paraId="6268840B">
            <w:pPr>
              <w:autoSpaceDE w:val="0"/>
              <w:autoSpaceDN w:val="0"/>
              <w:adjustRightInd w:val="0"/>
              <w:snapToGrid w:val="0"/>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（2）低价风险担保的金额：（最高限价×85%-中标价）×</w:t>
            </w:r>
            <w:r>
              <w:rPr>
                <w:rFonts w:hint="eastAsia" w:asciiTheme="minorEastAsia" w:hAnsiTheme="minorEastAsia" w:eastAsiaTheme="minorEastAsia" w:cstheme="minorEastAsia"/>
                <w:color w:val="auto"/>
                <w:kern w:val="0"/>
                <w:szCs w:val="21"/>
                <w:highlight w:val="none"/>
              </w:rPr>
              <w:sym w:font="Wingdings 2" w:char="F052"/>
            </w:r>
            <w:r>
              <w:rPr>
                <w:rFonts w:hint="eastAsia" w:asciiTheme="minorEastAsia" w:hAnsiTheme="minorEastAsia" w:eastAsiaTheme="minorEastAsia" w:cstheme="minorEastAsia"/>
                <w:color w:val="auto"/>
                <w:kern w:val="0"/>
                <w:szCs w:val="21"/>
                <w:highlight w:val="none"/>
              </w:rPr>
              <w:t>3</w:t>
            </w:r>
            <w:r>
              <w:rPr>
                <w:rStyle w:val="55"/>
                <w:rFonts w:hint="eastAsia" w:asciiTheme="minorEastAsia" w:hAnsiTheme="minorEastAsia" w:eastAsiaTheme="minorEastAsia" w:cstheme="minorEastAsia"/>
                <w:color w:val="auto"/>
                <w:highlight w:val="none"/>
              </w:rPr>
              <w:t>，且最高不超过最高限价的85%，</w:t>
            </w:r>
            <w:r>
              <w:rPr>
                <w:rFonts w:hint="eastAsia" w:asciiTheme="minorEastAsia" w:hAnsiTheme="minorEastAsia" w:eastAsiaTheme="minorEastAsia" w:cstheme="minorEastAsia"/>
                <w:color w:val="auto"/>
                <w:szCs w:val="21"/>
                <w:highlight w:val="none"/>
              </w:rPr>
              <w:t>红名单中的中标人低价风险担保金额为应提交金额的</w:t>
            </w:r>
            <w:r>
              <w:rPr>
                <w:rFonts w:hint="eastAsia" w:asciiTheme="minorEastAsia" w:hAnsiTheme="minorEastAsia" w:eastAsiaTheme="minorEastAsia" w:cstheme="minorEastAsia"/>
                <w:color w:val="auto"/>
                <w:szCs w:val="21"/>
                <w:highlight w:val="none"/>
                <w:u w:val="single"/>
              </w:rPr>
              <w:t xml:space="preserve"> </w:t>
            </w:r>
            <w:r>
              <w:rPr>
                <w:rFonts w:asciiTheme="minorEastAsia" w:hAnsiTheme="minorEastAsia" w:eastAsiaTheme="minorEastAsia" w:cstheme="minorEastAsia"/>
                <w:color w:val="auto"/>
                <w:szCs w:val="21"/>
                <w:highlight w:val="none"/>
                <w:u w:val="single"/>
              </w:rPr>
              <w:t>80</w:t>
            </w:r>
            <w:r>
              <w:rPr>
                <w:rFonts w:hint="eastAsia" w:asciiTheme="minorEastAsia" w:hAnsiTheme="minorEastAsia" w:eastAsiaTheme="minorEastAsia" w:cstheme="minorEastAsia"/>
                <w:color w:val="auto"/>
                <w:szCs w:val="21"/>
                <w:highlight w:val="none"/>
                <w:u w:val="single"/>
              </w:rPr>
              <w:t>%</w:t>
            </w:r>
            <w:r>
              <w:rPr>
                <w:rFonts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。中标人是否属于红名单</w:t>
            </w:r>
            <w:r>
              <w:rPr>
                <w:rFonts w:hint="eastAsia" w:asciiTheme="minorEastAsia" w:hAnsiTheme="minorEastAsia" w:eastAsiaTheme="minorEastAsia" w:cstheme="minorEastAsia"/>
                <w:color w:val="auto"/>
                <w:szCs w:val="21"/>
                <w:highlight w:val="none"/>
              </w:rPr>
              <w:sym w:font="Wingdings 2" w:char="F052"/>
            </w:r>
            <w:r>
              <w:rPr>
                <w:rFonts w:hint="eastAsia" w:asciiTheme="minorEastAsia" w:hAnsiTheme="minorEastAsia" w:eastAsiaTheme="minorEastAsia" w:cstheme="minorEastAsia"/>
                <w:color w:val="auto"/>
                <w:szCs w:val="21"/>
                <w:highlight w:val="none"/>
              </w:rPr>
              <w:t>方式一：以开标环节信用状况查询结果为准。</w:t>
            </w:r>
          </w:p>
          <w:p w14:paraId="5FDD375F">
            <w:pPr>
              <w:autoSpaceDE w:val="0"/>
              <w:autoSpaceDN w:val="0"/>
              <w:adjustRightInd w:val="0"/>
              <w:snapToGrid w:val="0"/>
              <w:spacing w:line="400" w:lineRule="exact"/>
              <w:ind w:firstLine="420" w:firstLineChars="200"/>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（3）低价风险担保送达招标人的时间：</w:t>
            </w:r>
            <w:r>
              <w:rPr>
                <w:rFonts w:hint="eastAsia" w:asciiTheme="minorEastAsia" w:hAnsiTheme="minorEastAsia" w:eastAsiaTheme="minorEastAsia" w:cstheme="minorEastAsia"/>
                <w:color w:val="auto"/>
                <w:szCs w:val="21"/>
                <w:highlight w:val="none"/>
              </w:rPr>
              <w:t>从招标人中标通知书送达拟中标人之日起</w:t>
            </w:r>
            <w:r>
              <w:rPr>
                <w:rFonts w:hint="eastAsia" w:asciiTheme="minorEastAsia" w:hAnsiTheme="minorEastAsia" w:eastAsiaTheme="minorEastAsia" w:cstheme="minorEastAsia"/>
                <w:color w:val="auto"/>
                <w:szCs w:val="21"/>
                <w:highlight w:val="none"/>
                <w:u w:val="single"/>
              </w:rPr>
              <w:t xml:space="preserve"> </w:t>
            </w:r>
            <w:r>
              <w:rPr>
                <w:rFonts w:asciiTheme="minorEastAsia" w:hAnsiTheme="minorEastAsia" w:eastAsiaTheme="minorEastAsia" w:cstheme="minorEastAsia"/>
                <w:color w:val="auto"/>
                <w:szCs w:val="21"/>
                <w:highlight w:val="none"/>
                <w:u w:val="single"/>
              </w:rPr>
              <w:t>10</w:t>
            </w:r>
            <w:r>
              <w:rPr>
                <w:rFonts w:hint="eastAsia" w:asciiTheme="minorEastAsia" w:hAnsiTheme="minorEastAsia" w:eastAsiaTheme="minorEastAsia" w:cstheme="minorEastAsia"/>
                <w:color w:val="auto"/>
                <w:szCs w:val="21"/>
                <w:highlight w:val="none"/>
                <w:u w:val="single"/>
              </w:rPr>
              <w:t xml:space="preserve">个 </w:t>
            </w:r>
            <w:r>
              <w:rPr>
                <w:rFonts w:hint="eastAsia" w:asciiTheme="minorEastAsia" w:hAnsiTheme="minorEastAsia" w:eastAsiaTheme="minorEastAsia" w:cstheme="minorEastAsia"/>
                <w:color w:val="auto"/>
                <w:szCs w:val="21"/>
                <w:highlight w:val="none"/>
              </w:rPr>
              <w:t>工作日内</w:t>
            </w:r>
            <w:r>
              <w:rPr>
                <w:rFonts w:hint="eastAsia" w:asciiTheme="minorEastAsia" w:hAnsiTheme="minorEastAsia" w:eastAsiaTheme="minorEastAsia" w:cstheme="minorEastAsia"/>
                <w:color w:val="auto"/>
                <w:kern w:val="0"/>
                <w:szCs w:val="21"/>
                <w:highlight w:val="none"/>
              </w:rPr>
              <w:t>；</w:t>
            </w:r>
          </w:p>
          <w:p w14:paraId="4DA6B47E">
            <w:pPr>
              <w:autoSpaceDE w:val="0"/>
              <w:autoSpaceDN w:val="0"/>
              <w:adjustRightInd w:val="0"/>
              <w:snapToGrid w:val="0"/>
              <w:spacing w:line="400" w:lineRule="exact"/>
              <w:ind w:firstLine="420" w:firstLineChars="200"/>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（4）中标人因自身原因未按中标通知书规定的时限与招标人签订合同的，招标人有权扣除其低价风险担保并取消中标资格。</w:t>
            </w:r>
          </w:p>
          <w:p w14:paraId="1F6184A5">
            <w:pPr>
              <w:autoSpaceDE w:val="0"/>
              <w:autoSpaceDN w:val="0"/>
              <w:adjustRightInd w:val="0"/>
              <w:snapToGrid w:val="0"/>
              <w:spacing w:line="400" w:lineRule="exact"/>
              <w:ind w:firstLine="420" w:firstLineChars="200"/>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（5）低价风险担保的期限：</w:t>
            </w:r>
            <w:r>
              <w:rPr>
                <w:rFonts w:hint="eastAsia" w:asciiTheme="minorEastAsia" w:hAnsiTheme="minorEastAsia" w:eastAsiaTheme="minorEastAsia" w:cstheme="minorEastAsia"/>
                <w:color w:val="auto"/>
                <w:kern w:val="0"/>
                <w:szCs w:val="21"/>
                <w:highlight w:val="none"/>
                <w:u w:val="single"/>
              </w:rPr>
              <w:t>自低价风险担保生效之日起至竣工验收合格之日止</w:t>
            </w:r>
            <w:r>
              <w:rPr>
                <w:rFonts w:hint="eastAsia" w:asciiTheme="minorEastAsia" w:hAnsiTheme="minorEastAsia" w:eastAsiaTheme="minorEastAsia" w:cstheme="minorEastAsia"/>
                <w:color w:val="auto"/>
                <w:kern w:val="0"/>
                <w:szCs w:val="21"/>
                <w:highlight w:val="none"/>
              </w:rPr>
              <w:t>。</w:t>
            </w:r>
          </w:p>
          <w:p w14:paraId="17BBA16B">
            <w:pPr>
              <w:widowControl/>
              <w:spacing w:line="400" w:lineRule="exact"/>
              <w:ind w:firstLine="420" w:firstLineChars="200"/>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3、低价风险担保的退还时间：见专用合同条款。</w:t>
            </w:r>
          </w:p>
          <w:p w14:paraId="253002A3">
            <w:pPr>
              <w:widowControl/>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采用经评审最低投标价法的项目，拟中标人或者中标人放弃中标项目，无正当理由不与招标人签订合同，在签订合同时向招标人提出附加条件或者更改合同实质性内容，或者拒不按照招标文件规定提交低价风险担保或履约担保的，取消其中标资格，投标保证金不予退还，给招标人造成的损失超过投标保证金数额的，拟中标人或中标人应对超过部分予以赔偿。</w:t>
            </w:r>
          </w:p>
          <w:p w14:paraId="586E98BB">
            <w:pPr>
              <w:widowControl/>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备注：当中标人或拟中标人未按时提交低价风险担保，且属于可以延长低价风险担保提交期限的特殊情形时，经招标人同意，可适当延长低价风险担保的提交期限。</w:t>
            </w:r>
          </w:p>
          <w:p w14:paraId="00FAE93D">
            <w:pPr>
              <w:pStyle w:val="2"/>
              <w:widowControl/>
              <w:spacing w:line="400" w:lineRule="exact"/>
              <w:ind w:firstLine="420" w:firstLineChars="200"/>
              <w:rPr>
                <w:rFonts w:ascii="宋体" w:hAnsi="宋体"/>
                <w:color w:val="auto"/>
                <w:kern w:val="0"/>
                <w:szCs w:val="21"/>
                <w:highlight w:val="none"/>
              </w:rPr>
            </w:pPr>
            <w:r>
              <w:rPr>
                <w:rFonts w:hint="eastAsia" w:asciiTheme="minorEastAsia" w:hAnsiTheme="minorEastAsia" w:eastAsiaTheme="minorEastAsia" w:cstheme="minorEastAsia"/>
                <w:color w:val="auto"/>
                <w:szCs w:val="21"/>
                <w:highlight w:val="none"/>
              </w:rPr>
              <w:t>5、投标总报价低于最高限价85%的，投标人应在编制投标文件时，在投标函部分中递交低价风险担保提交承诺书。承诺书格式详见第八章投标文件格式。</w:t>
            </w:r>
          </w:p>
        </w:tc>
      </w:tr>
      <w:tr w14:paraId="0A2569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004B3418">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10.7</w:t>
            </w:r>
          </w:p>
        </w:tc>
        <w:tc>
          <w:tcPr>
            <w:tcW w:w="1644" w:type="dxa"/>
            <w:vAlign w:val="center"/>
          </w:tcPr>
          <w:p w14:paraId="6FD0EBA4">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关于对招标文件及投标争议的解释</w:t>
            </w:r>
          </w:p>
        </w:tc>
        <w:tc>
          <w:tcPr>
            <w:tcW w:w="6490" w:type="dxa"/>
            <w:vAlign w:val="center"/>
          </w:tcPr>
          <w:p w14:paraId="6893C621">
            <w:pPr>
              <w:autoSpaceDE w:val="0"/>
              <w:autoSpaceDN w:val="0"/>
              <w:adjustRightInd w:val="0"/>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对资格预审文件或者招标文件的评标标准和方法，以及资格审查和否决投标条款理解有争议的，应当作出不利于招标人的解释，但违背国家利益、社会公共利益的除外。</w:t>
            </w:r>
          </w:p>
          <w:p w14:paraId="1CF36BCF">
            <w:pPr>
              <w:autoSpaceDE w:val="0"/>
              <w:autoSpaceDN w:val="0"/>
              <w:adjustRightInd w:val="0"/>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对投标文件理解有争议的，应当作出不利于提交该投标文件的投标人的解释。</w:t>
            </w:r>
          </w:p>
        </w:tc>
      </w:tr>
      <w:tr w14:paraId="7D236D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5559850C">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10.8</w:t>
            </w:r>
          </w:p>
        </w:tc>
        <w:tc>
          <w:tcPr>
            <w:tcW w:w="1644" w:type="dxa"/>
            <w:vAlign w:val="center"/>
          </w:tcPr>
          <w:p w14:paraId="3E09B2C5">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投标人注意事项</w:t>
            </w:r>
          </w:p>
        </w:tc>
        <w:tc>
          <w:tcPr>
            <w:tcW w:w="6490" w:type="dxa"/>
            <w:vAlign w:val="center"/>
          </w:tcPr>
          <w:p w14:paraId="5995EB41">
            <w:pPr>
              <w:autoSpaceDE w:val="0"/>
              <w:autoSpaceDN w:val="0"/>
              <w:adjustRightInd w:val="0"/>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1. 本次投标采用全流程电子开评标模式，第一次参与投标的单位务必在</w:t>
            </w:r>
            <w:r>
              <w:rPr>
                <w:rFonts w:hint="eastAsia" w:ascii="宋体" w:hAnsi="宋体"/>
                <w:color w:val="auto"/>
                <w:kern w:val="0"/>
                <w:szCs w:val="21"/>
                <w:highlight w:val="none"/>
                <w:u w:val="single"/>
              </w:rPr>
              <w:t>重庆市公共资源交易网（www.cqggzy.com）</w:t>
            </w:r>
            <w:r>
              <w:rPr>
                <w:rFonts w:hint="eastAsia" w:ascii="宋体" w:hAnsi="宋体"/>
                <w:color w:val="auto"/>
                <w:kern w:val="0"/>
                <w:szCs w:val="21"/>
                <w:highlight w:val="none"/>
              </w:rPr>
              <w:t>完成市场主体信息登记以及 CA 数字证书办理，并且下载新点投标文件制作软件（重庆版）制作投标文件。</w:t>
            </w:r>
          </w:p>
          <w:p w14:paraId="2C9E355A">
            <w:pPr>
              <w:autoSpaceDE w:val="0"/>
              <w:autoSpaceDN w:val="0"/>
              <w:adjustRightInd w:val="0"/>
              <w:snapToGrid w:val="0"/>
              <w:spacing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 制作投标文件需要使用CA 数字证书加密，并且加盖电子印章，CA 数字证书购买及办理方式请参见</w:t>
            </w:r>
            <w:r>
              <w:rPr>
                <w:rFonts w:hint="eastAsia" w:ascii="宋体" w:hAnsi="宋体"/>
                <w:color w:val="auto"/>
                <w:kern w:val="0"/>
                <w:szCs w:val="21"/>
                <w:highlight w:val="none"/>
                <w:u w:val="single"/>
              </w:rPr>
              <w:t>重庆市公共资源交易网（www.cqggzy.com）</w:t>
            </w:r>
            <w:r>
              <w:rPr>
                <w:rFonts w:hint="eastAsia" w:ascii="宋体" w:hAnsi="宋体"/>
                <w:color w:val="auto"/>
                <w:kern w:val="0"/>
                <w:szCs w:val="21"/>
                <w:highlight w:val="none"/>
              </w:rPr>
              <w:t>导航栏“主体信息”页面中“市场主体信息登记”“CA数字证书办理”。</w:t>
            </w:r>
          </w:p>
          <w:p w14:paraId="2446D264">
            <w:pPr>
              <w:autoSpaceDE w:val="0"/>
              <w:autoSpaceDN w:val="0"/>
              <w:adjustRightInd w:val="0"/>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3. 投标人应当在投标截止时间前，通过互联网使用CA数字证书登录重庆市电子招投标系统，将加密的电子投标文件上传，未按规定加密将无法上传。投标人应充分考虑上传文件时的不可预见因素，逾期未完成上传投标文件的，视为撤回投标文件。</w:t>
            </w:r>
          </w:p>
          <w:p w14:paraId="692832A1">
            <w:pPr>
              <w:spacing w:line="400" w:lineRule="exact"/>
              <w:ind w:firstLine="420" w:firstLineChars="200"/>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4. 开标活动由招标人主持，邀请所有投标人参加。投标人未在开标现场提出异议，或者不见面开标系统未收到投标人异议的（采用不见面开标方式时适用），视为投标人默认开标结果。</w:t>
            </w:r>
          </w:p>
          <w:p w14:paraId="40D827C5">
            <w:pPr>
              <w:autoSpaceDE w:val="0"/>
              <w:autoSpaceDN w:val="0"/>
              <w:adjustRightInd w:val="0"/>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5. 投标人应按时解密，在评标结束前应在线或在现场关注项目进展情况，确保通讯联系正常。如评标委员会要求投标人澄清的，投标人应确保及时回复，否则视为拒绝按评标委员会要求澄清、说明或补正。</w:t>
            </w:r>
          </w:p>
          <w:p w14:paraId="1600BE69">
            <w:pPr>
              <w:autoSpaceDE w:val="0"/>
              <w:autoSpaceDN w:val="0"/>
              <w:adjustRightInd w:val="0"/>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6. 电子投标文件制作</w:t>
            </w:r>
          </w:p>
          <w:p w14:paraId="245F839A">
            <w:pPr>
              <w:autoSpaceDE w:val="0"/>
              <w:autoSpaceDN w:val="0"/>
              <w:adjustRightInd w:val="0"/>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（1）电子投标文件由投标人使用专用的“新点投标文件制作软件（重庆版）”制作生成。</w:t>
            </w:r>
          </w:p>
          <w:p w14:paraId="63793D1D">
            <w:pPr>
              <w:autoSpaceDE w:val="0"/>
              <w:autoSpaceDN w:val="0"/>
              <w:adjustRightInd w:val="0"/>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（2）投标人在编制电子投标文件时应当建立分级目录，并按照标签提示导入相关内容。</w:t>
            </w:r>
          </w:p>
          <w:p w14:paraId="5B8A067D">
            <w:pPr>
              <w:autoSpaceDE w:val="0"/>
              <w:autoSpaceDN w:val="0"/>
              <w:adjustRightInd w:val="0"/>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（3）第八章 投标文件格式要求法定代表人或其委托代理人签名（或盖章）的须齐全，要求签名的，签名采用手写签名或签章或加盖CA数字证书均可，要求加盖单位法人章的，应使用 CA 数字证书加盖投标人的单位电子印章。</w:t>
            </w:r>
          </w:p>
          <w:p w14:paraId="5B717F59">
            <w:pPr>
              <w:autoSpaceDE w:val="0"/>
              <w:autoSpaceDN w:val="0"/>
              <w:adjustRightInd w:val="0"/>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（4）电子投标文件制作完成后，将生成一份加密的电子投标文件（后缀名为.CQTF）和一份不加密的电子投标文件（后缀名为.nCQTF）。</w:t>
            </w:r>
          </w:p>
          <w:p w14:paraId="11647996">
            <w:pPr>
              <w:autoSpaceDE w:val="0"/>
              <w:autoSpaceDN w:val="0"/>
              <w:adjustRightInd w:val="0"/>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（5）投标人如需递交不加密电子投标文件的，应将不加密的电子投标文件复制到一张光盘中，光盘表面粘贴标签贴，并将招标项目名称、投标人名称等信息填写在标签贴上。</w:t>
            </w:r>
          </w:p>
          <w:p w14:paraId="070D047A">
            <w:pPr>
              <w:autoSpaceDE w:val="0"/>
              <w:autoSpaceDN w:val="0"/>
              <w:adjustRightInd w:val="0"/>
              <w:snapToGrid w:val="0"/>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（6）电子投标文件制作的具体方法详见“新点投标文件制作软件（重庆版）”中的帮助文档。</w:t>
            </w:r>
          </w:p>
        </w:tc>
      </w:tr>
      <w:tr w14:paraId="0CFEB6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079D5CC1">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□10.9</w:t>
            </w:r>
          </w:p>
        </w:tc>
        <w:tc>
          <w:tcPr>
            <w:tcW w:w="1644" w:type="dxa"/>
            <w:vAlign w:val="center"/>
          </w:tcPr>
          <w:p w14:paraId="0069F58E">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不平衡报价</w:t>
            </w:r>
          </w:p>
        </w:tc>
        <w:tc>
          <w:tcPr>
            <w:tcW w:w="6490" w:type="dxa"/>
            <w:vAlign w:val="center"/>
          </w:tcPr>
          <w:p w14:paraId="1FF26EEF">
            <w:pPr>
              <w:autoSpaceDE w:val="0"/>
              <w:autoSpaceDN w:val="0"/>
              <w:adjustRightInd w:val="0"/>
              <w:snapToGrid w:val="0"/>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u w:val="single"/>
              </w:rPr>
              <w:t>关于不平衡报价的约定，详见第四章 专用合同条款第21.4款</w:t>
            </w:r>
            <w:r>
              <w:rPr>
                <w:rFonts w:ascii="宋体" w:hAnsi="宋体"/>
                <w:color w:val="auto"/>
                <w:kern w:val="0"/>
                <w:szCs w:val="21"/>
                <w:highlight w:val="none"/>
              </w:rPr>
              <w:t>。</w:t>
            </w:r>
          </w:p>
        </w:tc>
      </w:tr>
      <w:tr w14:paraId="6022A7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657" w:hRule="atLeast"/>
          <w:jc w:val="center"/>
        </w:trPr>
        <w:tc>
          <w:tcPr>
            <w:tcW w:w="1335" w:type="dxa"/>
            <w:vAlign w:val="center"/>
          </w:tcPr>
          <w:p w14:paraId="391255AC">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sym w:font="Wingdings 2" w:char="0052"/>
            </w:r>
            <w:r>
              <w:rPr>
                <w:rFonts w:hint="eastAsia" w:ascii="宋体" w:hAnsi="宋体"/>
                <w:color w:val="auto"/>
                <w:kern w:val="0"/>
                <w:szCs w:val="21"/>
                <w:highlight w:val="none"/>
              </w:rPr>
              <w:t>10.10</w:t>
            </w:r>
          </w:p>
        </w:tc>
        <w:tc>
          <w:tcPr>
            <w:tcW w:w="1644" w:type="dxa"/>
            <w:vAlign w:val="center"/>
          </w:tcPr>
          <w:p w14:paraId="2A62219A">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不允许负数报价</w:t>
            </w:r>
          </w:p>
        </w:tc>
        <w:tc>
          <w:tcPr>
            <w:tcW w:w="6490" w:type="dxa"/>
            <w:vAlign w:val="center"/>
          </w:tcPr>
          <w:p w14:paraId="30D14B50">
            <w:pPr>
              <w:autoSpaceDE w:val="0"/>
              <w:autoSpaceDN w:val="0"/>
              <w:adjustRightInd w:val="0"/>
              <w:snapToGrid w:val="0"/>
              <w:spacing w:line="400" w:lineRule="exact"/>
              <w:ind w:firstLine="420" w:firstLineChars="200"/>
              <w:rPr>
                <w:rFonts w:ascii="宋体" w:hAnsi="宋体"/>
                <w:color w:val="auto"/>
                <w:kern w:val="0"/>
                <w:szCs w:val="21"/>
                <w:highlight w:val="none"/>
                <w:u w:val="single"/>
              </w:rPr>
            </w:pPr>
            <w:r>
              <w:rPr>
                <w:rFonts w:ascii="宋体" w:hAnsi="宋体"/>
                <w:color w:val="auto"/>
                <w:kern w:val="0"/>
                <w:szCs w:val="21"/>
                <w:highlight w:val="none"/>
                <w:u w:val="single"/>
              </w:rPr>
              <w:t>投标人的</w:t>
            </w:r>
            <w:r>
              <w:rPr>
                <w:rFonts w:hint="eastAsia" w:ascii="宋体" w:hAnsi="宋体"/>
                <w:color w:val="auto"/>
                <w:kern w:val="0"/>
                <w:szCs w:val="21"/>
                <w:highlight w:val="none"/>
                <w:u w:val="single"/>
              </w:rPr>
              <w:t>各项</w:t>
            </w:r>
            <w:r>
              <w:rPr>
                <w:rFonts w:ascii="宋体" w:hAnsi="宋体"/>
                <w:color w:val="auto"/>
                <w:kern w:val="0"/>
                <w:szCs w:val="21"/>
                <w:highlight w:val="none"/>
                <w:u w:val="single"/>
              </w:rPr>
              <w:t>报价不得</w:t>
            </w:r>
            <w:r>
              <w:rPr>
                <w:rFonts w:hint="eastAsia" w:ascii="宋体" w:hAnsi="宋体"/>
                <w:color w:val="auto"/>
                <w:kern w:val="0"/>
                <w:szCs w:val="21"/>
                <w:highlight w:val="none"/>
                <w:u w:val="single"/>
              </w:rPr>
              <w:t>为负数</w:t>
            </w:r>
            <w:r>
              <w:rPr>
                <w:rFonts w:ascii="宋体" w:hAnsi="宋体"/>
                <w:color w:val="auto"/>
                <w:kern w:val="0"/>
                <w:szCs w:val="21"/>
                <w:highlight w:val="none"/>
                <w:u w:val="single"/>
              </w:rPr>
              <w:t>。招标人在发出中标通知书前将对中标人</w:t>
            </w:r>
            <w:r>
              <w:rPr>
                <w:rFonts w:hint="eastAsia" w:ascii="宋体" w:hAnsi="宋体"/>
                <w:color w:val="auto"/>
                <w:kern w:val="0"/>
                <w:szCs w:val="21"/>
                <w:highlight w:val="none"/>
                <w:u w:val="single"/>
              </w:rPr>
              <w:t>的各项报价</w:t>
            </w:r>
            <w:r>
              <w:rPr>
                <w:rFonts w:ascii="宋体" w:hAnsi="宋体"/>
                <w:color w:val="auto"/>
                <w:kern w:val="0"/>
                <w:szCs w:val="21"/>
                <w:highlight w:val="none"/>
                <w:u w:val="single"/>
              </w:rPr>
              <w:t>进行复核，若发现中标人</w:t>
            </w:r>
            <w:r>
              <w:rPr>
                <w:rFonts w:hint="eastAsia" w:ascii="宋体" w:hAnsi="宋体"/>
                <w:color w:val="auto"/>
                <w:kern w:val="0"/>
                <w:szCs w:val="21"/>
                <w:highlight w:val="none"/>
                <w:u w:val="single"/>
              </w:rPr>
              <w:t>各项报价</w:t>
            </w:r>
            <w:r>
              <w:rPr>
                <w:rFonts w:ascii="宋体" w:hAnsi="宋体"/>
                <w:color w:val="auto"/>
                <w:kern w:val="0"/>
                <w:szCs w:val="21"/>
                <w:highlight w:val="none"/>
                <w:u w:val="single"/>
              </w:rPr>
              <w:t>中存在</w:t>
            </w:r>
            <w:r>
              <w:rPr>
                <w:rFonts w:hint="eastAsia" w:ascii="宋体" w:hAnsi="宋体"/>
                <w:color w:val="auto"/>
                <w:kern w:val="0"/>
                <w:szCs w:val="21"/>
                <w:highlight w:val="none"/>
                <w:u w:val="single"/>
              </w:rPr>
              <w:t>负数报价</w:t>
            </w:r>
            <w:r>
              <w:rPr>
                <w:rFonts w:ascii="宋体" w:hAnsi="宋体"/>
                <w:color w:val="auto"/>
                <w:kern w:val="0"/>
                <w:szCs w:val="21"/>
                <w:highlight w:val="none"/>
                <w:u w:val="single"/>
              </w:rPr>
              <w:t>的情形，招标人按相关规定取消其中标资格，其投标保证金不予退还，中标人承担因此造成的相关责任并赔偿相应损失。</w:t>
            </w:r>
          </w:p>
        </w:tc>
      </w:tr>
      <w:tr w14:paraId="50EAF25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14:paraId="1A4394D8">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10.11</w:t>
            </w:r>
          </w:p>
        </w:tc>
        <w:tc>
          <w:tcPr>
            <w:tcW w:w="1644" w:type="dxa"/>
            <w:vAlign w:val="center"/>
          </w:tcPr>
          <w:p w14:paraId="5A92C963">
            <w:pPr>
              <w:snapToGrid w:val="0"/>
              <w:spacing w:line="400" w:lineRule="exact"/>
              <w:jc w:val="center"/>
              <w:rPr>
                <w:rFonts w:ascii="宋体" w:hAnsi="宋体"/>
                <w:color w:val="auto"/>
                <w:kern w:val="0"/>
                <w:szCs w:val="21"/>
                <w:highlight w:val="none"/>
              </w:rPr>
            </w:pPr>
            <w:r>
              <w:rPr>
                <w:rFonts w:hint="eastAsia" w:ascii="宋体" w:hAnsi="宋体"/>
                <w:color w:val="auto"/>
                <w:kern w:val="0"/>
                <w:szCs w:val="21"/>
                <w:highlight w:val="none"/>
              </w:rPr>
              <w:t>其他</w:t>
            </w:r>
          </w:p>
        </w:tc>
        <w:tc>
          <w:tcPr>
            <w:tcW w:w="6490" w:type="dxa"/>
            <w:vAlign w:val="center"/>
          </w:tcPr>
          <w:p w14:paraId="247F9D05">
            <w:pPr>
              <w:snapToGrid w:val="0"/>
              <w:spacing w:line="360" w:lineRule="auto"/>
              <w:ind w:firstLine="420" w:firstLineChars="200"/>
              <w:textAlignment w:val="baseline"/>
              <w:rPr>
                <w:rFonts w:ascii="宋体" w:cs="宋体"/>
                <w:color w:val="auto"/>
                <w:szCs w:val="22"/>
                <w:highlight w:val="none"/>
              </w:rPr>
            </w:pPr>
            <w:r>
              <w:rPr>
                <w:rFonts w:hint="eastAsia" w:ascii="宋体" w:cs="宋体"/>
                <w:color w:val="auto"/>
                <w:szCs w:val="22"/>
                <w:highlight w:val="none"/>
              </w:rPr>
              <w:t>1、项目应先对电梯区域进行更换和施工，后序将电梯作为物料运输通道。</w:t>
            </w:r>
          </w:p>
          <w:p w14:paraId="25DADED8">
            <w:pPr>
              <w:snapToGrid w:val="0"/>
              <w:spacing w:line="360" w:lineRule="auto"/>
              <w:ind w:firstLine="422" w:firstLineChars="200"/>
              <w:textAlignment w:val="baseline"/>
              <w:rPr>
                <w:rFonts w:ascii="宋体" w:cs="宋体"/>
                <w:color w:val="auto"/>
                <w:szCs w:val="22"/>
                <w:highlight w:val="none"/>
              </w:rPr>
            </w:pPr>
            <w:r>
              <w:rPr>
                <w:rFonts w:hint="eastAsia" w:ascii="宋体" w:cs="宋体"/>
                <w:b/>
                <w:bCs/>
                <w:color w:val="auto"/>
                <w:szCs w:val="22"/>
                <w:highlight w:val="none"/>
              </w:rPr>
              <w:t>2</w:t>
            </w:r>
            <w:r>
              <w:rPr>
                <w:rFonts w:hint="eastAsia" w:ascii="宋体" w:cs="宋体"/>
                <w:color w:val="auto"/>
                <w:szCs w:val="22"/>
                <w:highlight w:val="none"/>
              </w:rPr>
              <w:t>、交易服务费：本项目交易服务费按照《重庆市物价局关于工程建设招标投标交易服务费收费标准的通知》（渝价〔2018〕54号文）相关规定执行，约定本工程综合交易服务费全部由中标人缴纳（包括招标人缴纳部分）。投标人应将此项费用考虑在投标报价中。</w:t>
            </w:r>
          </w:p>
          <w:p w14:paraId="44E73B44">
            <w:pPr>
              <w:snapToGrid w:val="0"/>
              <w:spacing w:line="360" w:lineRule="auto"/>
              <w:ind w:firstLine="420" w:firstLineChars="200"/>
              <w:textAlignment w:val="baseline"/>
              <w:rPr>
                <w:rFonts w:ascii="宋体" w:cs="宋体"/>
                <w:color w:val="auto"/>
                <w:szCs w:val="22"/>
                <w:highlight w:val="none"/>
              </w:rPr>
            </w:pPr>
            <w:r>
              <w:rPr>
                <w:rFonts w:hint="eastAsia" w:ascii="宋体" w:cs="宋体"/>
                <w:color w:val="auto"/>
                <w:szCs w:val="22"/>
                <w:highlight w:val="none"/>
                <w:lang w:val="en-US" w:eastAsia="zh-CN"/>
              </w:rPr>
              <w:t>3</w:t>
            </w:r>
            <w:r>
              <w:rPr>
                <w:rFonts w:hint="eastAsia" w:ascii="宋体" w:cs="宋体"/>
                <w:color w:val="auto"/>
                <w:szCs w:val="22"/>
                <w:highlight w:val="none"/>
              </w:rPr>
              <w:t>、招标代理服务费：本次</w:t>
            </w:r>
            <w:r>
              <w:rPr>
                <w:rFonts w:ascii="宋体" w:cs="宋体"/>
                <w:color w:val="auto"/>
                <w:szCs w:val="22"/>
                <w:highlight w:val="none"/>
              </w:rPr>
              <w:t>招标代理</w:t>
            </w:r>
            <w:r>
              <w:rPr>
                <w:rFonts w:hint="eastAsia" w:ascii="宋体" w:cs="宋体"/>
                <w:color w:val="auto"/>
                <w:szCs w:val="22"/>
                <w:highlight w:val="none"/>
              </w:rPr>
              <w:t>服务</w:t>
            </w:r>
            <w:r>
              <w:rPr>
                <w:rFonts w:ascii="宋体" w:cs="宋体"/>
                <w:color w:val="auto"/>
                <w:szCs w:val="22"/>
                <w:highlight w:val="none"/>
              </w:rPr>
              <w:t>费以中标总价为</w:t>
            </w:r>
            <w:r>
              <w:rPr>
                <w:rFonts w:hint="eastAsia" w:ascii="宋体" w:cs="宋体"/>
                <w:color w:val="auto"/>
                <w:szCs w:val="22"/>
                <w:highlight w:val="none"/>
              </w:rPr>
              <w:t>计费</w:t>
            </w:r>
            <w:r>
              <w:rPr>
                <w:rFonts w:ascii="宋体" w:cs="宋体"/>
                <w:color w:val="auto"/>
                <w:szCs w:val="22"/>
                <w:highlight w:val="none"/>
              </w:rPr>
              <w:t>基数，按照计价格2002【1980】号文</w:t>
            </w:r>
            <w:r>
              <w:rPr>
                <w:rFonts w:hint="eastAsia" w:ascii="宋体" w:cs="宋体"/>
                <w:color w:val="auto"/>
                <w:szCs w:val="22"/>
                <w:highlight w:val="none"/>
              </w:rPr>
              <w:t>工程类</w:t>
            </w:r>
            <w:r>
              <w:rPr>
                <w:rFonts w:ascii="宋体" w:cs="宋体"/>
                <w:color w:val="auto"/>
                <w:szCs w:val="22"/>
                <w:highlight w:val="none"/>
              </w:rPr>
              <w:t>收费标准的</w:t>
            </w:r>
            <w:r>
              <w:rPr>
                <w:rFonts w:hint="eastAsia" w:ascii="宋体" w:cs="宋体"/>
                <w:color w:val="auto"/>
                <w:szCs w:val="22"/>
                <w:highlight w:val="none"/>
              </w:rPr>
              <w:t>70</w:t>
            </w:r>
            <w:r>
              <w:rPr>
                <w:rFonts w:ascii="宋体" w:cs="宋体"/>
                <w:color w:val="auto"/>
                <w:szCs w:val="22"/>
                <w:highlight w:val="none"/>
              </w:rPr>
              <w:t>%计取，由中标人在领取中标通知书时一次性缴纳给</w:t>
            </w:r>
            <w:r>
              <w:rPr>
                <w:rFonts w:hint="eastAsia" w:ascii="宋体" w:cs="宋体"/>
                <w:color w:val="auto"/>
                <w:szCs w:val="22"/>
                <w:highlight w:val="none"/>
              </w:rPr>
              <w:t>招标代理机构，</w:t>
            </w:r>
            <w:r>
              <w:rPr>
                <w:rFonts w:ascii="宋体" w:cs="宋体"/>
                <w:color w:val="auto"/>
                <w:szCs w:val="22"/>
                <w:highlight w:val="none"/>
              </w:rPr>
              <w:t>各投标人自行将该费用纳入投标报价中，招标人不再另行支付。</w:t>
            </w:r>
          </w:p>
        </w:tc>
      </w:tr>
    </w:tbl>
    <w:p w14:paraId="7F41AA2C">
      <w:pPr>
        <w:pStyle w:val="4"/>
        <w:spacing w:before="0" w:after="0" w:line="20" w:lineRule="exact"/>
        <w:rPr>
          <w:rFonts w:ascii="宋体" w:hAnsi="宋体"/>
          <w:b w:val="0"/>
          <w:snapToGrid w:val="0"/>
          <w:color w:val="auto"/>
          <w:highlight w:val="none"/>
        </w:rPr>
      </w:pPr>
      <w:bookmarkStart w:id="94" w:name="_Toc277082552"/>
      <w:bookmarkStart w:id="95" w:name="_Toc200513126"/>
      <w:bookmarkStart w:id="96" w:name="_Toc224103317"/>
      <w:bookmarkStart w:id="97" w:name="_Toc287607746"/>
      <w:bookmarkStart w:id="98" w:name="_Toc430530435"/>
      <w:bookmarkStart w:id="99" w:name="_Toc287620685"/>
    </w:p>
    <w:p w14:paraId="3F04AFD5">
      <w:pPr>
        <w:pStyle w:val="4"/>
        <w:spacing w:before="0" w:after="0" w:line="200" w:lineRule="exact"/>
        <w:rPr>
          <w:rFonts w:ascii="宋体" w:hAnsi="宋体"/>
          <w:b w:val="0"/>
          <w:snapToGrid w:val="0"/>
          <w:color w:val="auto"/>
          <w:highlight w:val="none"/>
        </w:rPr>
      </w:pPr>
      <w:r>
        <w:rPr>
          <w:rFonts w:ascii="宋体" w:hAnsi="宋体"/>
          <w:b w:val="0"/>
          <w:snapToGrid w:val="0"/>
          <w:color w:val="auto"/>
          <w:highlight w:val="none"/>
        </w:rPr>
        <w:br w:type="page"/>
      </w:r>
    </w:p>
    <w:p w14:paraId="4812C2E4">
      <w:pPr>
        <w:pStyle w:val="4"/>
        <w:spacing w:before="0" w:after="0" w:line="360" w:lineRule="auto"/>
        <w:rPr>
          <w:rFonts w:ascii="宋体" w:hAnsi="宋体"/>
          <w:b w:val="0"/>
          <w:snapToGrid w:val="0"/>
          <w:color w:val="auto"/>
          <w:highlight w:val="none"/>
        </w:rPr>
      </w:pPr>
      <w:bookmarkStart w:id="100" w:name="_Toc509218710"/>
      <w:bookmarkStart w:id="101" w:name="_Toc117005180"/>
      <w:r>
        <w:rPr>
          <w:rFonts w:ascii="宋体" w:hAnsi="宋体"/>
          <w:b w:val="0"/>
          <w:snapToGrid w:val="0"/>
          <w:color w:val="auto"/>
          <w:highlight w:val="none"/>
        </w:rPr>
        <w:t>1.  总则</w:t>
      </w:r>
      <w:bookmarkEnd w:id="94"/>
      <w:bookmarkEnd w:id="95"/>
      <w:bookmarkEnd w:id="96"/>
      <w:bookmarkEnd w:id="97"/>
      <w:bookmarkEnd w:id="98"/>
      <w:bookmarkEnd w:id="99"/>
      <w:bookmarkEnd w:id="100"/>
      <w:bookmarkEnd w:id="101"/>
    </w:p>
    <w:p w14:paraId="3C19A728">
      <w:pPr>
        <w:pStyle w:val="5"/>
        <w:snapToGrid w:val="0"/>
        <w:spacing w:before="0" w:after="0" w:line="360" w:lineRule="auto"/>
        <w:rPr>
          <w:rFonts w:ascii="宋体" w:hAnsi="宋体"/>
          <w:b w:val="0"/>
          <w:snapToGrid w:val="0"/>
          <w:color w:val="auto"/>
          <w:sz w:val="24"/>
          <w:szCs w:val="24"/>
          <w:highlight w:val="none"/>
        </w:rPr>
      </w:pPr>
      <w:bookmarkStart w:id="102" w:name="_Toc224103318"/>
      <w:bookmarkStart w:id="103" w:name="_Toc430530436"/>
      <w:bookmarkStart w:id="104" w:name="_Toc117005181"/>
      <w:bookmarkStart w:id="105" w:name="_Toc287620686"/>
      <w:bookmarkStart w:id="106" w:name="_Toc277082553"/>
      <w:bookmarkStart w:id="107" w:name="_Toc200513127"/>
      <w:bookmarkStart w:id="108" w:name="_Toc287607747"/>
      <w:bookmarkStart w:id="109" w:name="_Toc509218711"/>
      <w:r>
        <w:rPr>
          <w:rFonts w:ascii="宋体" w:hAnsi="宋体"/>
          <w:b w:val="0"/>
          <w:snapToGrid w:val="0"/>
          <w:color w:val="auto"/>
          <w:sz w:val="24"/>
          <w:szCs w:val="24"/>
          <w:highlight w:val="none"/>
        </w:rPr>
        <w:t>1.1  项目概况</w:t>
      </w:r>
      <w:bookmarkEnd w:id="102"/>
      <w:bookmarkEnd w:id="103"/>
      <w:bookmarkEnd w:id="104"/>
      <w:bookmarkEnd w:id="105"/>
      <w:bookmarkEnd w:id="106"/>
      <w:bookmarkEnd w:id="107"/>
      <w:bookmarkEnd w:id="108"/>
      <w:bookmarkEnd w:id="109"/>
    </w:p>
    <w:p w14:paraId="36343B5B">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1.1.1  根据《中华人民共和国招标投标法》等有关法律、法规和规章的规定，本招标项目已具备招标条件，现对本</w:t>
      </w:r>
      <w:r>
        <w:rPr>
          <w:rFonts w:hint="eastAsia" w:ascii="宋体" w:hAnsi="宋体"/>
          <w:snapToGrid w:val="0"/>
          <w:color w:val="auto"/>
          <w:kern w:val="0"/>
          <w:szCs w:val="21"/>
          <w:highlight w:val="none"/>
        </w:rPr>
        <w:t>项目</w:t>
      </w:r>
      <w:r>
        <w:rPr>
          <w:rFonts w:ascii="宋体" w:hAnsi="宋体"/>
          <w:snapToGrid w:val="0"/>
          <w:color w:val="auto"/>
          <w:kern w:val="0"/>
          <w:szCs w:val="21"/>
          <w:highlight w:val="none"/>
        </w:rPr>
        <w:t>施工进行招标。</w:t>
      </w:r>
    </w:p>
    <w:p w14:paraId="2DDCA960">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1.1.2  本招标项目招标人：见投标人须知前附表。</w:t>
      </w:r>
    </w:p>
    <w:p w14:paraId="473BCC9A">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1.1.3  本招标项目招标代理机构：见投标人须知前附表。</w:t>
      </w:r>
    </w:p>
    <w:p w14:paraId="1D268828">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1.1.</w:t>
      </w:r>
      <w:r>
        <w:rPr>
          <w:rFonts w:hint="eastAsia" w:ascii="宋体" w:hAnsi="宋体"/>
          <w:snapToGrid w:val="0"/>
          <w:color w:val="auto"/>
          <w:kern w:val="0"/>
          <w:szCs w:val="21"/>
          <w:highlight w:val="none"/>
        </w:rPr>
        <w:t>4</w:t>
      </w:r>
      <w:r>
        <w:rPr>
          <w:rFonts w:ascii="宋体" w:hAnsi="宋体"/>
          <w:snapToGrid w:val="0"/>
          <w:color w:val="auto"/>
          <w:kern w:val="0"/>
          <w:szCs w:val="21"/>
          <w:highlight w:val="none"/>
        </w:rPr>
        <w:t xml:space="preserve">  本招标项目名称：见投标人须知前附表。</w:t>
      </w:r>
    </w:p>
    <w:p w14:paraId="518A565C">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1.1.5  本招标项目建设地点：见投标人须知前附表。</w:t>
      </w:r>
    </w:p>
    <w:p w14:paraId="6F952ED5">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1.1.6  本招标项目建设规模：见投标人须知前附表。</w:t>
      </w:r>
    </w:p>
    <w:p w14:paraId="21EC445A">
      <w:pPr>
        <w:pStyle w:val="5"/>
        <w:snapToGrid w:val="0"/>
        <w:spacing w:before="0" w:after="0" w:line="360" w:lineRule="auto"/>
        <w:rPr>
          <w:rFonts w:ascii="宋体" w:hAnsi="宋体"/>
          <w:b w:val="0"/>
          <w:snapToGrid w:val="0"/>
          <w:color w:val="auto"/>
          <w:sz w:val="24"/>
          <w:szCs w:val="24"/>
          <w:highlight w:val="none"/>
        </w:rPr>
      </w:pPr>
      <w:bookmarkStart w:id="110" w:name="_Toc200513128"/>
      <w:bookmarkStart w:id="111" w:name="_Toc224103319"/>
      <w:bookmarkStart w:id="112" w:name="_Toc287607748"/>
      <w:bookmarkStart w:id="113" w:name="_Toc509218712"/>
      <w:bookmarkStart w:id="114" w:name="_Toc277082554"/>
      <w:bookmarkStart w:id="115" w:name="_Toc117005182"/>
      <w:bookmarkStart w:id="116" w:name="_Toc430530437"/>
      <w:bookmarkStart w:id="117" w:name="_Toc287620687"/>
      <w:r>
        <w:rPr>
          <w:rFonts w:ascii="宋体" w:hAnsi="宋体"/>
          <w:b w:val="0"/>
          <w:snapToGrid w:val="0"/>
          <w:color w:val="auto"/>
          <w:sz w:val="24"/>
          <w:szCs w:val="24"/>
          <w:highlight w:val="none"/>
        </w:rPr>
        <w:t>1.2  资金来源和落实情况</w:t>
      </w:r>
      <w:bookmarkEnd w:id="110"/>
      <w:bookmarkEnd w:id="111"/>
      <w:bookmarkEnd w:id="112"/>
      <w:bookmarkEnd w:id="113"/>
      <w:bookmarkEnd w:id="114"/>
      <w:bookmarkEnd w:id="115"/>
      <w:bookmarkEnd w:id="116"/>
      <w:bookmarkEnd w:id="117"/>
    </w:p>
    <w:p w14:paraId="093C7A2C">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1.2.1  本招标项目的资金来源：见投标人须知前附表。</w:t>
      </w:r>
    </w:p>
    <w:p w14:paraId="39E045F8">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1.2.2  本招标项目的出资比例：见投标人须知前附表。</w:t>
      </w:r>
    </w:p>
    <w:p w14:paraId="3AE1A48F">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1.2.3  本招标项目的资金落实情况：见投标人须知前附表。</w:t>
      </w:r>
    </w:p>
    <w:p w14:paraId="599E6D49">
      <w:pPr>
        <w:pStyle w:val="5"/>
        <w:snapToGrid w:val="0"/>
        <w:spacing w:before="0" w:after="0" w:line="360" w:lineRule="auto"/>
        <w:rPr>
          <w:rFonts w:ascii="宋体" w:hAnsi="宋体"/>
          <w:b w:val="0"/>
          <w:snapToGrid w:val="0"/>
          <w:color w:val="auto"/>
          <w:sz w:val="24"/>
          <w:szCs w:val="24"/>
          <w:highlight w:val="none"/>
        </w:rPr>
      </w:pPr>
      <w:bookmarkStart w:id="118" w:name="_Toc200513129"/>
      <w:bookmarkStart w:id="119" w:name="_Toc509218713"/>
      <w:bookmarkStart w:id="120" w:name="_Toc430530438"/>
      <w:bookmarkStart w:id="121" w:name="_Toc224103320"/>
      <w:bookmarkStart w:id="122" w:name="_Toc287607749"/>
      <w:bookmarkStart w:id="123" w:name="_Toc277082555"/>
      <w:bookmarkStart w:id="124" w:name="_Toc287620688"/>
      <w:bookmarkStart w:id="125" w:name="_Toc117005183"/>
      <w:r>
        <w:rPr>
          <w:rFonts w:ascii="宋体" w:hAnsi="宋体"/>
          <w:b w:val="0"/>
          <w:snapToGrid w:val="0"/>
          <w:color w:val="auto"/>
          <w:sz w:val="24"/>
          <w:szCs w:val="24"/>
          <w:highlight w:val="none"/>
        </w:rPr>
        <w:t>1.3  招标范围、计划工期和质量要求</w:t>
      </w:r>
      <w:bookmarkEnd w:id="118"/>
      <w:bookmarkEnd w:id="119"/>
      <w:bookmarkEnd w:id="120"/>
      <w:bookmarkEnd w:id="121"/>
      <w:bookmarkEnd w:id="122"/>
      <w:bookmarkEnd w:id="123"/>
      <w:bookmarkEnd w:id="124"/>
      <w:bookmarkEnd w:id="125"/>
    </w:p>
    <w:p w14:paraId="6102E3B9">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1.3.1  招标范围：见投标人须知前附表。</w:t>
      </w:r>
    </w:p>
    <w:p w14:paraId="3C787883">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1.3.2  计划工期：见投标人须知前附表。</w:t>
      </w:r>
    </w:p>
    <w:p w14:paraId="7ED8F86F">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1.3.3  质量要求：见投标人须知前附表。</w:t>
      </w:r>
    </w:p>
    <w:p w14:paraId="05AA8FF0">
      <w:pPr>
        <w:pStyle w:val="5"/>
        <w:snapToGrid w:val="0"/>
        <w:spacing w:before="0" w:after="0" w:line="360" w:lineRule="auto"/>
        <w:rPr>
          <w:rFonts w:ascii="宋体" w:hAnsi="宋体"/>
          <w:b w:val="0"/>
          <w:snapToGrid w:val="0"/>
          <w:color w:val="auto"/>
          <w:sz w:val="24"/>
          <w:szCs w:val="24"/>
          <w:highlight w:val="none"/>
        </w:rPr>
      </w:pPr>
      <w:bookmarkStart w:id="126" w:name="_Toc287607751"/>
      <w:bookmarkStart w:id="127" w:name="_Toc509218715"/>
      <w:bookmarkStart w:id="128" w:name="_Toc287620690"/>
      <w:bookmarkStart w:id="129" w:name="_Toc224103322"/>
      <w:bookmarkStart w:id="130" w:name="_Toc200513131"/>
      <w:bookmarkStart w:id="131" w:name="_Toc277082557"/>
      <w:bookmarkStart w:id="132" w:name="_Toc117005184"/>
      <w:bookmarkStart w:id="133" w:name="_Toc430530440"/>
      <w:r>
        <w:rPr>
          <w:rFonts w:ascii="宋体" w:hAnsi="宋体"/>
          <w:b w:val="0"/>
          <w:snapToGrid w:val="0"/>
          <w:color w:val="auto"/>
          <w:sz w:val="24"/>
          <w:szCs w:val="24"/>
          <w:highlight w:val="none"/>
        </w:rPr>
        <w:t>1.4 投标人资格要求</w:t>
      </w:r>
      <w:bookmarkEnd w:id="126"/>
      <w:bookmarkEnd w:id="127"/>
      <w:bookmarkEnd w:id="128"/>
      <w:bookmarkEnd w:id="129"/>
      <w:bookmarkEnd w:id="130"/>
      <w:bookmarkEnd w:id="131"/>
      <w:bookmarkEnd w:id="132"/>
      <w:bookmarkEnd w:id="133"/>
    </w:p>
    <w:p w14:paraId="6A7A806C">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1.4.1 投标人应具备承担本标段施工的资质条件、能力和信誉。</w:t>
      </w:r>
    </w:p>
    <w:p w14:paraId="17758EDC">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w:t>
      </w:r>
      <w:r>
        <w:rPr>
          <w:rFonts w:ascii="宋体" w:hAnsi="宋体"/>
          <w:color w:val="auto"/>
          <w:szCs w:val="21"/>
          <w:highlight w:val="none"/>
        </w:rPr>
        <w:t>资质条件、营业执照及安全生产条件</w:t>
      </w:r>
      <w:r>
        <w:rPr>
          <w:rFonts w:ascii="宋体" w:hAnsi="宋体"/>
          <w:snapToGrid w:val="0"/>
          <w:color w:val="auto"/>
          <w:kern w:val="0"/>
          <w:szCs w:val="21"/>
          <w:highlight w:val="none"/>
        </w:rPr>
        <w:t>：见投标人须知前附表；</w:t>
      </w:r>
    </w:p>
    <w:p w14:paraId="00F5D456">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（2）财务要求：见投标人须知前附表；</w:t>
      </w:r>
    </w:p>
    <w:p w14:paraId="553E8986">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（3）业绩要求：见投标人须知前附表；</w:t>
      </w:r>
    </w:p>
    <w:p w14:paraId="6F4604F2">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w:t>
      </w:r>
      <w:r>
        <w:rPr>
          <w:rFonts w:hint="eastAsia" w:ascii="宋体" w:hAnsi="宋体"/>
          <w:snapToGrid w:val="0"/>
          <w:color w:val="auto"/>
          <w:kern w:val="0"/>
          <w:szCs w:val="21"/>
          <w:highlight w:val="none"/>
        </w:rPr>
        <w:t>投标截止日投标资格情况</w:t>
      </w:r>
      <w:r>
        <w:rPr>
          <w:rFonts w:ascii="宋体" w:hAnsi="宋体"/>
          <w:snapToGrid w:val="0"/>
          <w:color w:val="auto"/>
          <w:kern w:val="0"/>
          <w:szCs w:val="21"/>
          <w:highlight w:val="none"/>
        </w:rPr>
        <w:t>：见投标人须知前附表；</w:t>
      </w:r>
    </w:p>
    <w:p w14:paraId="28AECAB7">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（5）项目经理资格</w:t>
      </w:r>
      <w:r>
        <w:rPr>
          <w:rFonts w:hint="eastAsia" w:ascii="宋体" w:hAnsi="宋体"/>
          <w:snapToGrid w:val="0"/>
          <w:color w:val="auto"/>
          <w:kern w:val="0"/>
          <w:szCs w:val="21"/>
          <w:highlight w:val="none"/>
        </w:rPr>
        <w:t>要求</w:t>
      </w:r>
      <w:r>
        <w:rPr>
          <w:rFonts w:ascii="宋体" w:hAnsi="宋体"/>
          <w:snapToGrid w:val="0"/>
          <w:color w:val="auto"/>
          <w:kern w:val="0"/>
          <w:szCs w:val="21"/>
          <w:highlight w:val="none"/>
        </w:rPr>
        <w:t>：见投标人须知前附表；</w:t>
      </w:r>
    </w:p>
    <w:p w14:paraId="3F32425E">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（6）其他要求：见投标人须知前附表。</w:t>
      </w:r>
    </w:p>
    <w:p w14:paraId="6B96B550">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1.4.2  投标人须知前附表规定接受联合体投标的，除应符合本章第1.4.1项和投标人须知前附表的要求外，还应遵守以下规定：</w:t>
      </w:r>
    </w:p>
    <w:p w14:paraId="01A990E5">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（1）联合体各方应按招标文件提供的格式签订联合体协议书，明确联合体牵头人和各方权利义务；</w:t>
      </w:r>
    </w:p>
    <w:p w14:paraId="51CA35EB">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（2）联合体各方均应当具备承担招标项目的相应能力；联合体协议约定同一专业分工由两个及以上单位共同承担的，</w:t>
      </w:r>
      <w:r>
        <w:rPr>
          <w:rFonts w:hint="eastAsia" w:ascii="宋体" w:hAnsi="宋体"/>
          <w:snapToGrid w:val="0"/>
          <w:color w:val="auto"/>
          <w:kern w:val="0"/>
          <w:szCs w:val="21"/>
          <w:highlight w:val="none"/>
        </w:rPr>
        <w:t>按照资质等级较低的单位确定资质等级</w:t>
      </w:r>
      <w:r>
        <w:rPr>
          <w:rFonts w:ascii="宋体" w:hAnsi="宋体"/>
          <w:snapToGrid w:val="0"/>
          <w:color w:val="auto"/>
          <w:kern w:val="0"/>
          <w:szCs w:val="21"/>
          <w:highlight w:val="none"/>
        </w:rPr>
        <w:t>；</w:t>
      </w:r>
    </w:p>
    <w:p w14:paraId="6A5092C2">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（3）联合体各方不得再以自己名义单独或参加其他联合体在同一标段中投标。</w:t>
      </w:r>
    </w:p>
    <w:p w14:paraId="445E72EB">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1.4.3  投标人不得存在下列情形之一：</w:t>
      </w:r>
    </w:p>
    <w:p w14:paraId="1AF7A44D">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position w:val="-2"/>
          <w:szCs w:val="21"/>
          <w:highlight w:val="none"/>
        </w:rPr>
        <w:t>（1）与招标人存在利害关系可能影响招标公正性的法人、其他组织或者个人；</w:t>
      </w:r>
    </w:p>
    <w:p w14:paraId="3F0023C6">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（2）为本标段前期准备提供设计或咨询服务的，但设计施工总承包的除外；</w:t>
      </w:r>
    </w:p>
    <w:p w14:paraId="1BCFC9BF">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（3）为本标段的监理人；</w:t>
      </w:r>
    </w:p>
    <w:p w14:paraId="7D796006">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（4）为本标段的代建人；</w:t>
      </w:r>
    </w:p>
    <w:p w14:paraId="4D94D5A1">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（5）为本标段提供招标代理服务的；</w:t>
      </w:r>
    </w:p>
    <w:p w14:paraId="29434C39">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（6）与本标段的监理人或代建人或招标代理机构同为一个法定代表人的；</w:t>
      </w:r>
    </w:p>
    <w:p w14:paraId="3DEC6086">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（7）与本标段的监理人或代建人或招标代理机构</w:t>
      </w:r>
      <w:r>
        <w:rPr>
          <w:rFonts w:hint="eastAsia" w:ascii="宋体" w:hAnsi="宋体"/>
          <w:snapToGrid w:val="0"/>
          <w:color w:val="auto"/>
          <w:kern w:val="0"/>
          <w:szCs w:val="21"/>
          <w:highlight w:val="none"/>
        </w:rPr>
        <w:t>存在</w:t>
      </w:r>
      <w:r>
        <w:rPr>
          <w:rFonts w:ascii="宋体" w:hAnsi="宋体"/>
          <w:snapToGrid w:val="0"/>
          <w:color w:val="auto"/>
          <w:kern w:val="0"/>
          <w:szCs w:val="21"/>
          <w:highlight w:val="none"/>
        </w:rPr>
        <w:t>控股或参股的；</w:t>
      </w:r>
    </w:p>
    <w:p w14:paraId="764B7DAE">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（8）与本标段的监理人或代建人或招标代理机构相互任职或工作的；</w:t>
      </w:r>
    </w:p>
    <w:p w14:paraId="42B9E2C4">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（9）</w:t>
      </w:r>
      <w:r>
        <w:rPr>
          <w:rFonts w:asciiTheme="minorEastAsia" w:hAnsiTheme="minorEastAsia" w:eastAsiaTheme="minorEastAsia"/>
          <w:color w:val="auto"/>
          <w:szCs w:val="21"/>
          <w:highlight w:val="none"/>
        </w:rPr>
        <w:t>被责令停产停业、暂扣或者吊销许可证、暂扣或者吊销执照</w:t>
      </w:r>
      <w:r>
        <w:rPr>
          <w:rFonts w:ascii="宋体" w:hAnsi="宋体"/>
          <w:snapToGrid w:val="0"/>
          <w:color w:val="auto"/>
          <w:kern w:val="0"/>
          <w:szCs w:val="21"/>
          <w:highlight w:val="none"/>
        </w:rPr>
        <w:t>；</w:t>
      </w:r>
    </w:p>
    <w:p w14:paraId="270F8A40">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（10）</w:t>
      </w:r>
      <w:r>
        <w:rPr>
          <w:rFonts w:hint="eastAsia" w:ascii="宋体" w:hAnsi="宋体"/>
          <w:snapToGrid w:val="0"/>
          <w:color w:val="auto"/>
          <w:kern w:val="0"/>
          <w:szCs w:val="21"/>
          <w:highlight w:val="none"/>
        </w:rPr>
        <w:t>被国家、重庆市（含市或任意区县）有关行政部门处以暂停投标资格行政处罚，且在处罚期限内的</w:t>
      </w:r>
      <w:r>
        <w:rPr>
          <w:rFonts w:ascii="宋体" w:hAnsi="宋体"/>
          <w:snapToGrid w:val="0"/>
          <w:color w:val="auto"/>
          <w:kern w:val="0"/>
          <w:szCs w:val="21"/>
          <w:highlight w:val="none"/>
        </w:rPr>
        <w:t>；</w:t>
      </w:r>
    </w:p>
    <w:p w14:paraId="036555FC">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（11）</w:t>
      </w:r>
      <w:r>
        <w:rPr>
          <w:rFonts w:asciiTheme="minorEastAsia" w:hAnsiTheme="minorEastAsia" w:eastAsiaTheme="minorEastAsia"/>
          <w:color w:val="auto"/>
          <w:szCs w:val="21"/>
          <w:highlight w:val="none"/>
        </w:rPr>
        <w:t>进入清算程序，或被宣告破产，或其他丧失履约能力的情形</w:t>
      </w:r>
      <w:r>
        <w:rPr>
          <w:rFonts w:ascii="宋体" w:hAnsi="宋体"/>
          <w:snapToGrid w:val="0"/>
          <w:color w:val="auto"/>
          <w:kern w:val="0"/>
          <w:szCs w:val="21"/>
          <w:highlight w:val="none"/>
        </w:rPr>
        <w:t>；</w:t>
      </w:r>
    </w:p>
    <w:p w14:paraId="277B3506">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（12）</w:t>
      </w:r>
      <w:r>
        <w:rPr>
          <w:rFonts w:ascii="宋体" w:hAnsi="宋体"/>
          <w:color w:val="auto"/>
          <w:szCs w:val="21"/>
          <w:highlight w:val="none"/>
        </w:rPr>
        <w:t>单位负责人为同一人或者存在控股、管理关系的不同单位，不得在同一标段中同时投标</w:t>
      </w:r>
      <w:r>
        <w:rPr>
          <w:rFonts w:ascii="宋体" w:hAnsi="宋体"/>
          <w:snapToGrid w:val="0"/>
          <w:color w:val="auto"/>
          <w:kern w:val="0"/>
          <w:szCs w:val="21"/>
          <w:highlight w:val="none"/>
        </w:rPr>
        <w:t>。</w:t>
      </w:r>
    </w:p>
    <w:p w14:paraId="6EF5DF8F">
      <w:pPr>
        <w:pStyle w:val="5"/>
        <w:snapToGrid w:val="0"/>
        <w:spacing w:before="0" w:after="0" w:line="360" w:lineRule="auto"/>
        <w:rPr>
          <w:rFonts w:ascii="宋体" w:hAnsi="宋体"/>
          <w:b w:val="0"/>
          <w:snapToGrid w:val="0"/>
          <w:color w:val="auto"/>
          <w:sz w:val="24"/>
          <w:szCs w:val="24"/>
          <w:highlight w:val="none"/>
        </w:rPr>
      </w:pPr>
      <w:bookmarkStart w:id="134" w:name="_Toc287620691"/>
      <w:bookmarkStart w:id="135" w:name="_Toc287607752"/>
      <w:bookmarkStart w:id="136" w:name="_Toc277082558"/>
      <w:bookmarkStart w:id="137" w:name="_Toc509218716"/>
      <w:bookmarkStart w:id="138" w:name="_Toc430530441"/>
      <w:bookmarkStart w:id="139" w:name="_Toc200513132"/>
      <w:bookmarkStart w:id="140" w:name="_Toc224103323"/>
      <w:bookmarkStart w:id="141" w:name="_Toc117005185"/>
      <w:r>
        <w:rPr>
          <w:rFonts w:ascii="宋体" w:hAnsi="宋体"/>
          <w:b w:val="0"/>
          <w:snapToGrid w:val="0"/>
          <w:color w:val="auto"/>
          <w:sz w:val="24"/>
          <w:szCs w:val="24"/>
          <w:highlight w:val="none"/>
        </w:rPr>
        <w:t>1.5  费用承担</w:t>
      </w:r>
      <w:bookmarkEnd w:id="134"/>
      <w:bookmarkEnd w:id="135"/>
      <w:bookmarkEnd w:id="136"/>
      <w:bookmarkEnd w:id="137"/>
      <w:bookmarkEnd w:id="138"/>
      <w:bookmarkEnd w:id="139"/>
      <w:bookmarkEnd w:id="140"/>
      <w:bookmarkEnd w:id="141"/>
    </w:p>
    <w:p w14:paraId="09F581D3">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投标人准备和参加投标活动发生的费用自理。</w:t>
      </w:r>
    </w:p>
    <w:p w14:paraId="3B655CCB">
      <w:pPr>
        <w:pStyle w:val="5"/>
        <w:snapToGrid w:val="0"/>
        <w:spacing w:before="0" w:after="0" w:line="360" w:lineRule="auto"/>
        <w:rPr>
          <w:rFonts w:ascii="宋体" w:hAnsi="宋体"/>
          <w:b w:val="0"/>
          <w:snapToGrid w:val="0"/>
          <w:color w:val="auto"/>
          <w:sz w:val="24"/>
          <w:szCs w:val="24"/>
          <w:highlight w:val="none"/>
        </w:rPr>
      </w:pPr>
      <w:bookmarkStart w:id="142" w:name="_Toc287620692"/>
      <w:bookmarkStart w:id="143" w:name="_Toc430530442"/>
      <w:bookmarkStart w:id="144" w:name="_Toc200513133"/>
      <w:bookmarkStart w:id="145" w:name="_Toc117005186"/>
      <w:bookmarkStart w:id="146" w:name="_Toc277082559"/>
      <w:bookmarkStart w:id="147" w:name="_Toc287607753"/>
      <w:bookmarkStart w:id="148" w:name="_Toc509218717"/>
      <w:bookmarkStart w:id="149" w:name="_Toc224103324"/>
      <w:r>
        <w:rPr>
          <w:rFonts w:ascii="宋体" w:hAnsi="宋体"/>
          <w:b w:val="0"/>
          <w:snapToGrid w:val="0"/>
          <w:color w:val="auto"/>
          <w:sz w:val="24"/>
          <w:szCs w:val="24"/>
          <w:highlight w:val="none"/>
        </w:rPr>
        <w:t>1.6  保密</w:t>
      </w:r>
      <w:bookmarkEnd w:id="142"/>
      <w:bookmarkEnd w:id="143"/>
      <w:bookmarkEnd w:id="144"/>
      <w:bookmarkEnd w:id="145"/>
      <w:bookmarkEnd w:id="146"/>
      <w:bookmarkEnd w:id="147"/>
      <w:bookmarkEnd w:id="148"/>
      <w:bookmarkEnd w:id="149"/>
    </w:p>
    <w:p w14:paraId="13087EDA">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参与招标投标活动的各方应对招标文件和投标文件中的商业和技术等秘密保密，违者应对由此造成的后果承担法律责任。</w:t>
      </w:r>
    </w:p>
    <w:p w14:paraId="4B9633E3">
      <w:pPr>
        <w:pStyle w:val="5"/>
        <w:snapToGrid w:val="0"/>
        <w:spacing w:before="0" w:after="0" w:line="360" w:lineRule="auto"/>
        <w:rPr>
          <w:rFonts w:ascii="宋体" w:hAnsi="宋体"/>
          <w:b w:val="0"/>
          <w:snapToGrid w:val="0"/>
          <w:color w:val="auto"/>
          <w:sz w:val="24"/>
          <w:szCs w:val="24"/>
          <w:highlight w:val="none"/>
        </w:rPr>
      </w:pPr>
      <w:bookmarkStart w:id="150" w:name="_Toc287620693"/>
      <w:bookmarkStart w:id="151" w:name="_Toc200513134"/>
      <w:bookmarkStart w:id="152" w:name="_Toc117005187"/>
      <w:bookmarkStart w:id="153" w:name="_Toc287607754"/>
      <w:bookmarkStart w:id="154" w:name="_Toc430530443"/>
      <w:bookmarkStart w:id="155" w:name="_Toc509218718"/>
      <w:bookmarkStart w:id="156" w:name="_Toc277082560"/>
      <w:bookmarkStart w:id="157" w:name="_Toc224103325"/>
      <w:r>
        <w:rPr>
          <w:rFonts w:ascii="宋体" w:hAnsi="宋体"/>
          <w:b w:val="0"/>
          <w:snapToGrid w:val="0"/>
          <w:color w:val="auto"/>
          <w:sz w:val="24"/>
          <w:szCs w:val="24"/>
          <w:highlight w:val="none"/>
        </w:rPr>
        <w:t>1.7  语言文字</w:t>
      </w:r>
      <w:bookmarkEnd w:id="150"/>
      <w:bookmarkEnd w:id="151"/>
      <w:bookmarkEnd w:id="152"/>
      <w:bookmarkEnd w:id="153"/>
      <w:bookmarkEnd w:id="154"/>
      <w:bookmarkEnd w:id="155"/>
      <w:bookmarkEnd w:id="156"/>
      <w:bookmarkEnd w:id="157"/>
    </w:p>
    <w:p w14:paraId="308693B3">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除专用术语外，与招标投标有关的语言均使用中文。必要时专用术语应附有中文注释。</w:t>
      </w:r>
    </w:p>
    <w:p w14:paraId="2C10BB01">
      <w:pPr>
        <w:pStyle w:val="5"/>
        <w:snapToGrid w:val="0"/>
        <w:spacing w:before="0" w:after="0" w:line="360" w:lineRule="auto"/>
        <w:rPr>
          <w:rFonts w:ascii="宋体" w:hAnsi="宋体"/>
          <w:b w:val="0"/>
          <w:snapToGrid w:val="0"/>
          <w:color w:val="auto"/>
          <w:sz w:val="24"/>
          <w:szCs w:val="24"/>
          <w:highlight w:val="none"/>
        </w:rPr>
      </w:pPr>
      <w:bookmarkStart w:id="158" w:name="_Toc287620694"/>
      <w:bookmarkStart w:id="159" w:name="_Toc224103326"/>
      <w:bookmarkStart w:id="160" w:name="_Toc509218719"/>
      <w:bookmarkStart w:id="161" w:name="_Toc287607755"/>
      <w:bookmarkStart w:id="162" w:name="_Toc117005188"/>
      <w:bookmarkStart w:id="163" w:name="_Toc277082561"/>
      <w:bookmarkStart w:id="164" w:name="_Toc430530444"/>
      <w:bookmarkStart w:id="165" w:name="_Toc200513135"/>
      <w:r>
        <w:rPr>
          <w:rFonts w:ascii="宋体" w:hAnsi="宋体"/>
          <w:b w:val="0"/>
          <w:snapToGrid w:val="0"/>
          <w:color w:val="auto"/>
          <w:sz w:val="24"/>
          <w:szCs w:val="24"/>
          <w:highlight w:val="none"/>
        </w:rPr>
        <w:t>1.8  计量单位</w:t>
      </w:r>
      <w:bookmarkEnd w:id="158"/>
      <w:bookmarkEnd w:id="159"/>
      <w:bookmarkEnd w:id="160"/>
      <w:bookmarkEnd w:id="161"/>
      <w:bookmarkEnd w:id="162"/>
      <w:bookmarkEnd w:id="163"/>
      <w:bookmarkEnd w:id="164"/>
      <w:bookmarkEnd w:id="165"/>
    </w:p>
    <w:p w14:paraId="69731FCE">
      <w:pPr>
        <w:autoSpaceDE w:val="0"/>
        <w:autoSpaceDN w:val="0"/>
        <w:adjustRightInd w:val="0"/>
        <w:snapToGrid w:val="0"/>
        <w:spacing w:line="360" w:lineRule="auto"/>
        <w:ind w:firstLine="424" w:firstLineChars="202"/>
        <w:rPr>
          <w:rFonts w:ascii="宋体" w:hAnsi="宋体"/>
          <w:snapToGrid w:val="0"/>
          <w:color w:val="auto"/>
          <w:kern w:val="0"/>
          <w:szCs w:val="21"/>
          <w:highlight w:val="none"/>
        </w:rPr>
      </w:pPr>
      <w:r>
        <w:rPr>
          <w:rFonts w:ascii="宋体" w:hAnsi="宋体"/>
          <w:snapToGrid w:val="0"/>
          <w:color w:val="auto"/>
          <w:kern w:val="0"/>
          <w:szCs w:val="21"/>
          <w:highlight w:val="none"/>
        </w:rPr>
        <w:t>所有计量均采用中华人民共和国法定计量单位。</w:t>
      </w:r>
    </w:p>
    <w:p w14:paraId="25AFA121">
      <w:pPr>
        <w:pStyle w:val="5"/>
        <w:snapToGrid w:val="0"/>
        <w:spacing w:before="0" w:after="0" w:line="360" w:lineRule="auto"/>
        <w:rPr>
          <w:rFonts w:ascii="宋体" w:hAnsi="宋体"/>
          <w:b w:val="0"/>
          <w:snapToGrid w:val="0"/>
          <w:color w:val="auto"/>
          <w:sz w:val="24"/>
          <w:szCs w:val="24"/>
          <w:highlight w:val="none"/>
        </w:rPr>
      </w:pPr>
      <w:bookmarkStart w:id="166" w:name="_Toc277082562"/>
      <w:bookmarkStart w:id="167" w:name="_Toc287620695"/>
      <w:bookmarkStart w:id="168" w:name="_Toc200513136"/>
      <w:bookmarkStart w:id="169" w:name="_Toc509218720"/>
      <w:bookmarkStart w:id="170" w:name="_Toc224103327"/>
      <w:bookmarkStart w:id="171" w:name="_Toc430530445"/>
      <w:bookmarkStart w:id="172" w:name="_Toc287607756"/>
      <w:bookmarkStart w:id="173" w:name="_Toc117005189"/>
      <w:r>
        <w:rPr>
          <w:rFonts w:ascii="宋体" w:hAnsi="宋体"/>
          <w:b w:val="0"/>
          <w:snapToGrid w:val="0"/>
          <w:color w:val="auto"/>
          <w:sz w:val="24"/>
          <w:szCs w:val="24"/>
          <w:highlight w:val="none"/>
        </w:rPr>
        <w:t>1.9  踏勘现场</w:t>
      </w:r>
      <w:bookmarkEnd w:id="166"/>
      <w:bookmarkEnd w:id="167"/>
      <w:bookmarkEnd w:id="168"/>
      <w:bookmarkEnd w:id="169"/>
      <w:bookmarkEnd w:id="170"/>
      <w:bookmarkEnd w:id="171"/>
      <w:bookmarkEnd w:id="172"/>
      <w:bookmarkEnd w:id="173"/>
    </w:p>
    <w:p w14:paraId="03752737">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1.9.1  招标人</w:t>
      </w:r>
      <w:r>
        <w:rPr>
          <w:rFonts w:hint="eastAsia" w:ascii="宋体" w:hAnsi="宋体"/>
          <w:snapToGrid w:val="0"/>
          <w:color w:val="auto"/>
          <w:kern w:val="0"/>
          <w:szCs w:val="21"/>
          <w:highlight w:val="none"/>
        </w:rPr>
        <w:t>不</w:t>
      </w:r>
      <w:r>
        <w:rPr>
          <w:rFonts w:ascii="宋体" w:hAnsi="宋体"/>
          <w:snapToGrid w:val="0"/>
          <w:color w:val="auto"/>
          <w:kern w:val="0"/>
          <w:szCs w:val="21"/>
          <w:highlight w:val="none"/>
        </w:rPr>
        <w:t>组织投标人踏勘项目现场。</w:t>
      </w:r>
    </w:p>
    <w:p w14:paraId="079D3385">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1.9.2  投标人踏勘现场发生的费用自理。</w:t>
      </w:r>
    </w:p>
    <w:p w14:paraId="00A9B9B6">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1.9.3  除招标人的原因外，投标人自行负责在踏勘现场中所发生的人员伤亡和财产损失。</w:t>
      </w:r>
    </w:p>
    <w:p w14:paraId="39B5BD9F">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1.9.4 招标人在踏勘现场中介绍的工程场地和相关的周边环境情况，供投标人在编制投标文件时参考，招标人不对投标人据此做出的判断和决策负责。</w:t>
      </w:r>
    </w:p>
    <w:p w14:paraId="5E54A3DA">
      <w:pPr>
        <w:pStyle w:val="5"/>
        <w:snapToGrid w:val="0"/>
        <w:spacing w:before="0" w:after="0" w:line="360" w:lineRule="auto"/>
        <w:rPr>
          <w:rFonts w:ascii="宋体" w:hAnsi="宋体"/>
          <w:b w:val="0"/>
          <w:snapToGrid w:val="0"/>
          <w:color w:val="auto"/>
          <w:sz w:val="24"/>
          <w:szCs w:val="24"/>
          <w:highlight w:val="none"/>
        </w:rPr>
      </w:pPr>
      <w:bookmarkStart w:id="174" w:name="_Toc117005190"/>
      <w:bookmarkStart w:id="175" w:name="_Toc509218721"/>
      <w:bookmarkStart w:id="176" w:name="_Toc277082563"/>
      <w:bookmarkStart w:id="177" w:name="_Toc430530446"/>
      <w:bookmarkStart w:id="178" w:name="_Toc287607757"/>
      <w:bookmarkStart w:id="179" w:name="_Toc224103328"/>
      <w:bookmarkStart w:id="180" w:name="_Toc287620696"/>
      <w:bookmarkStart w:id="181" w:name="_Toc200513137"/>
      <w:r>
        <w:rPr>
          <w:rFonts w:ascii="宋体" w:hAnsi="宋体"/>
          <w:b w:val="0"/>
          <w:snapToGrid w:val="0"/>
          <w:color w:val="auto"/>
          <w:sz w:val="24"/>
          <w:szCs w:val="24"/>
          <w:highlight w:val="none"/>
        </w:rPr>
        <w:t>1.10  投标预备会</w:t>
      </w:r>
      <w:bookmarkEnd w:id="174"/>
      <w:bookmarkEnd w:id="175"/>
      <w:bookmarkEnd w:id="176"/>
      <w:bookmarkEnd w:id="177"/>
      <w:bookmarkEnd w:id="178"/>
      <w:bookmarkEnd w:id="179"/>
      <w:bookmarkEnd w:id="180"/>
      <w:bookmarkEnd w:id="181"/>
    </w:p>
    <w:p w14:paraId="1263CAC3">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1.10.1  投标人须知前附表规定召开投标预备会的，招标人按投标人须知前附表规定的时间和地点召开投标预备会，澄清投标人提出的问题。</w:t>
      </w:r>
    </w:p>
    <w:p w14:paraId="2ECBFFA4">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1.10.2  投标人应在投标人须知前附表第</w:t>
      </w:r>
      <w:r>
        <w:rPr>
          <w:rFonts w:ascii="宋体" w:hAnsi="宋体"/>
          <w:color w:val="auto"/>
          <w:kern w:val="0"/>
          <w:szCs w:val="21"/>
          <w:highlight w:val="none"/>
        </w:rPr>
        <w:t>2.2.4项</w:t>
      </w:r>
      <w:r>
        <w:rPr>
          <w:rFonts w:ascii="宋体" w:hAnsi="宋体"/>
          <w:snapToGrid w:val="0"/>
          <w:color w:val="auto"/>
          <w:kern w:val="0"/>
          <w:szCs w:val="21"/>
          <w:highlight w:val="none"/>
        </w:rPr>
        <w:t>规定的时间前，以书面形式将提出的问题送达招标人，以便招标人澄清。</w:t>
      </w:r>
    </w:p>
    <w:p w14:paraId="1E650190">
      <w:pPr>
        <w:autoSpaceDE w:val="0"/>
        <w:autoSpaceDN w:val="0"/>
        <w:adjustRightInd w:val="0"/>
        <w:snapToGrid w:val="0"/>
        <w:spacing w:line="360" w:lineRule="auto"/>
        <w:ind w:firstLine="424" w:firstLineChars="202"/>
        <w:rPr>
          <w:rFonts w:ascii="宋体" w:hAnsi="宋体"/>
          <w:snapToGrid w:val="0"/>
          <w:color w:val="auto"/>
          <w:kern w:val="0"/>
          <w:szCs w:val="21"/>
          <w:highlight w:val="none"/>
        </w:rPr>
      </w:pPr>
      <w:r>
        <w:rPr>
          <w:rFonts w:ascii="宋体" w:hAnsi="宋体"/>
          <w:snapToGrid w:val="0"/>
          <w:color w:val="auto"/>
          <w:kern w:val="0"/>
          <w:szCs w:val="21"/>
          <w:highlight w:val="none"/>
        </w:rPr>
        <w:t>1.10.3  招标人在投标人须知前附表规定的时间内，将对投标人所提</w:t>
      </w:r>
      <w:r>
        <w:rPr>
          <w:rFonts w:ascii="宋体" w:hAnsi="宋体"/>
          <w:snapToGrid w:val="0"/>
          <w:color w:val="auto"/>
          <w:kern w:val="0"/>
          <w:position w:val="-2"/>
          <w:szCs w:val="21"/>
          <w:highlight w:val="none"/>
        </w:rPr>
        <w:t>的</w:t>
      </w:r>
      <w:r>
        <w:rPr>
          <w:rFonts w:ascii="宋体" w:hAnsi="宋体"/>
          <w:snapToGrid w:val="0"/>
          <w:color w:val="auto"/>
          <w:kern w:val="0"/>
          <w:szCs w:val="21"/>
          <w:highlight w:val="none"/>
        </w:rPr>
        <w:t>问题</w:t>
      </w:r>
      <w:r>
        <w:rPr>
          <w:rFonts w:ascii="宋体" w:hAnsi="宋体"/>
          <w:snapToGrid w:val="0"/>
          <w:color w:val="auto"/>
          <w:kern w:val="0"/>
          <w:position w:val="-2"/>
          <w:szCs w:val="21"/>
          <w:highlight w:val="none"/>
        </w:rPr>
        <w:t>进行澄清。该澄清内容为招标文件的组成部分。</w:t>
      </w:r>
    </w:p>
    <w:p w14:paraId="2DEFAAF0">
      <w:pPr>
        <w:pStyle w:val="5"/>
        <w:snapToGrid w:val="0"/>
        <w:spacing w:before="0" w:after="0" w:line="360" w:lineRule="auto"/>
        <w:rPr>
          <w:rFonts w:ascii="宋体" w:hAnsi="宋体"/>
          <w:b w:val="0"/>
          <w:snapToGrid w:val="0"/>
          <w:color w:val="auto"/>
          <w:sz w:val="24"/>
          <w:szCs w:val="24"/>
          <w:highlight w:val="none"/>
        </w:rPr>
      </w:pPr>
      <w:bookmarkStart w:id="182" w:name="_Toc117005191"/>
      <w:bookmarkStart w:id="183" w:name="_Toc224103329"/>
      <w:bookmarkStart w:id="184" w:name="_Toc509218722"/>
      <w:bookmarkStart w:id="185" w:name="_Toc430530447"/>
      <w:bookmarkStart w:id="186" w:name="_Toc200513138"/>
      <w:bookmarkStart w:id="187" w:name="_Toc287620697"/>
      <w:bookmarkStart w:id="188" w:name="_Toc277082564"/>
      <w:bookmarkStart w:id="189" w:name="_Toc287607758"/>
      <w:r>
        <w:rPr>
          <w:rFonts w:ascii="宋体" w:hAnsi="宋体"/>
          <w:b w:val="0"/>
          <w:snapToGrid w:val="0"/>
          <w:color w:val="auto"/>
          <w:sz w:val="24"/>
          <w:szCs w:val="24"/>
          <w:highlight w:val="none"/>
        </w:rPr>
        <w:t>1.11  分包</w:t>
      </w:r>
      <w:bookmarkEnd w:id="182"/>
      <w:bookmarkEnd w:id="183"/>
      <w:bookmarkEnd w:id="184"/>
      <w:bookmarkEnd w:id="185"/>
      <w:bookmarkEnd w:id="186"/>
      <w:bookmarkEnd w:id="187"/>
      <w:bookmarkEnd w:id="188"/>
      <w:bookmarkEnd w:id="189"/>
    </w:p>
    <w:p w14:paraId="06CBDFB8">
      <w:pPr>
        <w:autoSpaceDE w:val="0"/>
        <w:autoSpaceDN w:val="0"/>
        <w:adjustRightInd w:val="0"/>
        <w:snapToGrid w:val="0"/>
        <w:spacing w:line="360" w:lineRule="auto"/>
        <w:ind w:firstLine="426"/>
        <w:rPr>
          <w:rFonts w:ascii="宋体" w:hAnsi="宋体"/>
          <w:snapToGrid w:val="0"/>
          <w:color w:val="auto"/>
          <w:kern w:val="0"/>
          <w:szCs w:val="21"/>
          <w:highlight w:val="none"/>
        </w:rPr>
      </w:pPr>
      <w:r>
        <w:rPr>
          <w:rFonts w:ascii="宋体" w:hAnsi="宋体"/>
          <w:snapToGrid w:val="0"/>
          <w:color w:val="auto"/>
          <w:kern w:val="0"/>
          <w:szCs w:val="21"/>
          <w:highlight w:val="none"/>
        </w:rPr>
        <w:t>投标人拟在中标后将中标项目的部分非主体、非关键性工作进行分包的，应符合投标人须知前附表规定的分包内容、分包金额和接受分包的第三人资质要求等限制性条件。</w:t>
      </w:r>
    </w:p>
    <w:p w14:paraId="7C1F6E4A">
      <w:pPr>
        <w:pStyle w:val="5"/>
        <w:snapToGrid w:val="0"/>
        <w:spacing w:before="0" w:after="0" w:line="360" w:lineRule="auto"/>
        <w:rPr>
          <w:rFonts w:ascii="宋体" w:hAnsi="宋体"/>
          <w:b w:val="0"/>
          <w:snapToGrid w:val="0"/>
          <w:color w:val="auto"/>
          <w:sz w:val="24"/>
          <w:szCs w:val="24"/>
          <w:highlight w:val="none"/>
        </w:rPr>
      </w:pPr>
      <w:bookmarkStart w:id="190" w:name="_Toc117005192"/>
      <w:bookmarkStart w:id="191" w:name="_Toc200513139"/>
      <w:bookmarkStart w:id="192" w:name="_Toc287620698"/>
      <w:bookmarkStart w:id="193" w:name="_Toc277082565"/>
      <w:bookmarkStart w:id="194" w:name="_Toc287607759"/>
      <w:bookmarkStart w:id="195" w:name="_Toc509218723"/>
      <w:bookmarkStart w:id="196" w:name="_Toc430530448"/>
      <w:bookmarkStart w:id="197" w:name="_Toc224103330"/>
      <w:r>
        <w:rPr>
          <w:rFonts w:ascii="宋体" w:hAnsi="宋体"/>
          <w:b w:val="0"/>
          <w:snapToGrid w:val="0"/>
          <w:color w:val="auto"/>
          <w:sz w:val="24"/>
          <w:szCs w:val="24"/>
          <w:highlight w:val="none"/>
        </w:rPr>
        <w:t>1.12  偏离</w:t>
      </w:r>
      <w:bookmarkEnd w:id="190"/>
      <w:bookmarkEnd w:id="191"/>
      <w:bookmarkEnd w:id="192"/>
      <w:bookmarkEnd w:id="193"/>
      <w:bookmarkEnd w:id="194"/>
      <w:bookmarkEnd w:id="195"/>
      <w:bookmarkEnd w:id="196"/>
      <w:bookmarkEnd w:id="197"/>
    </w:p>
    <w:p w14:paraId="6138A8A7">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投标人须知前附表允许投标文件偏离招标文件某些要求的，偏离应当符合招标文件规定 的偏离范围和幅度。</w:t>
      </w:r>
    </w:p>
    <w:p w14:paraId="45110ECF">
      <w:pPr>
        <w:pStyle w:val="4"/>
        <w:spacing w:before="0" w:after="0" w:line="360" w:lineRule="auto"/>
        <w:rPr>
          <w:rFonts w:ascii="宋体" w:hAnsi="宋体"/>
          <w:b w:val="0"/>
          <w:snapToGrid w:val="0"/>
          <w:color w:val="auto"/>
          <w:highlight w:val="none"/>
        </w:rPr>
      </w:pPr>
      <w:bookmarkStart w:id="198" w:name="_Toc287607760"/>
      <w:bookmarkStart w:id="199" w:name="_Toc224103331"/>
      <w:bookmarkStart w:id="200" w:name="_Toc117005193"/>
      <w:bookmarkStart w:id="201" w:name="_Toc200513140"/>
      <w:bookmarkStart w:id="202" w:name="_Toc287620699"/>
      <w:bookmarkStart w:id="203" w:name="_Toc430530449"/>
      <w:bookmarkStart w:id="204" w:name="_Toc277082566"/>
      <w:bookmarkStart w:id="205" w:name="_Toc509218724"/>
      <w:r>
        <w:rPr>
          <w:rFonts w:ascii="宋体" w:hAnsi="宋体"/>
          <w:b w:val="0"/>
          <w:snapToGrid w:val="0"/>
          <w:color w:val="auto"/>
          <w:highlight w:val="none"/>
        </w:rPr>
        <w:t>2.  招标文件</w:t>
      </w:r>
      <w:bookmarkEnd w:id="198"/>
      <w:bookmarkEnd w:id="199"/>
      <w:bookmarkEnd w:id="200"/>
      <w:bookmarkEnd w:id="201"/>
      <w:bookmarkEnd w:id="202"/>
      <w:bookmarkEnd w:id="203"/>
      <w:bookmarkEnd w:id="204"/>
      <w:bookmarkEnd w:id="205"/>
    </w:p>
    <w:p w14:paraId="21B37362">
      <w:pPr>
        <w:pStyle w:val="5"/>
        <w:snapToGrid w:val="0"/>
        <w:spacing w:before="0" w:after="0" w:line="360" w:lineRule="auto"/>
        <w:rPr>
          <w:rFonts w:ascii="宋体" w:hAnsi="宋体"/>
          <w:b w:val="0"/>
          <w:snapToGrid w:val="0"/>
          <w:color w:val="auto"/>
          <w:sz w:val="24"/>
          <w:szCs w:val="24"/>
          <w:highlight w:val="none"/>
        </w:rPr>
      </w:pPr>
      <w:bookmarkStart w:id="206" w:name="_Toc509218725"/>
      <w:bookmarkStart w:id="207" w:name="_Toc117005194"/>
      <w:bookmarkStart w:id="208" w:name="_Toc287620700"/>
      <w:bookmarkStart w:id="209" w:name="_Toc200513141"/>
      <w:bookmarkStart w:id="210" w:name="_Toc277082567"/>
      <w:bookmarkStart w:id="211" w:name="_Toc224103332"/>
      <w:bookmarkStart w:id="212" w:name="_Toc287607761"/>
      <w:bookmarkStart w:id="213" w:name="_Toc430530450"/>
      <w:r>
        <w:rPr>
          <w:rFonts w:ascii="宋体" w:hAnsi="宋体"/>
          <w:b w:val="0"/>
          <w:snapToGrid w:val="0"/>
          <w:color w:val="auto"/>
          <w:sz w:val="24"/>
          <w:szCs w:val="24"/>
          <w:highlight w:val="none"/>
        </w:rPr>
        <w:t>2.1  招标文件的组成</w:t>
      </w:r>
      <w:bookmarkEnd w:id="206"/>
      <w:bookmarkEnd w:id="207"/>
      <w:bookmarkEnd w:id="208"/>
      <w:bookmarkEnd w:id="209"/>
      <w:bookmarkEnd w:id="210"/>
      <w:bookmarkEnd w:id="211"/>
      <w:bookmarkEnd w:id="212"/>
      <w:bookmarkEnd w:id="213"/>
    </w:p>
    <w:p w14:paraId="43D0714A">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本招标文件包括：</w:t>
      </w:r>
    </w:p>
    <w:p w14:paraId="7EF3BA3D">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（1）招标公告（或投标邀请书）；</w:t>
      </w:r>
    </w:p>
    <w:p w14:paraId="4877C1ED">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（2）投标人须知；</w:t>
      </w:r>
    </w:p>
    <w:p w14:paraId="28388178">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（3）评标办法；</w:t>
      </w:r>
    </w:p>
    <w:p w14:paraId="3EB37F12">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（4）合同条款及格式；</w:t>
      </w:r>
    </w:p>
    <w:p w14:paraId="1D7CBE3E">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（5）工程量清单；</w:t>
      </w:r>
    </w:p>
    <w:p w14:paraId="7FE0C9C1">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（6）图纸；</w:t>
      </w:r>
    </w:p>
    <w:p w14:paraId="6401D5B5">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（7）技术标准和要求；</w:t>
      </w:r>
    </w:p>
    <w:p w14:paraId="58D7168F">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（8）投标文件格式；</w:t>
      </w:r>
    </w:p>
    <w:p w14:paraId="1CF2D011">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（9）投标人须知前附表规定的其他材料。</w:t>
      </w:r>
    </w:p>
    <w:p w14:paraId="3DFD4A83">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根据本章第1.10款、第2.2款和第2.3款对招标文件所作的澄清、修改，构成招标文件的组成部分。</w:t>
      </w:r>
    </w:p>
    <w:p w14:paraId="4FD1D2A5">
      <w:pPr>
        <w:pStyle w:val="5"/>
        <w:snapToGrid w:val="0"/>
        <w:spacing w:before="0" w:after="0" w:line="360" w:lineRule="auto"/>
        <w:rPr>
          <w:rFonts w:ascii="宋体" w:hAnsi="宋体"/>
          <w:b w:val="0"/>
          <w:snapToGrid w:val="0"/>
          <w:color w:val="auto"/>
          <w:sz w:val="24"/>
          <w:szCs w:val="24"/>
          <w:highlight w:val="none"/>
        </w:rPr>
      </w:pPr>
      <w:bookmarkStart w:id="214" w:name="_Toc509218726"/>
      <w:bookmarkStart w:id="215" w:name="_Toc430530451"/>
      <w:bookmarkStart w:id="216" w:name="_Toc117005195"/>
      <w:r>
        <w:rPr>
          <w:rFonts w:ascii="宋体" w:hAnsi="宋体"/>
          <w:b w:val="0"/>
          <w:snapToGrid w:val="0"/>
          <w:color w:val="auto"/>
          <w:sz w:val="24"/>
          <w:szCs w:val="24"/>
          <w:highlight w:val="none"/>
        </w:rPr>
        <w:t>2.2  招标文件的澄清</w:t>
      </w:r>
      <w:bookmarkEnd w:id="214"/>
      <w:bookmarkEnd w:id="215"/>
      <w:bookmarkEnd w:id="216"/>
    </w:p>
    <w:p w14:paraId="6A7C5D78">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2.2.1  投标人应仔细阅读和检查招标文件的全部内容。如发现缺页或附件不全，应及时向招标人提出，以便补齐。如有疑问，应在投标人须知前附表规定的时间前</w:t>
      </w:r>
      <w:r>
        <w:rPr>
          <w:rFonts w:ascii="宋体" w:hAnsi="宋体"/>
          <w:color w:val="auto"/>
          <w:kern w:val="0"/>
          <w:szCs w:val="21"/>
          <w:highlight w:val="none"/>
        </w:rPr>
        <w:t>在</w:t>
      </w:r>
      <w:r>
        <w:rPr>
          <w:rFonts w:hint="eastAsia" w:ascii="宋体" w:hAnsi="宋体"/>
          <w:color w:val="auto"/>
          <w:kern w:val="0"/>
          <w:szCs w:val="21"/>
          <w:highlight w:val="none"/>
        </w:rPr>
        <w:t>相应法定网站提问</w:t>
      </w:r>
      <w:r>
        <w:rPr>
          <w:rFonts w:ascii="宋体" w:hAnsi="宋体"/>
          <w:snapToGrid w:val="0"/>
          <w:color w:val="auto"/>
          <w:kern w:val="0"/>
          <w:szCs w:val="21"/>
          <w:highlight w:val="none"/>
        </w:rPr>
        <w:t>，要求招标人对招标文件予以澄清。</w:t>
      </w:r>
    </w:p>
    <w:p w14:paraId="48E91950">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2.2.2  招标文件的澄清将在投标人须知前附表规定的投标截止时间15天前</w:t>
      </w:r>
      <w:r>
        <w:rPr>
          <w:rFonts w:ascii="宋体" w:hAnsi="宋体"/>
          <w:color w:val="auto"/>
          <w:kern w:val="0"/>
          <w:szCs w:val="21"/>
          <w:highlight w:val="none"/>
        </w:rPr>
        <w:t>在</w:t>
      </w:r>
      <w:r>
        <w:rPr>
          <w:rFonts w:hint="eastAsia" w:ascii="宋体" w:hAnsi="宋体"/>
          <w:color w:val="auto"/>
          <w:kern w:val="0"/>
          <w:szCs w:val="21"/>
          <w:highlight w:val="none"/>
        </w:rPr>
        <w:t>相应法定网站</w:t>
      </w:r>
      <w:r>
        <w:rPr>
          <w:rFonts w:ascii="宋体" w:hAnsi="宋体"/>
          <w:color w:val="auto"/>
          <w:kern w:val="0"/>
          <w:szCs w:val="21"/>
          <w:highlight w:val="none"/>
        </w:rPr>
        <w:t>发布，</w:t>
      </w:r>
      <w:r>
        <w:rPr>
          <w:rFonts w:ascii="宋体" w:hAnsi="宋体"/>
          <w:snapToGrid w:val="0"/>
          <w:color w:val="auto"/>
          <w:kern w:val="0"/>
          <w:szCs w:val="21"/>
          <w:highlight w:val="none"/>
        </w:rPr>
        <w:t>但不指明澄清问题的来源。如果澄清发出的时间距投标截止时间不足15天，相应延长投标截止时间。</w:t>
      </w:r>
    </w:p>
    <w:p w14:paraId="65DBD846">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 xml:space="preserve">2.2.3  </w:t>
      </w:r>
      <w:r>
        <w:rPr>
          <w:rFonts w:ascii="宋体" w:hAnsi="宋体"/>
          <w:color w:val="auto"/>
          <w:kern w:val="0"/>
          <w:szCs w:val="21"/>
          <w:highlight w:val="none"/>
        </w:rPr>
        <w:t>招标人对招标文件的</w:t>
      </w:r>
      <w:r>
        <w:rPr>
          <w:rFonts w:hint="eastAsia" w:ascii="宋体" w:hAnsi="宋体"/>
          <w:snapToGrid w:val="0"/>
          <w:color w:val="auto"/>
          <w:kern w:val="0"/>
          <w:szCs w:val="21"/>
          <w:highlight w:val="none"/>
        </w:rPr>
        <w:t>修改</w:t>
      </w:r>
      <w:r>
        <w:rPr>
          <w:rFonts w:ascii="宋体" w:hAnsi="宋体"/>
          <w:snapToGrid w:val="0"/>
          <w:color w:val="auto"/>
          <w:kern w:val="0"/>
          <w:szCs w:val="21"/>
          <w:highlight w:val="none"/>
        </w:rPr>
        <w:t>内容可能影响投标文件编制的，须在投标截止时间15日前发布，发布时间至投标截止时间不足15日的，须相应延后投标截止时间。</w:t>
      </w:r>
    </w:p>
    <w:p w14:paraId="0484F51B">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position w:val="-2"/>
          <w:szCs w:val="21"/>
          <w:highlight w:val="none"/>
        </w:rPr>
        <w:t>2.2.4  投标人对招标文件和</w:t>
      </w:r>
      <w:r>
        <w:rPr>
          <w:rFonts w:hint="eastAsia" w:ascii="宋体" w:hAnsi="宋体"/>
          <w:snapToGrid w:val="0"/>
          <w:color w:val="auto"/>
          <w:kern w:val="0"/>
          <w:position w:val="-2"/>
          <w:szCs w:val="21"/>
          <w:highlight w:val="none"/>
        </w:rPr>
        <w:t>澄清</w:t>
      </w:r>
      <w:r>
        <w:rPr>
          <w:rFonts w:ascii="宋体" w:hAnsi="宋体"/>
          <w:snapToGrid w:val="0"/>
          <w:color w:val="auto"/>
          <w:kern w:val="0"/>
          <w:position w:val="-2"/>
          <w:szCs w:val="21"/>
          <w:highlight w:val="none"/>
        </w:rPr>
        <w:t>修改仍有</w:t>
      </w:r>
      <w:r>
        <w:rPr>
          <w:rFonts w:hint="eastAsia" w:ascii="宋体" w:hAnsi="宋体"/>
          <w:snapToGrid w:val="0"/>
          <w:color w:val="auto"/>
          <w:kern w:val="0"/>
          <w:position w:val="-2"/>
          <w:szCs w:val="21"/>
          <w:highlight w:val="none"/>
        </w:rPr>
        <w:t>异议</w:t>
      </w:r>
      <w:r>
        <w:rPr>
          <w:rFonts w:ascii="宋体" w:hAnsi="宋体"/>
          <w:snapToGrid w:val="0"/>
          <w:color w:val="auto"/>
          <w:kern w:val="0"/>
          <w:position w:val="-2"/>
          <w:szCs w:val="21"/>
          <w:highlight w:val="none"/>
        </w:rPr>
        <w:t>的，可于投标截止时间10日前，</w:t>
      </w:r>
      <w:r>
        <w:rPr>
          <w:rFonts w:hint="eastAsia" w:ascii="宋体" w:hAnsi="宋体" w:cs="宋体"/>
          <w:snapToGrid w:val="0"/>
          <w:color w:val="auto"/>
          <w:position w:val="-2"/>
          <w:szCs w:val="21"/>
          <w:highlight w:val="none"/>
        </w:rPr>
        <w:t>通过重庆市电子招投标系统提出</w:t>
      </w:r>
      <w:r>
        <w:rPr>
          <w:rFonts w:ascii="宋体" w:hAnsi="宋体"/>
          <w:snapToGrid w:val="0"/>
          <w:color w:val="auto"/>
          <w:kern w:val="0"/>
          <w:szCs w:val="21"/>
          <w:highlight w:val="none"/>
        </w:rPr>
        <w:t>。招标人应将答复以</w:t>
      </w:r>
      <w:r>
        <w:rPr>
          <w:rFonts w:hint="eastAsia" w:ascii="宋体" w:hAnsi="宋体"/>
          <w:snapToGrid w:val="0"/>
          <w:color w:val="auto"/>
          <w:kern w:val="0"/>
          <w:szCs w:val="21"/>
          <w:highlight w:val="none"/>
        </w:rPr>
        <w:t>修改</w:t>
      </w:r>
      <w:r>
        <w:rPr>
          <w:rFonts w:ascii="宋体" w:hAnsi="宋体"/>
          <w:snapToGrid w:val="0"/>
          <w:color w:val="auto"/>
          <w:kern w:val="0"/>
          <w:szCs w:val="21"/>
          <w:highlight w:val="none"/>
        </w:rPr>
        <w:t>的形式在</w:t>
      </w:r>
      <w:r>
        <w:rPr>
          <w:rFonts w:hint="eastAsia" w:ascii="宋体" w:hAnsi="宋体"/>
          <w:color w:val="auto"/>
          <w:kern w:val="0"/>
          <w:szCs w:val="21"/>
          <w:highlight w:val="none"/>
        </w:rPr>
        <w:t>相应法定网站</w:t>
      </w:r>
      <w:r>
        <w:rPr>
          <w:rFonts w:ascii="宋体" w:hAnsi="宋体"/>
          <w:color w:val="auto"/>
          <w:kern w:val="0"/>
          <w:szCs w:val="21"/>
          <w:highlight w:val="none"/>
        </w:rPr>
        <w:t>发布</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修改</w:t>
      </w:r>
      <w:r>
        <w:rPr>
          <w:rFonts w:ascii="宋体" w:hAnsi="宋体"/>
          <w:snapToGrid w:val="0"/>
          <w:color w:val="auto"/>
          <w:kern w:val="0"/>
          <w:szCs w:val="21"/>
          <w:highlight w:val="none"/>
        </w:rPr>
        <w:t>内容可能影响投标文件编制的，须在投标截止时间15日前发布，发布时间至投标截止时间不足15日的，须相应延后投标截止时间。</w:t>
      </w:r>
    </w:p>
    <w:p w14:paraId="2E3E3F56">
      <w:pPr>
        <w:pStyle w:val="5"/>
        <w:snapToGrid w:val="0"/>
        <w:spacing w:before="0" w:after="0" w:line="360" w:lineRule="auto"/>
        <w:rPr>
          <w:rFonts w:ascii="宋体" w:hAnsi="宋体"/>
          <w:b w:val="0"/>
          <w:snapToGrid w:val="0"/>
          <w:color w:val="auto"/>
          <w:sz w:val="24"/>
          <w:szCs w:val="24"/>
          <w:highlight w:val="none"/>
        </w:rPr>
      </w:pPr>
      <w:bookmarkStart w:id="217" w:name="_Toc117005196"/>
      <w:bookmarkStart w:id="218" w:name="_Toc287620702"/>
      <w:bookmarkStart w:id="219" w:name="_Toc224103334"/>
      <w:bookmarkStart w:id="220" w:name="_Toc287607763"/>
      <w:bookmarkStart w:id="221" w:name="_Toc277082569"/>
      <w:bookmarkStart w:id="222" w:name="_Toc509218727"/>
      <w:bookmarkStart w:id="223" w:name="_Toc200513143"/>
      <w:bookmarkStart w:id="224" w:name="_Toc430530452"/>
      <w:r>
        <w:rPr>
          <w:rFonts w:ascii="宋体" w:hAnsi="宋体"/>
          <w:b w:val="0"/>
          <w:snapToGrid w:val="0"/>
          <w:color w:val="auto"/>
          <w:sz w:val="24"/>
          <w:szCs w:val="24"/>
          <w:highlight w:val="none"/>
        </w:rPr>
        <w:t>2.3  招标文件的修改</w:t>
      </w:r>
      <w:bookmarkEnd w:id="217"/>
      <w:bookmarkEnd w:id="218"/>
      <w:bookmarkEnd w:id="219"/>
      <w:bookmarkEnd w:id="220"/>
      <w:bookmarkEnd w:id="221"/>
      <w:bookmarkEnd w:id="222"/>
      <w:bookmarkEnd w:id="223"/>
      <w:bookmarkEnd w:id="224"/>
    </w:p>
    <w:p w14:paraId="7449EEEA">
      <w:pPr>
        <w:autoSpaceDE w:val="0"/>
        <w:autoSpaceDN w:val="0"/>
        <w:adjustRightInd w:val="0"/>
        <w:snapToGrid w:val="0"/>
        <w:spacing w:line="360" w:lineRule="auto"/>
        <w:ind w:firstLine="420"/>
        <w:rPr>
          <w:rFonts w:ascii="宋体" w:hAnsi="宋体"/>
          <w:snapToGrid w:val="0"/>
          <w:color w:val="auto"/>
          <w:highlight w:val="none"/>
        </w:rPr>
      </w:pPr>
      <w:bookmarkStart w:id="225" w:name="_Toc277082570"/>
      <w:bookmarkStart w:id="226" w:name="_Toc287620703"/>
      <w:bookmarkStart w:id="227" w:name="_Toc224103335"/>
      <w:bookmarkStart w:id="228" w:name="_Toc200513144"/>
      <w:bookmarkStart w:id="229" w:name="_Toc287607764"/>
      <w:r>
        <w:rPr>
          <w:rFonts w:ascii="宋体" w:hAnsi="宋体"/>
          <w:snapToGrid w:val="0"/>
          <w:color w:val="auto"/>
          <w:highlight w:val="none"/>
        </w:rPr>
        <w:t>按照本章第2.2款招标文件的澄清相关内容及方式执行。</w:t>
      </w:r>
    </w:p>
    <w:p w14:paraId="47C37F90">
      <w:pPr>
        <w:pStyle w:val="4"/>
        <w:spacing w:before="0" w:after="0" w:line="360" w:lineRule="auto"/>
        <w:rPr>
          <w:rFonts w:ascii="宋体" w:hAnsi="宋体"/>
          <w:b w:val="0"/>
          <w:snapToGrid w:val="0"/>
          <w:color w:val="auto"/>
          <w:highlight w:val="none"/>
        </w:rPr>
      </w:pPr>
      <w:bookmarkStart w:id="230" w:name="_Toc430530453"/>
      <w:bookmarkStart w:id="231" w:name="_Toc509218728"/>
      <w:bookmarkStart w:id="232" w:name="_Toc117005197"/>
      <w:r>
        <w:rPr>
          <w:rFonts w:ascii="宋体" w:hAnsi="宋体"/>
          <w:b w:val="0"/>
          <w:snapToGrid w:val="0"/>
          <w:color w:val="auto"/>
          <w:highlight w:val="none"/>
        </w:rPr>
        <w:t>3.  投标文件</w:t>
      </w:r>
      <w:bookmarkEnd w:id="225"/>
      <w:bookmarkEnd w:id="226"/>
      <w:bookmarkEnd w:id="227"/>
      <w:bookmarkEnd w:id="228"/>
      <w:bookmarkEnd w:id="229"/>
      <w:bookmarkEnd w:id="230"/>
      <w:bookmarkEnd w:id="231"/>
      <w:bookmarkEnd w:id="232"/>
    </w:p>
    <w:p w14:paraId="3D484877">
      <w:pPr>
        <w:pStyle w:val="5"/>
        <w:snapToGrid w:val="0"/>
        <w:spacing w:before="0" w:after="0" w:line="360" w:lineRule="auto"/>
        <w:rPr>
          <w:rFonts w:ascii="宋体" w:hAnsi="宋体"/>
          <w:b w:val="0"/>
          <w:snapToGrid w:val="0"/>
          <w:color w:val="auto"/>
          <w:sz w:val="24"/>
          <w:szCs w:val="24"/>
          <w:highlight w:val="none"/>
        </w:rPr>
      </w:pPr>
      <w:bookmarkStart w:id="233" w:name="_Toc277082571"/>
      <w:bookmarkStart w:id="234" w:name="_Toc287607765"/>
      <w:bookmarkStart w:id="235" w:name="_Toc509218729"/>
      <w:bookmarkStart w:id="236" w:name="_Toc224103336"/>
      <w:bookmarkStart w:id="237" w:name="_Toc430530454"/>
      <w:bookmarkStart w:id="238" w:name="_Toc117005198"/>
      <w:bookmarkStart w:id="239" w:name="_Toc200513145"/>
      <w:bookmarkStart w:id="240" w:name="_Toc287620704"/>
      <w:r>
        <w:rPr>
          <w:rFonts w:ascii="宋体" w:hAnsi="宋体"/>
          <w:b w:val="0"/>
          <w:snapToGrid w:val="0"/>
          <w:color w:val="auto"/>
          <w:sz w:val="24"/>
          <w:szCs w:val="24"/>
          <w:highlight w:val="none"/>
        </w:rPr>
        <w:t>3.1  投标文件的组成</w:t>
      </w:r>
      <w:bookmarkEnd w:id="233"/>
      <w:bookmarkEnd w:id="234"/>
      <w:bookmarkEnd w:id="235"/>
      <w:bookmarkEnd w:id="236"/>
      <w:bookmarkEnd w:id="237"/>
      <w:bookmarkEnd w:id="238"/>
      <w:bookmarkEnd w:id="239"/>
      <w:bookmarkEnd w:id="240"/>
    </w:p>
    <w:p w14:paraId="54019683">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3.1.1 投标文件应包括下列内容：</w:t>
      </w:r>
    </w:p>
    <w:p w14:paraId="4AF418C4">
      <w:pPr>
        <w:spacing w:line="360" w:lineRule="auto"/>
        <w:ind w:firstLine="420" w:firstLineChars="200"/>
        <w:rPr>
          <w:rFonts w:ascii="宋体" w:hAnsi="宋体"/>
          <w:color w:val="auto"/>
          <w:highlight w:val="none"/>
        </w:rPr>
      </w:pPr>
      <w:r>
        <w:rPr>
          <w:rFonts w:hint="eastAsia" w:ascii="宋体" w:hAnsi="宋体"/>
          <w:color w:val="auto"/>
          <w:highlight w:val="none"/>
        </w:rPr>
        <w:t>3.1.1.1投标函部分</w:t>
      </w:r>
    </w:p>
    <w:p w14:paraId="69D17561">
      <w:pPr>
        <w:spacing w:line="360" w:lineRule="auto"/>
        <w:ind w:firstLine="420" w:firstLineChars="200"/>
        <w:rPr>
          <w:rFonts w:ascii="宋体" w:hAnsi="宋体"/>
          <w:color w:val="auto"/>
          <w:highlight w:val="none"/>
        </w:rPr>
      </w:pPr>
      <w:r>
        <w:rPr>
          <w:rFonts w:hint="eastAsia" w:ascii="宋体" w:hAnsi="宋体"/>
          <w:color w:val="auto"/>
          <w:highlight w:val="none"/>
        </w:rPr>
        <w:t>（1）投标函</w:t>
      </w:r>
    </w:p>
    <w:p w14:paraId="36AF236B">
      <w:pPr>
        <w:spacing w:line="360" w:lineRule="auto"/>
        <w:ind w:firstLine="420" w:firstLineChars="200"/>
        <w:rPr>
          <w:rFonts w:ascii="宋体" w:hAnsi="宋体"/>
          <w:color w:val="auto"/>
          <w:highlight w:val="none"/>
        </w:rPr>
      </w:pPr>
      <w:r>
        <w:rPr>
          <w:rFonts w:hint="eastAsia" w:ascii="宋体" w:hAnsi="宋体"/>
          <w:color w:val="auto"/>
          <w:highlight w:val="none"/>
        </w:rPr>
        <w:t>（2）投标函附录</w:t>
      </w:r>
    </w:p>
    <w:p w14:paraId="4E9C7F72">
      <w:pPr>
        <w:spacing w:line="360" w:lineRule="auto"/>
        <w:ind w:firstLine="420" w:firstLineChars="200"/>
        <w:rPr>
          <w:rFonts w:ascii="宋体" w:hAnsi="宋体"/>
          <w:color w:val="auto"/>
          <w:highlight w:val="none"/>
        </w:rPr>
      </w:pPr>
      <w:r>
        <w:rPr>
          <w:rFonts w:hint="eastAsia" w:ascii="宋体" w:hAnsi="宋体"/>
          <w:color w:val="auto"/>
          <w:highlight w:val="none"/>
        </w:rPr>
        <w:t>（3）法定代表人身份证明或附有法定代表人身份证明的授权委托书</w:t>
      </w:r>
    </w:p>
    <w:p w14:paraId="46DDE757">
      <w:pPr>
        <w:spacing w:line="360" w:lineRule="auto"/>
        <w:ind w:firstLine="420" w:firstLineChars="200"/>
        <w:rPr>
          <w:rFonts w:ascii="宋体" w:hAnsi="宋体"/>
          <w:color w:val="auto"/>
          <w:highlight w:val="none"/>
        </w:rPr>
      </w:pPr>
      <w:r>
        <w:rPr>
          <w:rFonts w:hint="eastAsia" w:ascii="宋体" w:hAnsi="宋体"/>
          <w:color w:val="auto"/>
          <w:highlight w:val="none"/>
        </w:rPr>
        <w:t>（4）低价风险担保提交承诺书（如有）</w:t>
      </w:r>
    </w:p>
    <w:p w14:paraId="02B7B5F6">
      <w:pPr>
        <w:spacing w:line="360" w:lineRule="auto"/>
        <w:ind w:firstLine="420" w:firstLineChars="200"/>
        <w:rPr>
          <w:rFonts w:ascii="宋体" w:hAnsi="宋体"/>
          <w:color w:val="auto"/>
          <w:highlight w:val="none"/>
        </w:rPr>
      </w:pPr>
      <w:r>
        <w:rPr>
          <w:rFonts w:hint="eastAsia" w:ascii="宋体" w:hAnsi="宋体"/>
          <w:color w:val="auto"/>
          <w:highlight w:val="none"/>
        </w:rPr>
        <w:t>3.1.1.2经济部分</w:t>
      </w:r>
    </w:p>
    <w:p w14:paraId="2097950A">
      <w:pPr>
        <w:spacing w:line="360" w:lineRule="auto"/>
        <w:ind w:firstLine="420" w:firstLineChars="200"/>
        <w:rPr>
          <w:rFonts w:ascii="宋体" w:hAnsi="宋体"/>
          <w:color w:val="auto"/>
          <w:highlight w:val="none"/>
        </w:rPr>
      </w:pPr>
      <w:r>
        <w:rPr>
          <w:rFonts w:hint="eastAsia" w:ascii="宋体" w:hAnsi="宋体"/>
          <w:color w:val="auto"/>
          <w:highlight w:val="none"/>
        </w:rPr>
        <w:t>（1）已标价工程量清单</w:t>
      </w:r>
    </w:p>
    <w:p w14:paraId="7FCF014B">
      <w:pPr>
        <w:spacing w:line="360" w:lineRule="auto"/>
        <w:ind w:firstLine="420" w:firstLineChars="200"/>
        <w:rPr>
          <w:rFonts w:ascii="宋体" w:hAnsi="宋体"/>
          <w:color w:val="auto"/>
          <w:highlight w:val="none"/>
        </w:rPr>
      </w:pPr>
      <w:r>
        <w:rPr>
          <w:rFonts w:hint="eastAsia" w:ascii="宋体" w:hAnsi="宋体"/>
          <w:color w:val="auto"/>
          <w:highlight w:val="none"/>
        </w:rPr>
        <w:t>3.1.1.3技术部分（不设置技术方案评审的不设此部分）</w:t>
      </w:r>
    </w:p>
    <w:p w14:paraId="392E4D9A">
      <w:pPr>
        <w:spacing w:line="360" w:lineRule="auto"/>
        <w:ind w:firstLine="420" w:firstLineChars="200"/>
        <w:rPr>
          <w:rFonts w:ascii="宋体" w:hAnsi="宋体"/>
          <w:color w:val="auto"/>
          <w:highlight w:val="none"/>
        </w:rPr>
      </w:pPr>
      <w:r>
        <w:rPr>
          <w:rFonts w:hint="eastAsia" w:ascii="宋体" w:hAnsi="宋体"/>
          <w:color w:val="auto"/>
          <w:highlight w:val="none"/>
        </w:rPr>
        <w:t>3.1.1.4资格审查部分</w:t>
      </w:r>
    </w:p>
    <w:p w14:paraId="605416B2">
      <w:pPr>
        <w:spacing w:line="360" w:lineRule="auto"/>
        <w:ind w:firstLine="420" w:firstLineChars="200"/>
        <w:rPr>
          <w:rFonts w:ascii="宋体" w:hAnsi="宋体"/>
          <w:color w:val="auto"/>
          <w:highlight w:val="none"/>
        </w:rPr>
      </w:pPr>
      <w:r>
        <w:rPr>
          <w:rFonts w:hint="eastAsia" w:ascii="宋体" w:hAnsi="宋体"/>
          <w:color w:val="auto"/>
          <w:highlight w:val="none"/>
        </w:rPr>
        <w:t>（1）法定代表人身份证明或附有法定代表人身份证明的授权委托书</w:t>
      </w:r>
    </w:p>
    <w:p w14:paraId="068A6F48">
      <w:pPr>
        <w:spacing w:line="360" w:lineRule="auto"/>
        <w:ind w:firstLine="420" w:firstLineChars="200"/>
        <w:rPr>
          <w:rFonts w:ascii="宋体" w:hAnsi="宋体"/>
          <w:color w:val="auto"/>
          <w:highlight w:val="none"/>
        </w:rPr>
      </w:pPr>
      <w:r>
        <w:rPr>
          <w:rFonts w:hint="eastAsia" w:ascii="宋体" w:hAnsi="宋体"/>
          <w:color w:val="auto"/>
          <w:highlight w:val="none"/>
        </w:rPr>
        <w:t>（2）联合体协议书（如有）</w:t>
      </w:r>
    </w:p>
    <w:p w14:paraId="7FC008FB">
      <w:pPr>
        <w:spacing w:line="360" w:lineRule="auto"/>
        <w:ind w:firstLine="420" w:firstLineChars="200"/>
        <w:rPr>
          <w:rFonts w:ascii="宋体" w:hAnsi="宋体"/>
          <w:color w:val="auto"/>
          <w:highlight w:val="none"/>
        </w:rPr>
      </w:pPr>
      <w:r>
        <w:rPr>
          <w:rFonts w:hint="eastAsia" w:ascii="宋体" w:hAnsi="宋体"/>
          <w:color w:val="auto"/>
          <w:highlight w:val="none"/>
        </w:rPr>
        <w:t>（3）投标人基本情况表</w:t>
      </w:r>
    </w:p>
    <w:p w14:paraId="0FBB33B7">
      <w:pPr>
        <w:spacing w:line="360" w:lineRule="auto"/>
        <w:ind w:firstLine="420" w:firstLineChars="200"/>
        <w:rPr>
          <w:rFonts w:ascii="宋体" w:hAnsi="宋体"/>
          <w:color w:val="auto"/>
          <w:highlight w:val="none"/>
        </w:rPr>
      </w:pPr>
      <w:r>
        <w:rPr>
          <w:rFonts w:hint="eastAsia" w:ascii="宋体" w:hAnsi="宋体"/>
          <w:color w:val="auto"/>
          <w:highlight w:val="none"/>
        </w:rPr>
        <w:t>（4）项目管理机构</w:t>
      </w:r>
    </w:p>
    <w:p w14:paraId="649C1A59">
      <w:pPr>
        <w:spacing w:line="360" w:lineRule="auto"/>
        <w:ind w:firstLine="420" w:firstLineChars="200"/>
        <w:rPr>
          <w:rFonts w:ascii="宋体" w:hAnsi="宋体"/>
          <w:color w:val="auto"/>
          <w:highlight w:val="none"/>
        </w:rPr>
      </w:pPr>
      <w:r>
        <w:rPr>
          <w:rFonts w:hint="eastAsia" w:ascii="宋体" w:hAnsi="宋体"/>
          <w:color w:val="auto"/>
          <w:highlight w:val="none"/>
        </w:rPr>
        <w:t>（5）近年财务状况表</w:t>
      </w:r>
    </w:p>
    <w:p w14:paraId="6887CD96">
      <w:pPr>
        <w:spacing w:line="360" w:lineRule="auto"/>
        <w:ind w:firstLine="420" w:firstLineChars="200"/>
        <w:rPr>
          <w:rFonts w:ascii="宋体" w:hAnsi="宋体"/>
          <w:color w:val="auto"/>
          <w:highlight w:val="none"/>
        </w:rPr>
      </w:pPr>
      <w:r>
        <w:rPr>
          <w:rFonts w:hint="eastAsia" w:ascii="宋体" w:hAnsi="宋体"/>
          <w:color w:val="auto"/>
          <w:highlight w:val="none"/>
        </w:rPr>
        <w:t>（6）类似项目情况表</w:t>
      </w:r>
    </w:p>
    <w:p w14:paraId="47B91977">
      <w:pPr>
        <w:spacing w:line="360" w:lineRule="auto"/>
        <w:ind w:firstLine="420" w:firstLineChars="200"/>
        <w:rPr>
          <w:rFonts w:ascii="宋体" w:hAnsi="宋体"/>
          <w:color w:val="auto"/>
          <w:highlight w:val="none"/>
        </w:rPr>
      </w:pPr>
      <w:r>
        <w:rPr>
          <w:rFonts w:hint="eastAsia" w:ascii="宋体" w:hAnsi="宋体"/>
          <w:color w:val="auto"/>
          <w:highlight w:val="none"/>
        </w:rPr>
        <w:t>（7）承诺</w:t>
      </w:r>
    </w:p>
    <w:p w14:paraId="7BB17A3B">
      <w:pPr>
        <w:spacing w:line="360" w:lineRule="auto"/>
        <w:ind w:firstLine="420" w:firstLineChars="200"/>
        <w:rPr>
          <w:rFonts w:ascii="宋体" w:hAnsi="宋体"/>
          <w:color w:val="auto"/>
          <w:highlight w:val="none"/>
        </w:rPr>
      </w:pPr>
      <w:r>
        <w:rPr>
          <w:rFonts w:hint="eastAsia" w:ascii="宋体" w:hAnsi="宋体"/>
          <w:color w:val="auto"/>
          <w:highlight w:val="none"/>
        </w:rPr>
        <w:t>（8）其他资料</w:t>
      </w:r>
    </w:p>
    <w:p w14:paraId="0A0C049E">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3.1.2  投标人须知前附表规定不接受联合体投标的，或投标人没有组成联合体的，投标文件不包括联合体协议书。</w:t>
      </w:r>
    </w:p>
    <w:p w14:paraId="42D60E9D">
      <w:pPr>
        <w:pStyle w:val="5"/>
        <w:snapToGrid w:val="0"/>
        <w:spacing w:before="0" w:after="0" w:line="360" w:lineRule="auto"/>
        <w:rPr>
          <w:rFonts w:ascii="宋体" w:hAnsi="宋体"/>
          <w:b w:val="0"/>
          <w:snapToGrid w:val="0"/>
          <w:color w:val="auto"/>
          <w:sz w:val="24"/>
          <w:szCs w:val="24"/>
          <w:highlight w:val="none"/>
        </w:rPr>
      </w:pPr>
      <w:bookmarkStart w:id="241" w:name="_Toc509218730"/>
      <w:bookmarkStart w:id="242" w:name="_Toc287607766"/>
      <w:bookmarkStart w:id="243" w:name="_Toc200513146"/>
      <w:bookmarkStart w:id="244" w:name="_Toc277082572"/>
      <w:bookmarkStart w:id="245" w:name="_Toc224103337"/>
      <w:bookmarkStart w:id="246" w:name="_Toc430530455"/>
      <w:bookmarkStart w:id="247" w:name="_Toc117005199"/>
      <w:bookmarkStart w:id="248" w:name="_Toc287620705"/>
      <w:r>
        <w:rPr>
          <w:rFonts w:ascii="宋体" w:hAnsi="宋体"/>
          <w:b w:val="0"/>
          <w:snapToGrid w:val="0"/>
          <w:color w:val="auto"/>
          <w:sz w:val="24"/>
          <w:szCs w:val="24"/>
          <w:highlight w:val="none"/>
        </w:rPr>
        <w:t>3.2  投标报价</w:t>
      </w:r>
      <w:bookmarkEnd w:id="241"/>
      <w:bookmarkEnd w:id="242"/>
      <w:bookmarkEnd w:id="243"/>
      <w:bookmarkEnd w:id="244"/>
      <w:bookmarkEnd w:id="245"/>
      <w:bookmarkEnd w:id="246"/>
      <w:bookmarkEnd w:id="247"/>
      <w:bookmarkEnd w:id="248"/>
    </w:p>
    <w:p w14:paraId="6650988D">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3.2.1  投标人应按第五章“工程量清单”的要求填写相应表格。</w:t>
      </w:r>
    </w:p>
    <w:p w14:paraId="3A7DD02B">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3.2.2</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投标人在投标截止时间前修改投标函中的投标总报价，应同时修改第五章“工程量清单”中的相应报价。此修改须符合本章第 4.3 款的有关要求。</w:t>
      </w:r>
    </w:p>
    <w:p w14:paraId="0BB672A1">
      <w:pPr>
        <w:pStyle w:val="5"/>
        <w:snapToGrid w:val="0"/>
        <w:spacing w:before="0" w:after="0" w:line="360" w:lineRule="auto"/>
        <w:rPr>
          <w:rFonts w:ascii="宋体" w:hAnsi="宋体"/>
          <w:b w:val="0"/>
          <w:snapToGrid w:val="0"/>
          <w:color w:val="auto"/>
          <w:sz w:val="24"/>
          <w:szCs w:val="24"/>
          <w:highlight w:val="none"/>
        </w:rPr>
      </w:pPr>
      <w:bookmarkStart w:id="249" w:name="_Toc287607767"/>
      <w:bookmarkStart w:id="250" w:name="_Toc287620706"/>
      <w:bookmarkStart w:id="251" w:name="_Toc509218731"/>
      <w:bookmarkStart w:id="252" w:name="_Toc200513147"/>
      <w:bookmarkStart w:id="253" w:name="_Toc117005200"/>
      <w:bookmarkStart w:id="254" w:name="_Toc224103338"/>
      <w:bookmarkStart w:id="255" w:name="_Toc430530456"/>
      <w:bookmarkStart w:id="256" w:name="_Toc277082573"/>
      <w:r>
        <w:rPr>
          <w:rFonts w:ascii="宋体" w:hAnsi="宋体"/>
          <w:b w:val="0"/>
          <w:snapToGrid w:val="0"/>
          <w:color w:val="auto"/>
          <w:sz w:val="24"/>
          <w:szCs w:val="24"/>
          <w:highlight w:val="none"/>
        </w:rPr>
        <w:t>3.3  投标有效期</w:t>
      </w:r>
      <w:bookmarkEnd w:id="249"/>
      <w:bookmarkEnd w:id="250"/>
      <w:bookmarkEnd w:id="251"/>
      <w:bookmarkEnd w:id="252"/>
      <w:bookmarkEnd w:id="253"/>
      <w:bookmarkEnd w:id="254"/>
      <w:bookmarkEnd w:id="255"/>
      <w:bookmarkEnd w:id="256"/>
    </w:p>
    <w:p w14:paraId="76293EE8">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3.3.1  在投标人须知前附表规定的投标有效期内，投标人不得要求撤销或修改其投标文件。</w:t>
      </w:r>
    </w:p>
    <w:p w14:paraId="1D46DA97">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3.3.2  出现特殊情况需要延长投标有效期的，招标人以书面形式通知所有投标人延长投标有效期。投标人同意延长的，应相应延长其投标保函的有效期，但不得要求或被允许修改或撤销其投标文件；投标人拒绝延长的，其投标失效，但投标人有权收回其投标保函。</w:t>
      </w:r>
      <w:r>
        <w:rPr>
          <w:rFonts w:hint="eastAsia" w:ascii="宋体" w:hAnsi="宋体"/>
          <w:snapToGrid w:val="0"/>
          <w:color w:val="auto"/>
          <w:kern w:val="0"/>
          <w:szCs w:val="21"/>
          <w:highlight w:val="none"/>
        </w:rPr>
        <w:t>（适用于投标保证金采用投标保函形式的）</w:t>
      </w:r>
    </w:p>
    <w:p w14:paraId="1E06E1BD">
      <w:pPr>
        <w:autoSpaceDE w:val="0"/>
        <w:autoSpaceDN w:val="0"/>
        <w:adjustRightInd w:val="0"/>
        <w:snapToGrid w:val="0"/>
        <w:spacing w:line="360" w:lineRule="auto"/>
        <w:ind w:firstLine="420" w:firstLineChars="200"/>
        <w:rPr>
          <w:rFonts w:ascii="宋体" w:hAnsi="宋体" w:cs="MingLiU"/>
          <w:snapToGrid w:val="0"/>
          <w:color w:val="auto"/>
          <w:kern w:val="0"/>
          <w:szCs w:val="21"/>
          <w:highlight w:val="none"/>
        </w:rPr>
      </w:pPr>
      <w:r>
        <w:rPr>
          <w:rFonts w:hint="eastAsia" w:ascii="宋体" w:hAnsi="宋体" w:cs="MingLiU"/>
          <w:snapToGrid w:val="0"/>
          <w:color w:val="auto"/>
          <w:kern w:val="0"/>
          <w:szCs w:val="21"/>
          <w:highlight w:val="none"/>
        </w:rPr>
        <w:t>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适用于投标保证金采用银行转账形式的）</w:t>
      </w:r>
    </w:p>
    <w:p w14:paraId="0B3D9E0E">
      <w:pPr>
        <w:pStyle w:val="5"/>
        <w:keepNext w:val="0"/>
        <w:keepLines w:val="0"/>
        <w:snapToGrid w:val="0"/>
        <w:spacing w:before="0" w:after="0" w:line="360" w:lineRule="auto"/>
        <w:rPr>
          <w:rFonts w:ascii="宋体" w:hAnsi="宋体"/>
          <w:b w:val="0"/>
          <w:snapToGrid w:val="0"/>
          <w:color w:val="auto"/>
          <w:sz w:val="24"/>
          <w:szCs w:val="24"/>
          <w:highlight w:val="none"/>
        </w:rPr>
      </w:pPr>
      <w:bookmarkStart w:id="257" w:name="_Toc509218732"/>
      <w:bookmarkStart w:id="258" w:name="_Toc224103339"/>
      <w:bookmarkStart w:id="259" w:name="_Toc200513148"/>
      <w:bookmarkStart w:id="260" w:name="_Toc287607768"/>
      <w:bookmarkStart w:id="261" w:name="_Toc277082574"/>
      <w:bookmarkStart w:id="262" w:name="_Toc287620707"/>
      <w:bookmarkStart w:id="263" w:name="_Toc430530457"/>
      <w:bookmarkStart w:id="264" w:name="_Toc117005201"/>
      <w:r>
        <w:rPr>
          <w:rFonts w:ascii="宋体" w:hAnsi="宋体"/>
          <w:b w:val="0"/>
          <w:snapToGrid w:val="0"/>
          <w:color w:val="auto"/>
          <w:sz w:val="24"/>
          <w:szCs w:val="24"/>
          <w:highlight w:val="none"/>
        </w:rPr>
        <w:t>3.4  投标</w:t>
      </w:r>
      <w:bookmarkEnd w:id="257"/>
      <w:bookmarkEnd w:id="258"/>
      <w:bookmarkEnd w:id="259"/>
      <w:bookmarkEnd w:id="260"/>
      <w:bookmarkEnd w:id="261"/>
      <w:bookmarkEnd w:id="262"/>
      <w:bookmarkEnd w:id="263"/>
      <w:r>
        <w:rPr>
          <w:rFonts w:hint="eastAsia" w:ascii="宋体" w:hAnsi="宋体"/>
          <w:b w:val="0"/>
          <w:snapToGrid w:val="0"/>
          <w:color w:val="auto"/>
          <w:sz w:val="24"/>
          <w:szCs w:val="24"/>
          <w:highlight w:val="none"/>
        </w:rPr>
        <w:t>保证金</w:t>
      </w:r>
      <w:bookmarkEnd w:id="264"/>
    </w:p>
    <w:p w14:paraId="4D51438E">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3.4.1  投标人在递交投标文件的同时，应按投标人须知前附表的规定递交投标保证金，并作为其投标文件的组成部分。联合体投标的，其投标保证金由牵头人递交，并应符合投标人须知前附表的规定。</w:t>
      </w:r>
    </w:p>
    <w:p w14:paraId="4CAB3D1E">
      <w:pPr>
        <w:autoSpaceDE w:val="0"/>
        <w:autoSpaceDN w:val="0"/>
        <w:adjustRightInd w:val="0"/>
        <w:snapToGrid w:val="0"/>
        <w:spacing w:line="360" w:lineRule="auto"/>
        <w:ind w:left="13" w:leftChars="6" w:firstLine="405" w:firstLineChars="193"/>
        <w:rPr>
          <w:rFonts w:ascii="宋体" w:hAnsi="宋体"/>
          <w:snapToGrid w:val="0"/>
          <w:color w:val="auto"/>
          <w:kern w:val="0"/>
          <w:szCs w:val="21"/>
          <w:highlight w:val="none"/>
        </w:rPr>
      </w:pPr>
      <w:r>
        <w:rPr>
          <w:rFonts w:ascii="宋体" w:hAnsi="宋体"/>
          <w:snapToGrid w:val="0"/>
          <w:color w:val="auto"/>
          <w:kern w:val="0"/>
          <w:szCs w:val="21"/>
          <w:highlight w:val="none"/>
        </w:rPr>
        <w:t>3.4.2  投标人不按本章第 3.4.1 项要求提交投标保证金的，其投标文件作否决投标处理。</w:t>
      </w:r>
    </w:p>
    <w:p w14:paraId="36F47FF6">
      <w:pPr>
        <w:autoSpaceDE w:val="0"/>
        <w:autoSpaceDN w:val="0"/>
        <w:adjustRightInd w:val="0"/>
        <w:snapToGrid w:val="0"/>
        <w:spacing w:line="360" w:lineRule="auto"/>
        <w:ind w:left="13" w:leftChars="6" w:firstLine="405" w:firstLineChars="193"/>
        <w:rPr>
          <w:rFonts w:ascii="宋体" w:hAnsi="宋体"/>
          <w:snapToGrid w:val="0"/>
          <w:color w:val="auto"/>
          <w:kern w:val="0"/>
          <w:szCs w:val="21"/>
          <w:highlight w:val="none"/>
        </w:rPr>
      </w:pPr>
      <w:r>
        <w:rPr>
          <w:rFonts w:ascii="宋体" w:hAnsi="宋体"/>
          <w:snapToGrid w:val="0"/>
          <w:color w:val="auto"/>
          <w:kern w:val="0"/>
          <w:szCs w:val="21"/>
          <w:highlight w:val="none"/>
        </w:rPr>
        <w:t>3.4.3  投标</w:t>
      </w:r>
      <w:r>
        <w:rPr>
          <w:rFonts w:ascii="宋体" w:hAnsi="宋体"/>
          <w:snapToGrid w:val="0"/>
          <w:color w:val="auto"/>
          <w:kern w:val="0"/>
          <w:position w:val="-2"/>
          <w:szCs w:val="21"/>
          <w:highlight w:val="none"/>
        </w:rPr>
        <w:t>保证金（投标保函）</w:t>
      </w:r>
      <w:r>
        <w:rPr>
          <w:rFonts w:ascii="宋体" w:hAnsi="宋体"/>
          <w:snapToGrid w:val="0"/>
          <w:color w:val="auto"/>
          <w:kern w:val="0"/>
          <w:szCs w:val="21"/>
          <w:highlight w:val="none"/>
        </w:rPr>
        <w:t>退还：见投标人须知前附表</w:t>
      </w:r>
      <w:r>
        <w:rPr>
          <w:rFonts w:ascii="宋体" w:hAnsi="宋体"/>
          <w:snapToGrid w:val="0"/>
          <w:color w:val="auto"/>
          <w:kern w:val="0"/>
          <w:position w:val="-2"/>
          <w:szCs w:val="21"/>
          <w:highlight w:val="none"/>
        </w:rPr>
        <w:t>。</w:t>
      </w:r>
    </w:p>
    <w:p w14:paraId="124A075F">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3.4.4  有下列情形之一的，投标保证金将不予退还：</w:t>
      </w:r>
    </w:p>
    <w:p w14:paraId="7D83F787">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（1）投标人在规定的投标有效期内撤销或修改其投标文件；</w:t>
      </w:r>
    </w:p>
    <w:p w14:paraId="435F8133">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（2）</w:t>
      </w:r>
      <w:r>
        <w:rPr>
          <w:rFonts w:hint="eastAsia" w:ascii="宋体" w:hAnsi="宋体"/>
          <w:color w:val="auto"/>
          <w:kern w:val="0"/>
          <w:szCs w:val="21"/>
          <w:highlight w:val="none"/>
        </w:rPr>
        <w:t>中标人在收到中标通知书后，无正当理由不与招标人订立合同，在签订合同时向招标人提出附加条件，或者不按照招标文件要求提交履约保证金</w:t>
      </w:r>
      <w:r>
        <w:rPr>
          <w:rFonts w:ascii="宋体" w:hAnsi="宋体"/>
          <w:snapToGrid w:val="0"/>
          <w:color w:val="auto"/>
          <w:kern w:val="0"/>
          <w:szCs w:val="21"/>
          <w:highlight w:val="none"/>
        </w:rPr>
        <w:t>；</w:t>
      </w:r>
    </w:p>
    <w:p w14:paraId="02719E41">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（3）</w:t>
      </w:r>
      <w:r>
        <w:rPr>
          <w:rFonts w:hint="eastAsia" w:ascii="宋体" w:hAnsi="宋体"/>
          <w:color w:val="auto"/>
          <w:kern w:val="0"/>
          <w:szCs w:val="21"/>
          <w:highlight w:val="none"/>
        </w:rPr>
        <w:t>中标人（或拟中标人）拒不提供或者不按时提供低价风险担保（适用于经评审的最低投标价法）；</w:t>
      </w:r>
    </w:p>
    <w:p w14:paraId="18752968">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w:t>
      </w:r>
      <w:r>
        <w:rPr>
          <w:rFonts w:hint="eastAsia" w:ascii="宋体" w:hAnsi="宋体"/>
          <w:snapToGrid w:val="0"/>
          <w:color w:val="auto"/>
          <w:kern w:val="0"/>
          <w:szCs w:val="21"/>
          <w:highlight w:val="none"/>
        </w:rPr>
        <w:t>4</w:t>
      </w:r>
      <w:r>
        <w:rPr>
          <w:rFonts w:ascii="宋体" w:hAnsi="宋体"/>
          <w:snapToGrid w:val="0"/>
          <w:color w:val="auto"/>
          <w:kern w:val="0"/>
          <w:szCs w:val="21"/>
          <w:highlight w:val="none"/>
        </w:rPr>
        <w:t>）违反本章第9.2</w:t>
      </w:r>
      <w:r>
        <w:rPr>
          <w:rFonts w:hint="eastAsia" w:ascii="宋体" w:hAnsi="宋体"/>
          <w:snapToGrid w:val="0"/>
          <w:color w:val="auto"/>
          <w:kern w:val="0"/>
          <w:szCs w:val="21"/>
          <w:highlight w:val="none"/>
        </w:rPr>
        <w:t>款</w:t>
      </w:r>
      <w:r>
        <w:rPr>
          <w:rFonts w:ascii="宋体" w:hAnsi="宋体"/>
          <w:snapToGrid w:val="0"/>
          <w:color w:val="auto"/>
          <w:kern w:val="0"/>
          <w:szCs w:val="21"/>
          <w:highlight w:val="none"/>
        </w:rPr>
        <w:t>对投标人的纪律要求的；</w:t>
      </w:r>
    </w:p>
    <w:p w14:paraId="1A235063">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w:t>
      </w:r>
      <w:r>
        <w:rPr>
          <w:rFonts w:hint="eastAsia" w:ascii="宋体" w:hAnsi="宋体"/>
          <w:snapToGrid w:val="0"/>
          <w:color w:val="auto"/>
          <w:kern w:val="0"/>
          <w:szCs w:val="21"/>
          <w:highlight w:val="none"/>
        </w:rPr>
        <w:t>5</w:t>
      </w:r>
      <w:r>
        <w:rPr>
          <w:rFonts w:ascii="宋体" w:hAnsi="宋体"/>
          <w:snapToGrid w:val="0"/>
          <w:color w:val="auto"/>
          <w:kern w:val="0"/>
          <w:szCs w:val="21"/>
          <w:highlight w:val="none"/>
        </w:rPr>
        <w:t>）法律法规规定的其他情形。</w:t>
      </w:r>
    </w:p>
    <w:p w14:paraId="18883AC1">
      <w:pPr>
        <w:tabs>
          <w:tab w:val="left" w:pos="611"/>
          <w:tab w:val="left" w:pos="669"/>
        </w:tabs>
        <w:snapToGrid w:val="0"/>
        <w:spacing w:line="360" w:lineRule="auto"/>
        <w:ind w:firstLine="420" w:firstLineChars="200"/>
        <w:rPr>
          <w:rFonts w:ascii="宋体" w:hAnsi="宋体"/>
          <w:color w:val="auto"/>
          <w:kern w:val="0"/>
          <w:highlight w:val="none"/>
        </w:rPr>
      </w:pPr>
      <w:r>
        <w:rPr>
          <w:rFonts w:ascii="宋体" w:hAnsi="宋体"/>
          <w:snapToGrid w:val="0"/>
          <w:color w:val="auto"/>
          <w:kern w:val="0"/>
          <w:szCs w:val="21"/>
          <w:highlight w:val="none"/>
        </w:rPr>
        <w:t>3.4.5</w:t>
      </w:r>
      <w:r>
        <w:rPr>
          <w:rFonts w:ascii="宋体" w:hAnsi="宋体"/>
          <w:color w:val="auto"/>
          <w:kern w:val="0"/>
          <w:highlight w:val="none"/>
        </w:rPr>
        <w:t>（1）投标保证金为无条件担保；</w:t>
      </w:r>
    </w:p>
    <w:p w14:paraId="56F40242">
      <w:pPr>
        <w:tabs>
          <w:tab w:val="left" w:pos="611"/>
          <w:tab w:val="left" w:pos="669"/>
        </w:tabs>
        <w:snapToGrid w:val="0"/>
        <w:spacing w:line="360" w:lineRule="auto"/>
        <w:ind w:firstLine="945" w:firstLineChars="450"/>
        <w:rPr>
          <w:rFonts w:ascii="宋体" w:hAnsi="宋体"/>
          <w:color w:val="auto"/>
          <w:kern w:val="0"/>
          <w:highlight w:val="none"/>
        </w:rPr>
      </w:pPr>
      <w:r>
        <w:rPr>
          <w:rFonts w:ascii="宋体" w:hAnsi="宋体"/>
          <w:color w:val="auto"/>
          <w:kern w:val="0"/>
          <w:highlight w:val="none"/>
        </w:rPr>
        <w:t>（2）投标保证金的受益人为招标人</w:t>
      </w:r>
      <w:r>
        <w:rPr>
          <w:rFonts w:hint="eastAsia" w:ascii="宋体" w:hAnsi="宋体"/>
          <w:color w:val="auto"/>
          <w:kern w:val="0"/>
          <w:highlight w:val="none"/>
        </w:rPr>
        <w:t>。</w:t>
      </w:r>
    </w:p>
    <w:p w14:paraId="5CBE5F0B">
      <w:pPr>
        <w:pStyle w:val="5"/>
        <w:keepNext w:val="0"/>
        <w:keepLines w:val="0"/>
        <w:snapToGrid w:val="0"/>
        <w:spacing w:before="0" w:after="0" w:line="360" w:lineRule="auto"/>
        <w:rPr>
          <w:rFonts w:ascii="宋体" w:hAnsi="宋体"/>
          <w:b w:val="0"/>
          <w:snapToGrid w:val="0"/>
          <w:color w:val="auto"/>
          <w:sz w:val="24"/>
          <w:szCs w:val="24"/>
          <w:highlight w:val="none"/>
        </w:rPr>
      </w:pPr>
      <w:bookmarkStart w:id="265" w:name="_Toc287607770"/>
      <w:bookmarkStart w:id="266" w:name="_Toc224103341"/>
      <w:bookmarkStart w:id="267" w:name="_Toc430530459"/>
      <w:bookmarkStart w:id="268" w:name="_Toc509218734"/>
      <w:bookmarkStart w:id="269" w:name="_Toc287620709"/>
      <w:bookmarkStart w:id="270" w:name="_Toc200513150"/>
      <w:bookmarkStart w:id="271" w:name="_Toc117005202"/>
      <w:bookmarkStart w:id="272" w:name="_Toc277082576"/>
      <w:r>
        <w:rPr>
          <w:rFonts w:ascii="宋体" w:hAnsi="宋体"/>
          <w:b w:val="0"/>
          <w:snapToGrid w:val="0"/>
          <w:color w:val="auto"/>
          <w:sz w:val="24"/>
          <w:szCs w:val="24"/>
          <w:highlight w:val="none"/>
        </w:rPr>
        <w:t>3.5  资格审查资料</w:t>
      </w:r>
      <w:bookmarkEnd w:id="265"/>
      <w:bookmarkEnd w:id="266"/>
      <w:bookmarkEnd w:id="267"/>
      <w:bookmarkEnd w:id="268"/>
      <w:bookmarkEnd w:id="269"/>
      <w:bookmarkEnd w:id="270"/>
      <w:bookmarkEnd w:id="271"/>
      <w:bookmarkEnd w:id="272"/>
    </w:p>
    <w:p w14:paraId="22150C5C">
      <w:pPr>
        <w:autoSpaceDE w:val="0"/>
        <w:autoSpaceDN w:val="0"/>
        <w:adjustRightInd w:val="0"/>
        <w:snapToGrid w:val="0"/>
        <w:spacing w:line="360" w:lineRule="auto"/>
        <w:ind w:left="103" w:leftChars="49" w:right="37" w:firstLine="420" w:firstLineChars="200"/>
        <w:rPr>
          <w:rFonts w:ascii="宋体" w:hAnsi="宋体"/>
          <w:color w:val="auto"/>
          <w:szCs w:val="21"/>
          <w:highlight w:val="none"/>
        </w:rPr>
      </w:pPr>
      <w:r>
        <w:rPr>
          <w:rFonts w:ascii="宋体" w:hAnsi="宋体"/>
          <w:color w:val="auto"/>
          <w:szCs w:val="21"/>
          <w:highlight w:val="none"/>
        </w:rPr>
        <w:t>投标人</w:t>
      </w:r>
      <w:r>
        <w:rPr>
          <w:rFonts w:hint="eastAsia" w:ascii="宋体" w:hAnsi="宋体"/>
          <w:color w:val="auto"/>
          <w:szCs w:val="21"/>
          <w:highlight w:val="none"/>
        </w:rPr>
        <w:t>应附</w:t>
      </w:r>
      <w:r>
        <w:rPr>
          <w:rFonts w:hint="eastAsia" w:ascii="宋体" w:hAnsi="宋体"/>
          <w:color w:val="auto"/>
          <w:kern w:val="0"/>
          <w:szCs w:val="21"/>
          <w:highlight w:val="none"/>
        </w:rPr>
        <w:t>投标人须知前附表第1</w:t>
      </w:r>
      <w:r>
        <w:rPr>
          <w:rFonts w:ascii="宋体" w:hAnsi="宋体"/>
          <w:color w:val="auto"/>
          <w:kern w:val="0"/>
          <w:szCs w:val="21"/>
          <w:highlight w:val="none"/>
        </w:rPr>
        <w:t>.4.1项</w:t>
      </w:r>
      <w:r>
        <w:rPr>
          <w:rFonts w:hint="eastAsia" w:ascii="宋体" w:hAnsi="宋体"/>
          <w:color w:val="auto"/>
          <w:kern w:val="0"/>
          <w:szCs w:val="21"/>
          <w:highlight w:val="none"/>
        </w:rPr>
        <w:t>中要求的相关证明材料</w:t>
      </w:r>
      <w:r>
        <w:rPr>
          <w:rFonts w:ascii="宋体" w:hAnsi="宋体"/>
          <w:color w:val="auto"/>
          <w:szCs w:val="21"/>
          <w:highlight w:val="none"/>
        </w:rPr>
        <w:t>。</w:t>
      </w:r>
    </w:p>
    <w:p w14:paraId="4A224018">
      <w:pPr>
        <w:autoSpaceDE w:val="0"/>
        <w:autoSpaceDN w:val="0"/>
        <w:adjustRightInd w:val="0"/>
        <w:snapToGrid w:val="0"/>
        <w:spacing w:line="360" w:lineRule="auto"/>
        <w:ind w:left="103" w:leftChars="49" w:right="37"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投标人须知前附表规定接受联合体投标的，详见投标人须知前附表联合体投标相关内容。</w:t>
      </w:r>
    </w:p>
    <w:p w14:paraId="23B6BC3A">
      <w:pPr>
        <w:pStyle w:val="5"/>
        <w:snapToGrid w:val="0"/>
        <w:spacing w:before="0" w:after="0" w:line="360" w:lineRule="auto"/>
        <w:rPr>
          <w:rFonts w:ascii="宋体" w:hAnsi="宋体"/>
          <w:b w:val="0"/>
          <w:snapToGrid w:val="0"/>
          <w:color w:val="auto"/>
          <w:sz w:val="24"/>
          <w:szCs w:val="24"/>
          <w:highlight w:val="none"/>
        </w:rPr>
      </w:pPr>
      <w:bookmarkStart w:id="273" w:name="_Toc287607771"/>
      <w:bookmarkStart w:id="274" w:name="_Toc200513151"/>
      <w:bookmarkStart w:id="275" w:name="_Toc277082577"/>
      <w:bookmarkStart w:id="276" w:name="_Toc430530460"/>
      <w:bookmarkStart w:id="277" w:name="_Toc117005203"/>
      <w:bookmarkStart w:id="278" w:name="_Toc287620710"/>
      <w:bookmarkStart w:id="279" w:name="_Toc509218735"/>
      <w:bookmarkStart w:id="280" w:name="_Toc224103342"/>
      <w:r>
        <w:rPr>
          <w:rFonts w:ascii="宋体" w:hAnsi="宋体"/>
          <w:b w:val="0"/>
          <w:snapToGrid w:val="0"/>
          <w:color w:val="auto"/>
          <w:sz w:val="24"/>
          <w:szCs w:val="24"/>
          <w:highlight w:val="none"/>
        </w:rPr>
        <w:t>3.6  备选投标方案</w:t>
      </w:r>
      <w:bookmarkEnd w:id="273"/>
      <w:bookmarkEnd w:id="274"/>
      <w:bookmarkEnd w:id="275"/>
      <w:bookmarkEnd w:id="276"/>
      <w:bookmarkEnd w:id="277"/>
      <w:bookmarkEnd w:id="278"/>
      <w:bookmarkEnd w:id="279"/>
      <w:bookmarkEnd w:id="280"/>
    </w:p>
    <w:p w14:paraId="7877FD55">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除投标人须知前附表另有规定外，投标人不得递交备选投标方案。允许投标人递交备选投标方案的，只有中标人所递交的备选投标方案方可予以考虑。评标委员会认为中标人的备 选投标方案优于其按照招标文件要求编制的投标方案的，招标人可以接受该备选投标方案。</w:t>
      </w:r>
    </w:p>
    <w:p w14:paraId="111196F4">
      <w:pPr>
        <w:pStyle w:val="5"/>
        <w:snapToGrid w:val="0"/>
        <w:spacing w:before="0" w:after="0" w:line="360" w:lineRule="auto"/>
        <w:rPr>
          <w:rFonts w:ascii="宋体" w:hAnsi="宋体"/>
          <w:b w:val="0"/>
          <w:snapToGrid w:val="0"/>
          <w:color w:val="auto"/>
          <w:sz w:val="24"/>
          <w:szCs w:val="24"/>
          <w:highlight w:val="none"/>
        </w:rPr>
      </w:pPr>
      <w:bookmarkStart w:id="281" w:name="_Toc509218736"/>
      <w:bookmarkStart w:id="282" w:name="_Toc430530461"/>
      <w:bookmarkStart w:id="283" w:name="_Toc224103343"/>
      <w:bookmarkStart w:id="284" w:name="_Toc287607772"/>
      <w:bookmarkStart w:id="285" w:name="_Toc117005204"/>
      <w:bookmarkStart w:id="286" w:name="_Toc277082578"/>
      <w:bookmarkStart w:id="287" w:name="_Toc200513152"/>
      <w:bookmarkStart w:id="288" w:name="_Toc287620711"/>
      <w:r>
        <w:rPr>
          <w:rFonts w:ascii="宋体" w:hAnsi="宋体"/>
          <w:b w:val="0"/>
          <w:snapToGrid w:val="0"/>
          <w:color w:val="auto"/>
          <w:sz w:val="24"/>
          <w:szCs w:val="24"/>
          <w:highlight w:val="none"/>
        </w:rPr>
        <w:t>3.7  投标文件的编制</w:t>
      </w:r>
      <w:bookmarkEnd w:id="281"/>
      <w:bookmarkEnd w:id="282"/>
      <w:bookmarkEnd w:id="283"/>
      <w:bookmarkEnd w:id="284"/>
      <w:bookmarkEnd w:id="285"/>
      <w:bookmarkEnd w:id="286"/>
      <w:bookmarkEnd w:id="287"/>
      <w:bookmarkEnd w:id="288"/>
    </w:p>
    <w:p w14:paraId="265803B2">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3.7.1  投标文件应按第八章“投标文件格式”进行编写，如有必要，可以增加附页，作为投标文件的组成部分。其中，投标函附录在满足招标文件实质性要求的基础上，可以提出比招标文件要求更有利于招标人的承诺。</w:t>
      </w:r>
    </w:p>
    <w:p w14:paraId="25E5040A">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3.7.2  投标文件应当对招标文件有关工期、投标有效期、质量要求、技术标准和要求、招标范围等实质性内容做出响应。</w:t>
      </w:r>
    </w:p>
    <w:p w14:paraId="710D550C">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position w:val="-2"/>
          <w:szCs w:val="21"/>
          <w:highlight w:val="none"/>
        </w:rPr>
        <w:t xml:space="preserve">3.7.3  </w:t>
      </w:r>
      <w:r>
        <w:rPr>
          <w:rFonts w:hint="eastAsia" w:ascii="宋体" w:hAnsi="宋体"/>
          <w:snapToGrid w:val="0"/>
          <w:color w:val="auto"/>
          <w:kern w:val="0"/>
          <w:position w:val="-2"/>
          <w:szCs w:val="21"/>
          <w:highlight w:val="none"/>
        </w:rPr>
        <w:t>投标文件的签名盖章要求：按本章投标人须知前附表第3.7.3项执行。</w:t>
      </w:r>
    </w:p>
    <w:p w14:paraId="4F4125CC">
      <w:pPr>
        <w:autoSpaceDE w:val="0"/>
        <w:autoSpaceDN w:val="0"/>
        <w:adjustRightInd w:val="0"/>
        <w:snapToGrid w:val="0"/>
        <w:spacing w:line="360" w:lineRule="auto"/>
        <w:ind w:right="-164"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 xml:space="preserve">3.7.4  </w:t>
      </w:r>
      <w:r>
        <w:rPr>
          <w:rFonts w:hint="eastAsia" w:ascii="宋体" w:hAnsi="宋体"/>
          <w:snapToGrid w:val="0"/>
          <w:color w:val="auto"/>
          <w:kern w:val="0"/>
          <w:szCs w:val="21"/>
          <w:highlight w:val="none"/>
        </w:rPr>
        <w:t>投标文件份数：</w:t>
      </w:r>
      <w:r>
        <w:rPr>
          <w:rFonts w:hint="eastAsia" w:ascii="宋体" w:hAnsi="宋体"/>
          <w:color w:val="auto"/>
          <w:kern w:val="0"/>
          <w:szCs w:val="21"/>
          <w:highlight w:val="none"/>
        </w:rPr>
        <w:t>投标人网上提交加密投标文件一份</w:t>
      </w:r>
      <w:r>
        <w:rPr>
          <w:rFonts w:ascii="宋体" w:hAnsi="宋体"/>
          <w:color w:val="auto"/>
          <w:kern w:val="0"/>
          <w:szCs w:val="21"/>
          <w:highlight w:val="none"/>
        </w:rPr>
        <w:t>。</w:t>
      </w:r>
    </w:p>
    <w:p w14:paraId="6141BBA4">
      <w:pPr>
        <w:autoSpaceDE w:val="0"/>
        <w:autoSpaceDN w:val="0"/>
        <w:adjustRightInd w:val="0"/>
        <w:snapToGrid w:val="0"/>
        <w:spacing w:line="360" w:lineRule="auto"/>
        <w:ind w:right="-109"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3.7.5  投标文件</w:t>
      </w:r>
      <w:r>
        <w:rPr>
          <w:rFonts w:hint="eastAsia" w:ascii="宋体" w:hAnsi="宋体"/>
          <w:snapToGrid w:val="0"/>
          <w:color w:val="auto"/>
          <w:kern w:val="0"/>
          <w:szCs w:val="21"/>
          <w:highlight w:val="none"/>
        </w:rPr>
        <w:t>应按规定格式排版</w:t>
      </w:r>
      <w:r>
        <w:rPr>
          <w:rFonts w:ascii="宋体" w:hAnsi="宋体"/>
          <w:snapToGrid w:val="0"/>
          <w:color w:val="auto"/>
          <w:kern w:val="0"/>
          <w:szCs w:val="21"/>
          <w:highlight w:val="none"/>
        </w:rPr>
        <w:t>，并编制目录，具体</w:t>
      </w:r>
      <w:r>
        <w:rPr>
          <w:rFonts w:hint="eastAsia" w:ascii="宋体" w:hAnsi="宋体"/>
          <w:snapToGrid w:val="0"/>
          <w:color w:val="auto"/>
          <w:kern w:val="0"/>
          <w:szCs w:val="21"/>
          <w:highlight w:val="none"/>
        </w:rPr>
        <w:t>编制</w:t>
      </w:r>
      <w:r>
        <w:rPr>
          <w:rFonts w:ascii="宋体" w:hAnsi="宋体"/>
          <w:snapToGrid w:val="0"/>
          <w:color w:val="auto"/>
          <w:kern w:val="0"/>
          <w:szCs w:val="21"/>
          <w:highlight w:val="none"/>
        </w:rPr>
        <w:t>要求见投标人须知前附表规定。</w:t>
      </w:r>
    </w:p>
    <w:p w14:paraId="30940F60">
      <w:pPr>
        <w:pStyle w:val="4"/>
        <w:keepNext w:val="0"/>
        <w:keepLines w:val="0"/>
        <w:spacing w:before="0" w:after="0" w:line="360" w:lineRule="auto"/>
        <w:rPr>
          <w:rFonts w:ascii="宋体" w:hAnsi="宋体"/>
          <w:b w:val="0"/>
          <w:snapToGrid w:val="0"/>
          <w:color w:val="auto"/>
          <w:highlight w:val="none"/>
        </w:rPr>
      </w:pPr>
      <w:bookmarkStart w:id="289" w:name="_Toc200513153"/>
      <w:bookmarkStart w:id="290" w:name="_Toc287620712"/>
      <w:bookmarkStart w:id="291" w:name="_Toc277082579"/>
      <w:bookmarkStart w:id="292" w:name="_Toc430530462"/>
      <w:bookmarkStart w:id="293" w:name="_Toc509218737"/>
      <w:bookmarkStart w:id="294" w:name="_Toc287607773"/>
      <w:bookmarkStart w:id="295" w:name="_Toc117005205"/>
      <w:bookmarkStart w:id="296" w:name="_Toc224103344"/>
      <w:r>
        <w:rPr>
          <w:rFonts w:ascii="宋体" w:hAnsi="宋体"/>
          <w:b w:val="0"/>
          <w:snapToGrid w:val="0"/>
          <w:color w:val="auto"/>
          <w:highlight w:val="none"/>
        </w:rPr>
        <w:t>4.  投标</w:t>
      </w:r>
      <w:bookmarkEnd w:id="289"/>
      <w:bookmarkEnd w:id="290"/>
      <w:bookmarkEnd w:id="291"/>
      <w:bookmarkEnd w:id="292"/>
      <w:bookmarkEnd w:id="293"/>
      <w:bookmarkEnd w:id="294"/>
      <w:bookmarkEnd w:id="295"/>
      <w:bookmarkEnd w:id="296"/>
    </w:p>
    <w:p w14:paraId="13BC3A72">
      <w:pPr>
        <w:pStyle w:val="5"/>
        <w:keepNext w:val="0"/>
        <w:keepLines w:val="0"/>
        <w:snapToGrid w:val="0"/>
        <w:spacing w:before="0" w:after="0" w:line="360" w:lineRule="auto"/>
        <w:rPr>
          <w:rFonts w:ascii="宋体" w:hAnsi="宋体"/>
          <w:b w:val="0"/>
          <w:snapToGrid w:val="0"/>
          <w:color w:val="auto"/>
          <w:sz w:val="24"/>
          <w:szCs w:val="24"/>
          <w:highlight w:val="none"/>
        </w:rPr>
      </w:pPr>
      <w:bookmarkStart w:id="297" w:name="_Toc117005206"/>
      <w:bookmarkStart w:id="298" w:name="_Toc277082580"/>
      <w:bookmarkStart w:id="299" w:name="_Toc200513154"/>
      <w:bookmarkStart w:id="300" w:name="_Toc287607774"/>
      <w:bookmarkStart w:id="301" w:name="_Toc224103345"/>
      <w:bookmarkStart w:id="302" w:name="_Toc509218738"/>
      <w:bookmarkStart w:id="303" w:name="_Toc287620713"/>
      <w:bookmarkStart w:id="304" w:name="_Toc430530463"/>
      <w:r>
        <w:rPr>
          <w:rFonts w:ascii="宋体" w:hAnsi="宋体"/>
          <w:b w:val="0"/>
          <w:snapToGrid w:val="0"/>
          <w:color w:val="auto"/>
          <w:sz w:val="24"/>
          <w:szCs w:val="24"/>
          <w:highlight w:val="none"/>
        </w:rPr>
        <w:t>4.1  投标文件的密封和标记</w:t>
      </w:r>
      <w:bookmarkEnd w:id="297"/>
      <w:bookmarkEnd w:id="298"/>
      <w:bookmarkEnd w:id="299"/>
      <w:bookmarkEnd w:id="300"/>
      <w:bookmarkEnd w:id="301"/>
      <w:bookmarkEnd w:id="302"/>
      <w:bookmarkEnd w:id="303"/>
      <w:bookmarkEnd w:id="304"/>
    </w:p>
    <w:p w14:paraId="18CD2F24">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bookmarkStart w:id="305" w:name="_Toc200513155"/>
      <w:r>
        <w:rPr>
          <w:rFonts w:ascii="宋体" w:hAnsi="宋体"/>
          <w:snapToGrid w:val="0"/>
          <w:color w:val="auto"/>
          <w:kern w:val="0"/>
          <w:szCs w:val="21"/>
          <w:highlight w:val="none"/>
        </w:rPr>
        <w:t>4.1.1  投标文件的密封</w:t>
      </w:r>
      <w:r>
        <w:rPr>
          <w:rFonts w:hint="eastAsia" w:ascii="宋体" w:hAnsi="宋体"/>
          <w:snapToGrid w:val="0"/>
          <w:color w:val="auto"/>
          <w:kern w:val="0"/>
          <w:szCs w:val="21"/>
          <w:highlight w:val="none"/>
        </w:rPr>
        <w:t>：</w:t>
      </w:r>
      <w:r>
        <w:rPr>
          <w:rFonts w:ascii="宋体" w:hAnsi="宋体"/>
          <w:snapToGrid w:val="0"/>
          <w:color w:val="auto"/>
          <w:kern w:val="0"/>
          <w:szCs w:val="21"/>
          <w:highlight w:val="none"/>
        </w:rPr>
        <w:t>见投标人须知前附表。</w:t>
      </w:r>
    </w:p>
    <w:p w14:paraId="72240292">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4.1.2  投标文件的封套上应写明的内容</w:t>
      </w:r>
      <w:r>
        <w:rPr>
          <w:rFonts w:hint="eastAsia" w:ascii="宋体" w:hAnsi="宋体"/>
          <w:snapToGrid w:val="0"/>
          <w:color w:val="auto"/>
          <w:kern w:val="0"/>
          <w:szCs w:val="21"/>
          <w:highlight w:val="none"/>
        </w:rPr>
        <w:t>：</w:t>
      </w:r>
      <w:r>
        <w:rPr>
          <w:rFonts w:ascii="宋体" w:hAnsi="宋体"/>
          <w:snapToGrid w:val="0"/>
          <w:color w:val="auto"/>
          <w:kern w:val="0"/>
          <w:szCs w:val="21"/>
          <w:highlight w:val="none"/>
        </w:rPr>
        <w:t>见投标人须知前附表。</w:t>
      </w:r>
    </w:p>
    <w:p w14:paraId="3BF606FD">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4.1.3  电子投标文件的加密</w:t>
      </w:r>
    </w:p>
    <w:p w14:paraId="55200E81">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加密的电子投标文件应按照本章</w:t>
      </w:r>
      <w:r>
        <w:rPr>
          <w:rFonts w:ascii="宋体" w:hAnsi="宋体"/>
          <w:snapToGrid w:val="0"/>
          <w:color w:val="auto"/>
          <w:kern w:val="0"/>
          <w:szCs w:val="21"/>
          <w:highlight w:val="none"/>
        </w:rPr>
        <w:t>投标人须知前附表</w:t>
      </w:r>
      <w:r>
        <w:rPr>
          <w:rFonts w:hint="eastAsia" w:ascii="宋体" w:hAnsi="宋体"/>
          <w:snapToGrid w:val="0"/>
          <w:color w:val="auto"/>
          <w:kern w:val="0"/>
          <w:szCs w:val="21"/>
          <w:highlight w:val="none"/>
        </w:rPr>
        <w:t>第10.8款相关要求制作并加密，未按要求加密的电子投标文件，将无法上传至重庆市电子招投标系统，逾期未完成上传投标文件的，视为撤回投标文件。</w:t>
      </w:r>
    </w:p>
    <w:p w14:paraId="78A2C307">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4.1.4  不加密电子投标文件的密封</w:t>
      </w:r>
    </w:p>
    <w:p w14:paraId="3CF83544">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投标人如需递交不加密电子投标文件（光盘备份）应单独封装，并在封套的封口处加盖投标人单位法人章。</w:t>
      </w:r>
    </w:p>
    <w:p w14:paraId="769086E9">
      <w:pPr>
        <w:pStyle w:val="5"/>
        <w:keepNext w:val="0"/>
        <w:keepLines w:val="0"/>
        <w:snapToGrid w:val="0"/>
        <w:spacing w:before="0" w:after="0" w:line="360" w:lineRule="auto"/>
        <w:rPr>
          <w:rFonts w:ascii="宋体" w:hAnsi="宋体"/>
          <w:b w:val="0"/>
          <w:snapToGrid w:val="0"/>
          <w:color w:val="auto"/>
          <w:sz w:val="24"/>
          <w:szCs w:val="24"/>
          <w:highlight w:val="none"/>
        </w:rPr>
      </w:pPr>
      <w:bookmarkStart w:id="306" w:name="_Toc430530464"/>
      <w:bookmarkStart w:id="307" w:name="_Toc277082581"/>
      <w:bookmarkStart w:id="308" w:name="_Toc287620714"/>
      <w:bookmarkStart w:id="309" w:name="_Toc509218739"/>
      <w:bookmarkStart w:id="310" w:name="_Toc224103346"/>
      <w:bookmarkStart w:id="311" w:name="_Toc287607775"/>
      <w:bookmarkStart w:id="312" w:name="_Toc117005207"/>
      <w:r>
        <w:rPr>
          <w:rFonts w:ascii="宋体" w:hAnsi="宋体"/>
          <w:b w:val="0"/>
          <w:snapToGrid w:val="0"/>
          <w:color w:val="auto"/>
          <w:sz w:val="24"/>
          <w:szCs w:val="24"/>
          <w:highlight w:val="none"/>
        </w:rPr>
        <w:t>4.2  投标文件的递交</w:t>
      </w:r>
      <w:bookmarkEnd w:id="305"/>
      <w:bookmarkEnd w:id="306"/>
      <w:bookmarkEnd w:id="307"/>
      <w:bookmarkEnd w:id="308"/>
      <w:bookmarkEnd w:id="309"/>
      <w:bookmarkEnd w:id="310"/>
      <w:bookmarkEnd w:id="311"/>
      <w:bookmarkEnd w:id="312"/>
    </w:p>
    <w:p w14:paraId="36FEA3AE">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4.2.1  投标人应在投标人须知前附表第 2.2.2 项规定的投标截止时间前递交投标文件。</w:t>
      </w:r>
    </w:p>
    <w:p w14:paraId="32442DAC">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4.2.2  投标人递交投标文件的地点：见投标人须知前附表。</w:t>
      </w:r>
    </w:p>
    <w:p w14:paraId="120B799B">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4.2.3  除投标人须知前附表另有规定外，投标人所递交的投标文件不予退还。</w:t>
      </w:r>
    </w:p>
    <w:p w14:paraId="17BE9BF6">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4.2.4  招标人收到投标文件后，由</w:t>
      </w:r>
      <w:r>
        <w:rPr>
          <w:rFonts w:hint="eastAsia" w:ascii="宋体" w:hAnsi="宋体" w:cs="宋体"/>
          <w:color w:val="auto"/>
          <w:szCs w:val="21"/>
          <w:highlight w:val="none"/>
        </w:rPr>
        <w:t>重庆市电子招投标系统</w:t>
      </w:r>
      <w:r>
        <w:rPr>
          <w:rFonts w:ascii="宋体" w:hAnsi="宋体"/>
          <w:snapToGrid w:val="0"/>
          <w:color w:val="auto"/>
          <w:kern w:val="0"/>
          <w:szCs w:val="21"/>
          <w:highlight w:val="none"/>
        </w:rPr>
        <w:t>向投标人出具签收凭证。</w:t>
      </w:r>
    </w:p>
    <w:p w14:paraId="7017144C">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4.2.5  逾期送达的或者未送达指定地点的投标文件，招标人不予受理。</w:t>
      </w:r>
    </w:p>
    <w:p w14:paraId="2B609A6C">
      <w:pPr>
        <w:pStyle w:val="5"/>
        <w:keepNext w:val="0"/>
        <w:keepLines w:val="0"/>
        <w:snapToGrid w:val="0"/>
        <w:spacing w:before="0" w:after="0" w:line="360" w:lineRule="auto"/>
        <w:rPr>
          <w:rFonts w:ascii="宋体" w:hAnsi="宋体"/>
          <w:b w:val="0"/>
          <w:snapToGrid w:val="0"/>
          <w:color w:val="auto"/>
          <w:sz w:val="24"/>
          <w:szCs w:val="24"/>
          <w:highlight w:val="none"/>
        </w:rPr>
      </w:pPr>
      <w:bookmarkStart w:id="313" w:name="_Toc224103347"/>
      <w:bookmarkStart w:id="314" w:name="_Toc200513156"/>
      <w:bookmarkStart w:id="315" w:name="_Toc117005208"/>
      <w:bookmarkStart w:id="316" w:name="_Toc287607776"/>
      <w:bookmarkStart w:id="317" w:name="_Toc287620715"/>
      <w:bookmarkStart w:id="318" w:name="_Toc430530465"/>
      <w:bookmarkStart w:id="319" w:name="_Toc277082582"/>
      <w:bookmarkStart w:id="320" w:name="_Toc509218740"/>
      <w:r>
        <w:rPr>
          <w:rFonts w:ascii="宋体" w:hAnsi="宋体"/>
          <w:b w:val="0"/>
          <w:snapToGrid w:val="0"/>
          <w:color w:val="auto"/>
          <w:sz w:val="24"/>
          <w:szCs w:val="24"/>
          <w:highlight w:val="none"/>
        </w:rPr>
        <w:t>4.3  投标文件的修改与撤回</w:t>
      </w:r>
      <w:bookmarkEnd w:id="313"/>
      <w:bookmarkEnd w:id="314"/>
      <w:bookmarkEnd w:id="315"/>
      <w:bookmarkEnd w:id="316"/>
      <w:bookmarkEnd w:id="317"/>
      <w:bookmarkEnd w:id="318"/>
      <w:bookmarkEnd w:id="319"/>
      <w:bookmarkEnd w:id="320"/>
    </w:p>
    <w:p w14:paraId="3ECEF6C1">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4.3.1  在投标人须知前附表第2.2.2项规定的投标截止时间前，投标人可以修改或撤回已递交的投标文件。</w:t>
      </w:r>
      <w:r>
        <w:rPr>
          <w:rFonts w:hint="eastAsia" w:ascii="宋体" w:hAnsi="宋体" w:cs="宋体"/>
          <w:color w:val="auto"/>
          <w:szCs w:val="21"/>
          <w:highlight w:val="none"/>
        </w:rPr>
        <w:t>投标人修改投标文件的，应按照本章第 3.7.3 项的要求重新对投标文件进行电子签章，再按照本章第 4.2 款的要求提交。</w:t>
      </w:r>
    </w:p>
    <w:p w14:paraId="2941BCBB">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4.3.2  投标人对加密的电子投标文件进行撤回的，在重庆市电子招投标系统直接进行撤回操作；任何情况下，投标人都有义务保证其递交的加密的电子投标文件和不加密电子投标文件（光盘备份）的内容保持一致，否则造成的后果由投标人自行承担。</w:t>
      </w:r>
    </w:p>
    <w:p w14:paraId="0736F960">
      <w:pPr>
        <w:pStyle w:val="4"/>
        <w:keepNext w:val="0"/>
        <w:keepLines w:val="0"/>
        <w:spacing w:before="0" w:after="0" w:line="360" w:lineRule="auto"/>
        <w:rPr>
          <w:rFonts w:ascii="宋体" w:hAnsi="宋体"/>
          <w:b w:val="0"/>
          <w:snapToGrid w:val="0"/>
          <w:color w:val="auto"/>
          <w:highlight w:val="none"/>
        </w:rPr>
      </w:pPr>
      <w:bookmarkStart w:id="321" w:name="_Toc224103348"/>
      <w:bookmarkStart w:id="322" w:name="_Toc287620716"/>
      <w:bookmarkStart w:id="323" w:name="_Toc287607777"/>
      <w:bookmarkStart w:id="324" w:name="_Toc277082583"/>
      <w:bookmarkStart w:id="325" w:name="_Toc200513157"/>
      <w:bookmarkStart w:id="326" w:name="_Toc509218741"/>
      <w:bookmarkStart w:id="327" w:name="_Toc117005209"/>
      <w:bookmarkStart w:id="328" w:name="_Toc430530466"/>
      <w:r>
        <w:rPr>
          <w:rFonts w:ascii="宋体" w:hAnsi="宋体"/>
          <w:b w:val="0"/>
          <w:snapToGrid w:val="0"/>
          <w:color w:val="auto"/>
          <w:highlight w:val="none"/>
        </w:rPr>
        <w:t>5.  开标</w:t>
      </w:r>
      <w:bookmarkEnd w:id="321"/>
      <w:bookmarkEnd w:id="322"/>
      <w:bookmarkEnd w:id="323"/>
      <w:bookmarkEnd w:id="324"/>
      <w:bookmarkEnd w:id="325"/>
      <w:bookmarkEnd w:id="326"/>
      <w:bookmarkEnd w:id="327"/>
      <w:bookmarkEnd w:id="328"/>
    </w:p>
    <w:p w14:paraId="1225CED8">
      <w:pPr>
        <w:pStyle w:val="5"/>
        <w:keepNext w:val="0"/>
        <w:keepLines w:val="0"/>
        <w:snapToGrid w:val="0"/>
        <w:spacing w:before="0" w:after="0" w:line="360" w:lineRule="auto"/>
        <w:rPr>
          <w:rFonts w:ascii="宋体" w:hAnsi="宋体"/>
          <w:b w:val="0"/>
          <w:snapToGrid w:val="0"/>
          <w:color w:val="auto"/>
          <w:sz w:val="24"/>
          <w:szCs w:val="24"/>
          <w:highlight w:val="none"/>
        </w:rPr>
      </w:pPr>
      <w:bookmarkStart w:id="329" w:name="_Toc287620717"/>
      <w:bookmarkStart w:id="330" w:name="_Toc509218742"/>
      <w:bookmarkStart w:id="331" w:name="_Toc287607778"/>
      <w:bookmarkStart w:id="332" w:name="_Toc117005210"/>
      <w:bookmarkStart w:id="333" w:name="_Toc200513158"/>
      <w:bookmarkStart w:id="334" w:name="_Toc430530467"/>
      <w:bookmarkStart w:id="335" w:name="_Toc224103349"/>
      <w:bookmarkStart w:id="336" w:name="_Toc277082584"/>
      <w:r>
        <w:rPr>
          <w:rFonts w:ascii="宋体" w:hAnsi="宋体"/>
          <w:b w:val="0"/>
          <w:snapToGrid w:val="0"/>
          <w:color w:val="auto"/>
          <w:sz w:val="24"/>
          <w:szCs w:val="24"/>
          <w:highlight w:val="none"/>
        </w:rPr>
        <w:t>5.1  开标时间和地点</w:t>
      </w:r>
      <w:bookmarkEnd w:id="329"/>
      <w:bookmarkEnd w:id="330"/>
      <w:bookmarkEnd w:id="331"/>
      <w:bookmarkEnd w:id="332"/>
      <w:bookmarkEnd w:id="333"/>
      <w:bookmarkEnd w:id="334"/>
      <w:bookmarkEnd w:id="335"/>
      <w:bookmarkEnd w:id="336"/>
    </w:p>
    <w:p w14:paraId="7D01D9FA">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 xml:space="preserve">5.1.1  </w:t>
      </w:r>
      <w:r>
        <w:rPr>
          <w:rFonts w:ascii="宋体" w:hAnsi="宋体"/>
          <w:snapToGrid w:val="0"/>
          <w:color w:val="auto"/>
          <w:kern w:val="0"/>
          <w:szCs w:val="21"/>
          <w:highlight w:val="none"/>
        </w:rPr>
        <w:t>招标人在投标人须知前附表第 2.2.2 项规定的投标截止时间（开标时间）和投标人须知前附表规定的地点公开开标，并邀请所有投标人的法定代表人或其委托代理人准时参加。</w:t>
      </w:r>
    </w:p>
    <w:p w14:paraId="143711FE">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5.1.2  投标人在投标人须知前附表第 5.1.2 项规定的解密时间内在线或到开标现场完成投标文件解密工作。</w:t>
      </w:r>
    </w:p>
    <w:p w14:paraId="170D3D40">
      <w:pPr>
        <w:pStyle w:val="5"/>
        <w:keepNext w:val="0"/>
        <w:keepLines w:val="0"/>
        <w:snapToGrid w:val="0"/>
        <w:spacing w:before="0" w:after="0" w:line="360" w:lineRule="auto"/>
        <w:rPr>
          <w:rFonts w:ascii="宋体" w:hAnsi="宋体"/>
          <w:b w:val="0"/>
          <w:snapToGrid w:val="0"/>
          <w:color w:val="auto"/>
          <w:sz w:val="24"/>
          <w:szCs w:val="24"/>
          <w:highlight w:val="none"/>
        </w:rPr>
      </w:pPr>
      <w:bookmarkStart w:id="337" w:name="_Toc224103350"/>
      <w:bookmarkStart w:id="338" w:name="_Toc287620718"/>
      <w:bookmarkStart w:id="339" w:name="_Toc117005211"/>
      <w:bookmarkStart w:id="340" w:name="_Toc509218743"/>
      <w:bookmarkStart w:id="341" w:name="_Toc430530468"/>
      <w:bookmarkStart w:id="342" w:name="_Toc277082585"/>
      <w:bookmarkStart w:id="343" w:name="_Toc200513159"/>
      <w:bookmarkStart w:id="344" w:name="_Toc287607779"/>
      <w:r>
        <w:rPr>
          <w:rFonts w:ascii="宋体" w:hAnsi="宋体"/>
          <w:b w:val="0"/>
          <w:snapToGrid w:val="0"/>
          <w:color w:val="auto"/>
          <w:sz w:val="24"/>
          <w:szCs w:val="24"/>
          <w:highlight w:val="none"/>
        </w:rPr>
        <w:t>5.2  开标程序</w:t>
      </w:r>
      <w:bookmarkEnd w:id="337"/>
      <w:bookmarkEnd w:id="338"/>
      <w:bookmarkEnd w:id="339"/>
      <w:bookmarkEnd w:id="340"/>
      <w:bookmarkEnd w:id="341"/>
      <w:bookmarkEnd w:id="342"/>
      <w:bookmarkEnd w:id="343"/>
      <w:bookmarkEnd w:id="344"/>
    </w:p>
    <w:p w14:paraId="2B76D3AF">
      <w:pPr>
        <w:autoSpaceDE w:val="0"/>
        <w:autoSpaceDN w:val="0"/>
        <w:adjustRightInd w:val="0"/>
        <w:snapToGrid w:val="0"/>
        <w:spacing w:line="360" w:lineRule="auto"/>
        <w:ind w:firstLine="420" w:firstLineChars="200"/>
        <w:rPr>
          <w:rFonts w:ascii="宋体" w:hAnsi="宋体"/>
          <w:color w:val="auto"/>
          <w:szCs w:val="21"/>
          <w:highlight w:val="none"/>
        </w:rPr>
      </w:pPr>
      <w:bookmarkStart w:id="345" w:name="_Toc287607780"/>
      <w:bookmarkStart w:id="346" w:name="_Toc224103351"/>
      <w:bookmarkStart w:id="347" w:name="_Toc200513160"/>
      <w:bookmarkStart w:id="348" w:name="_Toc277082586"/>
      <w:bookmarkStart w:id="349" w:name="_Toc287620719"/>
      <w:r>
        <w:rPr>
          <w:rFonts w:ascii="宋体" w:hAnsi="宋体"/>
          <w:color w:val="auto"/>
          <w:szCs w:val="21"/>
          <w:highlight w:val="none"/>
        </w:rPr>
        <w:t>详见投标人须知前附表第5.2款开标程序。</w:t>
      </w:r>
    </w:p>
    <w:p w14:paraId="079A3D41">
      <w:pPr>
        <w:pStyle w:val="5"/>
        <w:keepNext w:val="0"/>
        <w:keepLines w:val="0"/>
        <w:snapToGrid w:val="0"/>
        <w:spacing w:before="0" w:after="0" w:line="360" w:lineRule="auto"/>
        <w:rPr>
          <w:rFonts w:ascii="宋体" w:hAnsi="宋体"/>
          <w:b w:val="0"/>
          <w:snapToGrid w:val="0"/>
          <w:color w:val="auto"/>
          <w:sz w:val="24"/>
          <w:szCs w:val="24"/>
          <w:highlight w:val="none"/>
        </w:rPr>
      </w:pPr>
      <w:bookmarkStart w:id="350" w:name="_Toc117005212"/>
      <w:r>
        <w:rPr>
          <w:rFonts w:ascii="宋体" w:hAnsi="宋体"/>
          <w:b w:val="0"/>
          <w:snapToGrid w:val="0"/>
          <w:color w:val="auto"/>
          <w:sz w:val="24"/>
          <w:szCs w:val="24"/>
          <w:highlight w:val="none"/>
        </w:rPr>
        <w:t>5.</w:t>
      </w:r>
      <w:r>
        <w:rPr>
          <w:rFonts w:hint="eastAsia" w:ascii="宋体" w:hAnsi="宋体"/>
          <w:b w:val="0"/>
          <w:snapToGrid w:val="0"/>
          <w:color w:val="auto"/>
          <w:sz w:val="24"/>
          <w:szCs w:val="24"/>
          <w:highlight w:val="none"/>
        </w:rPr>
        <w:t>3</w:t>
      </w:r>
      <w:r>
        <w:rPr>
          <w:rFonts w:ascii="宋体" w:hAnsi="宋体"/>
          <w:b w:val="0"/>
          <w:snapToGrid w:val="0"/>
          <w:color w:val="auto"/>
          <w:sz w:val="24"/>
          <w:szCs w:val="24"/>
          <w:highlight w:val="none"/>
        </w:rPr>
        <w:t xml:space="preserve">  </w:t>
      </w:r>
      <w:r>
        <w:rPr>
          <w:rFonts w:hint="eastAsia" w:ascii="宋体" w:hAnsi="宋体"/>
          <w:b w:val="0"/>
          <w:snapToGrid w:val="0"/>
          <w:color w:val="auto"/>
          <w:sz w:val="24"/>
          <w:szCs w:val="24"/>
          <w:highlight w:val="none"/>
        </w:rPr>
        <w:t>开标异议</w:t>
      </w:r>
      <w:bookmarkEnd w:id="350"/>
    </w:p>
    <w:p w14:paraId="2498C3B2">
      <w:pPr>
        <w:autoSpaceDE w:val="0"/>
        <w:autoSpaceDN w:val="0"/>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投标人对开标有异议的，应在开标现场或在线（不见面开标适用）提出，开标现场提出异议的，应出示法定代表人身份证明或附有法定代表人身份证明的授权委托书。招标人当场作出答复，并制作记录，有异议的投标人代表、招标人代表、主持人、记录人等有关人员在记录上签名确认</w:t>
      </w:r>
      <w:r>
        <w:rPr>
          <w:rFonts w:ascii="宋体" w:hAnsi="宋体"/>
          <w:color w:val="auto"/>
          <w:szCs w:val="21"/>
          <w:highlight w:val="none"/>
        </w:rPr>
        <w:t>。</w:t>
      </w:r>
    </w:p>
    <w:p w14:paraId="51735ADA">
      <w:pPr>
        <w:pStyle w:val="4"/>
        <w:keepNext w:val="0"/>
        <w:keepLines w:val="0"/>
        <w:spacing w:before="0" w:after="0" w:line="360" w:lineRule="auto"/>
        <w:rPr>
          <w:rFonts w:ascii="宋体" w:hAnsi="宋体"/>
          <w:b w:val="0"/>
          <w:snapToGrid w:val="0"/>
          <w:color w:val="auto"/>
          <w:highlight w:val="none"/>
        </w:rPr>
      </w:pPr>
      <w:bookmarkStart w:id="351" w:name="_Toc509218744"/>
      <w:bookmarkStart w:id="352" w:name="_Toc117005213"/>
      <w:bookmarkStart w:id="353" w:name="_Toc430530469"/>
      <w:r>
        <w:rPr>
          <w:rFonts w:ascii="宋体" w:hAnsi="宋体"/>
          <w:b w:val="0"/>
          <w:snapToGrid w:val="0"/>
          <w:color w:val="auto"/>
          <w:highlight w:val="none"/>
        </w:rPr>
        <w:t>6.  评标</w:t>
      </w:r>
      <w:bookmarkEnd w:id="345"/>
      <w:bookmarkEnd w:id="346"/>
      <w:bookmarkEnd w:id="347"/>
      <w:bookmarkEnd w:id="348"/>
      <w:bookmarkEnd w:id="349"/>
      <w:bookmarkEnd w:id="351"/>
      <w:bookmarkEnd w:id="352"/>
      <w:bookmarkEnd w:id="353"/>
    </w:p>
    <w:p w14:paraId="658110E4">
      <w:pPr>
        <w:pStyle w:val="5"/>
        <w:keepNext w:val="0"/>
        <w:keepLines w:val="0"/>
        <w:snapToGrid w:val="0"/>
        <w:spacing w:before="0" w:after="0" w:line="360" w:lineRule="auto"/>
        <w:rPr>
          <w:rFonts w:ascii="宋体" w:hAnsi="宋体"/>
          <w:b w:val="0"/>
          <w:snapToGrid w:val="0"/>
          <w:color w:val="auto"/>
          <w:sz w:val="24"/>
          <w:szCs w:val="24"/>
          <w:highlight w:val="none"/>
        </w:rPr>
      </w:pPr>
      <w:bookmarkStart w:id="354" w:name="_Toc277082587"/>
      <w:bookmarkStart w:id="355" w:name="_Toc287620720"/>
      <w:bookmarkStart w:id="356" w:name="_Toc430530470"/>
      <w:bookmarkStart w:id="357" w:name="_Toc287607781"/>
      <w:bookmarkStart w:id="358" w:name="_Toc509218745"/>
      <w:bookmarkStart w:id="359" w:name="_Toc224103352"/>
      <w:bookmarkStart w:id="360" w:name="_Toc200513161"/>
      <w:bookmarkStart w:id="361" w:name="_Toc117005214"/>
      <w:r>
        <w:rPr>
          <w:rFonts w:ascii="宋体" w:hAnsi="宋体"/>
          <w:b w:val="0"/>
          <w:snapToGrid w:val="0"/>
          <w:color w:val="auto"/>
          <w:sz w:val="24"/>
          <w:szCs w:val="24"/>
          <w:highlight w:val="none"/>
        </w:rPr>
        <w:t>6.1  评标委员会</w:t>
      </w:r>
      <w:bookmarkEnd w:id="354"/>
      <w:bookmarkEnd w:id="355"/>
      <w:bookmarkEnd w:id="356"/>
      <w:bookmarkEnd w:id="357"/>
      <w:bookmarkEnd w:id="358"/>
      <w:bookmarkEnd w:id="359"/>
      <w:bookmarkEnd w:id="360"/>
      <w:bookmarkEnd w:id="361"/>
    </w:p>
    <w:p w14:paraId="204FCE35">
      <w:pPr>
        <w:autoSpaceDE w:val="0"/>
        <w:autoSpaceDN w:val="0"/>
        <w:adjustRightInd w:val="0"/>
        <w:snapToGrid w:val="0"/>
        <w:spacing w:line="360" w:lineRule="auto"/>
        <w:ind w:firstLine="420" w:firstLineChars="200"/>
        <w:rPr>
          <w:rFonts w:ascii="宋体" w:hAnsi="宋体"/>
          <w:b/>
          <w:snapToGrid w:val="0"/>
          <w:color w:val="auto"/>
          <w:kern w:val="0"/>
          <w:szCs w:val="21"/>
          <w:highlight w:val="none"/>
        </w:rPr>
      </w:pPr>
      <w:r>
        <w:rPr>
          <w:rFonts w:ascii="宋体" w:hAnsi="宋体"/>
          <w:snapToGrid w:val="0"/>
          <w:color w:val="auto"/>
          <w:kern w:val="0"/>
          <w:szCs w:val="21"/>
          <w:highlight w:val="none"/>
        </w:rPr>
        <w:t>6.1.1  评标由招标人依据法律法规和相关规范性文件组建的评标委员会负责。</w:t>
      </w:r>
    </w:p>
    <w:p w14:paraId="13D19FE8">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6.1.2  评标委员会成员有下列情形之一的，应当回避：</w:t>
      </w:r>
    </w:p>
    <w:p w14:paraId="23E8B1B0">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（1）投标人或投标人的主要负责人的近亲属；</w:t>
      </w:r>
    </w:p>
    <w:p w14:paraId="0E1A7DBE">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（2）项目主管部门或者</w:t>
      </w:r>
      <w:r>
        <w:rPr>
          <w:rFonts w:hint="eastAsia" w:ascii="宋体" w:hAnsi="宋体"/>
          <w:snapToGrid w:val="0"/>
          <w:color w:val="auto"/>
          <w:kern w:val="0"/>
          <w:szCs w:val="21"/>
          <w:highlight w:val="none"/>
        </w:rPr>
        <w:t>项目</w:t>
      </w:r>
      <w:r>
        <w:rPr>
          <w:rFonts w:ascii="宋体" w:hAnsi="宋体"/>
          <w:snapToGrid w:val="0"/>
          <w:color w:val="auto"/>
          <w:kern w:val="0"/>
          <w:szCs w:val="21"/>
          <w:highlight w:val="none"/>
        </w:rPr>
        <w:t>行政监督部门的人员；</w:t>
      </w:r>
    </w:p>
    <w:p w14:paraId="68C26B9D">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（3）与投标人有利害关系，可能影响对投标公正评审的；</w:t>
      </w:r>
    </w:p>
    <w:p w14:paraId="65B49FD9">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（4）曾因在招标、评标以及其他与招标投标有关活动中从事违法行为而受过行政处罚或刑事处罚的</w:t>
      </w:r>
      <w:r>
        <w:rPr>
          <w:rFonts w:hint="eastAsia" w:ascii="宋体" w:hAnsi="宋体"/>
          <w:snapToGrid w:val="0"/>
          <w:color w:val="auto"/>
          <w:kern w:val="0"/>
          <w:szCs w:val="21"/>
          <w:highlight w:val="none"/>
        </w:rPr>
        <w:t>；</w:t>
      </w:r>
    </w:p>
    <w:p w14:paraId="13122651">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（5）法律法规规定的其他情形。</w:t>
      </w:r>
    </w:p>
    <w:p w14:paraId="46A77C97">
      <w:pPr>
        <w:pStyle w:val="99"/>
        <w:spacing w:before="0" w:after="0" w:line="360" w:lineRule="auto"/>
        <w:ind w:firstLine="420" w:firstLineChars="200"/>
        <w:jc w:val="left"/>
        <w:rPr>
          <w:rFonts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6.1.3  评标过程中，评标委员会成员有回避事由、擅离职守或者因健康等原因不能继续评标的，应当及时更换。被更换的评标委员会成员作出的评审结论无效，由更换后的评标委员会成员重新进行评审。</w:t>
      </w:r>
    </w:p>
    <w:p w14:paraId="0EFC7F85">
      <w:pPr>
        <w:pStyle w:val="5"/>
        <w:snapToGrid w:val="0"/>
        <w:spacing w:before="0" w:after="0" w:line="360" w:lineRule="auto"/>
        <w:rPr>
          <w:rFonts w:ascii="宋体" w:hAnsi="宋体"/>
          <w:b w:val="0"/>
          <w:snapToGrid w:val="0"/>
          <w:color w:val="auto"/>
          <w:sz w:val="24"/>
          <w:szCs w:val="24"/>
          <w:highlight w:val="none"/>
        </w:rPr>
      </w:pPr>
      <w:bookmarkStart w:id="362" w:name="_Toc224103353"/>
      <w:bookmarkStart w:id="363" w:name="_Toc117005215"/>
      <w:bookmarkStart w:id="364" w:name="_Toc509218746"/>
      <w:bookmarkStart w:id="365" w:name="_Toc287607782"/>
      <w:bookmarkStart w:id="366" w:name="_Toc287620721"/>
      <w:bookmarkStart w:id="367" w:name="_Toc200513162"/>
      <w:bookmarkStart w:id="368" w:name="_Toc277082588"/>
      <w:bookmarkStart w:id="369" w:name="_Toc430530471"/>
      <w:r>
        <w:rPr>
          <w:rFonts w:ascii="宋体" w:hAnsi="宋体"/>
          <w:b w:val="0"/>
          <w:snapToGrid w:val="0"/>
          <w:color w:val="auto"/>
          <w:sz w:val="24"/>
          <w:szCs w:val="24"/>
          <w:highlight w:val="none"/>
        </w:rPr>
        <w:t>6.2  评标原则</w:t>
      </w:r>
      <w:bookmarkEnd w:id="362"/>
      <w:bookmarkEnd w:id="363"/>
      <w:bookmarkEnd w:id="364"/>
      <w:bookmarkEnd w:id="365"/>
      <w:bookmarkEnd w:id="366"/>
      <w:bookmarkEnd w:id="367"/>
      <w:bookmarkEnd w:id="368"/>
      <w:bookmarkEnd w:id="369"/>
    </w:p>
    <w:p w14:paraId="76A4C871">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评标活动遵循公平、公正、科学和择优的原则。</w:t>
      </w:r>
    </w:p>
    <w:p w14:paraId="08336853">
      <w:pPr>
        <w:pStyle w:val="5"/>
        <w:snapToGrid w:val="0"/>
        <w:spacing w:before="0" w:after="0" w:line="360" w:lineRule="auto"/>
        <w:rPr>
          <w:rFonts w:ascii="宋体" w:hAnsi="宋体"/>
          <w:b w:val="0"/>
          <w:snapToGrid w:val="0"/>
          <w:color w:val="auto"/>
          <w:sz w:val="24"/>
          <w:szCs w:val="24"/>
          <w:highlight w:val="none"/>
        </w:rPr>
      </w:pPr>
      <w:bookmarkStart w:id="370" w:name="_Toc430530472"/>
      <w:bookmarkStart w:id="371" w:name="_Toc287620722"/>
      <w:bookmarkStart w:id="372" w:name="_Toc277082589"/>
      <w:bookmarkStart w:id="373" w:name="_Toc117005216"/>
      <w:bookmarkStart w:id="374" w:name="_Toc224103354"/>
      <w:bookmarkStart w:id="375" w:name="_Toc200513163"/>
      <w:bookmarkStart w:id="376" w:name="_Toc509218747"/>
      <w:bookmarkStart w:id="377" w:name="_Toc287607783"/>
      <w:r>
        <w:rPr>
          <w:rFonts w:ascii="宋体" w:hAnsi="宋体"/>
          <w:b w:val="0"/>
          <w:snapToGrid w:val="0"/>
          <w:color w:val="auto"/>
          <w:sz w:val="24"/>
          <w:szCs w:val="24"/>
          <w:highlight w:val="none"/>
        </w:rPr>
        <w:t>6.3  评标</w:t>
      </w:r>
      <w:bookmarkEnd w:id="370"/>
      <w:bookmarkEnd w:id="371"/>
      <w:bookmarkEnd w:id="372"/>
      <w:bookmarkEnd w:id="373"/>
      <w:bookmarkEnd w:id="374"/>
      <w:bookmarkEnd w:id="375"/>
      <w:bookmarkEnd w:id="376"/>
      <w:bookmarkEnd w:id="377"/>
    </w:p>
    <w:p w14:paraId="70ADA1B4">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评标委员会按照第三章“评标办法”规定的方法、评审因素、标准和程序对投标文件进行评审。第三章“评标办法”没有规定的方法、评审因素和标准，不得作为评标依据。</w:t>
      </w:r>
    </w:p>
    <w:p w14:paraId="1F3DDBC5">
      <w:pPr>
        <w:pStyle w:val="4"/>
        <w:spacing w:before="0" w:after="0" w:line="360" w:lineRule="auto"/>
        <w:rPr>
          <w:rFonts w:ascii="宋体" w:hAnsi="宋体"/>
          <w:b w:val="0"/>
          <w:snapToGrid w:val="0"/>
          <w:color w:val="auto"/>
          <w:highlight w:val="none"/>
        </w:rPr>
      </w:pPr>
      <w:bookmarkStart w:id="378" w:name="_Toc287620723"/>
      <w:bookmarkStart w:id="379" w:name="_Toc509218748"/>
      <w:bookmarkStart w:id="380" w:name="_Toc277082590"/>
      <w:bookmarkStart w:id="381" w:name="_Toc200513164"/>
      <w:bookmarkStart w:id="382" w:name="_Toc224103355"/>
      <w:bookmarkStart w:id="383" w:name="_Toc117005217"/>
      <w:bookmarkStart w:id="384" w:name="_Toc287607784"/>
      <w:bookmarkStart w:id="385" w:name="_Toc430530473"/>
      <w:r>
        <w:rPr>
          <w:rFonts w:ascii="宋体" w:hAnsi="宋体"/>
          <w:b w:val="0"/>
          <w:snapToGrid w:val="0"/>
          <w:color w:val="auto"/>
          <w:highlight w:val="none"/>
        </w:rPr>
        <w:t>7.  合同授予</w:t>
      </w:r>
      <w:bookmarkEnd w:id="378"/>
      <w:bookmarkEnd w:id="379"/>
      <w:bookmarkEnd w:id="380"/>
      <w:bookmarkEnd w:id="381"/>
      <w:bookmarkEnd w:id="382"/>
      <w:bookmarkEnd w:id="383"/>
      <w:bookmarkEnd w:id="384"/>
      <w:bookmarkEnd w:id="385"/>
    </w:p>
    <w:p w14:paraId="27297DAC">
      <w:pPr>
        <w:pStyle w:val="5"/>
        <w:snapToGrid w:val="0"/>
        <w:spacing w:before="0" w:after="0" w:line="360" w:lineRule="auto"/>
        <w:rPr>
          <w:rFonts w:ascii="宋体" w:hAnsi="宋体"/>
          <w:b w:val="0"/>
          <w:snapToGrid w:val="0"/>
          <w:color w:val="auto"/>
          <w:sz w:val="24"/>
          <w:szCs w:val="24"/>
          <w:highlight w:val="none"/>
        </w:rPr>
      </w:pPr>
      <w:bookmarkStart w:id="386" w:name="_Toc287620724"/>
      <w:bookmarkStart w:id="387" w:name="_Toc509218749"/>
      <w:bookmarkStart w:id="388" w:name="_Toc200513165"/>
      <w:bookmarkStart w:id="389" w:name="_Toc430530474"/>
      <w:bookmarkStart w:id="390" w:name="_Toc117005218"/>
      <w:bookmarkStart w:id="391" w:name="_Toc224103356"/>
      <w:bookmarkStart w:id="392" w:name="_Toc287607785"/>
      <w:bookmarkStart w:id="393" w:name="_Toc277082591"/>
      <w:r>
        <w:rPr>
          <w:rFonts w:ascii="宋体" w:hAnsi="宋体"/>
          <w:b w:val="0"/>
          <w:snapToGrid w:val="0"/>
          <w:color w:val="auto"/>
          <w:sz w:val="24"/>
          <w:szCs w:val="24"/>
          <w:highlight w:val="none"/>
        </w:rPr>
        <w:t>7.1  定标方式</w:t>
      </w:r>
      <w:bookmarkEnd w:id="386"/>
      <w:bookmarkEnd w:id="387"/>
      <w:bookmarkEnd w:id="388"/>
      <w:bookmarkEnd w:id="389"/>
      <w:bookmarkEnd w:id="390"/>
      <w:bookmarkEnd w:id="391"/>
      <w:bookmarkEnd w:id="392"/>
      <w:bookmarkEnd w:id="393"/>
    </w:p>
    <w:p w14:paraId="28D29E19">
      <w:pPr>
        <w:spacing w:line="360" w:lineRule="auto"/>
        <w:ind w:firstLine="420" w:firstLineChars="200"/>
        <w:rPr>
          <w:rFonts w:ascii="宋体" w:hAnsi="宋体"/>
          <w:color w:val="auto"/>
          <w:szCs w:val="21"/>
          <w:highlight w:val="none"/>
        </w:rPr>
      </w:pPr>
      <w:r>
        <w:rPr>
          <w:rFonts w:ascii="宋体" w:hAnsi="宋体"/>
          <w:color w:val="auto"/>
          <w:szCs w:val="21"/>
          <w:highlight w:val="none"/>
        </w:rPr>
        <w:t>国有资金占控股或者主导地位的依法必须进行招标的项目，招标人应当确定排名第一的中标候选人为中标人。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14:paraId="5269D0B7">
      <w:pPr>
        <w:spacing w:line="360" w:lineRule="auto"/>
        <w:ind w:firstLine="420" w:firstLineChars="200"/>
        <w:rPr>
          <w:rFonts w:ascii="宋体" w:hAnsi="宋体"/>
          <w:color w:val="auto"/>
          <w:szCs w:val="21"/>
          <w:highlight w:val="none"/>
        </w:rPr>
      </w:pPr>
      <w:r>
        <w:rPr>
          <w:rFonts w:ascii="宋体" w:hAnsi="宋体"/>
          <w:snapToGrid w:val="0"/>
          <w:color w:val="auto"/>
          <w:kern w:val="0"/>
          <w:szCs w:val="21"/>
          <w:highlight w:val="none"/>
        </w:rPr>
        <w:t>评标委员会推荐中标候选人的人数</w:t>
      </w:r>
      <w:r>
        <w:rPr>
          <w:rFonts w:hint="eastAsia" w:ascii="宋体" w:hAnsi="宋体"/>
          <w:snapToGrid w:val="0"/>
          <w:color w:val="auto"/>
          <w:kern w:val="0"/>
          <w:szCs w:val="21"/>
          <w:highlight w:val="none"/>
        </w:rPr>
        <w:t>：</w:t>
      </w:r>
      <w:r>
        <w:rPr>
          <w:rFonts w:ascii="宋体" w:hAnsi="宋体"/>
          <w:snapToGrid w:val="0"/>
          <w:color w:val="auto"/>
          <w:kern w:val="0"/>
          <w:szCs w:val="21"/>
          <w:highlight w:val="none"/>
        </w:rPr>
        <w:t>见投标人须知前附表。</w:t>
      </w:r>
    </w:p>
    <w:p w14:paraId="0A5487F7">
      <w:pPr>
        <w:pStyle w:val="5"/>
        <w:snapToGrid w:val="0"/>
        <w:spacing w:before="0" w:after="0" w:line="360" w:lineRule="auto"/>
        <w:rPr>
          <w:rFonts w:ascii="宋体" w:hAnsi="宋体"/>
          <w:b w:val="0"/>
          <w:snapToGrid w:val="0"/>
          <w:color w:val="auto"/>
          <w:sz w:val="24"/>
          <w:szCs w:val="24"/>
          <w:highlight w:val="none"/>
        </w:rPr>
      </w:pPr>
      <w:bookmarkStart w:id="394" w:name="_Toc430530475"/>
      <w:bookmarkStart w:id="395" w:name="_Toc509218750"/>
      <w:bookmarkStart w:id="396" w:name="_Toc117005219"/>
      <w:r>
        <w:rPr>
          <w:rFonts w:ascii="宋体" w:hAnsi="宋体"/>
          <w:b w:val="0"/>
          <w:snapToGrid w:val="0"/>
          <w:color w:val="auto"/>
          <w:sz w:val="24"/>
          <w:szCs w:val="24"/>
          <w:highlight w:val="none"/>
        </w:rPr>
        <w:t>7.2  中标公示及中标通知</w:t>
      </w:r>
      <w:bookmarkEnd w:id="394"/>
      <w:bookmarkEnd w:id="395"/>
      <w:bookmarkEnd w:id="396"/>
    </w:p>
    <w:p w14:paraId="16A0555B">
      <w:pPr>
        <w:autoSpaceDE w:val="0"/>
        <w:autoSpaceDN w:val="0"/>
        <w:adjustRightInd w:val="0"/>
        <w:snapToGrid w:val="0"/>
        <w:spacing w:line="360" w:lineRule="auto"/>
        <w:ind w:firstLine="420" w:firstLineChars="200"/>
        <w:rPr>
          <w:rFonts w:ascii="宋体" w:hAnsi="宋体"/>
          <w:color w:val="auto"/>
          <w:szCs w:val="21"/>
          <w:highlight w:val="none"/>
        </w:rPr>
      </w:pPr>
      <w:r>
        <w:rPr>
          <w:rFonts w:ascii="宋体" w:hAnsi="宋体"/>
          <w:snapToGrid w:val="0"/>
          <w:color w:val="auto"/>
          <w:kern w:val="0"/>
          <w:szCs w:val="21"/>
          <w:highlight w:val="none"/>
        </w:rPr>
        <w:t>招标人在收到评标报告之日起3日内公示中标候选人，公示期不得少于3日</w:t>
      </w:r>
      <w:r>
        <w:rPr>
          <w:rFonts w:hint="eastAsia" w:ascii="宋体" w:hAnsi="宋体"/>
          <w:color w:val="auto"/>
          <w:szCs w:val="21"/>
          <w:highlight w:val="none"/>
        </w:rPr>
        <w:t>。</w:t>
      </w:r>
    </w:p>
    <w:p w14:paraId="247D71FE">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在本章第 3.3 款规定的投标有效期内，且未有投标人的异议与投诉，招标人以书面形式向中标人发出中标通知书。</w:t>
      </w:r>
    </w:p>
    <w:p w14:paraId="44750DBE">
      <w:pPr>
        <w:pStyle w:val="5"/>
        <w:snapToGrid w:val="0"/>
        <w:spacing w:before="0" w:after="0" w:line="360" w:lineRule="auto"/>
        <w:rPr>
          <w:rFonts w:ascii="宋体" w:hAnsi="宋体"/>
          <w:b w:val="0"/>
          <w:snapToGrid w:val="0"/>
          <w:color w:val="auto"/>
          <w:sz w:val="24"/>
          <w:szCs w:val="24"/>
          <w:highlight w:val="none"/>
        </w:rPr>
      </w:pPr>
      <w:bookmarkStart w:id="397" w:name="_Toc277082593"/>
      <w:bookmarkStart w:id="398" w:name="_Toc430530476"/>
      <w:bookmarkStart w:id="399" w:name="_Toc224103358"/>
      <w:bookmarkStart w:id="400" w:name="_Toc287607787"/>
      <w:bookmarkStart w:id="401" w:name="_Toc287620726"/>
      <w:bookmarkStart w:id="402" w:name="_Toc200513167"/>
      <w:bookmarkStart w:id="403" w:name="_Toc509218751"/>
      <w:bookmarkStart w:id="404" w:name="_Toc117005220"/>
      <w:r>
        <w:rPr>
          <w:rFonts w:ascii="宋体" w:hAnsi="宋体"/>
          <w:b w:val="0"/>
          <w:snapToGrid w:val="0"/>
          <w:color w:val="auto"/>
          <w:sz w:val="24"/>
          <w:szCs w:val="24"/>
          <w:highlight w:val="none"/>
        </w:rPr>
        <w:t>7.3  履约担保</w:t>
      </w:r>
      <w:bookmarkEnd w:id="397"/>
      <w:bookmarkEnd w:id="398"/>
      <w:bookmarkEnd w:id="399"/>
      <w:bookmarkEnd w:id="400"/>
      <w:bookmarkEnd w:id="401"/>
      <w:bookmarkEnd w:id="402"/>
      <w:bookmarkEnd w:id="403"/>
      <w:bookmarkEnd w:id="404"/>
    </w:p>
    <w:p w14:paraId="41FCE07E">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7.3.1  在签订合同前，中标人应按投标人须知前附表规定的金额、担保形式和招标文件第四章“合同条款及格式”规定的履约担保格式向招标人提交履约担保。联合体中标的，其履约担保由牵头人递交，并应符合投标人须知前附表规定的金额、担保形式和招标文件第四章“合同条款及格式”规定的履约担保格式要求。</w:t>
      </w:r>
    </w:p>
    <w:p w14:paraId="43D6C501">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7.3.2  中标人不能按本章第 7.3.1 项要求提交履约担保的，视为放弃中标，其投标保证金不予退还，给招标人造成的损失超过投标保证金数额的，中标人还应当对超过部分予以赔偿。</w:t>
      </w:r>
    </w:p>
    <w:p w14:paraId="48CD26F2">
      <w:pPr>
        <w:pStyle w:val="5"/>
        <w:snapToGrid w:val="0"/>
        <w:spacing w:before="0" w:after="0" w:line="360" w:lineRule="auto"/>
        <w:rPr>
          <w:rFonts w:ascii="宋体" w:hAnsi="宋体"/>
          <w:b w:val="0"/>
          <w:snapToGrid w:val="0"/>
          <w:color w:val="auto"/>
          <w:sz w:val="24"/>
          <w:szCs w:val="24"/>
          <w:highlight w:val="none"/>
        </w:rPr>
      </w:pPr>
      <w:bookmarkStart w:id="405" w:name="_Toc287620727"/>
      <w:bookmarkStart w:id="406" w:name="_Toc117005221"/>
      <w:bookmarkStart w:id="407" w:name="_Toc200513168"/>
      <w:bookmarkStart w:id="408" w:name="_Toc277082594"/>
      <w:bookmarkStart w:id="409" w:name="_Toc224103359"/>
      <w:bookmarkStart w:id="410" w:name="_Toc287607788"/>
      <w:bookmarkStart w:id="411" w:name="_Toc430530477"/>
      <w:bookmarkStart w:id="412" w:name="_Toc509218752"/>
      <w:r>
        <w:rPr>
          <w:rFonts w:ascii="宋体" w:hAnsi="宋体"/>
          <w:b w:val="0"/>
          <w:snapToGrid w:val="0"/>
          <w:color w:val="auto"/>
          <w:sz w:val="24"/>
          <w:szCs w:val="24"/>
          <w:highlight w:val="none"/>
        </w:rPr>
        <w:t>7.4  签订合同</w:t>
      </w:r>
      <w:bookmarkEnd w:id="405"/>
      <w:bookmarkEnd w:id="406"/>
      <w:bookmarkEnd w:id="407"/>
      <w:bookmarkEnd w:id="408"/>
      <w:bookmarkEnd w:id="409"/>
      <w:bookmarkEnd w:id="410"/>
      <w:bookmarkEnd w:id="411"/>
      <w:bookmarkEnd w:id="412"/>
    </w:p>
    <w:p w14:paraId="6506BDE2">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 xml:space="preserve">7.4.1 </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招标人和中标人应当自中标通知书发出之日起 30 天内，根据招标文件和中标人的投标文件订立书面合同。中标人</w:t>
      </w:r>
      <w:r>
        <w:rPr>
          <w:rFonts w:hint="eastAsia" w:ascii="宋体" w:hAnsi="宋体"/>
          <w:snapToGrid w:val="0"/>
          <w:color w:val="auto"/>
          <w:kern w:val="0"/>
          <w:szCs w:val="21"/>
          <w:highlight w:val="none"/>
        </w:rPr>
        <w:t>放弃中标项目，</w:t>
      </w:r>
      <w:r>
        <w:rPr>
          <w:rFonts w:ascii="宋体" w:hAnsi="宋体"/>
          <w:snapToGrid w:val="0"/>
          <w:color w:val="auto"/>
          <w:kern w:val="0"/>
          <w:szCs w:val="21"/>
          <w:highlight w:val="none"/>
        </w:rPr>
        <w:t>无正当理由</w:t>
      </w:r>
      <w:r>
        <w:rPr>
          <w:rFonts w:hint="eastAsia" w:ascii="宋体" w:hAnsi="宋体"/>
          <w:snapToGrid w:val="0"/>
          <w:color w:val="auto"/>
          <w:kern w:val="0"/>
          <w:szCs w:val="21"/>
          <w:highlight w:val="none"/>
        </w:rPr>
        <w:t>不与招标人签订合同，在签订合同时向招标人提出附加条件或者更改合同实质性内容</w:t>
      </w:r>
      <w:r>
        <w:rPr>
          <w:rFonts w:ascii="宋体" w:hAnsi="宋体"/>
          <w:snapToGrid w:val="0"/>
          <w:color w:val="auto"/>
          <w:kern w:val="0"/>
          <w:szCs w:val="21"/>
          <w:highlight w:val="none"/>
        </w:rPr>
        <w:t>，</w:t>
      </w:r>
      <w:r>
        <w:rPr>
          <w:rFonts w:hint="eastAsia" w:ascii="宋体" w:hAnsi="宋体" w:cs="宋体"/>
          <w:color w:val="auto"/>
          <w:szCs w:val="21"/>
          <w:highlight w:val="none"/>
        </w:rPr>
        <w:t>或不按照招标文件要求提交低价风险担保（适用于经评审最低投标价法）或履约保证金的，</w:t>
      </w:r>
      <w:r>
        <w:rPr>
          <w:rFonts w:ascii="宋体" w:hAnsi="宋体"/>
          <w:snapToGrid w:val="0"/>
          <w:color w:val="auto"/>
          <w:kern w:val="0"/>
          <w:szCs w:val="21"/>
          <w:highlight w:val="none"/>
        </w:rPr>
        <w:t>招标人取消其中标资格，其投标保证金不予退还；给招标人造成的损失超过投标保证金数额的，中标人还应当对超过部分予以赔偿。</w:t>
      </w:r>
    </w:p>
    <w:p w14:paraId="62BD9B28">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7.4.2  发出中标通知书后，招标人无正当理由拒签合同的，招标人向中标人退还投标保证金；给中标人造成损失的，还应当赔偿损失。</w:t>
      </w:r>
    </w:p>
    <w:p w14:paraId="4B507597">
      <w:pPr>
        <w:pStyle w:val="4"/>
        <w:spacing w:before="0" w:after="0" w:line="360" w:lineRule="auto"/>
        <w:rPr>
          <w:rFonts w:ascii="宋体" w:hAnsi="宋体"/>
          <w:b w:val="0"/>
          <w:snapToGrid w:val="0"/>
          <w:color w:val="auto"/>
          <w:highlight w:val="none"/>
        </w:rPr>
      </w:pPr>
      <w:bookmarkStart w:id="413" w:name="_Toc287620728"/>
      <w:bookmarkStart w:id="414" w:name="_Toc200513169"/>
      <w:bookmarkStart w:id="415" w:name="_Toc117005222"/>
      <w:bookmarkStart w:id="416" w:name="_Toc277082595"/>
      <w:bookmarkStart w:id="417" w:name="_Toc430530478"/>
      <w:bookmarkStart w:id="418" w:name="_Toc287607789"/>
      <w:bookmarkStart w:id="419" w:name="_Toc224103360"/>
      <w:bookmarkStart w:id="420" w:name="_Toc509218753"/>
      <w:r>
        <w:rPr>
          <w:rFonts w:ascii="宋体" w:hAnsi="宋体"/>
          <w:b w:val="0"/>
          <w:snapToGrid w:val="0"/>
          <w:color w:val="auto"/>
          <w:highlight w:val="none"/>
        </w:rPr>
        <w:t>8.  重新招标和不再招标</w:t>
      </w:r>
      <w:bookmarkEnd w:id="413"/>
      <w:bookmarkEnd w:id="414"/>
      <w:bookmarkEnd w:id="415"/>
      <w:bookmarkEnd w:id="416"/>
      <w:bookmarkEnd w:id="417"/>
      <w:bookmarkEnd w:id="418"/>
      <w:bookmarkEnd w:id="419"/>
      <w:bookmarkEnd w:id="420"/>
    </w:p>
    <w:p w14:paraId="7F6169A0">
      <w:pPr>
        <w:pStyle w:val="5"/>
        <w:snapToGrid w:val="0"/>
        <w:spacing w:before="0" w:after="0" w:line="360" w:lineRule="auto"/>
        <w:rPr>
          <w:rFonts w:ascii="宋体" w:hAnsi="宋体"/>
          <w:b w:val="0"/>
          <w:snapToGrid w:val="0"/>
          <w:color w:val="auto"/>
          <w:sz w:val="24"/>
          <w:szCs w:val="24"/>
          <w:highlight w:val="none"/>
        </w:rPr>
      </w:pPr>
      <w:bookmarkStart w:id="421" w:name="_Toc277082596"/>
      <w:bookmarkStart w:id="422" w:name="_Toc287607790"/>
      <w:bookmarkStart w:id="423" w:name="_Toc287620729"/>
      <w:bookmarkStart w:id="424" w:name="_Toc200513170"/>
      <w:bookmarkStart w:id="425" w:name="_Toc224103361"/>
      <w:bookmarkStart w:id="426" w:name="_Toc430530479"/>
      <w:bookmarkStart w:id="427" w:name="_Toc509218754"/>
      <w:bookmarkStart w:id="428" w:name="_Toc117005223"/>
      <w:r>
        <w:rPr>
          <w:rFonts w:ascii="宋体" w:hAnsi="宋体"/>
          <w:b w:val="0"/>
          <w:snapToGrid w:val="0"/>
          <w:color w:val="auto"/>
          <w:sz w:val="24"/>
          <w:szCs w:val="24"/>
          <w:highlight w:val="none"/>
        </w:rPr>
        <w:t>8.1  重新招标</w:t>
      </w:r>
      <w:bookmarkEnd w:id="421"/>
      <w:bookmarkEnd w:id="422"/>
      <w:bookmarkEnd w:id="423"/>
      <w:bookmarkEnd w:id="424"/>
      <w:bookmarkEnd w:id="425"/>
      <w:bookmarkEnd w:id="426"/>
      <w:bookmarkEnd w:id="427"/>
      <w:r>
        <w:rPr>
          <w:rFonts w:hint="eastAsia" w:ascii="宋体" w:hAnsi="宋体"/>
          <w:b w:val="0"/>
          <w:snapToGrid w:val="0"/>
          <w:color w:val="auto"/>
          <w:sz w:val="24"/>
          <w:szCs w:val="24"/>
          <w:highlight w:val="none"/>
        </w:rPr>
        <w:t>的情形</w:t>
      </w:r>
      <w:bookmarkEnd w:id="428"/>
    </w:p>
    <w:p w14:paraId="21745D9B">
      <w:pPr>
        <w:autoSpaceDE w:val="0"/>
        <w:autoSpaceDN w:val="0"/>
        <w:adjustRightInd w:val="0"/>
        <w:snapToGrid w:val="0"/>
        <w:spacing w:line="360" w:lineRule="auto"/>
        <w:ind w:left="359" w:leftChars="171"/>
        <w:rPr>
          <w:rFonts w:ascii="宋体" w:hAnsi="宋体"/>
          <w:snapToGrid w:val="0"/>
          <w:color w:val="auto"/>
          <w:kern w:val="0"/>
          <w:szCs w:val="21"/>
          <w:highlight w:val="none"/>
        </w:rPr>
      </w:pPr>
      <w:r>
        <w:rPr>
          <w:rFonts w:ascii="宋体" w:hAnsi="宋体"/>
          <w:snapToGrid w:val="0"/>
          <w:color w:val="auto"/>
          <w:kern w:val="0"/>
          <w:szCs w:val="21"/>
          <w:highlight w:val="none"/>
        </w:rPr>
        <w:t>有下列情形之一的，招标人将重新招标：</w:t>
      </w:r>
    </w:p>
    <w:p w14:paraId="4C8383F3">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（1）投标截止时间止，投标人少于 3 个的；</w:t>
      </w:r>
    </w:p>
    <w:p w14:paraId="3F39E9CC">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（2）经评标委员会评审后否决所有投标的；</w:t>
      </w:r>
    </w:p>
    <w:p w14:paraId="79784F1E">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（3）</w:t>
      </w:r>
      <w:r>
        <w:rPr>
          <w:rFonts w:hint="eastAsia" w:ascii="宋体" w:hAnsi="宋体"/>
          <w:snapToGrid w:val="0"/>
          <w:color w:val="auto"/>
          <w:kern w:val="0"/>
          <w:szCs w:val="21"/>
          <w:highlight w:val="none"/>
        </w:rPr>
        <w:t>经评标委员会评审后部分投标被否决，导致有效投标人不足三个的，评标委员会应当否决所有投标。但是有效投标人的经济、技术等指标仍然具有市场竞争力，能够满足招标文件要求的，评标委员会可以继续评标并确定中标候选人</w:t>
      </w:r>
      <w:r>
        <w:rPr>
          <w:rFonts w:ascii="宋体" w:hAnsi="宋体"/>
          <w:snapToGrid w:val="0"/>
          <w:color w:val="auto"/>
          <w:kern w:val="0"/>
          <w:szCs w:val="21"/>
          <w:highlight w:val="none"/>
        </w:rPr>
        <w:t>；</w:t>
      </w:r>
    </w:p>
    <w:p w14:paraId="402B506B">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（4）法律法规规定的其他情形。</w:t>
      </w:r>
    </w:p>
    <w:p w14:paraId="3BE26776">
      <w:pPr>
        <w:pStyle w:val="5"/>
        <w:snapToGrid w:val="0"/>
        <w:spacing w:before="0" w:after="0" w:line="360" w:lineRule="auto"/>
        <w:rPr>
          <w:rFonts w:ascii="宋体" w:hAnsi="宋体"/>
          <w:b w:val="0"/>
          <w:snapToGrid w:val="0"/>
          <w:color w:val="auto"/>
          <w:sz w:val="24"/>
          <w:szCs w:val="24"/>
          <w:highlight w:val="none"/>
        </w:rPr>
      </w:pPr>
      <w:bookmarkStart w:id="429" w:name="_Toc277082597"/>
      <w:bookmarkStart w:id="430" w:name="_Toc430530480"/>
      <w:bookmarkStart w:id="431" w:name="_Toc224103362"/>
      <w:bookmarkStart w:id="432" w:name="_Toc287620730"/>
      <w:bookmarkStart w:id="433" w:name="_Toc117005224"/>
      <w:bookmarkStart w:id="434" w:name="_Toc509218755"/>
      <w:bookmarkStart w:id="435" w:name="_Toc200513171"/>
      <w:bookmarkStart w:id="436" w:name="_Toc287607791"/>
      <w:r>
        <w:rPr>
          <w:rFonts w:ascii="宋体" w:hAnsi="宋体"/>
          <w:b w:val="0"/>
          <w:snapToGrid w:val="0"/>
          <w:color w:val="auto"/>
          <w:sz w:val="24"/>
          <w:szCs w:val="24"/>
          <w:highlight w:val="none"/>
        </w:rPr>
        <w:t xml:space="preserve">8.2  </w:t>
      </w:r>
      <w:r>
        <w:rPr>
          <w:rFonts w:hint="eastAsia" w:ascii="宋体" w:hAnsi="宋体"/>
          <w:b w:val="0"/>
          <w:snapToGrid w:val="0"/>
          <w:color w:val="auto"/>
          <w:sz w:val="24"/>
          <w:szCs w:val="24"/>
          <w:highlight w:val="none"/>
        </w:rPr>
        <w:t>重新</w:t>
      </w:r>
      <w:r>
        <w:rPr>
          <w:rFonts w:ascii="宋体" w:hAnsi="宋体"/>
          <w:b w:val="0"/>
          <w:snapToGrid w:val="0"/>
          <w:color w:val="auto"/>
          <w:sz w:val="24"/>
          <w:szCs w:val="24"/>
          <w:highlight w:val="none"/>
        </w:rPr>
        <w:t>招标和不再招标</w:t>
      </w:r>
      <w:bookmarkEnd w:id="429"/>
      <w:bookmarkEnd w:id="430"/>
      <w:bookmarkEnd w:id="431"/>
      <w:bookmarkEnd w:id="432"/>
      <w:bookmarkEnd w:id="433"/>
      <w:bookmarkEnd w:id="434"/>
      <w:bookmarkEnd w:id="435"/>
      <w:bookmarkEnd w:id="436"/>
    </w:p>
    <w:p w14:paraId="30FCE415">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hint="eastAsia" w:ascii="宋体" w:hAnsi="宋体"/>
          <w:snapToGrid w:val="0"/>
          <w:color w:val="auto"/>
          <w:kern w:val="0"/>
          <w:szCs w:val="21"/>
          <w:highlight w:val="none"/>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备案手续的依法必须进行招标的项目，应当报原项目投资主管部门审批、核准、备案</w:t>
      </w:r>
      <w:r>
        <w:rPr>
          <w:rFonts w:ascii="宋体" w:hAnsi="宋体"/>
          <w:snapToGrid w:val="0"/>
          <w:color w:val="auto"/>
          <w:kern w:val="0"/>
          <w:szCs w:val="21"/>
          <w:highlight w:val="none"/>
        </w:rPr>
        <w:t>。</w:t>
      </w:r>
    </w:p>
    <w:p w14:paraId="052CEF16">
      <w:pPr>
        <w:pStyle w:val="4"/>
        <w:spacing w:before="0" w:after="0" w:line="360" w:lineRule="auto"/>
        <w:rPr>
          <w:rFonts w:ascii="宋体" w:hAnsi="宋体"/>
          <w:b w:val="0"/>
          <w:snapToGrid w:val="0"/>
          <w:color w:val="auto"/>
          <w:highlight w:val="none"/>
        </w:rPr>
      </w:pPr>
      <w:bookmarkStart w:id="437" w:name="_Toc117005225"/>
      <w:bookmarkStart w:id="438" w:name="_Toc287607792"/>
      <w:bookmarkStart w:id="439" w:name="_Toc224103363"/>
      <w:bookmarkStart w:id="440" w:name="_Toc430530481"/>
      <w:bookmarkStart w:id="441" w:name="_Toc509218756"/>
      <w:bookmarkStart w:id="442" w:name="_Toc287620731"/>
      <w:bookmarkStart w:id="443" w:name="_Toc277082598"/>
      <w:bookmarkStart w:id="444" w:name="_Toc200513172"/>
      <w:r>
        <w:rPr>
          <w:rFonts w:ascii="宋体" w:hAnsi="宋体"/>
          <w:b w:val="0"/>
          <w:snapToGrid w:val="0"/>
          <w:color w:val="auto"/>
          <w:highlight w:val="none"/>
        </w:rPr>
        <w:t>9.  纪律和监督</w:t>
      </w:r>
      <w:bookmarkEnd w:id="437"/>
      <w:bookmarkEnd w:id="438"/>
      <w:bookmarkEnd w:id="439"/>
      <w:bookmarkEnd w:id="440"/>
      <w:bookmarkEnd w:id="441"/>
      <w:bookmarkEnd w:id="442"/>
      <w:bookmarkEnd w:id="443"/>
      <w:bookmarkEnd w:id="444"/>
    </w:p>
    <w:p w14:paraId="12B3EA5E">
      <w:pPr>
        <w:pStyle w:val="5"/>
        <w:snapToGrid w:val="0"/>
        <w:spacing w:before="0" w:after="0" w:line="360" w:lineRule="auto"/>
        <w:rPr>
          <w:rFonts w:ascii="宋体" w:hAnsi="宋体"/>
          <w:b w:val="0"/>
          <w:snapToGrid w:val="0"/>
          <w:color w:val="auto"/>
          <w:sz w:val="24"/>
          <w:szCs w:val="24"/>
          <w:highlight w:val="none"/>
        </w:rPr>
      </w:pPr>
      <w:bookmarkStart w:id="445" w:name="_Toc117005226"/>
      <w:bookmarkStart w:id="446" w:name="_Toc224103364"/>
      <w:bookmarkStart w:id="447" w:name="_Toc509218757"/>
      <w:bookmarkStart w:id="448" w:name="_Toc287620732"/>
      <w:bookmarkStart w:id="449" w:name="_Toc200513173"/>
      <w:bookmarkStart w:id="450" w:name="_Toc277082599"/>
      <w:bookmarkStart w:id="451" w:name="_Toc287607793"/>
      <w:bookmarkStart w:id="452" w:name="_Toc430530482"/>
      <w:r>
        <w:rPr>
          <w:rFonts w:ascii="宋体" w:hAnsi="宋体"/>
          <w:b w:val="0"/>
          <w:snapToGrid w:val="0"/>
          <w:color w:val="auto"/>
          <w:sz w:val="24"/>
          <w:szCs w:val="24"/>
          <w:highlight w:val="none"/>
        </w:rPr>
        <w:t>9.1  对招标人的纪律要求</w:t>
      </w:r>
      <w:bookmarkEnd w:id="445"/>
      <w:bookmarkEnd w:id="446"/>
      <w:bookmarkEnd w:id="447"/>
      <w:bookmarkEnd w:id="448"/>
      <w:bookmarkEnd w:id="449"/>
      <w:bookmarkEnd w:id="450"/>
      <w:bookmarkEnd w:id="451"/>
      <w:bookmarkEnd w:id="452"/>
    </w:p>
    <w:p w14:paraId="02D86292">
      <w:pPr>
        <w:autoSpaceDE w:val="0"/>
        <w:autoSpaceDN w:val="0"/>
        <w:adjustRightInd w:val="0"/>
        <w:snapToGrid w:val="0"/>
        <w:spacing w:line="360" w:lineRule="auto"/>
        <w:ind w:firstLine="420"/>
        <w:rPr>
          <w:rFonts w:ascii="宋体" w:hAnsi="宋体"/>
          <w:color w:val="auto"/>
          <w:highlight w:val="none"/>
        </w:rPr>
      </w:pPr>
      <w:r>
        <w:rPr>
          <w:rFonts w:ascii="宋体" w:hAnsi="宋体"/>
          <w:snapToGrid w:val="0"/>
          <w:color w:val="auto"/>
          <w:kern w:val="0"/>
          <w:szCs w:val="21"/>
          <w:highlight w:val="none"/>
        </w:rPr>
        <w:t>招标人不得泄漏招标投标活动中应当保密的情况和资料，不得与投标人串通损害国家利 益、社会公共利益或者他人合法权益，</w:t>
      </w:r>
      <w:r>
        <w:rPr>
          <w:rFonts w:ascii="宋体" w:hAnsi="宋体"/>
          <w:color w:val="auto"/>
          <w:highlight w:val="none"/>
        </w:rPr>
        <w:t>禁止招标人与投标人串通投标。</w:t>
      </w:r>
    </w:p>
    <w:p w14:paraId="0CEDB6C4">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有下列情形之一的，属于招标人与投标人串通投标：</w:t>
      </w:r>
    </w:p>
    <w:p w14:paraId="42B3A509">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（1）招标人在开标前开启投标文件并将有关信息泄露给其他投标人</w:t>
      </w:r>
      <w:r>
        <w:rPr>
          <w:rFonts w:hint="eastAsia" w:ascii="宋体" w:hAnsi="宋体"/>
          <w:color w:val="auto"/>
          <w:highlight w:val="none"/>
        </w:rPr>
        <w:t>；</w:t>
      </w:r>
    </w:p>
    <w:p w14:paraId="5E23EA42">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（2）招标人直接或者间接向投标人泄露标底、评标委员会成员等信息；</w:t>
      </w:r>
    </w:p>
    <w:p w14:paraId="4AF6221D">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（3）招标人明示或者暗示投标人压低或者抬高投标报价；</w:t>
      </w:r>
    </w:p>
    <w:p w14:paraId="0142AB68">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（4）招标人授意投标人撤换、修改投标文件；</w:t>
      </w:r>
    </w:p>
    <w:p w14:paraId="53107158">
      <w:pPr>
        <w:autoSpaceDE w:val="0"/>
        <w:autoSpaceDN w:val="0"/>
        <w:adjustRightInd w:val="0"/>
        <w:snapToGrid w:val="0"/>
        <w:spacing w:line="360" w:lineRule="auto"/>
        <w:ind w:firstLine="420"/>
        <w:rPr>
          <w:rFonts w:ascii="宋体" w:hAnsi="宋体"/>
          <w:color w:val="auto"/>
          <w:highlight w:val="none"/>
        </w:rPr>
      </w:pPr>
      <w:r>
        <w:rPr>
          <w:rFonts w:ascii="宋体" w:hAnsi="宋体"/>
          <w:color w:val="auto"/>
          <w:highlight w:val="none"/>
        </w:rPr>
        <w:t>（5）招标人明示或者暗示投标人为特定投标人中标提供方便；</w:t>
      </w:r>
    </w:p>
    <w:p w14:paraId="33B89C2B">
      <w:pPr>
        <w:autoSpaceDE w:val="0"/>
        <w:autoSpaceDN w:val="0"/>
        <w:adjustRightInd w:val="0"/>
        <w:snapToGrid w:val="0"/>
        <w:spacing w:line="360" w:lineRule="auto"/>
        <w:ind w:firstLine="420"/>
        <w:rPr>
          <w:rFonts w:ascii="宋体" w:hAnsi="宋体"/>
          <w:snapToGrid w:val="0"/>
          <w:color w:val="auto"/>
          <w:kern w:val="0"/>
          <w:szCs w:val="21"/>
          <w:highlight w:val="none"/>
        </w:rPr>
      </w:pPr>
      <w:r>
        <w:rPr>
          <w:rFonts w:ascii="宋体" w:hAnsi="宋体"/>
          <w:color w:val="auto"/>
          <w:highlight w:val="none"/>
        </w:rPr>
        <w:t>（6）招标人与投标人为谋求特定投标人中标而采取的其他串通行为。</w:t>
      </w:r>
    </w:p>
    <w:p w14:paraId="4CA77AA8">
      <w:pPr>
        <w:pStyle w:val="5"/>
        <w:snapToGrid w:val="0"/>
        <w:spacing w:before="0" w:after="0" w:line="360" w:lineRule="auto"/>
        <w:ind w:firstLine="480" w:firstLineChars="200"/>
        <w:rPr>
          <w:rFonts w:ascii="宋体" w:hAnsi="宋体"/>
          <w:b w:val="0"/>
          <w:snapToGrid w:val="0"/>
          <w:color w:val="auto"/>
          <w:sz w:val="24"/>
          <w:szCs w:val="24"/>
          <w:highlight w:val="none"/>
        </w:rPr>
      </w:pPr>
      <w:bookmarkStart w:id="453" w:name="_Toc509218758"/>
      <w:bookmarkStart w:id="454" w:name="_Toc277082600"/>
      <w:bookmarkStart w:id="455" w:name="_Toc117005227"/>
      <w:bookmarkStart w:id="456" w:name="_Toc200513174"/>
      <w:bookmarkStart w:id="457" w:name="_Toc287607794"/>
      <w:bookmarkStart w:id="458" w:name="_Toc224103365"/>
      <w:bookmarkStart w:id="459" w:name="_Toc430530483"/>
      <w:bookmarkStart w:id="460" w:name="_Toc287620733"/>
      <w:r>
        <w:rPr>
          <w:rFonts w:ascii="宋体" w:hAnsi="宋体"/>
          <w:b w:val="0"/>
          <w:snapToGrid w:val="0"/>
          <w:color w:val="auto"/>
          <w:sz w:val="24"/>
          <w:szCs w:val="24"/>
          <w:highlight w:val="none"/>
        </w:rPr>
        <w:t>9.2  对投标人的纪律要求</w:t>
      </w:r>
      <w:bookmarkEnd w:id="453"/>
      <w:bookmarkEnd w:id="454"/>
      <w:bookmarkEnd w:id="455"/>
      <w:bookmarkEnd w:id="456"/>
      <w:bookmarkEnd w:id="457"/>
      <w:bookmarkEnd w:id="458"/>
      <w:bookmarkEnd w:id="459"/>
      <w:bookmarkEnd w:id="460"/>
    </w:p>
    <w:p w14:paraId="1EFE5BCD">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投标人不得相互串通投标或者与招标人串通投标，不得向招标人或者评标委员会成员行贿谋取中标，不得以他人名义投标或者以其他方式弄虚作假骗取中标；投标人不得以任何方式干扰、影响评标工作。</w:t>
      </w:r>
    </w:p>
    <w:p w14:paraId="7ED10B3D">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 xml:space="preserve">9.2.1  </w:t>
      </w:r>
      <w:r>
        <w:rPr>
          <w:rFonts w:ascii="宋体" w:hAnsi="宋体"/>
          <w:color w:val="auto"/>
          <w:highlight w:val="none"/>
        </w:rPr>
        <w:t>有下列情形之一的，属于投标人相互串通投标：</w:t>
      </w:r>
    </w:p>
    <w:p w14:paraId="4E23DF98">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（1）投标人之间协商投标报价等投标文件的实质性内容；</w:t>
      </w:r>
    </w:p>
    <w:p w14:paraId="4A0654CD">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（2）投标人之间约定中标人；</w:t>
      </w:r>
    </w:p>
    <w:p w14:paraId="5367709C">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（3）投标人之间约定部分投标人放弃投标或者中标；</w:t>
      </w:r>
    </w:p>
    <w:p w14:paraId="3B1D7B6A">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（4）属于同一集团、协会、商会等组织成员的投标人按照该组织要求协同投标；</w:t>
      </w:r>
    </w:p>
    <w:p w14:paraId="2B448893">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（5）投标人之间为谋取中标或者排斥特定投标人而采取的其他联合行动。</w:t>
      </w:r>
    </w:p>
    <w:p w14:paraId="563DBED0">
      <w:pPr>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highlight w:val="none"/>
        </w:rPr>
        <w:t xml:space="preserve">9.2.2  </w:t>
      </w:r>
      <w:r>
        <w:rPr>
          <w:rFonts w:ascii="宋体" w:hAnsi="宋体"/>
          <w:color w:val="auto"/>
          <w:highlight w:val="none"/>
        </w:rPr>
        <w:t>有下列情形之一的，视为投标人相互串通投标：</w:t>
      </w:r>
    </w:p>
    <w:p w14:paraId="42B38329">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（1）不同投标人的投标文件由同一单位或者个人编制；</w:t>
      </w:r>
    </w:p>
    <w:p w14:paraId="53E5DDC4">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（2）不同投标人委托同一单位或者个人办理投标事宜；</w:t>
      </w:r>
    </w:p>
    <w:p w14:paraId="50581080">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（3）不同投标人的投标文件载明的项目管理成员为同一人；</w:t>
      </w:r>
    </w:p>
    <w:p w14:paraId="5F971BA9">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（4）不同投标人的投标文件异常一致或者投标报价呈规律性差异；</w:t>
      </w:r>
    </w:p>
    <w:p w14:paraId="2FCDB876">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（5）不同投标人的投标文件相互混装；</w:t>
      </w:r>
    </w:p>
    <w:p w14:paraId="40AC805B">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（6）不同投标人的投标保证金从同一单位或者个人的账户转出</w:t>
      </w:r>
      <w:r>
        <w:rPr>
          <w:rFonts w:hint="eastAsia" w:ascii="宋体" w:hAnsi="宋体"/>
          <w:color w:val="auto"/>
          <w:highlight w:val="none"/>
        </w:rPr>
        <w:t>；</w:t>
      </w:r>
    </w:p>
    <w:p w14:paraId="57829CEC">
      <w:pPr>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highlight w:val="none"/>
        </w:rPr>
        <w:t>（7）不同投标人的电子投标文件MAC地址相同。</w:t>
      </w:r>
    </w:p>
    <w:p w14:paraId="07F2216C">
      <w:pPr>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highlight w:val="none"/>
        </w:rPr>
        <w:t xml:space="preserve">9.2.3  </w:t>
      </w:r>
      <w:r>
        <w:rPr>
          <w:rFonts w:ascii="宋体" w:hAnsi="宋体"/>
          <w:color w:val="auto"/>
          <w:highlight w:val="none"/>
        </w:rPr>
        <w:t>使用通过受让或者租借等方式获取的资格、资质证书投标的，属于以他人名义投标。</w:t>
      </w:r>
    </w:p>
    <w:p w14:paraId="4DC4EE66">
      <w:pPr>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highlight w:val="none"/>
        </w:rPr>
        <w:t xml:space="preserve">9.2.4  </w:t>
      </w:r>
      <w:r>
        <w:rPr>
          <w:rFonts w:ascii="宋体" w:hAnsi="宋体"/>
          <w:color w:val="auto"/>
          <w:highlight w:val="none"/>
        </w:rPr>
        <w:t>投标人有下列情形之一的，属于以其他方式弄虚作假的行为：</w:t>
      </w:r>
    </w:p>
    <w:p w14:paraId="74D0C198">
      <w:pPr>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highlight w:val="none"/>
        </w:rPr>
        <w:t>（1）</w:t>
      </w:r>
      <w:r>
        <w:rPr>
          <w:rFonts w:ascii="宋体" w:hAnsi="宋体"/>
          <w:color w:val="auto"/>
          <w:highlight w:val="none"/>
        </w:rPr>
        <w:t>使用伪造、变造的许可证件；</w:t>
      </w:r>
    </w:p>
    <w:p w14:paraId="207028E4">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rPr>
        <w:t>2</w:t>
      </w:r>
      <w:r>
        <w:rPr>
          <w:rFonts w:ascii="宋体" w:hAnsi="宋体"/>
          <w:color w:val="auto"/>
          <w:highlight w:val="none"/>
        </w:rPr>
        <w:t>）提供虚假的财务状况或者业绩；</w:t>
      </w:r>
    </w:p>
    <w:p w14:paraId="40E11753">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rPr>
        <w:t>3</w:t>
      </w:r>
      <w:r>
        <w:rPr>
          <w:rFonts w:ascii="宋体" w:hAnsi="宋体"/>
          <w:color w:val="auto"/>
          <w:highlight w:val="none"/>
        </w:rPr>
        <w:t>）提供虚假的项目负责人或者主要技术人员简历、劳动关系证明；</w:t>
      </w:r>
    </w:p>
    <w:p w14:paraId="518B75E7">
      <w:pPr>
        <w:autoSpaceDE w:val="0"/>
        <w:autoSpaceDN w:val="0"/>
        <w:adjustRightInd w:val="0"/>
        <w:snapToGrid w:val="0"/>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rPr>
        <w:t>4</w:t>
      </w:r>
      <w:r>
        <w:rPr>
          <w:rFonts w:ascii="宋体" w:hAnsi="宋体"/>
          <w:color w:val="auto"/>
          <w:highlight w:val="none"/>
        </w:rPr>
        <w:t>）提供虚假的信用状况；</w:t>
      </w:r>
    </w:p>
    <w:p w14:paraId="1F93CCDA">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color w:val="auto"/>
          <w:highlight w:val="none"/>
        </w:rPr>
        <w:t>（</w:t>
      </w:r>
      <w:r>
        <w:rPr>
          <w:rFonts w:hint="eastAsia" w:ascii="宋体" w:hAnsi="宋体"/>
          <w:color w:val="auto"/>
          <w:highlight w:val="none"/>
        </w:rPr>
        <w:t>5</w:t>
      </w:r>
      <w:r>
        <w:rPr>
          <w:rFonts w:ascii="宋体" w:hAnsi="宋体"/>
          <w:color w:val="auto"/>
          <w:highlight w:val="none"/>
        </w:rPr>
        <w:t>）其他弄虚作假的行为。</w:t>
      </w:r>
    </w:p>
    <w:p w14:paraId="4518C5D8">
      <w:pPr>
        <w:pStyle w:val="5"/>
        <w:snapToGrid w:val="0"/>
        <w:spacing w:before="0" w:after="0" w:line="360" w:lineRule="auto"/>
        <w:rPr>
          <w:rFonts w:ascii="宋体" w:hAnsi="宋体"/>
          <w:b w:val="0"/>
          <w:snapToGrid w:val="0"/>
          <w:color w:val="auto"/>
          <w:sz w:val="24"/>
          <w:szCs w:val="24"/>
          <w:highlight w:val="none"/>
        </w:rPr>
      </w:pPr>
      <w:bookmarkStart w:id="461" w:name="_Toc430530484"/>
      <w:bookmarkStart w:id="462" w:name="_Toc117005228"/>
      <w:bookmarkStart w:id="463" w:name="_Toc509218759"/>
      <w:bookmarkStart w:id="464" w:name="_Toc287607795"/>
      <w:bookmarkStart w:id="465" w:name="_Toc287620734"/>
      <w:bookmarkStart w:id="466" w:name="_Toc277082601"/>
      <w:bookmarkStart w:id="467" w:name="_Toc200513175"/>
      <w:bookmarkStart w:id="468" w:name="_Toc224103366"/>
      <w:r>
        <w:rPr>
          <w:rFonts w:ascii="宋体" w:hAnsi="宋体"/>
          <w:b w:val="0"/>
          <w:snapToGrid w:val="0"/>
          <w:color w:val="auto"/>
          <w:sz w:val="24"/>
          <w:szCs w:val="24"/>
          <w:highlight w:val="none"/>
        </w:rPr>
        <w:t>9.3  对评标委员会成员的纪律要求</w:t>
      </w:r>
      <w:bookmarkEnd w:id="461"/>
      <w:bookmarkEnd w:id="462"/>
      <w:bookmarkEnd w:id="463"/>
      <w:bookmarkEnd w:id="464"/>
      <w:bookmarkEnd w:id="465"/>
      <w:bookmarkEnd w:id="466"/>
      <w:bookmarkEnd w:id="467"/>
      <w:bookmarkEnd w:id="468"/>
    </w:p>
    <w:p w14:paraId="3047B38E">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w:t>
      </w:r>
      <w:r>
        <w:rPr>
          <w:rFonts w:hint="eastAsia" w:ascii="宋体" w:hAnsi="宋体"/>
          <w:snapToGrid w:val="0"/>
          <w:color w:val="auto"/>
          <w:kern w:val="0"/>
          <w:szCs w:val="21"/>
          <w:highlight w:val="none"/>
        </w:rPr>
        <w:t>，不得对招标文件中《否决投标情况一览表》以外的内容予以否决投标，否则对评标委员会成员按《重庆市综合评标专家库和评标专家管理暂行办法》进行处理。</w:t>
      </w:r>
    </w:p>
    <w:p w14:paraId="65CDEE77">
      <w:pPr>
        <w:pStyle w:val="5"/>
        <w:snapToGrid w:val="0"/>
        <w:spacing w:before="0" w:after="0" w:line="360" w:lineRule="auto"/>
        <w:rPr>
          <w:rFonts w:ascii="宋体" w:hAnsi="宋体"/>
          <w:b w:val="0"/>
          <w:snapToGrid w:val="0"/>
          <w:color w:val="auto"/>
          <w:sz w:val="24"/>
          <w:szCs w:val="24"/>
          <w:highlight w:val="none"/>
        </w:rPr>
      </w:pPr>
      <w:bookmarkStart w:id="469" w:name="_Toc287620735"/>
      <w:bookmarkStart w:id="470" w:name="_Toc509218760"/>
      <w:bookmarkStart w:id="471" w:name="_Toc117005229"/>
      <w:bookmarkStart w:id="472" w:name="_Toc200513176"/>
      <w:bookmarkStart w:id="473" w:name="_Toc224103367"/>
      <w:bookmarkStart w:id="474" w:name="_Toc287607796"/>
      <w:bookmarkStart w:id="475" w:name="_Toc277082602"/>
      <w:bookmarkStart w:id="476" w:name="_Toc430530485"/>
      <w:r>
        <w:rPr>
          <w:rFonts w:ascii="宋体" w:hAnsi="宋体"/>
          <w:b w:val="0"/>
          <w:snapToGrid w:val="0"/>
          <w:color w:val="auto"/>
          <w:sz w:val="24"/>
          <w:szCs w:val="24"/>
          <w:highlight w:val="none"/>
        </w:rPr>
        <w:t>9.4  对与评标活动有关的工作人员的纪律要求</w:t>
      </w:r>
      <w:bookmarkEnd w:id="469"/>
      <w:bookmarkEnd w:id="470"/>
      <w:bookmarkEnd w:id="471"/>
      <w:bookmarkEnd w:id="472"/>
      <w:bookmarkEnd w:id="473"/>
      <w:bookmarkEnd w:id="474"/>
      <w:bookmarkEnd w:id="475"/>
      <w:bookmarkEnd w:id="476"/>
    </w:p>
    <w:p w14:paraId="77EB9520">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与评标活动有关的工作人员不得收受他人的财物或者其他好处，不得向他人透漏对投标文件的评审和比较、中标候选人的推荐情况以及与评标有关的其他情况。在评标活动中，与评标活动有关的工作人员不得擅离职守，影响评标程序正常进行。</w:t>
      </w:r>
    </w:p>
    <w:p w14:paraId="62D1F112">
      <w:pPr>
        <w:pStyle w:val="5"/>
        <w:snapToGrid w:val="0"/>
        <w:spacing w:before="0" w:after="0" w:line="360" w:lineRule="auto"/>
        <w:rPr>
          <w:rFonts w:ascii="宋体" w:hAnsi="宋体"/>
          <w:b w:val="0"/>
          <w:snapToGrid w:val="0"/>
          <w:color w:val="auto"/>
          <w:sz w:val="24"/>
          <w:szCs w:val="24"/>
          <w:highlight w:val="none"/>
        </w:rPr>
      </w:pPr>
      <w:bookmarkStart w:id="477" w:name="_Toc287607797"/>
      <w:bookmarkStart w:id="478" w:name="_Toc200513177"/>
      <w:bookmarkStart w:id="479" w:name="_Toc287620736"/>
      <w:bookmarkStart w:id="480" w:name="_Toc117005230"/>
      <w:bookmarkStart w:id="481" w:name="_Toc224103368"/>
      <w:bookmarkStart w:id="482" w:name="_Toc277082603"/>
      <w:bookmarkStart w:id="483" w:name="_Toc509218761"/>
      <w:bookmarkStart w:id="484" w:name="_Toc430530486"/>
      <w:r>
        <w:rPr>
          <w:rFonts w:ascii="宋体" w:hAnsi="宋体"/>
          <w:b w:val="0"/>
          <w:snapToGrid w:val="0"/>
          <w:color w:val="auto"/>
          <w:sz w:val="24"/>
          <w:szCs w:val="24"/>
          <w:highlight w:val="none"/>
        </w:rPr>
        <w:t>9.5  投诉</w:t>
      </w:r>
      <w:bookmarkEnd w:id="477"/>
      <w:bookmarkEnd w:id="478"/>
      <w:bookmarkEnd w:id="479"/>
      <w:bookmarkEnd w:id="480"/>
      <w:bookmarkEnd w:id="481"/>
      <w:bookmarkEnd w:id="482"/>
      <w:bookmarkEnd w:id="483"/>
      <w:bookmarkEnd w:id="484"/>
    </w:p>
    <w:p w14:paraId="1A15B5F9">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投标人和其他利害关系人认为本次招标活动违反法律、法规和规章规定的，有权向有关行政监督部门投诉。</w:t>
      </w:r>
    </w:p>
    <w:p w14:paraId="231E59DA">
      <w:pPr>
        <w:pStyle w:val="4"/>
        <w:spacing w:before="0" w:after="0" w:line="360" w:lineRule="auto"/>
        <w:rPr>
          <w:rFonts w:ascii="宋体" w:hAnsi="宋体"/>
          <w:b w:val="0"/>
          <w:snapToGrid w:val="0"/>
          <w:color w:val="auto"/>
          <w:highlight w:val="none"/>
        </w:rPr>
      </w:pPr>
      <w:bookmarkStart w:id="485" w:name="_Toc277082604"/>
      <w:bookmarkStart w:id="486" w:name="_Toc287607798"/>
      <w:bookmarkStart w:id="487" w:name="_Toc509218762"/>
      <w:bookmarkStart w:id="488" w:name="_Toc287620737"/>
      <w:bookmarkStart w:id="489" w:name="_Toc117005231"/>
      <w:bookmarkStart w:id="490" w:name="_Toc430530487"/>
      <w:bookmarkStart w:id="491" w:name="_Toc200513178"/>
      <w:bookmarkStart w:id="492" w:name="_Toc224103369"/>
      <w:r>
        <w:rPr>
          <w:rFonts w:ascii="宋体" w:hAnsi="宋体"/>
          <w:b w:val="0"/>
          <w:snapToGrid w:val="0"/>
          <w:color w:val="auto"/>
          <w:highlight w:val="none"/>
        </w:rPr>
        <w:t>10. 需要补充的其他内容</w:t>
      </w:r>
      <w:bookmarkEnd w:id="485"/>
      <w:bookmarkEnd w:id="486"/>
      <w:bookmarkEnd w:id="487"/>
      <w:bookmarkEnd w:id="488"/>
      <w:bookmarkEnd w:id="489"/>
      <w:bookmarkEnd w:id="490"/>
      <w:bookmarkEnd w:id="491"/>
      <w:bookmarkEnd w:id="492"/>
    </w:p>
    <w:p w14:paraId="3A12149C">
      <w:pPr>
        <w:autoSpaceDE w:val="0"/>
        <w:autoSpaceDN w:val="0"/>
        <w:adjustRightInd w:val="0"/>
        <w:snapToGrid w:val="0"/>
        <w:spacing w:line="360" w:lineRule="auto"/>
        <w:ind w:firstLine="420" w:firstLineChars="200"/>
        <w:rPr>
          <w:rFonts w:ascii="宋体" w:hAnsi="宋体"/>
          <w:snapToGrid w:val="0"/>
          <w:color w:val="auto"/>
          <w:kern w:val="0"/>
          <w:szCs w:val="21"/>
          <w:highlight w:val="none"/>
        </w:rPr>
        <w:sectPr>
          <w:footerReference r:id="rId5" w:type="default"/>
          <w:footerReference r:id="rId6" w:type="even"/>
          <w:pgSz w:w="11906" w:h="16838"/>
          <w:pgMar w:top="1304" w:right="1134" w:bottom="1304" w:left="1304" w:header="851" w:footer="992" w:gutter="0"/>
          <w:cols w:space="720" w:num="1"/>
          <w:docGrid w:type="lines" w:linePitch="312" w:charSpace="0"/>
        </w:sectPr>
      </w:pPr>
      <w:r>
        <w:rPr>
          <w:rFonts w:ascii="宋体" w:hAnsi="宋体"/>
          <w:snapToGrid w:val="0"/>
          <w:color w:val="auto"/>
          <w:kern w:val="0"/>
          <w:szCs w:val="21"/>
          <w:highlight w:val="none"/>
        </w:rPr>
        <w:t>需要补充的其他内容：见投标人须知前附表。</w:t>
      </w:r>
    </w:p>
    <w:p w14:paraId="13318968">
      <w:pPr>
        <w:autoSpaceDE w:val="0"/>
        <w:autoSpaceDN w:val="0"/>
        <w:adjustRightInd w:val="0"/>
        <w:snapToGrid w:val="0"/>
        <w:spacing w:line="360" w:lineRule="auto"/>
        <w:ind w:firstLine="420" w:firstLineChars="200"/>
        <w:rPr>
          <w:rFonts w:ascii="宋体" w:hAnsi="宋体"/>
          <w:snapToGrid w:val="0"/>
          <w:color w:val="auto"/>
          <w:kern w:val="0"/>
          <w:szCs w:val="21"/>
          <w:highlight w:val="none"/>
        </w:rPr>
      </w:pPr>
    </w:p>
    <w:p w14:paraId="035B30E7">
      <w:pPr>
        <w:autoSpaceDE w:val="0"/>
        <w:autoSpaceDN w:val="0"/>
        <w:adjustRightInd w:val="0"/>
        <w:snapToGrid w:val="0"/>
        <w:spacing w:line="360" w:lineRule="auto"/>
        <w:jc w:val="left"/>
        <w:rPr>
          <w:rFonts w:ascii="宋体" w:hAnsi="宋体"/>
          <w:b/>
          <w:snapToGrid w:val="0"/>
          <w:color w:val="auto"/>
          <w:kern w:val="0"/>
          <w:highlight w:val="none"/>
        </w:rPr>
      </w:pPr>
      <w:r>
        <w:rPr>
          <w:rFonts w:ascii="宋体" w:hAnsi="宋体"/>
          <w:b/>
          <w:snapToGrid w:val="0"/>
          <w:color w:val="auto"/>
          <w:kern w:val="0"/>
          <w:highlight w:val="none"/>
        </w:rPr>
        <w:t>附表一：开标记录表</w:t>
      </w:r>
    </w:p>
    <w:p w14:paraId="0ECC922C">
      <w:pPr>
        <w:autoSpaceDE w:val="0"/>
        <w:autoSpaceDN w:val="0"/>
        <w:adjustRightInd w:val="0"/>
        <w:snapToGrid w:val="0"/>
        <w:spacing w:line="360" w:lineRule="auto"/>
        <w:jc w:val="left"/>
        <w:rPr>
          <w:rFonts w:ascii="宋体" w:hAnsi="宋体"/>
          <w:b/>
          <w:snapToGrid w:val="0"/>
          <w:color w:val="auto"/>
          <w:kern w:val="0"/>
          <w:highlight w:val="none"/>
        </w:rPr>
      </w:pPr>
    </w:p>
    <w:p w14:paraId="54473D5C">
      <w:pPr>
        <w:tabs>
          <w:tab w:val="left" w:pos="3529"/>
          <w:tab w:val="left" w:pos="5060"/>
        </w:tabs>
        <w:autoSpaceDE w:val="0"/>
        <w:autoSpaceDN w:val="0"/>
        <w:adjustRightInd w:val="0"/>
        <w:snapToGrid w:val="0"/>
        <w:spacing w:line="360" w:lineRule="auto"/>
        <w:ind w:firstLine="3324" w:firstLineChars="600"/>
        <w:jc w:val="left"/>
        <w:rPr>
          <w:rFonts w:ascii="宋体" w:hAnsi="宋体"/>
          <w:b/>
          <w:snapToGrid w:val="0"/>
          <w:color w:val="auto"/>
          <w:kern w:val="0"/>
          <w:sz w:val="28"/>
          <w:szCs w:val="28"/>
          <w:highlight w:val="none"/>
        </w:rPr>
      </w:pPr>
      <w:r>
        <w:rPr>
          <w:rFonts w:hint="eastAsia" w:ascii="宋体" w:hAnsi="宋体" w:cs="MingLiU"/>
          <w:snapToGrid w:val="0"/>
          <w:color w:val="auto"/>
          <w:w w:val="198"/>
          <w:kern w:val="0"/>
          <w:sz w:val="28"/>
          <w:szCs w:val="28"/>
          <w:highlight w:val="none"/>
          <w:u w:val="single"/>
        </w:rPr>
        <w:t xml:space="preserve">              </w:t>
      </w:r>
      <w:r>
        <w:rPr>
          <w:rFonts w:hint="eastAsia" w:ascii="宋体" w:hAnsi="宋体"/>
          <w:snapToGrid w:val="0"/>
          <w:color w:val="auto"/>
          <w:kern w:val="0"/>
          <w:sz w:val="28"/>
          <w:szCs w:val="28"/>
          <w:highlight w:val="none"/>
          <w:u w:val="single"/>
        </w:rPr>
        <w:t xml:space="preserve"> </w:t>
      </w:r>
      <w:r>
        <w:rPr>
          <w:rFonts w:ascii="宋体" w:hAnsi="宋体"/>
          <w:b/>
          <w:snapToGrid w:val="0"/>
          <w:color w:val="auto"/>
          <w:w w:val="99"/>
          <w:kern w:val="0"/>
          <w:sz w:val="28"/>
          <w:szCs w:val="28"/>
          <w:highlight w:val="none"/>
          <w:u w:val="single"/>
        </w:rPr>
        <w:t>（项目名称）</w:t>
      </w:r>
      <w:r>
        <w:rPr>
          <w:rFonts w:ascii="宋体" w:hAnsi="宋体"/>
          <w:b/>
          <w:snapToGrid w:val="0"/>
          <w:color w:val="auto"/>
          <w:w w:val="99"/>
          <w:kern w:val="0"/>
          <w:sz w:val="28"/>
          <w:szCs w:val="28"/>
          <w:highlight w:val="none"/>
        </w:rPr>
        <w:t>开标记录表</w:t>
      </w:r>
    </w:p>
    <w:p w14:paraId="635C7932">
      <w:pPr>
        <w:tabs>
          <w:tab w:val="left" w:pos="2260"/>
          <w:tab w:val="left" w:pos="5060"/>
        </w:tabs>
        <w:autoSpaceDE w:val="0"/>
        <w:autoSpaceDN w:val="0"/>
        <w:adjustRightInd w:val="0"/>
        <w:snapToGrid w:val="0"/>
        <w:spacing w:line="360" w:lineRule="auto"/>
        <w:jc w:val="right"/>
        <w:rPr>
          <w:rFonts w:ascii="宋体" w:hAnsi="宋体"/>
          <w:snapToGrid w:val="0"/>
          <w:color w:val="auto"/>
          <w:kern w:val="0"/>
          <w:szCs w:val="21"/>
          <w:highlight w:val="none"/>
        </w:rPr>
      </w:pPr>
      <w:r>
        <w:rPr>
          <w:rFonts w:ascii="宋体" w:hAnsi="宋体"/>
          <w:b/>
          <w:snapToGrid w:val="0"/>
          <w:color w:val="auto"/>
          <w:kern w:val="0"/>
          <w:sz w:val="28"/>
          <w:szCs w:val="28"/>
          <w:highlight w:val="none"/>
        </w:rPr>
        <w:t xml:space="preserve">                             </w:t>
      </w:r>
      <w:r>
        <w:rPr>
          <w:rFonts w:ascii="宋体" w:hAnsi="宋体"/>
          <w:snapToGrid w:val="0"/>
          <w:color w:val="auto"/>
          <w:kern w:val="0"/>
          <w:szCs w:val="21"/>
          <w:highlight w:val="none"/>
        </w:rPr>
        <w:t>开标时间：</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月</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日</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时</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分</w:t>
      </w:r>
    </w:p>
    <w:tbl>
      <w:tblPr>
        <w:tblStyle w:val="46"/>
        <w:tblW w:w="13757"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433"/>
        <w:gridCol w:w="3260"/>
        <w:gridCol w:w="1134"/>
        <w:gridCol w:w="1559"/>
        <w:gridCol w:w="1560"/>
        <w:gridCol w:w="1275"/>
        <w:gridCol w:w="993"/>
        <w:gridCol w:w="1285"/>
        <w:gridCol w:w="947"/>
        <w:gridCol w:w="1311"/>
      </w:tblGrid>
      <w:tr w14:paraId="0B04DB9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jc w:val="center"/>
        </w:trPr>
        <w:tc>
          <w:tcPr>
            <w:tcW w:w="433" w:type="dxa"/>
            <w:vAlign w:val="center"/>
          </w:tcPr>
          <w:p w14:paraId="104748FC">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序号</w:t>
            </w:r>
          </w:p>
        </w:tc>
        <w:tc>
          <w:tcPr>
            <w:tcW w:w="3260" w:type="dxa"/>
            <w:vAlign w:val="center"/>
          </w:tcPr>
          <w:p w14:paraId="38571EB1">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投标人</w:t>
            </w:r>
          </w:p>
        </w:tc>
        <w:tc>
          <w:tcPr>
            <w:tcW w:w="1134" w:type="dxa"/>
            <w:vAlign w:val="center"/>
          </w:tcPr>
          <w:p w14:paraId="031BCD6A">
            <w:pPr>
              <w:autoSpaceDE w:val="0"/>
              <w:autoSpaceDN w:val="0"/>
              <w:adjustRightInd w:val="0"/>
              <w:snapToGrid w:val="0"/>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rPr>
              <w:t>解密情况</w:t>
            </w:r>
          </w:p>
        </w:tc>
        <w:tc>
          <w:tcPr>
            <w:tcW w:w="1559" w:type="dxa"/>
            <w:tcBorders>
              <w:right w:val="single" w:color="auto" w:sz="4" w:space="0"/>
            </w:tcBorders>
            <w:vAlign w:val="center"/>
          </w:tcPr>
          <w:p w14:paraId="51196506">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投标总报价</w:t>
            </w:r>
          </w:p>
        </w:tc>
        <w:tc>
          <w:tcPr>
            <w:tcW w:w="1560" w:type="dxa"/>
            <w:tcBorders>
              <w:left w:val="single" w:color="auto" w:sz="4" w:space="0"/>
            </w:tcBorders>
            <w:vAlign w:val="center"/>
          </w:tcPr>
          <w:p w14:paraId="07CB1178">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安全文明施工费暂定金额</w:t>
            </w:r>
          </w:p>
        </w:tc>
        <w:tc>
          <w:tcPr>
            <w:tcW w:w="1275" w:type="dxa"/>
            <w:vAlign w:val="center"/>
          </w:tcPr>
          <w:p w14:paraId="56BA41AD">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质量目标</w:t>
            </w:r>
          </w:p>
        </w:tc>
        <w:tc>
          <w:tcPr>
            <w:tcW w:w="993" w:type="dxa"/>
            <w:vAlign w:val="center"/>
          </w:tcPr>
          <w:p w14:paraId="6B3BBC2A">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工期</w:t>
            </w:r>
          </w:p>
        </w:tc>
        <w:tc>
          <w:tcPr>
            <w:tcW w:w="1285" w:type="dxa"/>
            <w:vAlign w:val="center"/>
          </w:tcPr>
          <w:p w14:paraId="41981242">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项目经理</w:t>
            </w:r>
          </w:p>
        </w:tc>
        <w:tc>
          <w:tcPr>
            <w:tcW w:w="947" w:type="dxa"/>
            <w:vAlign w:val="center"/>
          </w:tcPr>
          <w:p w14:paraId="05E1E812">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备注</w:t>
            </w:r>
          </w:p>
        </w:tc>
        <w:tc>
          <w:tcPr>
            <w:tcW w:w="1311" w:type="dxa"/>
            <w:vAlign w:val="center"/>
          </w:tcPr>
          <w:p w14:paraId="2A62969B">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签名</w:t>
            </w:r>
          </w:p>
        </w:tc>
      </w:tr>
      <w:tr w14:paraId="4618AEA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14:paraId="1238AB2E">
            <w:pPr>
              <w:autoSpaceDE w:val="0"/>
              <w:autoSpaceDN w:val="0"/>
              <w:adjustRightInd w:val="0"/>
              <w:snapToGrid w:val="0"/>
              <w:jc w:val="left"/>
              <w:rPr>
                <w:rFonts w:ascii="宋体" w:hAnsi="宋体"/>
                <w:snapToGrid w:val="0"/>
                <w:color w:val="auto"/>
                <w:kern w:val="0"/>
                <w:sz w:val="28"/>
                <w:szCs w:val="28"/>
                <w:highlight w:val="none"/>
              </w:rPr>
            </w:pPr>
          </w:p>
        </w:tc>
        <w:tc>
          <w:tcPr>
            <w:tcW w:w="3260" w:type="dxa"/>
            <w:vAlign w:val="center"/>
          </w:tcPr>
          <w:p w14:paraId="0218CA91">
            <w:pPr>
              <w:autoSpaceDE w:val="0"/>
              <w:autoSpaceDN w:val="0"/>
              <w:adjustRightInd w:val="0"/>
              <w:snapToGrid w:val="0"/>
              <w:jc w:val="left"/>
              <w:rPr>
                <w:rFonts w:ascii="宋体" w:hAnsi="宋体"/>
                <w:snapToGrid w:val="0"/>
                <w:color w:val="auto"/>
                <w:kern w:val="0"/>
                <w:sz w:val="28"/>
                <w:szCs w:val="28"/>
                <w:highlight w:val="none"/>
              </w:rPr>
            </w:pPr>
          </w:p>
        </w:tc>
        <w:tc>
          <w:tcPr>
            <w:tcW w:w="1134" w:type="dxa"/>
            <w:vAlign w:val="center"/>
          </w:tcPr>
          <w:p w14:paraId="2516A45A">
            <w:pPr>
              <w:autoSpaceDE w:val="0"/>
              <w:autoSpaceDN w:val="0"/>
              <w:adjustRightInd w:val="0"/>
              <w:snapToGrid w:val="0"/>
              <w:jc w:val="left"/>
              <w:rPr>
                <w:rFonts w:ascii="宋体" w:hAnsi="宋体"/>
                <w:snapToGrid w:val="0"/>
                <w:color w:val="auto"/>
                <w:kern w:val="0"/>
                <w:sz w:val="28"/>
                <w:szCs w:val="28"/>
                <w:highlight w:val="none"/>
              </w:rPr>
            </w:pPr>
          </w:p>
        </w:tc>
        <w:tc>
          <w:tcPr>
            <w:tcW w:w="1559" w:type="dxa"/>
            <w:tcBorders>
              <w:right w:val="single" w:color="auto" w:sz="4" w:space="0"/>
            </w:tcBorders>
            <w:vAlign w:val="center"/>
          </w:tcPr>
          <w:p w14:paraId="57B79A81">
            <w:pPr>
              <w:autoSpaceDE w:val="0"/>
              <w:autoSpaceDN w:val="0"/>
              <w:adjustRightInd w:val="0"/>
              <w:snapToGrid w:val="0"/>
              <w:jc w:val="left"/>
              <w:rPr>
                <w:rFonts w:ascii="宋体" w:hAnsi="宋体"/>
                <w:snapToGrid w:val="0"/>
                <w:color w:val="auto"/>
                <w:kern w:val="0"/>
                <w:sz w:val="28"/>
                <w:szCs w:val="28"/>
                <w:highlight w:val="none"/>
              </w:rPr>
            </w:pPr>
          </w:p>
        </w:tc>
        <w:tc>
          <w:tcPr>
            <w:tcW w:w="1560" w:type="dxa"/>
            <w:tcBorders>
              <w:left w:val="single" w:color="auto" w:sz="4" w:space="0"/>
            </w:tcBorders>
            <w:vAlign w:val="center"/>
          </w:tcPr>
          <w:p w14:paraId="4E8F336E">
            <w:pPr>
              <w:autoSpaceDE w:val="0"/>
              <w:autoSpaceDN w:val="0"/>
              <w:adjustRightInd w:val="0"/>
              <w:snapToGrid w:val="0"/>
              <w:jc w:val="left"/>
              <w:rPr>
                <w:rFonts w:ascii="宋体" w:hAnsi="宋体"/>
                <w:snapToGrid w:val="0"/>
                <w:color w:val="auto"/>
                <w:kern w:val="0"/>
                <w:sz w:val="28"/>
                <w:szCs w:val="28"/>
                <w:highlight w:val="none"/>
              </w:rPr>
            </w:pPr>
          </w:p>
        </w:tc>
        <w:tc>
          <w:tcPr>
            <w:tcW w:w="1275" w:type="dxa"/>
            <w:vAlign w:val="center"/>
          </w:tcPr>
          <w:p w14:paraId="2577DD76">
            <w:pPr>
              <w:autoSpaceDE w:val="0"/>
              <w:autoSpaceDN w:val="0"/>
              <w:adjustRightInd w:val="0"/>
              <w:snapToGrid w:val="0"/>
              <w:jc w:val="left"/>
              <w:rPr>
                <w:rFonts w:ascii="宋体" w:hAnsi="宋体"/>
                <w:snapToGrid w:val="0"/>
                <w:color w:val="auto"/>
                <w:kern w:val="0"/>
                <w:sz w:val="28"/>
                <w:szCs w:val="28"/>
                <w:highlight w:val="none"/>
              </w:rPr>
            </w:pPr>
          </w:p>
        </w:tc>
        <w:tc>
          <w:tcPr>
            <w:tcW w:w="993" w:type="dxa"/>
            <w:vAlign w:val="center"/>
          </w:tcPr>
          <w:p w14:paraId="4028276C">
            <w:pPr>
              <w:autoSpaceDE w:val="0"/>
              <w:autoSpaceDN w:val="0"/>
              <w:adjustRightInd w:val="0"/>
              <w:snapToGrid w:val="0"/>
              <w:jc w:val="left"/>
              <w:rPr>
                <w:rFonts w:ascii="宋体" w:hAnsi="宋体"/>
                <w:snapToGrid w:val="0"/>
                <w:color w:val="auto"/>
                <w:kern w:val="0"/>
                <w:sz w:val="28"/>
                <w:szCs w:val="28"/>
                <w:highlight w:val="none"/>
              </w:rPr>
            </w:pPr>
          </w:p>
        </w:tc>
        <w:tc>
          <w:tcPr>
            <w:tcW w:w="1285" w:type="dxa"/>
            <w:vAlign w:val="center"/>
          </w:tcPr>
          <w:p w14:paraId="74B4FF7F">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14:paraId="790B465D">
            <w:pPr>
              <w:autoSpaceDE w:val="0"/>
              <w:autoSpaceDN w:val="0"/>
              <w:adjustRightInd w:val="0"/>
              <w:snapToGrid w:val="0"/>
              <w:jc w:val="left"/>
              <w:rPr>
                <w:rFonts w:ascii="宋体" w:hAnsi="宋体"/>
                <w:snapToGrid w:val="0"/>
                <w:color w:val="auto"/>
                <w:kern w:val="0"/>
                <w:sz w:val="28"/>
                <w:szCs w:val="28"/>
                <w:highlight w:val="none"/>
              </w:rPr>
            </w:pPr>
          </w:p>
        </w:tc>
        <w:tc>
          <w:tcPr>
            <w:tcW w:w="1311" w:type="dxa"/>
            <w:vAlign w:val="center"/>
          </w:tcPr>
          <w:p w14:paraId="36014293">
            <w:pPr>
              <w:autoSpaceDE w:val="0"/>
              <w:autoSpaceDN w:val="0"/>
              <w:adjustRightInd w:val="0"/>
              <w:snapToGrid w:val="0"/>
              <w:jc w:val="left"/>
              <w:rPr>
                <w:rFonts w:ascii="宋体" w:hAnsi="宋体"/>
                <w:snapToGrid w:val="0"/>
                <w:color w:val="auto"/>
                <w:kern w:val="0"/>
                <w:sz w:val="28"/>
                <w:szCs w:val="28"/>
                <w:highlight w:val="none"/>
              </w:rPr>
            </w:pPr>
          </w:p>
        </w:tc>
      </w:tr>
      <w:tr w14:paraId="29FF129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14:paraId="1C49D01C">
            <w:pPr>
              <w:autoSpaceDE w:val="0"/>
              <w:autoSpaceDN w:val="0"/>
              <w:adjustRightInd w:val="0"/>
              <w:snapToGrid w:val="0"/>
              <w:jc w:val="left"/>
              <w:rPr>
                <w:rFonts w:ascii="宋体" w:hAnsi="宋体"/>
                <w:snapToGrid w:val="0"/>
                <w:color w:val="auto"/>
                <w:kern w:val="0"/>
                <w:sz w:val="28"/>
                <w:szCs w:val="28"/>
                <w:highlight w:val="none"/>
              </w:rPr>
            </w:pPr>
          </w:p>
        </w:tc>
        <w:tc>
          <w:tcPr>
            <w:tcW w:w="3260" w:type="dxa"/>
            <w:vAlign w:val="center"/>
          </w:tcPr>
          <w:p w14:paraId="675ACC2E">
            <w:pPr>
              <w:autoSpaceDE w:val="0"/>
              <w:autoSpaceDN w:val="0"/>
              <w:adjustRightInd w:val="0"/>
              <w:snapToGrid w:val="0"/>
              <w:jc w:val="left"/>
              <w:rPr>
                <w:rFonts w:ascii="宋体" w:hAnsi="宋体"/>
                <w:snapToGrid w:val="0"/>
                <w:color w:val="auto"/>
                <w:kern w:val="0"/>
                <w:sz w:val="28"/>
                <w:szCs w:val="28"/>
                <w:highlight w:val="none"/>
              </w:rPr>
            </w:pPr>
          </w:p>
        </w:tc>
        <w:tc>
          <w:tcPr>
            <w:tcW w:w="1134" w:type="dxa"/>
            <w:vAlign w:val="center"/>
          </w:tcPr>
          <w:p w14:paraId="56C70E10">
            <w:pPr>
              <w:autoSpaceDE w:val="0"/>
              <w:autoSpaceDN w:val="0"/>
              <w:adjustRightInd w:val="0"/>
              <w:snapToGrid w:val="0"/>
              <w:jc w:val="left"/>
              <w:rPr>
                <w:rFonts w:ascii="宋体" w:hAnsi="宋体"/>
                <w:snapToGrid w:val="0"/>
                <w:color w:val="auto"/>
                <w:kern w:val="0"/>
                <w:sz w:val="28"/>
                <w:szCs w:val="28"/>
                <w:highlight w:val="none"/>
              </w:rPr>
            </w:pPr>
          </w:p>
        </w:tc>
        <w:tc>
          <w:tcPr>
            <w:tcW w:w="1559" w:type="dxa"/>
            <w:tcBorders>
              <w:right w:val="single" w:color="auto" w:sz="4" w:space="0"/>
            </w:tcBorders>
            <w:vAlign w:val="center"/>
          </w:tcPr>
          <w:p w14:paraId="16321033">
            <w:pPr>
              <w:autoSpaceDE w:val="0"/>
              <w:autoSpaceDN w:val="0"/>
              <w:adjustRightInd w:val="0"/>
              <w:snapToGrid w:val="0"/>
              <w:jc w:val="left"/>
              <w:rPr>
                <w:rFonts w:ascii="宋体" w:hAnsi="宋体"/>
                <w:snapToGrid w:val="0"/>
                <w:color w:val="auto"/>
                <w:kern w:val="0"/>
                <w:sz w:val="28"/>
                <w:szCs w:val="28"/>
                <w:highlight w:val="none"/>
              </w:rPr>
            </w:pPr>
          </w:p>
        </w:tc>
        <w:tc>
          <w:tcPr>
            <w:tcW w:w="1560" w:type="dxa"/>
            <w:tcBorders>
              <w:left w:val="single" w:color="auto" w:sz="4" w:space="0"/>
            </w:tcBorders>
            <w:vAlign w:val="center"/>
          </w:tcPr>
          <w:p w14:paraId="3F117F8C">
            <w:pPr>
              <w:autoSpaceDE w:val="0"/>
              <w:autoSpaceDN w:val="0"/>
              <w:adjustRightInd w:val="0"/>
              <w:snapToGrid w:val="0"/>
              <w:jc w:val="left"/>
              <w:rPr>
                <w:rFonts w:ascii="宋体" w:hAnsi="宋体"/>
                <w:snapToGrid w:val="0"/>
                <w:color w:val="auto"/>
                <w:kern w:val="0"/>
                <w:sz w:val="28"/>
                <w:szCs w:val="28"/>
                <w:highlight w:val="none"/>
              </w:rPr>
            </w:pPr>
          </w:p>
        </w:tc>
        <w:tc>
          <w:tcPr>
            <w:tcW w:w="1275" w:type="dxa"/>
            <w:vAlign w:val="center"/>
          </w:tcPr>
          <w:p w14:paraId="7747C7E7">
            <w:pPr>
              <w:autoSpaceDE w:val="0"/>
              <w:autoSpaceDN w:val="0"/>
              <w:adjustRightInd w:val="0"/>
              <w:snapToGrid w:val="0"/>
              <w:jc w:val="left"/>
              <w:rPr>
                <w:rFonts w:ascii="宋体" w:hAnsi="宋体"/>
                <w:snapToGrid w:val="0"/>
                <w:color w:val="auto"/>
                <w:kern w:val="0"/>
                <w:sz w:val="28"/>
                <w:szCs w:val="28"/>
                <w:highlight w:val="none"/>
              </w:rPr>
            </w:pPr>
          </w:p>
        </w:tc>
        <w:tc>
          <w:tcPr>
            <w:tcW w:w="993" w:type="dxa"/>
            <w:vAlign w:val="center"/>
          </w:tcPr>
          <w:p w14:paraId="6191E94B">
            <w:pPr>
              <w:autoSpaceDE w:val="0"/>
              <w:autoSpaceDN w:val="0"/>
              <w:adjustRightInd w:val="0"/>
              <w:snapToGrid w:val="0"/>
              <w:jc w:val="left"/>
              <w:rPr>
                <w:rFonts w:ascii="宋体" w:hAnsi="宋体"/>
                <w:snapToGrid w:val="0"/>
                <w:color w:val="auto"/>
                <w:kern w:val="0"/>
                <w:sz w:val="28"/>
                <w:szCs w:val="28"/>
                <w:highlight w:val="none"/>
              </w:rPr>
            </w:pPr>
          </w:p>
        </w:tc>
        <w:tc>
          <w:tcPr>
            <w:tcW w:w="1285" w:type="dxa"/>
            <w:vAlign w:val="center"/>
          </w:tcPr>
          <w:p w14:paraId="2F8A784E">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14:paraId="6FCB5249">
            <w:pPr>
              <w:autoSpaceDE w:val="0"/>
              <w:autoSpaceDN w:val="0"/>
              <w:adjustRightInd w:val="0"/>
              <w:snapToGrid w:val="0"/>
              <w:jc w:val="left"/>
              <w:rPr>
                <w:rFonts w:ascii="宋体" w:hAnsi="宋体"/>
                <w:snapToGrid w:val="0"/>
                <w:color w:val="auto"/>
                <w:kern w:val="0"/>
                <w:sz w:val="28"/>
                <w:szCs w:val="28"/>
                <w:highlight w:val="none"/>
              </w:rPr>
            </w:pPr>
          </w:p>
        </w:tc>
        <w:tc>
          <w:tcPr>
            <w:tcW w:w="1311" w:type="dxa"/>
            <w:vAlign w:val="center"/>
          </w:tcPr>
          <w:p w14:paraId="5390BEDB">
            <w:pPr>
              <w:autoSpaceDE w:val="0"/>
              <w:autoSpaceDN w:val="0"/>
              <w:adjustRightInd w:val="0"/>
              <w:snapToGrid w:val="0"/>
              <w:jc w:val="left"/>
              <w:rPr>
                <w:rFonts w:ascii="宋体" w:hAnsi="宋体"/>
                <w:snapToGrid w:val="0"/>
                <w:color w:val="auto"/>
                <w:kern w:val="0"/>
                <w:sz w:val="28"/>
                <w:szCs w:val="28"/>
                <w:highlight w:val="none"/>
              </w:rPr>
            </w:pPr>
          </w:p>
        </w:tc>
      </w:tr>
      <w:tr w14:paraId="115896E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14:paraId="712339D2">
            <w:pPr>
              <w:autoSpaceDE w:val="0"/>
              <w:autoSpaceDN w:val="0"/>
              <w:adjustRightInd w:val="0"/>
              <w:snapToGrid w:val="0"/>
              <w:jc w:val="left"/>
              <w:rPr>
                <w:rFonts w:ascii="宋体" w:hAnsi="宋体"/>
                <w:snapToGrid w:val="0"/>
                <w:color w:val="auto"/>
                <w:kern w:val="0"/>
                <w:sz w:val="28"/>
                <w:szCs w:val="28"/>
                <w:highlight w:val="none"/>
              </w:rPr>
            </w:pPr>
          </w:p>
        </w:tc>
        <w:tc>
          <w:tcPr>
            <w:tcW w:w="3260" w:type="dxa"/>
            <w:vAlign w:val="center"/>
          </w:tcPr>
          <w:p w14:paraId="48F8603D">
            <w:pPr>
              <w:autoSpaceDE w:val="0"/>
              <w:autoSpaceDN w:val="0"/>
              <w:adjustRightInd w:val="0"/>
              <w:snapToGrid w:val="0"/>
              <w:jc w:val="left"/>
              <w:rPr>
                <w:rFonts w:ascii="宋体" w:hAnsi="宋体"/>
                <w:snapToGrid w:val="0"/>
                <w:color w:val="auto"/>
                <w:kern w:val="0"/>
                <w:sz w:val="28"/>
                <w:szCs w:val="28"/>
                <w:highlight w:val="none"/>
              </w:rPr>
            </w:pPr>
          </w:p>
        </w:tc>
        <w:tc>
          <w:tcPr>
            <w:tcW w:w="1134" w:type="dxa"/>
            <w:vAlign w:val="center"/>
          </w:tcPr>
          <w:p w14:paraId="43F89EFA">
            <w:pPr>
              <w:autoSpaceDE w:val="0"/>
              <w:autoSpaceDN w:val="0"/>
              <w:adjustRightInd w:val="0"/>
              <w:snapToGrid w:val="0"/>
              <w:jc w:val="left"/>
              <w:rPr>
                <w:rFonts w:ascii="宋体" w:hAnsi="宋体"/>
                <w:snapToGrid w:val="0"/>
                <w:color w:val="auto"/>
                <w:kern w:val="0"/>
                <w:sz w:val="28"/>
                <w:szCs w:val="28"/>
                <w:highlight w:val="none"/>
              </w:rPr>
            </w:pPr>
          </w:p>
        </w:tc>
        <w:tc>
          <w:tcPr>
            <w:tcW w:w="1559" w:type="dxa"/>
            <w:tcBorders>
              <w:right w:val="single" w:color="auto" w:sz="4" w:space="0"/>
            </w:tcBorders>
            <w:vAlign w:val="center"/>
          </w:tcPr>
          <w:p w14:paraId="47F0D657">
            <w:pPr>
              <w:autoSpaceDE w:val="0"/>
              <w:autoSpaceDN w:val="0"/>
              <w:adjustRightInd w:val="0"/>
              <w:snapToGrid w:val="0"/>
              <w:jc w:val="left"/>
              <w:rPr>
                <w:rFonts w:ascii="宋体" w:hAnsi="宋体"/>
                <w:snapToGrid w:val="0"/>
                <w:color w:val="auto"/>
                <w:kern w:val="0"/>
                <w:sz w:val="28"/>
                <w:szCs w:val="28"/>
                <w:highlight w:val="none"/>
              </w:rPr>
            </w:pPr>
          </w:p>
        </w:tc>
        <w:tc>
          <w:tcPr>
            <w:tcW w:w="1560" w:type="dxa"/>
            <w:tcBorders>
              <w:left w:val="single" w:color="auto" w:sz="4" w:space="0"/>
            </w:tcBorders>
            <w:vAlign w:val="center"/>
          </w:tcPr>
          <w:p w14:paraId="44328E4E">
            <w:pPr>
              <w:autoSpaceDE w:val="0"/>
              <w:autoSpaceDN w:val="0"/>
              <w:adjustRightInd w:val="0"/>
              <w:snapToGrid w:val="0"/>
              <w:jc w:val="left"/>
              <w:rPr>
                <w:rFonts w:ascii="宋体" w:hAnsi="宋体"/>
                <w:snapToGrid w:val="0"/>
                <w:color w:val="auto"/>
                <w:kern w:val="0"/>
                <w:sz w:val="28"/>
                <w:szCs w:val="28"/>
                <w:highlight w:val="none"/>
              </w:rPr>
            </w:pPr>
          </w:p>
        </w:tc>
        <w:tc>
          <w:tcPr>
            <w:tcW w:w="1275" w:type="dxa"/>
            <w:vAlign w:val="center"/>
          </w:tcPr>
          <w:p w14:paraId="101647C6">
            <w:pPr>
              <w:autoSpaceDE w:val="0"/>
              <w:autoSpaceDN w:val="0"/>
              <w:adjustRightInd w:val="0"/>
              <w:snapToGrid w:val="0"/>
              <w:jc w:val="left"/>
              <w:rPr>
                <w:rFonts w:ascii="宋体" w:hAnsi="宋体"/>
                <w:snapToGrid w:val="0"/>
                <w:color w:val="auto"/>
                <w:kern w:val="0"/>
                <w:sz w:val="28"/>
                <w:szCs w:val="28"/>
                <w:highlight w:val="none"/>
              </w:rPr>
            </w:pPr>
          </w:p>
        </w:tc>
        <w:tc>
          <w:tcPr>
            <w:tcW w:w="993" w:type="dxa"/>
            <w:vAlign w:val="center"/>
          </w:tcPr>
          <w:p w14:paraId="7077623F">
            <w:pPr>
              <w:autoSpaceDE w:val="0"/>
              <w:autoSpaceDN w:val="0"/>
              <w:adjustRightInd w:val="0"/>
              <w:snapToGrid w:val="0"/>
              <w:jc w:val="left"/>
              <w:rPr>
                <w:rFonts w:ascii="宋体" w:hAnsi="宋体"/>
                <w:snapToGrid w:val="0"/>
                <w:color w:val="auto"/>
                <w:kern w:val="0"/>
                <w:sz w:val="28"/>
                <w:szCs w:val="28"/>
                <w:highlight w:val="none"/>
              </w:rPr>
            </w:pPr>
          </w:p>
        </w:tc>
        <w:tc>
          <w:tcPr>
            <w:tcW w:w="1285" w:type="dxa"/>
            <w:vAlign w:val="center"/>
          </w:tcPr>
          <w:p w14:paraId="79C6BA3F">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14:paraId="1EFFA54F">
            <w:pPr>
              <w:autoSpaceDE w:val="0"/>
              <w:autoSpaceDN w:val="0"/>
              <w:adjustRightInd w:val="0"/>
              <w:snapToGrid w:val="0"/>
              <w:jc w:val="left"/>
              <w:rPr>
                <w:rFonts w:ascii="宋体" w:hAnsi="宋体"/>
                <w:snapToGrid w:val="0"/>
                <w:color w:val="auto"/>
                <w:kern w:val="0"/>
                <w:sz w:val="28"/>
                <w:szCs w:val="28"/>
                <w:highlight w:val="none"/>
              </w:rPr>
            </w:pPr>
          </w:p>
        </w:tc>
        <w:tc>
          <w:tcPr>
            <w:tcW w:w="1311" w:type="dxa"/>
            <w:vAlign w:val="center"/>
          </w:tcPr>
          <w:p w14:paraId="0B8FFC95">
            <w:pPr>
              <w:autoSpaceDE w:val="0"/>
              <w:autoSpaceDN w:val="0"/>
              <w:adjustRightInd w:val="0"/>
              <w:snapToGrid w:val="0"/>
              <w:jc w:val="left"/>
              <w:rPr>
                <w:rFonts w:ascii="宋体" w:hAnsi="宋体"/>
                <w:snapToGrid w:val="0"/>
                <w:color w:val="auto"/>
                <w:kern w:val="0"/>
                <w:sz w:val="28"/>
                <w:szCs w:val="28"/>
                <w:highlight w:val="none"/>
              </w:rPr>
            </w:pPr>
          </w:p>
        </w:tc>
      </w:tr>
      <w:tr w14:paraId="11D2587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14:paraId="7C785EE0">
            <w:pPr>
              <w:autoSpaceDE w:val="0"/>
              <w:autoSpaceDN w:val="0"/>
              <w:adjustRightInd w:val="0"/>
              <w:snapToGrid w:val="0"/>
              <w:jc w:val="left"/>
              <w:rPr>
                <w:rFonts w:ascii="宋体" w:hAnsi="宋体"/>
                <w:snapToGrid w:val="0"/>
                <w:color w:val="auto"/>
                <w:kern w:val="0"/>
                <w:sz w:val="28"/>
                <w:szCs w:val="28"/>
                <w:highlight w:val="none"/>
              </w:rPr>
            </w:pPr>
          </w:p>
        </w:tc>
        <w:tc>
          <w:tcPr>
            <w:tcW w:w="3260" w:type="dxa"/>
            <w:vAlign w:val="center"/>
          </w:tcPr>
          <w:p w14:paraId="346A3FCB">
            <w:pPr>
              <w:autoSpaceDE w:val="0"/>
              <w:autoSpaceDN w:val="0"/>
              <w:adjustRightInd w:val="0"/>
              <w:snapToGrid w:val="0"/>
              <w:jc w:val="left"/>
              <w:rPr>
                <w:rFonts w:ascii="宋体" w:hAnsi="宋体"/>
                <w:snapToGrid w:val="0"/>
                <w:color w:val="auto"/>
                <w:kern w:val="0"/>
                <w:sz w:val="28"/>
                <w:szCs w:val="28"/>
                <w:highlight w:val="none"/>
              </w:rPr>
            </w:pPr>
          </w:p>
        </w:tc>
        <w:tc>
          <w:tcPr>
            <w:tcW w:w="1134" w:type="dxa"/>
            <w:vAlign w:val="center"/>
          </w:tcPr>
          <w:p w14:paraId="39840DA3">
            <w:pPr>
              <w:autoSpaceDE w:val="0"/>
              <w:autoSpaceDN w:val="0"/>
              <w:adjustRightInd w:val="0"/>
              <w:snapToGrid w:val="0"/>
              <w:jc w:val="left"/>
              <w:rPr>
                <w:rFonts w:ascii="宋体" w:hAnsi="宋体"/>
                <w:snapToGrid w:val="0"/>
                <w:color w:val="auto"/>
                <w:kern w:val="0"/>
                <w:sz w:val="28"/>
                <w:szCs w:val="28"/>
                <w:highlight w:val="none"/>
              </w:rPr>
            </w:pPr>
          </w:p>
        </w:tc>
        <w:tc>
          <w:tcPr>
            <w:tcW w:w="1559" w:type="dxa"/>
            <w:tcBorders>
              <w:right w:val="single" w:color="auto" w:sz="4" w:space="0"/>
            </w:tcBorders>
            <w:vAlign w:val="center"/>
          </w:tcPr>
          <w:p w14:paraId="4A4EE328">
            <w:pPr>
              <w:autoSpaceDE w:val="0"/>
              <w:autoSpaceDN w:val="0"/>
              <w:adjustRightInd w:val="0"/>
              <w:snapToGrid w:val="0"/>
              <w:jc w:val="left"/>
              <w:rPr>
                <w:rFonts w:ascii="宋体" w:hAnsi="宋体"/>
                <w:snapToGrid w:val="0"/>
                <w:color w:val="auto"/>
                <w:kern w:val="0"/>
                <w:sz w:val="28"/>
                <w:szCs w:val="28"/>
                <w:highlight w:val="none"/>
              </w:rPr>
            </w:pPr>
          </w:p>
        </w:tc>
        <w:tc>
          <w:tcPr>
            <w:tcW w:w="1560" w:type="dxa"/>
            <w:tcBorders>
              <w:left w:val="single" w:color="auto" w:sz="4" w:space="0"/>
            </w:tcBorders>
            <w:vAlign w:val="center"/>
          </w:tcPr>
          <w:p w14:paraId="61F52BEA">
            <w:pPr>
              <w:autoSpaceDE w:val="0"/>
              <w:autoSpaceDN w:val="0"/>
              <w:adjustRightInd w:val="0"/>
              <w:snapToGrid w:val="0"/>
              <w:jc w:val="left"/>
              <w:rPr>
                <w:rFonts w:ascii="宋体" w:hAnsi="宋体"/>
                <w:snapToGrid w:val="0"/>
                <w:color w:val="auto"/>
                <w:kern w:val="0"/>
                <w:sz w:val="28"/>
                <w:szCs w:val="28"/>
                <w:highlight w:val="none"/>
              </w:rPr>
            </w:pPr>
          </w:p>
        </w:tc>
        <w:tc>
          <w:tcPr>
            <w:tcW w:w="1275" w:type="dxa"/>
            <w:vAlign w:val="center"/>
          </w:tcPr>
          <w:p w14:paraId="46AFAB52">
            <w:pPr>
              <w:autoSpaceDE w:val="0"/>
              <w:autoSpaceDN w:val="0"/>
              <w:adjustRightInd w:val="0"/>
              <w:snapToGrid w:val="0"/>
              <w:jc w:val="left"/>
              <w:rPr>
                <w:rFonts w:ascii="宋体" w:hAnsi="宋体"/>
                <w:snapToGrid w:val="0"/>
                <w:color w:val="auto"/>
                <w:kern w:val="0"/>
                <w:sz w:val="28"/>
                <w:szCs w:val="28"/>
                <w:highlight w:val="none"/>
              </w:rPr>
            </w:pPr>
          </w:p>
        </w:tc>
        <w:tc>
          <w:tcPr>
            <w:tcW w:w="993" w:type="dxa"/>
            <w:vAlign w:val="center"/>
          </w:tcPr>
          <w:p w14:paraId="662A8A1C">
            <w:pPr>
              <w:autoSpaceDE w:val="0"/>
              <w:autoSpaceDN w:val="0"/>
              <w:adjustRightInd w:val="0"/>
              <w:snapToGrid w:val="0"/>
              <w:jc w:val="left"/>
              <w:rPr>
                <w:rFonts w:ascii="宋体" w:hAnsi="宋体"/>
                <w:snapToGrid w:val="0"/>
                <w:color w:val="auto"/>
                <w:kern w:val="0"/>
                <w:sz w:val="28"/>
                <w:szCs w:val="28"/>
                <w:highlight w:val="none"/>
              </w:rPr>
            </w:pPr>
          </w:p>
        </w:tc>
        <w:tc>
          <w:tcPr>
            <w:tcW w:w="1285" w:type="dxa"/>
            <w:vAlign w:val="center"/>
          </w:tcPr>
          <w:p w14:paraId="71D10572">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14:paraId="48780D94">
            <w:pPr>
              <w:autoSpaceDE w:val="0"/>
              <w:autoSpaceDN w:val="0"/>
              <w:adjustRightInd w:val="0"/>
              <w:snapToGrid w:val="0"/>
              <w:jc w:val="left"/>
              <w:rPr>
                <w:rFonts w:ascii="宋体" w:hAnsi="宋体"/>
                <w:snapToGrid w:val="0"/>
                <w:color w:val="auto"/>
                <w:kern w:val="0"/>
                <w:sz w:val="28"/>
                <w:szCs w:val="28"/>
                <w:highlight w:val="none"/>
              </w:rPr>
            </w:pPr>
          </w:p>
        </w:tc>
        <w:tc>
          <w:tcPr>
            <w:tcW w:w="1311" w:type="dxa"/>
            <w:vAlign w:val="center"/>
          </w:tcPr>
          <w:p w14:paraId="322A5FB2">
            <w:pPr>
              <w:autoSpaceDE w:val="0"/>
              <w:autoSpaceDN w:val="0"/>
              <w:adjustRightInd w:val="0"/>
              <w:snapToGrid w:val="0"/>
              <w:jc w:val="left"/>
              <w:rPr>
                <w:rFonts w:ascii="宋体" w:hAnsi="宋体"/>
                <w:snapToGrid w:val="0"/>
                <w:color w:val="auto"/>
                <w:kern w:val="0"/>
                <w:sz w:val="28"/>
                <w:szCs w:val="28"/>
                <w:highlight w:val="none"/>
              </w:rPr>
            </w:pPr>
          </w:p>
        </w:tc>
      </w:tr>
      <w:tr w14:paraId="1D22262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14:paraId="01AD80D6">
            <w:pPr>
              <w:autoSpaceDE w:val="0"/>
              <w:autoSpaceDN w:val="0"/>
              <w:adjustRightInd w:val="0"/>
              <w:snapToGrid w:val="0"/>
              <w:jc w:val="left"/>
              <w:rPr>
                <w:rFonts w:ascii="宋体" w:hAnsi="宋体"/>
                <w:snapToGrid w:val="0"/>
                <w:color w:val="auto"/>
                <w:kern w:val="0"/>
                <w:sz w:val="28"/>
                <w:szCs w:val="28"/>
                <w:highlight w:val="none"/>
              </w:rPr>
            </w:pPr>
          </w:p>
        </w:tc>
        <w:tc>
          <w:tcPr>
            <w:tcW w:w="3260" w:type="dxa"/>
            <w:vAlign w:val="center"/>
          </w:tcPr>
          <w:p w14:paraId="31FA6EC4">
            <w:pPr>
              <w:autoSpaceDE w:val="0"/>
              <w:autoSpaceDN w:val="0"/>
              <w:adjustRightInd w:val="0"/>
              <w:snapToGrid w:val="0"/>
              <w:jc w:val="left"/>
              <w:rPr>
                <w:rFonts w:ascii="宋体" w:hAnsi="宋体"/>
                <w:snapToGrid w:val="0"/>
                <w:color w:val="auto"/>
                <w:kern w:val="0"/>
                <w:sz w:val="28"/>
                <w:szCs w:val="28"/>
                <w:highlight w:val="none"/>
              </w:rPr>
            </w:pPr>
          </w:p>
        </w:tc>
        <w:tc>
          <w:tcPr>
            <w:tcW w:w="1134" w:type="dxa"/>
            <w:vAlign w:val="center"/>
          </w:tcPr>
          <w:p w14:paraId="6C4E20C1">
            <w:pPr>
              <w:autoSpaceDE w:val="0"/>
              <w:autoSpaceDN w:val="0"/>
              <w:adjustRightInd w:val="0"/>
              <w:snapToGrid w:val="0"/>
              <w:jc w:val="left"/>
              <w:rPr>
                <w:rFonts w:ascii="宋体" w:hAnsi="宋体"/>
                <w:snapToGrid w:val="0"/>
                <w:color w:val="auto"/>
                <w:kern w:val="0"/>
                <w:sz w:val="28"/>
                <w:szCs w:val="28"/>
                <w:highlight w:val="none"/>
              </w:rPr>
            </w:pPr>
          </w:p>
        </w:tc>
        <w:tc>
          <w:tcPr>
            <w:tcW w:w="1559" w:type="dxa"/>
            <w:tcBorders>
              <w:right w:val="single" w:color="auto" w:sz="4" w:space="0"/>
            </w:tcBorders>
            <w:vAlign w:val="center"/>
          </w:tcPr>
          <w:p w14:paraId="1A0382A8">
            <w:pPr>
              <w:autoSpaceDE w:val="0"/>
              <w:autoSpaceDN w:val="0"/>
              <w:adjustRightInd w:val="0"/>
              <w:snapToGrid w:val="0"/>
              <w:jc w:val="left"/>
              <w:rPr>
                <w:rFonts w:ascii="宋体" w:hAnsi="宋体"/>
                <w:snapToGrid w:val="0"/>
                <w:color w:val="auto"/>
                <w:kern w:val="0"/>
                <w:sz w:val="28"/>
                <w:szCs w:val="28"/>
                <w:highlight w:val="none"/>
              </w:rPr>
            </w:pPr>
          </w:p>
        </w:tc>
        <w:tc>
          <w:tcPr>
            <w:tcW w:w="1560" w:type="dxa"/>
            <w:tcBorders>
              <w:left w:val="single" w:color="auto" w:sz="4" w:space="0"/>
            </w:tcBorders>
            <w:vAlign w:val="center"/>
          </w:tcPr>
          <w:p w14:paraId="0C3FA5D7">
            <w:pPr>
              <w:autoSpaceDE w:val="0"/>
              <w:autoSpaceDN w:val="0"/>
              <w:adjustRightInd w:val="0"/>
              <w:snapToGrid w:val="0"/>
              <w:jc w:val="left"/>
              <w:rPr>
                <w:rFonts w:ascii="宋体" w:hAnsi="宋体"/>
                <w:snapToGrid w:val="0"/>
                <w:color w:val="auto"/>
                <w:kern w:val="0"/>
                <w:sz w:val="28"/>
                <w:szCs w:val="28"/>
                <w:highlight w:val="none"/>
              </w:rPr>
            </w:pPr>
          </w:p>
        </w:tc>
        <w:tc>
          <w:tcPr>
            <w:tcW w:w="1275" w:type="dxa"/>
            <w:vAlign w:val="center"/>
          </w:tcPr>
          <w:p w14:paraId="7966CF23">
            <w:pPr>
              <w:autoSpaceDE w:val="0"/>
              <w:autoSpaceDN w:val="0"/>
              <w:adjustRightInd w:val="0"/>
              <w:snapToGrid w:val="0"/>
              <w:jc w:val="left"/>
              <w:rPr>
                <w:rFonts w:ascii="宋体" w:hAnsi="宋体"/>
                <w:snapToGrid w:val="0"/>
                <w:color w:val="auto"/>
                <w:kern w:val="0"/>
                <w:sz w:val="28"/>
                <w:szCs w:val="28"/>
                <w:highlight w:val="none"/>
              </w:rPr>
            </w:pPr>
          </w:p>
        </w:tc>
        <w:tc>
          <w:tcPr>
            <w:tcW w:w="993" w:type="dxa"/>
            <w:vAlign w:val="center"/>
          </w:tcPr>
          <w:p w14:paraId="20D02943">
            <w:pPr>
              <w:autoSpaceDE w:val="0"/>
              <w:autoSpaceDN w:val="0"/>
              <w:adjustRightInd w:val="0"/>
              <w:snapToGrid w:val="0"/>
              <w:jc w:val="left"/>
              <w:rPr>
                <w:rFonts w:ascii="宋体" w:hAnsi="宋体"/>
                <w:snapToGrid w:val="0"/>
                <w:color w:val="auto"/>
                <w:kern w:val="0"/>
                <w:sz w:val="28"/>
                <w:szCs w:val="28"/>
                <w:highlight w:val="none"/>
              </w:rPr>
            </w:pPr>
          </w:p>
        </w:tc>
        <w:tc>
          <w:tcPr>
            <w:tcW w:w="1285" w:type="dxa"/>
            <w:vAlign w:val="center"/>
          </w:tcPr>
          <w:p w14:paraId="51069A4E">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14:paraId="78C21B1B">
            <w:pPr>
              <w:autoSpaceDE w:val="0"/>
              <w:autoSpaceDN w:val="0"/>
              <w:adjustRightInd w:val="0"/>
              <w:snapToGrid w:val="0"/>
              <w:jc w:val="left"/>
              <w:rPr>
                <w:rFonts w:ascii="宋体" w:hAnsi="宋体"/>
                <w:snapToGrid w:val="0"/>
                <w:color w:val="auto"/>
                <w:kern w:val="0"/>
                <w:sz w:val="28"/>
                <w:szCs w:val="28"/>
                <w:highlight w:val="none"/>
              </w:rPr>
            </w:pPr>
          </w:p>
        </w:tc>
        <w:tc>
          <w:tcPr>
            <w:tcW w:w="1311" w:type="dxa"/>
            <w:vAlign w:val="center"/>
          </w:tcPr>
          <w:p w14:paraId="603242BC">
            <w:pPr>
              <w:autoSpaceDE w:val="0"/>
              <w:autoSpaceDN w:val="0"/>
              <w:adjustRightInd w:val="0"/>
              <w:snapToGrid w:val="0"/>
              <w:jc w:val="left"/>
              <w:rPr>
                <w:rFonts w:ascii="宋体" w:hAnsi="宋体"/>
                <w:snapToGrid w:val="0"/>
                <w:color w:val="auto"/>
                <w:kern w:val="0"/>
                <w:sz w:val="28"/>
                <w:szCs w:val="28"/>
                <w:highlight w:val="none"/>
              </w:rPr>
            </w:pPr>
          </w:p>
        </w:tc>
      </w:tr>
      <w:tr w14:paraId="40DD8AF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433" w:type="dxa"/>
            <w:vAlign w:val="center"/>
          </w:tcPr>
          <w:p w14:paraId="5245A361">
            <w:pPr>
              <w:autoSpaceDE w:val="0"/>
              <w:autoSpaceDN w:val="0"/>
              <w:adjustRightInd w:val="0"/>
              <w:snapToGrid w:val="0"/>
              <w:jc w:val="left"/>
              <w:rPr>
                <w:rFonts w:ascii="宋体" w:hAnsi="宋体"/>
                <w:snapToGrid w:val="0"/>
                <w:color w:val="auto"/>
                <w:kern w:val="0"/>
                <w:sz w:val="28"/>
                <w:szCs w:val="28"/>
                <w:highlight w:val="none"/>
              </w:rPr>
            </w:pPr>
          </w:p>
        </w:tc>
        <w:tc>
          <w:tcPr>
            <w:tcW w:w="3260" w:type="dxa"/>
            <w:vAlign w:val="center"/>
          </w:tcPr>
          <w:p w14:paraId="1F9E1785">
            <w:pPr>
              <w:autoSpaceDE w:val="0"/>
              <w:autoSpaceDN w:val="0"/>
              <w:adjustRightInd w:val="0"/>
              <w:snapToGrid w:val="0"/>
              <w:jc w:val="left"/>
              <w:rPr>
                <w:rFonts w:ascii="宋体" w:hAnsi="宋体"/>
                <w:snapToGrid w:val="0"/>
                <w:color w:val="auto"/>
                <w:kern w:val="0"/>
                <w:sz w:val="28"/>
                <w:szCs w:val="28"/>
                <w:highlight w:val="none"/>
              </w:rPr>
            </w:pPr>
          </w:p>
        </w:tc>
        <w:tc>
          <w:tcPr>
            <w:tcW w:w="1134" w:type="dxa"/>
            <w:vAlign w:val="center"/>
          </w:tcPr>
          <w:p w14:paraId="2BD8615A">
            <w:pPr>
              <w:autoSpaceDE w:val="0"/>
              <w:autoSpaceDN w:val="0"/>
              <w:adjustRightInd w:val="0"/>
              <w:snapToGrid w:val="0"/>
              <w:jc w:val="left"/>
              <w:rPr>
                <w:rFonts w:ascii="宋体" w:hAnsi="宋体"/>
                <w:snapToGrid w:val="0"/>
                <w:color w:val="auto"/>
                <w:kern w:val="0"/>
                <w:sz w:val="28"/>
                <w:szCs w:val="28"/>
                <w:highlight w:val="none"/>
              </w:rPr>
            </w:pPr>
          </w:p>
        </w:tc>
        <w:tc>
          <w:tcPr>
            <w:tcW w:w="1559" w:type="dxa"/>
            <w:tcBorders>
              <w:right w:val="single" w:color="auto" w:sz="4" w:space="0"/>
            </w:tcBorders>
            <w:vAlign w:val="center"/>
          </w:tcPr>
          <w:p w14:paraId="030A7A4E">
            <w:pPr>
              <w:autoSpaceDE w:val="0"/>
              <w:autoSpaceDN w:val="0"/>
              <w:adjustRightInd w:val="0"/>
              <w:snapToGrid w:val="0"/>
              <w:jc w:val="left"/>
              <w:rPr>
                <w:rFonts w:ascii="宋体" w:hAnsi="宋体"/>
                <w:snapToGrid w:val="0"/>
                <w:color w:val="auto"/>
                <w:kern w:val="0"/>
                <w:sz w:val="28"/>
                <w:szCs w:val="28"/>
                <w:highlight w:val="none"/>
              </w:rPr>
            </w:pPr>
          </w:p>
        </w:tc>
        <w:tc>
          <w:tcPr>
            <w:tcW w:w="1560" w:type="dxa"/>
            <w:tcBorders>
              <w:left w:val="single" w:color="auto" w:sz="4" w:space="0"/>
            </w:tcBorders>
            <w:vAlign w:val="center"/>
          </w:tcPr>
          <w:p w14:paraId="6D328410">
            <w:pPr>
              <w:autoSpaceDE w:val="0"/>
              <w:autoSpaceDN w:val="0"/>
              <w:adjustRightInd w:val="0"/>
              <w:snapToGrid w:val="0"/>
              <w:jc w:val="left"/>
              <w:rPr>
                <w:rFonts w:ascii="宋体" w:hAnsi="宋体"/>
                <w:snapToGrid w:val="0"/>
                <w:color w:val="auto"/>
                <w:kern w:val="0"/>
                <w:sz w:val="28"/>
                <w:szCs w:val="28"/>
                <w:highlight w:val="none"/>
              </w:rPr>
            </w:pPr>
          </w:p>
        </w:tc>
        <w:tc>
          <w:tcPr>
            <w:tcW w:w="1275" w:type="dxa"/>
            <w:vAlign w:val="center"/>
          </w:tcPr>
          <w:p w14:paraId="3653AA1F">
            <w:pPr>
              <w:autoSpaceDE w:val="0"/>
              <w:autoSpaceDN w:val="0"/>
              <w:adjustRightInd w:val="0"/>
              <w:snapToGrid w:val="0"/>
              <w:jc w:val="left"/>
              <w:rPr>
                <w:rFonts w:ascii="宋体" w:hAnsi="宋体"/>
                <w:snapToGrid w:val="0"/>
                <w:color w:val="auto"/>
                <w:kern w:val="0"/>
                <w:sz w:val="28"/>
                <w:szCs w:val="28"/>
                <w:highlight w:val="none"/>
              </w:rPr>
            </w:pPr>
          </w:p>
        </w:tc>
        <w:tc>
          <w:tcPr>
            <w:tcW w:w="993" w:type="dxa"/>
            <w:vAlign w:val="center"/>
          </w:tcPr>
          <w:p w14:paraId="55810D82">
            <w:pPr>
              <w:autoSpaceDE w:val="0"/>
              <w:autoSpaceDN w:val="0"/>
              <w:adjustRightInd w:val="0"/>
              <w:snapToGrid w:val="0"/>
              <w:jc w:val="left"/>
              <w:rPr>
                <w:rFonts w:ascii="宋体" w:hAnsi="宋体"/>
                <w:snapToGrid w:val="0"/>
                <w:color w:val="auto"/>
                <w:kern w:val="0"/>
                <w:sz w:val="28"/>
                <w:szCs w:val="28"/>
                <w:highlight w:val="none"/>
              </w:rPr>
            </w:pPr>
          </w:p>
        </w:tc>
        <w:tc>
          <w:tcPr>
            <w:tcW w:w="1285" w:type="dxa"/>
            <w:vAlign w:val="center"/>
          </w:tcPr>
          <w:p w14:paraId="7DD78136">
            <w:pPr>
              <w:autoSpaceDE w:val="0"/>
              <w:autoSpaceDN w:val="0"/>
              <w:adjustRightInd w:val="0"/>
              <w:snapToGrid w:val="0"/>
              <w:jc w:val="left"/>
              <w:rPr>
                <w:rFonts w:ascii="宋体" w:hAnsi="宋体"/>
                <w:snapToGrid w:val="0"/>
                <w:color w:val="auto"/>
                <w:kern w:val="0"/>
                <w:sz w:val="28"/>
                <w:szCs w:val="28"/>
                <w:highlight w:val="none"/>
              </w:rPr>
            </w:pPr>
          </w:p>
        </w:tc>
        <w:tc>
          <w:tcPr>
            <w:tcW w:w="947" w:type="dxa"/>
            <w:vAlign w:val="center"/>
          </w:tcPr>
          <w:p w14:paraId="6CC1956C">
            <w:pPr>
              <w:autoSpaceDE w:val="0"/>
              <w:autoSpaceDN w:val="0"/>
              <w:adjustRightInd w:val="0"/>
              <w:snapToGrid w:val="0"/>
              <w:jc w:val="left"/>
              <w:rPr>
                <w:rFonts w:ascii="宋体" w:hAnsi="宋体"/>
                <w:snapToGrid w:val="0"/>
                <w:color w:val="auto"/>
                <w:kern w:val="0"/>
                <w:sz w:val="28"/>
                <w:szCs w:val="28"/>
                <w:highlight w:val="none"/>
              </w:rPr>
            </w:pPr>
          </w:p>
        </w:tc>
        <w:tc>
          <w:tcPr>
            <w:tcW w:w="1311" w:type="dxa"/>
            <w:vAlign w:val="center"/>
          </w:tcPr>
          <w:p w14:paraId="698F3CB2">
            <w:pPr>
              <w:autoSpaceDE w:val="0"/>
              <w:autoSpaceDN w:val="0"/>
              <w:adjustRightInd w:val="0"/>
              <w:snapToGrid w:val="0"/>
              <w:jc w:val="left"/>
              <w:rPr>
                <w:rFonts w:ascii="宋体" w:hAnsi="宋体"/>
                <w:snapToGrid w:val="0"/>
                <w:color w:val="auto"/>
                <w:kern w:val="0"/>
                <w:sz w:val="28"/>
                <w:szCs w:val="28"/>
                <w:highlight w:val="none"/>
              </w:rPr>
            </w:pPr>
          </w:p>
        </w:tc>
      </w:tr>
      <w:tr w14:paraId="13685FB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98" w:hRule="exact"/>
          <w:jc w:val="center"/>
        </w:trPr>
        <w:tc>
          <w:tcPr>
            <w:tcW w:w="3693" w:type="dxa"/>
            <w:gridSpan w:val="2"/>
            <w:tcBorders>
              <w:bottom w:val="single" w:color="auto" w:sz="4" w:space="0"/>
            </w:tcBorders>
            <w:vAlign w:val="center"/>
          </w:tcPr>
          <w:p w14:paraId="09BF5952">
            <w:pPr>
              <w:autoSpaceDE w:val="0"/>
              <w:autoSpaceDN w:val="0"/>
              <w:adjustRightInd w:val="0"/>
              <w:snapToGrid w:val="0"/>
              <w:jc w:val="center"/>
              <w:rPr>
                <w:rFonts w:ascii="宋体" w:hAnsi="宋体"/>
                <w:snapToGrid w:val="0"/>
                <w:color w:val="auto"/>
                <w:kern w:val="0"/>
                <w:szCs w:val="21"/>
                <w:highlight w:val="none"/>
              </w:rPr>
            </w:pPr>
            <w:r>
              <w:rPr>
                <w:rFonts w:ascii="宋体" w:hAnsi="宋体"/>
                <w:snapToGrid w:val="0"/>
                <w:color w:val="auto"/>
                <w:kern w:val="0"/>
                <w:szCs w:val="21"/>
                <w:highlight w:val="none"/>
              </w:rPr>
              <w:t>最高限价</w:t>
            </w:r>
          </w:p>
        </w:tc>
        <w:tc>
          <w:tcPr>
            <w:tcW w:w="10064" w:type="dxa"/>
            <w:gridSpan w:val="8"/>
            <w:tcBorders>
              <w:bottom w:val="single" w:color="auto" w:sz="4" w:space="0"/>
            </w:tcBorders>
            <w:vAlign w:val="center"/>
          </w:tcPr>
          <w:p w14:paraId="73C87B9C">
            <w:pPr>
              <w:autoSpaceDE w:val="0"/>
              <w:autoSpaceDN w:val="0"/>
              <w:adjustRightInd w:val="0"/>
              <w:snapToGrid w:val="0"/>
              <w:jc w:val="left"/>
              <w:rPr>
                <w:rFonts w:ascii="宋体" w:hAnsi="宋体"/>
                <w:snapToGrid w:val="0"/>
                <w:color w:val="auto"/>
                <w:kern w:val="0"/>
                <w:szCs w:val="21"/>
                <w:highlight w:val="none"/>
              </w:rPr>
            </w:pPr>
          </w:p>
        </w:tc>
      </w:tr>
      <w:tr w14:paraId="44A517D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26" w:hRule="exact"/>
          <w:jc w:val="center"/>
        </w:trPr>
        <w:tc>
          <w:tcPr>
            <w:tcW w:w="3693" w:type="dxa"/>
            <w:gridSpan w:val="2"/>
            <w:tcBorders>
              <w:top w:val="single" w:color="auto" w:sz="4" w:space="0"/>
              <w:bottom w:val="single" w:color="auto" w:sz="4" w:space="0"/>
            </w:tcBorders>
            <w:vAlign w:val="center"/>
          </w:tcPr>
          <w:p w14:paraId="14216A46">
            <w:pPr>
              <w:autoSpaceDE w:val="0"/>
              <w:autoSpaceDN w:val="0"/>
              <w:adjustRightInd w:val="0"/>
              <w:snapToGrid w:val="0"/>
              <w:jc w:val="center"/>
              <w:rPr>
                <w:rFonts w:ascii="宋体" w:hAnsi="宋体"/>
                <w:snapToGrid w:val="0"/>
                <w:color w:val="auto"/>
                <w:kern w:val="0"/>
                <w:szCs w:val="21"/>
                <w:highlight w:val="none"/>
              </w:rPr>
            </w:pPr>
            <w:r>
              <w:rPr>
                <w:rFonts w:hint="eastAsia"/>
                <w:color w:val="auto"/>
                <w:szCs w:val="21"/>
                <w:highlight w:val="none"/>
              </w:rPr>
              <w:t>最高限价的8</w:t>
            </w:r>
            <w:r>
              <w:rPr>
                <w:color w:val="auto"/>
                <w:szCs w:val="21"/>
                <w:highlight w:val="none"/>
              </w:rPr>
              <w:t>5</w:t>
            </w:r>
            <w:r>
              <w:rPr>
                <w:rFonts w:hint="eastAsia"/>
                <w:color w:val="auto"/>
                <w:szCs w:val="21"/>
                <w:highlight w:val="none"/>
              </w:rPr>
              <w:t>%</w:t>
            </w:r>
          </w:p>
        </w:tc>
        <w:tc>
          <w:tcPr>
            <w:tcW w:w="10064" w:type="dxa"/>
            <w:gridSpan w:val="8"/>
            <w:tcBorders>
              <w:top w:val="single" w:color="auto" w:sz="4" w:space="0"/>
              <w:bottom w:val="single" w:color="auto" w:sz="4" w:space="0"/>
            </w:tcBorders>
            <w:vAlign w:val="center"/>
          </w:tcPr>
          <w:p w14:paraId="66F904C6">
            <w:pPr>
              <w:autoSpaceDE w:val="0"/>
              <w:autoSpaceDN w:val="0"/>
              <w:adjustRightInd w:val="0"/>
              <w:snapToGrid w:val="0"/>
              <w:jc w:val="left"/>
              <w:rPr>
                <w:rFonts w:ascii="宋体" w:hAnsi="宋体"/>
                <w:snapToGrid w:val="0"/>
                <w:color w:val="auto"/>
                <w:kern w:val="0"/>
                <w:szCs w:val="21"/>
                <w:highlight w:val="none"/>
              </w:rPr>
            </w:pPr>
            <w:r>
              <w:rPr>
                <w:rFonts w:hint="eastAsia" w:ascii="宋体" w:hAnsi="宋体"/>
                <w:i/>
                <w:color w:val="auto"/>
                <w:kern w:val="0"/>
                <w:szCs w:val="21"/>
                <w:highlight w:val="none"/>
              </w:rPr>
              <w:t>[提示：经评审的最低投标价法适用]</w:t>
            </w:r>
          </w:p>
        </w:tc>
      </w:tr>
      <w:tr w14:paraId="0C5C2F8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26" w:hRule="exact"/>
          <w:jc w:val="center"/>
        </w:trPr>
        <w:tc>
          <w:tcPr>
            <w:tcW w:w="3693" w:type="dxa"/>
            <w:gridSpan w:val="2"/>
            <w:tcBorders>
              <w:top w:val="single" w:color="auto" w:sz="4" w:space="0"/>
            </w:tcBorders>
            <w:vAlign w:val="center"/>
          </w:tcPr>
          <w:p w14:paraId="5186DE2D">
            <w:pPr>
              <w:autoSpaceDE w:val="0"/>
              <w:autoSpaceDN w:val="0"/>
              <w:adjustRightInd w:val="0"/>
              <w:snapToGrid w:val="0"/>
              <w:jc w:val="center"/>
              <w:rPr>
                <w:color w:val="auto"/>
                <w:szCs w:val="21"/>
                <w:highlight w:val="none"/>
              </w:rPr>
            </w:pPr>
            <w:r>
              <w:rPr>
                <w:rFonts w:hint="eastAsia"/>
                <w:color w:val="auto"/>
                <w:szCs w:val="21"/>
                <w:highlight w:val="none"/>
              </w:rPr>
              <w:t>异常情况</w:t>
            </w:r>
          </w:p>
        </w:tc>
        <w:tc>
          <w:tcPr>
            <w:tcW w:w="10064" w:type="dxa"/>
            <w:gridSpan w:val="8"/>
            <w:tcBorders>
              <w:top w:val="single" w:color="auto" w:sz="4" w:space="0"/>
            </w:tcBorders>
            <w:vAlign w:val="center"/>
          </w:tcPr>
          <w:p w14:paraId="7C527A9C">
            <w:pPr>
              <w:autoSpaceDE w:val="0"/>
              <w:autoSpaceDN w:val="0"/>
              <w:adjustRightInd w:val="0"/>
              <w:snapToGrid w:val="0"/>
              <w:jc w:val="left"/>
              <w:rPr>
                <w:rFonts w:ascii="宋体" w:hAnsi="宋体"/>
                <w:i/>
                <w:color w:val="auto"/>
                <w:kern w:val="0"/>
                <w:szCs w:val="21"/>
                <w:highlight w:val="none"/>
              </w:rPr>
            </w:pPr>
          </w:p>
        </w:tc>
      </w:tr>
    </w:tbl>
    <w:p w14:paraId="7E4BB437">
      <w:pPr>
        <w:tabs>
          <w:tab w:val="left" w:pos="2740"/>
          <w:tab w:val="left" w:pos="4940"/>
          <w:tab w:val="left" w:pos="7140"/>
        </w:tabs>
        <w:autoSpaceDE w:val="0"/>
        <w:autoSpaceDN w:val="0"/>
        <w:adjustRightInd w:val="0"/>
        <w:snapToGrid w:val="0"/>
        <w:spacing w:line="360" w:lineRule="auto"/>
        <w:jc w:val="left"/>
        <w:rPr>
          <w:rFonts w:ascii="宋体" w:hAnsi="宋体"/>
          <w:snapToGrid w:val="0"/>
          <w:color w:val="auto"/>
          <w:kern w:val="0"/>
          <w:szCs w:val="21"/>
          <w:highlight w:val="none"/>
        </w:rPr>
      </w:pPr>
    </w:p>
    <w:p w14:paraId="1206DDD2">
      <w:pPr>
        <w:tabs>
          <w:tab w:val="left" w:pos="2740"/>
          <w:tab w:val="left" w:pos="4940"/>
          <w:tab w:val="left" w:pos="6930"/>
        </w:tabs>
        <w:autoSpaceDE w:val="0"/>
        <w:autoSpaceDN w:val="0"/>
        <w:adjustRightInd w:val="0"/>
        <w:snapToGrid w:val="0"/>
        <w:spacing w:line="360" w:lineRule="auto"/>
        <w:ind w:firstLine="420"/>
        <w:jc w:val="left"/>
        <w:rPr>
          <w:rFonts w:ascii="宋体" w:hAnsi="宋体"/>
          <w:snapToGrid w:val="0"/>
          <w:color w:val="auto"/>
          <w:kern w:val="0"/>
          <w:szCs w:val="21"/>
          <w:highlight w:val="none"/>
        </w:rPr>
      </w:pPr>
      <w:r>
        <w:rPr>
          <w:rFonts w:ascii="宋体" w:hAnsi="宋体"/>
          <w:snapToGrid w:val="0"/>
          <w:color w:val="auto"/>
          <w:kern w:val="0"/>
          <w:szCs w:val="21"/>
          <w:highlight w:val="none"/>
        </w:rPr>
        <w:t>招标人代表：</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w w:val="200"/>
          <w:kern w:val="0"/>
          <w:szCs w:val="21"/>
          <w:highlight w:val="none"/>
        </w:rPr>
        <w:t xml:space="preserve">      </w:t>
      </w:r>
      <w:r>
        <w:rPr>
          <w:rFonts w:ascii="宋体" w:hAnsi="宋体"/>
          <w:snapToGrid w:val="0"/>
          <w:color w:val="auto"/>
          <w:kern w:val="0"/>
          <w:szCs w:val="21"/>
          <w:highlight w:val="none"/>
        </w:rPr>
        <w:t>监标人：</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w w:val="200"/>
          <w:kern w:val="0"/>
          <w:szCs w:val="21"/>
          <w:highlight w:val="none"/>
        </w:rPr>
        <w:t xml:space="preserve">      </w:t>
      </w:r>
      <w:r>
        <w:rPr>
          <w:rFonts w:hint="eastAsia" w:ascii="宋体" w:hAnsi="宋体"/>
          <w:snapToGrid w:val="0"/>
          <w:color w:val="auto"/>
          <w:kern w:val="0"/>
          <w:szCs w:val="21"/>
          <w:highlight w:val="none"/>
        </w:rPr>
        <w:t>主持人</w:t>
      </w:r>
      <w:r>
        <w:rPr>
          <w:rFonts w:ascii="宋体" w:hAnsi="宋体"/>
          <w:snapToGrid w:val="0"/>
          <w:color w:val="auto"/>
          <w:kern w:val="0"/>
          <w:szCs w:val="21"/>
          <w:highlight w:val="none"/>
        </w:rPr>
        <w:t>：</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w w:val="200"/>
          <w:kern w:val="0"/>
          <w:szCs w:val="21"/>
          <w:highlight w:val="none"/>
        </w:rPr>
        <w:t xml:space="preserve">      </w:t>
      </w:r>
      <w:r>
        <w:rPr>
          <w:rFonts w:ascii="宋体" w:hAnsi="宋体"/>
          <w:snapToGrid w:val="0"/>
          <w:color w:val="auto"/>
          <w:kern w:val="0"/>
          <w:szCs w:val="21"/>
          <w:highlight w:val="none"/>
        </w:rPr>
        <w:t>记录人：</w:t>
      </w:r>
      <w:r>
        <w:rPr>
          <w:rFonts w:hint="eastAsia" w:ascii="宋体" w:hAnsi="宋体" w:cs="MingLiU"/>
          <w:snapToGrid w:val="0"/>
          <w:color w:val="auto"/>
          <w:w w:val="200"/>
          <w:kern w:val="0"/>
          <w:szCs w:val="21"/>
          <w:highlight w:val="none"/>
          <w:u w:val="single"/>
        </w:rPr>
        <w:t xml:space="preserve">      </w:t>
      </w:r>
    </w:p>
    <w:p w14:paraId="07C14640">
      <w:pPr>
        <w:autoSpaceDE w:val="0"/>
        <w:autoSpaceDN w:val="0"/>
        <w:adjustRightInd w:val="0"/>
        <w:snapToGrid w:val="0"/>
        <w:spacing w:before="62" w:beforeLines="20" w:line="360" w:lineRule="auto"/>
        <w:jc w:val="right"/>
        <w:rPr>
          <w:rFonts w:ascii="宋体" w:hAnsi="宋体"/>
          <w:snapToGrid w:val="0"/>
          <w:color w:val="auto"/>
          <w:kern w:val="0"/>
          <w:sz w:val="24"/>
          <w:highlight w:val="none"/>
        </w:rPr>
      </w:pPr>
      <w:r>
        <w:rPr>
          <w:rFonts w:ascii="宋体" w:hAnsi="宋体"/>
          <w:snapToGrid w:val="0"/>
          <w:color w:val="auto"/>
          <w:kern w:val="0"/>
          <w:sz w:val="24"/>
          <w:highlight w:val="none"/>
        </w:rPr>
        <w:t xml:space="preserve">                                       </w:t>
      </w:r>
      <w:r>
        <w:rPr>
          <w:rFonts w:ascii="宋体" w:hAnsi="宋体"/>
          <w:snapToGrid w:val="0"/>
          <w:color w:val="auto"/>
          <w:kern w:val="0"/>
          <w:sz w:val="24"/>
          <w:highlight w:val="none"/>
          <w:u w:val="single"/>
        </w:rPr>
        <w:t xml:space="preserve">       </w:t>
      </w:r>
      <w:r>
        <w:rPr>
          <w:rFonts w:ascii="宋体" w:hAnsi="宋体"/>
          <w:snapToGrid w:val="0"/>
          <w:color w:val="auto"/>
          <w:kern w:val="0"/>
          <w:sz w:val="24"/>
          <w:highlight w:val="none"/>
        </w:rPr>
        <w:t>年</w:t>
      </w:r>
      <w:r>
        <w:rPr>
          <w:rFonts w:ascii="宋体" w:hAnsi="宋体"/>
          <w:snapToGrid w:val="0"/>
          <w:color w:val="auto"/>
          <w:kern w:val="0"/>
          <w:sz w:val="24"/>
          <w:highlight w:val="none"/>
          <w:u w:val="single"/>
        </w:rPr>
        <w:t xml:space="preserve">     </w:t>
      </w:r>
      <w:r>
        <w:rPr>
          <w:rFonts w:ascii="宋体" w:hAnsi="宋体"/>
          <w:snapToGrid w:val="0"/>
          <w:color w:val="auto"/>
          <w:kern w:val="0"/>
          <w:sz w:val="24"/>
          <w:highlight w:val="none"/>
        </w:rPr>
        <w:t>月</w:t>
      </w:r>
      <w:r>
        <w:rPr>
          <w:rFonts w:ascii="宋体" w:hAnsi="宋体"/>
          <w:snapToGrid w:val="0"/>
          <w:color w:val="auto"/>
          <w:kern w:val="0"/>
          <w:sz w:val="24"/>
          <w:highlight w:val="none"/>
          <w:u w:val="single"/>
        </w:rPr>
        <w:t xml:space="preserve">    </w:t>
      </w:r>
      <w:r>
        <w:rPr>
          <w:rFonts w:ascii="宋体" w:hAnsi="宋体"/>
          <w:snapToGrid w:val="0"/>
          <w:color w:val="auto"/>
          <w:kern w:val="0"/>
          <w:sz w:val="24"/>
          <w:highlight w:val="none"/>
        </w:rPr>
        <w:t>日</w:t>
      </w:r>
    </w:p>
    <w:p w14:paraId="49639427">
      <w:pPr>
        <w:autoSpaceDE w:val="0"/>
        <w:autoSpaceDN w:val="0"/>
        <w:adjustRightInd w:val="0"/>
        <w:snapToGrid w:val="0"/>
        <w:spacing w:before="62" w:beforeLines="20" w:line="360" w:lineRule="auto"/>
        <w:rPr>
          <w:rFonts w:ascii="宋体" w:hAnsi="宋体"/>
          <w:snapToGrid w:val="0"/>
          <w:color w:val="auto"/>
          <w:kern w:val="0"/>
          <w:sz w:val="24"/>
          <w:highlight w:val="none"/>
        </w:rPr>
      </w:pPr>
      <w:r>
        <w:rPr>
          <w:rFonts w:ascii="宋体" w:hAnsi="宋体"/>
          <w:snapToGrid w:val="0"/>
          <w:color w:val="auto"/>
          <w:kern w:val="0"/>
          <w:sz w:val="24"/>
          <w:highlight w:val="none"/>
        </w:rPr>
        <w:br w:type="page"/>
      </w:r>
      <w:r>
        <w:rPr>
          <w:rFonts w:ascii="宋体" w:hAnsi="宋体"/>
          <w:b/>
          <w:snapToGrid w:val="0"/>
          <w:color w:val="auto"/>
          <w:kern w:val="0"/>
          <w:highlight w:val="none"/>
        </w:rPr>
        <w:t>附表</w:t>
      </w:r>
      <w:r>
        <w:rPr>
          <w:rFonts w:hint="eastAsia" w:ascii="宋体" w:hAnsi="宋体"/>
          <w:b/>
          <w:snapToGrid w:val="0"/>
          <w:color w:val="auto"/>
          <w:kern w:val="0"/>
          <w:highlight w:val="none"/>
        </w:rPr>
        <w:t>二</w:t>
      </w:r>
      <w:r>
        <w:rPr>
          <w:rFonts w:ascii="宋体" w:hAnsi="宋体"/>
          <w:b/>
          <w:snapToGrid w:val="0"/>
          <w:color w:val="auto"/>
          <w:kern w:val="0"/>
          <w:highlight w:val="none"/>
        </w:rPr>
        <w:t>：纸质投标保函递交情况一览表（如有）</w:t>
      </w:r>
    </w:p>
    <w:p w14:paraId="29A1FF49">
      <w:pPr>
        <w:autoSpaceDE w:val="0"/>
        <w:autoSpaceDN w:val="0"/>
        <w:adjustRightInd w:val="0"/>
        <w:snapToGrid w:val="0"/>
        <w:spacing w:before="62" w:beforeLines="20" w:line="360" w:lineRule="auto"/>
        <w:jc w:val="center"/>
        <w:rPr>
          <w:rFonts w:ascii="宋体" w:hAnsi="宋体"/>
          <w:color w:val="auto"/>
          <w:szCs w:val="21"/>
          <w:highlight w:val="none"/>
        </w:rPr>
      </w:pPr>
      <w:r>
        <w:rPr>
          <w:rFonts w:hint="eastAsia" w:ascii="宋体" w:hAnsi="宋体" w:cs="MingLiU"/>
          <w:snapToGrid w:val="0"/>
          <w:color w:val="auto"/>
          <w:w w:val="198"/>
          <w:kern w:val="0"/>
          <w:sz w:val="28"/>
          <w:szCs w:val="28"/>
          <w:highlight w:val="none"/>
          <w:u w:val="single"/>
        </w:rPr>
        <w:t xml:space="preserve">              </w:t>
      </w:r>
      <w:r>
        <w:rPr>
          <w:rFonts w:hint="eastAsia" w:ascii="宋体" w:hAnsi="宋体"/>
          <w:snapToGrid w:val="0"/>
          <w:color w:val="auto"/>
          <w:kern w:val="0"/>
          <w:sz w:val="28"/>
          <w:szCs w:val="28"/>
          <w:highlight w:val="none"/>
          <w:u w:val="single"/>
        </w:rPr>
        <w:t xml:space="preserve"> </w:t>
      </w:r>
      <w:r>
        <w:rPr>
          <w:rFonts w:ascii="宋体" w:hAnsi="宋体"/>
          <w:b/>
          <w:snapToGrid w:val="0"/>
          <w:color w:val="auto"/>
          <w:w w:val="99"/>
          <w:kern w:val="0"/>
          <w:sz w:val="28"/>
          <w:szCs w:val="28"/>
          <w:highlight w:val="none"/>
          <w:u w:val="single"/>
        </w:rPr>
        <w:t>（项目名称）纸质投标保函</w:t>
      </w:r>
      <w:r>
        <w:rPr>
          <w:rFonts w:hint="eastAsia" w:ascii="宋体" w:hAnsi="宋体"/>
          <w:b/>
          <w:snapToGrid w:val="0"/>
          <w:color w:val="auto"/>
          <w:w w:val="99"/>
          <w:kern w:val="0"/>
          <w:sz w:val="28"/>
          <w:szCs w:val="28"/>
          <w:highlight w:val="none"/>
          <w:u w:val="single"/>
        </w:rPr>
        <w:t>递交</w:t>
      </w:r>
      <w:r>
        <w:rPr>
          <w:rFonts w:ascii="宋体" w:hAnsi="宋体"/>
          <w:b/>
          <w:snapToGrid w:val="0"/>
          <w:color w:val="auto"/>
          <w:w w:val="99"/>
          <w:kern w:val="0"/>
          <w:sz w:val="28"/>
          <w:szCs w:val="28"/>
          <w:highlight w:val="none"/>
          <w:u w:val="single"/>
        </w:rPr>
        <w:t>情况一览表</w:t>
      </w:r>
    </w:p>
    <w:p w14:paraId="54FCB22B">
      <w:pPr>
        <w:autoSpaceDE w:val="0"/>
        <w:autoSpaceDN w:val="0"/>
        <w:adjustRightInd w:val="0"/>
        <w:snapToGrid w:val="0"/>
        <w:spacing w:before="62" w:beforeLines="20" w:line="360" w:lineRule="auto"/>
        <w:ind w:firstLine="8610" w:firstLineChars="4100"/>
        <w:rPr>
          <w:rFonts w:ascii="宋体" w:hAnsi="宋体"/>
          <w:color w:val="auto"/>
          <w:szCs w:val="21"/>
          <w:highlight w:val="none"/>
        </w:rPr>
      </w:pPr>
      <w:r>
        <w:rPr>
          <w:rFonts w:hint="eastAsia" w:ascii="宋体" w:hAnsi="宋体"/>
          <w:snapToGrid w:val="0"/>
          <w:color w:val="auto"/>
          <w:kern w:val="0"/>
          <w:szCs w:val="21"/>
          <w:highlight w:val="none"/>
        </w:rPr>
        <w:t>投标截止时间</w:t>
      </w:r>
      <w:r>
        <w:rPr>
          <w:rFonts w:ascii="宋体" w:hAnsi="宋体"/>
          <w:snapToGrid w:val="0"/>
          <w:color w:val="auto"/>
          <w:kern w:val="0"/>
          <w:szCs w:val="21"/>
          <w:highlight w:val="none"/>
        </w:rPr>
        <w:t>：</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月</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日</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时</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分</w:t>
      </w:r>
    </w:p>
    <w:tbl>
      <w:tblPr>
        <w:tblStyle w:val="46"/>
        <w:tblW w:w="14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4160"/>
        <w:gridCol w:w="3088"/>
        <w:gridCol w:w="2987"/>
        <w:gridCol w:w="3175"/>
      </w:tblGrid>
      <w:tr w14:paraId="7F61B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14:paraId="16593292">
            <w:pPr>
              <w:autoSpaceDE w:val="0"/>
              <w:autoSpaceDN w:val="0"/>
              <w:adjustRightInd w:val="0"/>
              <w:snapToGrid w:val="0"/>
              <w:spacing w:before="62" w:beforeLines="20" w:line="360" w:lineRule="auto"/>
              <w:jc w:val="center"/>
              <w:rPr>
                <w:rFonts w:ascii="宋体" w:hAnsi="宋体"/>
                <w:color w:val="auto"/>
                <w:szCs w:val="21"/>
                <w:highlight w:val="none"/>
              </w:rPr>
            </w:pPr>
            <w:r>
              <w:rPr>
                <w:rFonts w:hint="eastAsia" w:ascii="宋体" w:hAnsi="宋体"/>
                <w:color w:val="auto"/>
                <w:szCs w:val="21"/>
                <w:highlight w:val="none"/>
              </w:rPr>
              <w:t>序号</w:t>
            </w:r>
          </w:p>
        </w:tc>
        <w:tc>
          <w:tcPr>
            <w:tcW w:w="4160" w:type="dxa"/>
          </w:tcPr>
          <w:p w14:paraId="7EEE2AED">
            <w:pPr>
              <w:autoSpaceDE w:val="0"/>
              <w:autoSpaceDN w:val="0"/>
              <w:adjustRightInd w:val="0"/>
              <w:snapToGrid w:val="0"/>
              <w:spacing w:before="62" w:beforeLines="20" w:line="360" w:lineRule="auto"/>
              <w:jc w:val="center"/>
              <w:rPr>
                <w:rFonts w:ascii="宋体" w:hAnsi="宋体"/>
                <w:color w:val="auto"/>
                <w:szCs w:val="21"/>
                <w:highlight w:val="none"/>
              </w:rPr>
            </w:pPr>
            <w:r>
              <w:rPr>
                <w:rFonts w:hint="eastAsia" w:ascii="宋体" w:hAnsi="宋体"/>
                <w:color w:val="auto"/>
                <w:szCs w:val="21"/>
                <w:highlight w:val="none"/>
              </w:rPr>
              <w:t>投标人</w:t>
            </w:r>
          </w:p>
        </w:tc>
        <w:tc>
          <w:tcPr>
            <w:tcW w:w="3088" w:type="dxa"/>
          </w:tcPr>
          <w:p w14:paraId="398AF0E8">
            <w:pPr>
              <w:autoSpaceDE w:val="0"/>
              <w:autoSpaceDN w:val="0"/>
              <w:adjustRightInd w:val="0"/>
              <w:snapToGrid w:val="0"/>
              <w:spacing w:before="62" w:beforeLines="20" w:line="360" w:lineRule="auto"/>
              <w:jc w:val="center"/>
              <w:rPr>
                <w:rFonts w:ascii="宋体" w:hAnsi="宋体"/>
                <w:color w:val="auto"/>
                <w:szCs w:val="21"/>
                <w:highlight w:val="none"/>
              </w:rPr>
            </w:pPr>
            <w:r>
              <w:rPr>
                <w:rFonts w:hint="eastAsia" w:ascii="宋体" w:hAnsi="宋体"/>
                <w:color w:val="auto"/>
                <w:szCs w:val="21"/>
                <w:highlight w:val="none"/>
              </w:rPr>
              <w:t>金额（元）</w:t>
            </w:r>
          </w:p>
        </w:tc>
        <w:tc>
          <w:tcPr>
            <w:tcW w:w="2987" w:type="dxa"/>
          </w:tcPr>
          <w:p w14:paraId="3D3EFDB8">
            <w:pPr>
              <w:autoSpaceDE w:val="0"/>
              <w:autoSpaceDN w:val="0"/>
              <w:adjustRightInd w:val="0"/>
              <w:snapToGrid w:val="0"/>
              <w:spacing w:before="62" w:beforeLines="20" w:line="360" w:lineRule="auto"/>
              <w:jc w:val="center"/>
              <w:rPr>
                <w:rFonts w:ascii="宋体" w:hAnsi="宋体"/>
                <w:color w:val="auto"/>
                <w:szCs w:val="21"/>
                <w:highlight w:val="none"/>
              </w:rPr>
            </w:pPr>
            <w:r>
              <w:rPr>
                <w:rFonts w:hint="eastAsia" w:ascii="宋体" w:hAnsi="宋体"/>
                <w:color w:val="auto"/>
                <w:szCs w:val="21"/>
                <w:highlight w:val="none"/>
              </w:rPr>
              <w:t>递交时间</w:t>
            </w:r>
          </w:p>
        </w:tc>
        <w:tc>
          <w:tcPr>
            <w:tcW w:w="3175" w:type="dxa"/>
          </w:tcPr>
          <w:p w14:paraId="48692356">
            <w:pPr>
              <w:autoSpaceDE w:val="0"/>
              <w:autoSpaceDN w:val="0"/>
              <w:adjustRightInd w:val="0"/>
              <w:snapToGrid w:val="0"/>
              <w:spacing w:before="62" w:beforeLines="20" w:line="360" w:lineRule="auto"/>
              <w:jc w:val="center"/>
              <w:rPr>
                <w:rFonts w:ascii="宋体" w:hAnsi="宋体"/>
                <w:color w:val="auto"/>
                <w:szCs w:val="21"/>
                <w:highlight w:val="none"/>
              </w:rPr>
            </w:pPr>
            <w:r>
              <w:rPr>
                <w:rFonts w:hint="eastAsia" w:ascii="宋体" w:hAnsi="宋体"/>
                <w:color w:val="auto"/>
                <w:szCs w:val="21"/>
                <w:highlight w:val="none"/>
              </w:rPr>
              <w:t>备注</w:t>
            </w:r>
          </w:p>
        </w:tc>
      </w:tr>
      <w:tr w14:paraId="01BF0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14:paraId="36EF34A6">
            <w:pPr>
              <w:autoSpaceDE w:val="0"/>
              <w:autoSpaceDN w:val="0"/>
              <w:adjustRightInd w:val="0"/>
              <w:snapToGrid w:val="0"/>
              <w:spacing w:before="62" w:beforeLines="20" w:line="360" w:lineRule="auto"/>
              <w:rPr>
                <w:rFonts w:ascii="宋体" w:hAnsi="宋体"/>
                <w:color w:val="auto"/>
                <w:szCs w:val="21"/>
                <w:highlight w:val="none"/>
              </w:rPr>
            </w:pPr>
          </w:p>
        </w:tc>
        <w:tc>
          <w:tcPr>
            <w:tcW w:w="4160" w:type="dxa"/>
          </w:tcPr>
          <w:p w14:paraId="0DDAFE24">
            <w:pPr>
              <w:autoSpaceDE w:val="0"/>
              <w:autoSpaceDN w:val="0"/>
              <w:adjustRightInd w:val="0"/>
              <w:snapToGrid w:val="0"/>
              <w:spacing w:before="62" w:beforeLines="20" w:line="360" w:lineRule="auto"/>
              <w:rPr>
                <w:rFonts w:ascii="宋体" w:hAnsi="宋体"/>
                <w:color w:val="auto"/>
                <w:szCs w:val="21"/>
                <w:highlight w:val="none"/>
              </w:rPr>
            </w:pPr>
          </w:p>
        </w:tc>
        <w:tc>
          <w:tcPr>
            <w:tcW w:w="3088" w:type="dxa"/>
          </w:tcPr>
          <w:p w14:paraId="0348B08F">
            <w:pPr>
              <w:autoSpaceDE w:val="0"/>
              <w:autoSpaceDN w:val="0"/>
              <w:adjustRightInd w:val="0"/>
              <w:snapToGrid w:val="0"/>
              <w:spacing w:before="62" w:beforeLines="20" w:line="360" w:lineRule="auto"/>
              <w:rPr>
                <w:rFonts w:ascii="宋体" w:hAnsi="宋体"/>
                <w:color w:val="auto"/>
                <w:szCs w:val="21"/>
                <w:highlight w:val="none"/>
              </w:rPr>
            </w:pPr>
          </w:p>
        </w:tc>
        <w:tc>
          <w:tcPr>
            <w:tcW w:w="2987" w:type="dxa"/>
          </w:tcPr>
          <w:p w14:paraId="2EAB85C5">
            <w:pPr>
              <w:autoSpaceDE w:val="0"/>
              <w:autoSpaceDN w:val="0"/>
              <w:adjustRightInd w:val="0"/>
              <w:snapToGrid w:val="0"/>
              <w:spacing w:before="62" w:beforeLines="20" w:line="360" w:lineRule="auto"/>
              <w:rPr>
                <w:rFonts w:ascii="宋体" w:hAnsi="宋体"/>
                <w:color w:val="auto"/>
                <w:szCs w:val="21"/>
                <w:highlight w:val="none"/>
              </w:rPr>
            </w:pPr>
          </w:p>
        </w:tc>
        <w:tc>
          <w:tcPr>
            <w:tcW w:w="3175" w:type="dxa"/>
          </w:tcPr>
          <w:p w14:paraId="567572A3">
            <w:pPr>
              <w:autoSpaceDE w:val="0"/>
              <w:autoSpaceDN w:val="0"/>
              <w:adjustRightInd w:val="0"/>
              <w:snapToGrid w:val="0"/>
              <w:spacing w:before="62" w:beforeLines="20" w:line="360" w:lineRule="auto"/>
              <w:rPr>
                <w:rFonts w:ascii="宋体" w:hAnsi="宋体"/>
                <w:color w:val="auto"/>
                <w:szCs w:val="21"/>
                <w:highlight w:val="none"/>
              </w:rPr>
            </w:pPr>
          </w:p>
        </w:tc>
      </w:tr>
      <w:tr w14:paraId="56600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14:paraId="2FF69DB9">
            <w:pPr>
              <w:autoSpaceDE w:val="0"/>
              <w:autoSpaceDN w:val="0"/>
              <w:adjustRightInd w:val="0"/>
              <w:snapToGrid w:val="0"/>
              <w:spacing w:before="62" w:beforeLines="20" w:line="360" w:lineRule="auto"/>
              <w:rPr>
                <w:rFonts w:ascii="宋体" w:hAnsi="宋体"/>
                <w:color w:val="auto"/>
                <w:szCs w:val="21"/>
                <w:highlight w:val="none"/>
              </w:rPr>
            </w:pPr>
          </w:p>
        </w:tc>
        <w:tc>
          <w:tcPr>
            <w:tcW w:w="4160" w:type="dxa"/>
          </w:tcPr>
          <w:p w14:paraId="02C068E5">
            <w:pPr>
              <w:autoSpaceDE w:val="0"/>
              <w:autoSpaceDN w:val="0"/>
              <w:adjustRightInd w:val="0"/>
              <w:snapToGrid w:val="0"/>
              <w:spacing w:before="62" w:beforeLines="20" w:line="360" w:lineRule="auto"/>
              <w:rPr>
                <w:rFonts w:ascii="宋体" w:hAnsi="宋体"/>
                <w:color w:val="auto"/>
                <w:szCs w:val="21"/>
                <w:highlight w:val="none"/>
              </w:rPr>
            </w:pPr>
          </w:p>
        </w:tc>
        <w:tc>
          <w:tcPr>
            <w:tcW w:w="3088" w:type="dxa"/>
          </w:tcPr>
          <w:p w14:paraId="24659863">
            <w:pPr>
              <w:autoSpaceDE w:val="0"/>
              <w:autoSpaceDN w:val="0"/>
              <w:adjustRightInd w:val="0"/>
              <w:snapToGrid w:val="0"/>
              <w:spacing w:before="62" w:beforeLines="20" w:line="360" w:lineRule="auto"/>
              <w:rPr>
                <w:rFonts w:ascii="宋体" w:hAnsi="宋体"/>
                <w:color w:val="auto"/>
                <w:szCs w:val="21"/>
                <w:highlight w:val="none"/>
              </w:rPr>
            </w:pPr>
          </w:p>
        </w:tc>
        <w:tc>
          <w:tcPr>
            <w:tcW w:w="2987" w:type="dxa"/>
          </w:tcPr>
          <w:p w14:paraId="3828693D">
            <w:pPr>
              <w:autoSpaceDE w:val="0"/>
              <w:autoSpaceDN w:val="0"/>
              <w:adjustRightInd w:val="0"/>
              <w:snapToGrid w:val="0"/>
              <w:spacing w:before="62" w:beforeLines="20" w:line="360" w:lineRule="auto"/>
              <w:rPr>
                <w:rFonts w:ascii="宋体" w:hAnsi="宋体"/>
                <w:color w:val="auto"/>
                <w:szCs w:val="21"/>
                <w:highlight w:val="none"/>
              </w:rPr>
            </w:pPr>
          </w:p>
        </w:tc>
        <w:tc>
          <w:tcPr>
            <w:tcW w:w="3175" w:type="dxa"/>
          </w:tcPr>
          <w:p w14:paraId="3104EC20">
            <w:pPr>
              <w:autoSpaceDE w:val="0"/>
              <w:autoSpaceDN w:val="0"/>
              <w:adjustRightInd w:val="0"/>
              <w:snapToGrid w:val="0"/>
              <w:spacing w:before="62" w:beforeLines="20" w:line="360" w:lineRule="auto"/>
              <w:rPr>
                <w:rFonts w:ascii="宋体" w:hAnsi="宋体"/>
                <w:color w:val="auto"/>
                <w:szCs w:val="21"/>
                <w:highlight w:val="none"/>
              </w:rPr>
            </w:pPr>
          </w:p>
        </w:tc>
      </w:tr>
      <w:tr w14:paraId="4B892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14:paraId="57EB9282">
            <w:pPr>
              <w:autoSpaceDE w:val="0"/>
              <w:autoSpaceDN w:val="0"/>
              <w:adjustRightInd w:val="0"/>
              <w:snapToGrid w:val="0"/>
              <w:spacing w:before="62" w:beforeLines="20" w:line="360" w:lineRule="auto"/>
              <w:rPr>
                <w:rFonts w:ascii="宋体" w:hAnsi="宋体"/>
                <w:color w:val="auto"/>
                <w:szCs w:val="21"/>
                <w:highlight w:val="none"/>
              </w:rPr>
            </w:pPr>
          </w:p>
        </w:tc>
        <w:tc>
          <w:tcPr>
            <w:tcW w:w="4160" w:type="dxa"/>
          </w:tcPr>
          <w:p w14:paraId="74E02ECF">
            <w:pPr>
              <w:autoSpaceDE w:val="0"/>
              <w:autoSpaceDN w:val="0"/>
              <w:adjustRightInd w:val="0"/>
              <w:snapToGrid w:val="0"/>
              <w:spacing w:before="62" w:beforeLines="20" w:line="360" w:lineRule="auto"/>
              <w:rPr>
                <w:rFonts w:ascii="宋体" w:hAnsi="宋体"/>
                <w:color w:val="auto"/>
                <w:szCs w:val="21"/>
                <w:highlight w:val="none"/>
              </w:rPr>
            </w:pPr>
          </w:p>
        </w:tc>
        <w:tc>
          <w:tcPr>
            <w:tcW w:w="3088" w:type="dxa"/>
          </w:tcPr>
          <w:p w14:paraId="50620411">
            <w:pPr>
              <w:autoSpaceDE w:val="0"/>
              <w:autoSpaceDN w:val="0"/>
              <w:adjustRightInd w:val="0"/>
              <w:snapToGrid w:val="0"/>
              <w:spacing w:before="62" w:beforeLines="20" w:line="360" w:lineRule="auto"/>
              <w:rPr>
                <w:rFonts w:ascii="宋体" w:hAnsi="宋体"/>
                <w:color w:val="auto"/>
                <w:szCs w:val="21"/>
                <w:highlight w:val="none"/>
              </w:rPr>
            </w:pPr>
          </w:p>
        </w:tc>
        <w:tc>
          <w:tcPr>
            <w:tcW w:w="2987" w:type="dxa"/>
          </w:tcPr>
          <w:p w14:paraId="3E46EB22">
            <w:pPr>
              <w:autoSpaceDE w:val="0"/>
              <w:autoSpaceDN w:val="0"/>
              <w:adjustRightInd w:val="0"/>
              <w:snapToGrid w:val="0"/>
              <w:spacing w:before="62" w:beforeLines="20" w:line="360" w:lineRule="auto"/>
              <w:rPr>
                <w:rFonts w:ascii="宋体" w:hAnsi="宋体"/>
                <w:color w:val="auto"/>
                <w:szCs w:val="21"/>
                <w:highlight w:val="none"/>
              </w:rPr>
            </w:pPr>
          </w:p>
        </w:tc>
        <w:tc>
          <w:tcPr>
            <w:tcW w:w="3175" w:type="dxa"/>
          </w:tcPr>
          <w:p w14:paraId="2E631185">
            <w:pPr>
              <w:autoSpaceDE w:val="0"/>
              <w:autoSpaceDN w:val="0"/>
              <w:adjustRightInd w:val="0"/>
              <w:snapToGrid w:val="0"/>
              <w:spacing w:before="62" w:beforeLines="20" w:line="360" w:lineRule="auto"/>
              <w:rPr>
                <w:rFonts w:ascii="宋体" w:hAnsi="宋体"/>
                <w:color w:val="auto"/>
                <w:szCs w:val="21"/>
                <w:highlight w:val="none"/>
              </w:rPr>
            </w:pPr>
          </w:p>
        </w:tc>
      </w:tr>
      <w:tr w14:paraId="66F3F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14:paraId="105AD2D1">
            <w:pPr>
              <w:autoSpaceDE w:val="0"/>
              <w:autoSpaceDN w:val="0"/>
              <w:adjustRightInd w:val="0"/>
              <w:snapToGrid w:val="0"/>
              <w:spacing w:before="62" w:beforeLines="20" w:line="360" w:lineRule="auto"/>
              <w:rPr>
                <w:rFonts w:ascii="宋体" w:hAnsi="宋体"/>
                <w:color w:val="auto"/>
                <w:szCs w:val="21"/>
                <w:highlight w:val="none"/>
              </w:rPr>
            </w:pPr>
          </w:p>
        </w:tc>
        <w:tc>
          <w:tcPr>
            <w:tcW w:w="4160" w:type="dxa"/>
          </w:tcPr>
          <w:p w14:paraId="2B2A4E23">
            <w:pPr>
              <w:autoSpaceDE w:val="0"/>
              <w:autoSpaceDN w:val="0"/>
              <w:adjustRightInd w:val="0"/>
              <w:snapToGrid w:val="0"/>
              <w:spacing w:before="62" w:beforeLines="20" w:line="360" w:lineRule="auto"/>
              <w:rPr>
                <w:rFonts w:ascii="宋体" w:hAnsi="宋体"/>
                <w:color w:val="auto"/>
                <w:szCs w:val="21"/>
                <w:highlight w:val="none"/>
              </w:rPr>
            </w:pPr>
          </w:p>
        </w:tc>
        <w:tc>
          <w:tcPr>
            <w:tcW w:w="3088" w:type="dxa"/>
          </w:tcPr>
          <w:p w14:paraId="2948BD84">
            <w:pPr>
              <w:autoSpaceDE w:val="0"/>
              <w:autoSpaceDN w:val="0"/>
              <w:adjustRightInd w:val="0"/>
              <w:snapToGrid w:val="0"/>
              <w:spacing w:before="62" w:beforeLines="20" w:line="360" w:lineRule="auto"/>
              <w:rPr>
                <w:rFonts w:ascii="宋体" w:hAnsi="宋体"/>
                <w:color w:val="auto"/>
                <w:szCs w:val="21"/>
                <w:highlight w:val="none"/>
              </w:rPr>
            </w:pPr>
          </w:p>
        </w:tc>
        <w:tc>
          <w:tcPr>
            <w:tcW w:w="2987" w:type="dxa"/>
          </w:tcPr>
          <w:p w14:paraId="2A413F6D">
            <w:pPr>
              <w:autoSpaceDE w:val="0"/>
              <w:autoSpaceDN w:val="0"/>
              <w:adjustRightInd w:val="0"/>
              <w:snapToGrid w:val="0"/>
              <w:spacing w:before="62" w:beforeLines="20" w:line="360" w:lineRule="auto"/>
              <w:rPr>
                <w:rFonts w:ascii="宋体" w:hAnsi="宋体"/>
                <w:color w:val="auto"/>
                <w:szCs w:val="21"/>
                <w:highlight w:val="none"/>
              </w:rPr>
            </w:pPr>
          </w:p>
        </w:tc>
        <w:tc>
          <w:tcPr>
            <w:tcW w:w="3175" w:type="dxa"/>
          </w:tcPr>
          <w:p w14:paraId="031EE27D">
            <w:pPr>
              <w:autoSpaceDE w:val="0"/>
              <w:autoSpaceDN w:val="0"/>
              <w:adjustRightInd w:val="0"/>
              <w:snapToGrid w:val="0"/>
              <w:spacing w:before="62" w:beforeLines="20" w:line="360" w:lineRule="auto"/>
              <w:rPr>
                <w:rFonts w:ascii="宋体" w:hAnsi="宋体"/>
                <w:color w:val="auto"/>
                <w:szCs w:val="21"/>
                <w:highlight w:val="none"/>
              </w:rPr>
            </w:pPr>
          </w:p>
        </w:tc>
      </w:tr>
      <w:tr w14:paraId="47730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14:paraId="0E676BD4">
            <w:pPr>
              <w:autoSpaceDE w:val="0"/>
              <w:autoSpaceDN w:val="0"/>
              <w:adjustRightInd w:val="0"/>
              <w:snapToGrid w:val="0"/>
              <w:spacing w:before="62" w:beforeLines="20" w:line="360" w:lineRule="auto"/>
              <w:rPr>
                <w:rFonts w:ascii="宋体" w:hAnsi="宋体"/>
                <w:color w:val="auto"/>
                <w:szCs w:val="21"/>
                <w:highlight w:val="none"/>
              </w:rPr>
            </w:pPr>
          </w:p>
        </w:tc>
        <w:tc>
          <w:tcPr>
            <w:tcW w:w="4160" w:type="dxa"/>
          </w:tcPr>
          <w:p w14:paraId="62AE482A">
            <w:pPr>
              <w:autoSpaceDE w:val="0"/>
              <w:autoSpaceDN w:val="0"/>
              <w:adjustRightInd w:val="0"/>
              <w:snapToGrid w:val="0"/>
              <w:spacing w:before="62" w:beforeLines="20" w:line="360" w:lineRule="auto"/>
              <w:rPr>
                <w:rFonts w:ascii="宋体" w:hAnsi="宋体"/>
                <w:color w:val="auto"/>
                <w:szCs w:val="21"/>
                <w:highlight w:val="none"/>
              </w:rPr>
            </w:pPr>
          </w:p>
        </w:tc>
        <w:tc>
          <w:tcPr>
            <w:tcW w:w="3088" w:type="dxa"/>
          </w:tcPr>
          <w:p w14:paraId="1A812FAF">
            <w:pPr>
              <w:autoSpaceDE w:val="0"/>
              <w:autoSpaceDN w:val="0"/>
              <w:adjustRightInd w:val="0"/>
              <w:snapToGrid w:val="0"/>
              <w:spacing w:before="62" w:beforeLines="20" w:line="360" w:lineRule="auto"/>
              <w:rPr>
                <w:rFonts w:ascii="宋体" w:hAnsi="宋体"/>
                <w:color w:val="auto"/>
                <w:szCs w:val="21"/>
                <w:highlight w:val="none"/>
              </w:rPr>
            </w:pPr>
          </w:p>
        </w:tc>
        <w:tc>
          <w:tcPr>
            <w:tcW w:w="2987" w:type="dxa"/>
          </w:tcPr>
          <w:p w14:paraId="6AEEFCA9">
            <w:pPr>
              <w:autoSpaceDE w:val="0"/>
              <w:autoSpaceDN w:val="0"/>
              <w:adjustRightInd w:val="0"/>
              <w:snapToGrid w:val="0"/>
              <w:spacing w:before="62" w:beforeLines="20" w:line="360" w:lineRule="auto"/>
              <w:rPr>
                <w:rFonts w:ascii="宋体" w:hAnsi="宋体"/>
                <w:color w:val="auto"/>
                <w:szCs w:val="21"/>
                <w:highlight w:val="none"/>
              </w:rPr>
            </w:pPr>
          </w:p>
        </w:tc>
        <w:tc>
          <w:tcPr>
            <w:tcW w:w="3175" w:type="dxa"/>
          </w:tcPr>
          <w:p w14:paraId="2950D6DF">
            <w:pPr>
              <w:autoSpaceDE w:val="0"/>
              <w:autoSpaceDN w:val="0"/>
              <w:adjustRightInd w:val="0"/>
              <w:snapToGrid w:val="0"/>
              <w:spacing w:before="62" w:beforeLines="20" w:line="360" w:lineRule="auto"/>
              <w:rPr>
                <w:rFonts w:ascii="宋体" w:hAnsi="宋体"/>
                <w:color w:val="auto"/>
                <w:szCs w:val="21"/>
                <w:highlight w:val="none"/>
              </w:rPr>
            </w:pPr>
          </w:p>
        </w:tc>
      </w:tr>
      <w:tr w14:paraId="17CC4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14:paraId="0EB5483E">
            <w:pPr>
              <w:autoSpaceDE w:val="0"/>
              <w:autoSpaceDN w:val="0"/>
              <w:adjustRightInd w:val="0"/>
              <w:snapToGrid w:val="0"/>
              <w:spacing w:before="62" w:beforeLines="20" w:line="360" w:lineRule="auto"/>
              <w:rPr>
                <w:rFonts w:ascii="宋体" w:hAnsi="宋体"/>
                <w:color w:val="auto"/>
                <w:szCs w:val="21"/>
                <w:highlight w:val="none"/>
              </w:rPr>
            </w:pPr>
          </w:p>
        </w:tc>
        <w:tc>
          <w:tcPr>
            <w:tcW w:w="4160" w:type="dxa"/>
          </w:tcPr>
          <w:p w14:paraId="35CF968E">
            <w:pPr>
              <w:autoSpaceDE w:val="0"/>
              <w:autoSpaceDN w:val="0"/>
              <w:adjustRightInd w:val="0"/>
              <w:snapToGrid w:val="0"/>
              <w:spacing w:before="62" w:beforeLines="20" w:line="360" w:lineRule="auto"/>
              <w:rPr>
                <w:rFonts w:ascii="宋体" w:hAnsi="宋体"/>
                <w:color w:val="auto"/>
                <w:szCs w:val="21"/>
                <w:highlight w:val="none"/>
              </w:rPr>
            </w:pPr>
          </w:p>
        </w:tc>
        <w:tc>
          <w:tcPr>
            <w:tcW w:w="3088" w:type="dxa"/>
          </w:tcPr>
          <w:p w14:paraId="4AE57724">
            <w:pPr>
              <w:autoSpaceDE w:val="0"/>
              <w:autoSpaceDN w:val="0"/>
              <w:adjustRightInd w:val="0"/>
              <w:snapToGrid w:val="0"/>
              <w:spacing w:before="62" w:beforeLines="20" w:line="360" w:lineRule="auto"/>
              <w:rPr>
                <w:rFonts w:ascii="宋体" w:hAnsi="宋体"/>
                <w:color w:val="auto"/>
                <w:szCs w:val="21"/>
                <w:highlight w:val="none"/>
              </w:rPr>
            </w:pPr>
          </w:p>
        </w:tc>
        <w:tc>
          <w:tcPr>
            <w:tcW w:w="2987" w:type="dxa"/>
          </w:tcPr>
          <w:p w14:paraId="4750D5C7">
            <w:pPr>
              <w:autoSpaceDE w:val="0"/>
              <w:autoSpaceDN w:val="0"/>
              <w:adjustRightInd w:val="0"/>
              <w:snapToGrid w:val="0"/>
              <w:spacing w:before="62" w:beforeLines="20" w:line="360" w:lineRule="auto"/>
              <w:rPr>
                <w:rFonts w:ascii="宋体" w:hAnsi="宋体"/>
                <w:color w:val="auto"/>
                <w:szCs w:val="21"/>
                <w:highlight w:val="none"/>
              </w:rPr>
            </w:pPr>
          </w:p>
        </w:tc>
        <w:tc>
          <w:tcPr>
            <w:tcW w:w="3175" w:type="dxa"/>
          </w:tcPr>
          <w:p w14:paraId="3E4EB77E">
            <w:pPr>
              <w:autoSpaceDE w:val="0"/>
              <w:autoSpaceDN w:val="0"/>
              <w:adjustRightInd w:val="0"/>
              <w:snapToGrid w:val="0"/>
              <w:spacing w:before="62" w:beforeLines="20" w:line="360" w:lineRule="auto"/>
              <w:rPr>
                <w:rFonts w:ascii="宋体" w:hAnsi="宋体"/>
                <w:color w:val="auto"/>
                <w:szCs w:val="21"/>
                <w:highlight w:val="none"/>
              </w:rPr>
            </w:pPr>
          </w:p>
        </w:tc>
      </w:tr>
      <w:tr w14:paraId="51A9F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14:paraId="759C561D">
            <w:pPr>
              <w:autoSpaceDE w:val="0"/>
              <w:autoSpaceDN w:val="0"/>
              <w:adjustRightInd w:val="0"/>
              <w:snapToGrid w:val="0"/>
              <w:spacing w:before="62" w:beforeLines="20" w:line="360" w:lineRule="auto"/>
              <w:rPr>
                <w:rFonts w:ascii="宋体" w:hAnsi="宋体"/>
                <w:color w:val="auto"/>
                <w:szCs w:val="21"/>
                <w:highlight w:val="none"/>
              </w:rPr>
            </w:pPr>
          </w:p>
        </w:tc>
        <w:tc>
          <w:tcPr>
            <w:tcW w:w="4160" w:type="dxa"/>
          </w:tcPr>
          <w:p w14:paraId="3D3A3F95">
            <w:pPr>
              <w:autoSpaceDE w:val="0"/>
              <w:autoSpaceDN w:val="0"/>
              <w:adjustRightInd w:val="0"/>
              <w:snapToGrid w:val="0"/>
              <w:spacing w:before="62" w:beforeLines="20" w:line="360" w:lineRule="auto"/>
              <w:rPr>
                <w:rFonts w:ascii="宋体" w:hAnsi="宋体"/>
                <w:color w:val="auto"/>
                <w:szCs w:val="21"/>
                <w:highlight w:val="none"/>
              </w:rPr>
            </w:pPr>
          </w:p>
        </w:tc>
        <w:tc>
          <w:tcPr>
            <w:tcW w:w="3088" w:type="dxa"/>
          </w:tcPr>
          <w:p w14:paraId="4837B97B">
            <w:pPr>
              <w:autoSpaceDE w:val="0"/>
              <w:autoSpaceDN w:val="0"/>
              <w:adjustRightInd w:val="0"/>
              <w:snapToGrid w:val="0"/>
              <w:spacing w:before="62" w:beforeLines="20" w:line="360" w:lineRule="auto"/>
              <w:rPr>
                <w:rFonts w:ascii="宋体" w:hAnsi="宋体"/>
                <w:color w:val="auto"/>
                <w:szCs w:val="21"/>
                <w:highlight w:val="none"/>
              </w:rPr>
            </w:pPr>
          </w:p>
        </w:tc>
        <w:tc>
          <w:tcPr>
            <w:tcW w:w="2987" w:type="dxa"/>
          </w:tcPr>
          <w:p w14:paraId="5D2024E7">
            <w:pPr>
              <w:autoSpaceDE w:val="0"/>
              <w:autoSpaceDN w:val="0"/>
              <w:adjustRightInd w:val="0"/>
              <w:snapToGrid w:val="0"/>
              <w:spacing w:before="62" w:beforeLines="20" w:line="360" w:lineRule="auto"/>
              <w:rPr>
                <w:rFonts w:ascii="宋体" w:hAnsi="宋体"/>
                <w:color w:val="auto"/>
                <w:szCs w:val="21"/>
                <w:highlight w:val="none"/>
              </w:rPr>
            </w:pPr>
          </w:p>
        </w:tc>
        <w:tc>
          <w:tcPr>
            <w:tcW w:w="3175" w:type="dxa"/>
          </w:tcPr>
          <w:p w14:paraId="03213EFE">
            <w:pPr>
              <w:autoSpaceDE w:val="0"/>
              <w:autoSpaceDN w:val="0"/>
              <w:adjustRightInd w:val="0"/>
              <w:snapToGrid w:val="0"/>
              <w:spacing w:before="62" w:beforeLines="20" w:line="360" w:lineRule="auto"/>
              <w:rPr>
                <w:rFonts w:ascii="宋体" w:hAnsi="宋体"/>
                <w:color w:val="auto"/>
                <w:szCs w:val="21"/>
                <w:highlight w:val="none"/>
              </w:rPr>
            </w:pPr>
          </w:p>
        </w:tc>
      </w:tr>
      <w:tr w14:paraId="4E40D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14:paraId="2902E0CE">
            <w:pPr>
              <w:autoSpaceDE w:val="0"/>
              <w:autoSpaceDN w:val="0"/>
              <w:adjustRightInd w:val="0"/>
              <w:snapToGrid w:val="0"/>
              <w:spacing w:before="62" w:beforeLines="20" w:line="360" w:lineRule="auto"/>
              <w:rPr>
                <w:rFonts w:ascii="宋体" w:hAnsi="宋体"/>
                <w:color w:val="auto"/>
                <w:szCs w:val="21"/>
                <w:highlight w:val="none"/>
              </w:rPr>
            </w:pPr>
          </w:p>
        </w:tc>
        <w:tc>
          <w:tcPr>
            <w:tcW w:w="4160" w:type="dxa"/>
          </w:tcPr>
          <w:p w14:paraId="638FABEB">
            <w:pPr>
              <w:autoSpaceDE w:val="0"/>
              <w:autoSpaceDN w:val="0"/>
              <w:adjustRightInd w:val="0"/>
              <w:snapToGrid w:val="0"/>
              <w:spacing w:before="62" w:beforeLines="20" w:line="360" w:lineRule="auto"/>
              <w:rPr>
                <w:rFonts w:ascii="宋体" w:hAnsi="宋体"/>
                <w:color w:val="auto"/>
                <w:szCs w:val="21"/>
                <w:highlight w:val="none"/>
              </w:rPr>
            </w:pPr>
          </w:p>
        </w:tc>
        <w:tc>
          <w:tcPr>
            <w:tcW w:w="3088" w:type="dxa"/>
          </w:tcPr>
          <w:p w14:paraId="057C4F13">
            <w:pPr>
              <w:autoSpaceDE w:val="0"/>
              <w:autoSpaceDN w:val="0"/>
              <w:adjustRightInd w:val="0"/>
              <w:snapToGrid w:val="0"/>
              <w:spacing w:before="62" w:beforeLines="20" w:line="360" w:lineRule="auto"/>
              <w:rPr>
                <w:rFonts w:ascii="宋体" w:hAnsi="宋体"/>
                <w:color w:val="auto"/>
                <w:szCs w:val="21"/>
                <w:highlight w:val="none"/>
              </w:rPr>
            </w:pPr>
          </w:p>
        </w:tc>
        <w:tc>
          <w:tcPr>
            <w:tcW w:w="2987" w:type="dxa"/>
          </w:tcPr>
          <w:p w14:paraId="6CB1A4B5">
            <w:pPr>
              <w:autoSpaceDE w:val="0"/>
              <w:autoSpaceDN w:val="0"/>
              <w:adjustRightInd w:val="0"/>
              <w:snapToGrid w:val="0"/>
              <w:spacing w:before="62" w:beforeLines="20" w:line="360" w:lineRule="auto"/>
              <w:rPr>
                <w:rFonts w:ascii="宋体" w:hAnsi="宋体"/>
                <w:color w:val="auto"/>
                <w:szCs w:val="21"/>
                <w:highlight w:val="none"/>
              </w:rPr>
            </w:pPr>
          </w:p>
        </w:tc>
        <w:tc>
          <w:tcPr>
            <w:tcW w:w="3175" w:type="dxa"/>
          </w:tcPr>
          <w:p w14:paraId="150BA93B">
            <w:pPr>
              <w:autoSpaceDE w:val="0"/>
              <w:autoSpaceDN w:val="0"/>
              <w:adjustRightInd w:val="0"/>
              <w:snapToGrid w:val="0"/>
              <w:spacing w:before="62" w:beforeLines="20" w:line="360" w:lineRule="auto"/>
              <w:rPr>
                <w:rFonts w:ascii="宋体" w:hAnsi="宋体"/>
                <w:color w:val="auto"/>
                <w:szCs w:val="21"/>
                <w:highlight w:val="none"/>
              </w:rPr>
            </w:pPr>
          </w:p>
        </w:tc>
      </w:tr>
      <w:tr w14:paraId="13E34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14:paraId="638C5FE8">
            <w:pPr>
              <w:autoSpaceDE w:val="0"/>
              <w:autoSpaceDN w:val="0"/>
              <w:adjustRightInd w:val="0"/>
              <w:snapToGrid w:val="0"/>
              <w:spacing w:before="62" w:beforeLines="20" w:line="360" w:lineRule="auto"/>
              <w:rPr>
                <w:rFonts w:ascii="宋体" w:hAnsi="宋体"/>
                <w:color w:val="auto"/>
                <w:szCs w:val="21"/>
                <w:highlight w:val="none"/>
              </w:rPr>
            </w:pPr>
          </w:p>
        </w:tc>
        <w:tc>
          <w:tcPr>
            <w:tcW w:w="4160" w:type="dxa"/>
          </w:tcPr>
          <w:p w14:paraId="10BFE203">
            <w:pPr>
              <w:autoSpaceDE w:val="0"/>
              <w:autoSpaceDN w:val="0"/>
              <w:adjustRightInd w:val="0"/>
              <w:snapToGrid w:val="0"/>
              <w:spacing w:before="62" w:beforeLines="20" w:line="360" w:lineRule="auto"/>
              <w:rPr>
                <w:rFonts w:ascii="宋体" w:hAnsi="宋体"/>
                <w:color w:val="auto"/>
                <w:szCs w:val="21"/>
                <w:highlight w:val="none"/>
              </w:rPr>
            </w:pPr>
          </w:p>
        </w:tc>
        <w:tc>
          <w:tcPr>
            <w:tcW w:w="3088" w:type="dxa"/>
          </w:tcPr>
          <w:p w14:paraId="366197C6">
            <w:pPr>
              <w:autoSpaceDE w:val="0"/>
              <w:autoSpaceDN w:val="0"/>
              <w:adjustRightInd w:val="0"/>
              <w:snapToGrid w:val="0"/>
              <w:spacing w:before="62" w:beforeLines="20" w:line="360" w:lineRule="auto"/>
              <w:rPr>
                <w:rFonts w:ascii="宋体" w:hAnsi="宋体"/>
                <w:color w:val="auto"/>
                <w:szCs w:val="21"/>
                <w:highlight w:val="none"/>
              </w:rPr>
            </w:pPr>
          </w:p>
        </w:tc>
        <w:tc>
          <w:tcPr>
            <w:tcW w:w="2987" w:type="dxa"/>
          </w:tcPr>
          <w:p w14:paraId="3A242A4B">
            <w:pPr>
              <w:autoSpaceDE w:val="0"/>
              <w:autoSpaceDN w:val="0"/>
              <w:adjustRightInd w:val="0"/>
              <w:snapToGrid w:val="0"/>
              <w:spacing w:before="62" w:beforeLines="20" w:line="360" w:lineRule="auto"/>
              <w:rPr>
                <w:rFonts w:ascii="宋体" w:hAnsi="宋体"/>
                <w:color w:val="auto"/>
                <w:szCs w:val="21"/>
                <w:highlight w:val="none"/>
              </w:rPr>
            </w:pPr>
          </w:p>
        </w:tc>
        <w:tc>
          <w:tcPr>
            <w:tcW w:w="3175" w:type="dxa"/>
          </w:tcPr>
          <w:p w14:paraId="552469E6">
            <w:pPr>
              <w:autoSpaceDE w:val="0"/>
              <w:autoSpaceDN w:val="0"/>
              <w:adjustRightInd w:val="0"/>
              <w:snapToGrid w:val="0"/>
              <w:spacing w:before="62" w:beforeLines="20" w:line="360" w:lineRule="auto"/>
              <w:rPr>
                <w:rFonts w:ascii="宋体" w:hAnsi="宋体"/>
                <w:color w:val="auto"/>
                <w:szCs w:val="21"/>
                <w:highlight w:val="none"/>
              </w:rPr>
            </w:pPr>
          </w:p>
        </w:tc>
      </w:tr>
      <w:tr w14:paraId="3BBB0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14:paraId="7DFEB5D8">
            <w:pPr>
              <w:autoSpaceDE w:val="0"/>
              <w:autoSpaceDN w:val="0"/>
              <w:adjustRightInd w:val="0"/>
              <w:snapToGrid w:val="0"/>
              <w:spacing w:before="62" w:beforeLines="20" w:line="360" w:lineRule="auto"/>
              <w:rPr>
                <w:rFonts w:ascii="宋体" w:hAnsi="宋体"/>
                <w:color w:val="auto"/>
                <w:szCs w:val="21"/>
                <w:highlight w:val="none"/>
              </w:rPr>
            </w:pPr>
          </w:p>
        </w:tc>
        <w:tc>
          <w:tcPr>
            <w:tcW w:w="4160" w:type="dxa"/>
          </w:tcPr>
          <w:p w14:paraId="0D0E5214">
            <w:pPr>
              <w:autoSpaceDE w:val="0"/>
              <w:autoSpaceDN w:val="0"/>
              <w:adjustRightInd w:val="0"/>
              <w:snapToGrid w:val="0"/>
              <w:spacing w:before="62" w:beforeLines="20" w:line="360" w:lineRule="auto"/>
              <w:rPr>
                <w:rFonts w:ascii="宋体" w:hAnsi="宋体"/>
                <w:color w:val="auto"/>
                <w:szCs w:val="21"/>
                <w:highlight w:val="none"/>
              </w:rPr>
            </w:pPr>
          </w:p>
        </w:tc>
        <w:tc>
          <w:tcPr>
            <w:tcW w:w="3088" w:type="dxa"/>
          </w:tcPr>
          <w:p w14:paraId="7E85DCB6">
            <w:pPr>
              <w:autoSpaceDE w:val="0"/>
              <w:autoSpaceDN w:val="0"/>
              <w:adjustRightInd w:val="0"/>
              <w:snapToGrid w:val="0"/>
              <w:spacing w:before="62" w:beforeLines="20" w:line="360" w:lineRule="auto"/>
              <w:rPr>
                <w:rFonts w:ascii="宋体" w:hAnsi="宋体"/>
                <w:color w:val="auto"/>
                <w:szCs w:val="21"/>
                <w:highlight w:val="none"/>
              </w:rPr>
            </w:pPr>
          </w:p>
        </w:tc>
        <w:tc>
          <w:tcPr>
            <w:tcW w:w="2987" w:type="dxa"/>
          </w:tcPr>
          <w:p w14:paraId="7CB15CB5">
            <w:pPr>
              <w:autoSpaceDE w:val="0"/>
              <w:autoSpaceDN w:val="0"/>
              <w:adjustRightInd w:val="0"/>
              <w:snapToGrid w:val="0"/>
              <w:spacing w:before="62" w:beforeLines="20" w:line="360" w:lineRule="auto"/>
              <w:rPr>
                <w:rFonts w:ascii="宋体" w:hAnsi="宋体"/>
                <w:color w:val="auto"/>
                <w:szCs w:val="21"/>
                <w:highlight w:val="none"/>
              </w:rPr>
            </w:pPr>
          </w:p>
        </w:tc>
        <w:tc>
          <w:tcPr>
            <w:tcW w:w="3175" w:type="dxa"/>
          </w:tcPr>
          <w:p w14:paraId="147018D5">
            <w:pPr>
              <w:autoSpaceDE w:val="0"/>
              <w:autoSpaceDN w:val="0"/>
              <w:adjustRightInd w:val="0"/>
              <w:snapToGrid w:val="0"/>
              <w:spacing w:before="62" w:beforeLines="20" w:line="360" w:lineRule="auto"/>
              <w:rPr>
                <w:rFonts w:ascii="宋体" w:hAnsi="宋体"/>
                <w:color w:val="auto"/>
                <w:szCs w:val="21"/>
                <w:highlight w:val="none"/>
              </w:rPr>
            </w:pPr>
          </w:p>
        </w:tc>
      </w:tr>
      <w:tr w14:paraId="2582F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14:paraId="13FBB499">
            <w:pPr>
              <w:autoSpaceDE w:val="0"/>
              <w:autoSpaceDN w:val="0"/>
              <w:adjustRightInd w:val="0"/>
              <w:snapToGrid w:val="0"/>
              <w:spacing w:before="62" w:beforeLines="20" w:line="360" w:lineRule="auto"/>
              <w:rPr>
                <w:rFonts w:ascii="宋体" w:hAnsi="宋体"/>
                <w:color w:val="auto"/>
                <w:szCs w:val="21"/>
                <w:highlight w:val="none"/>
              </w:rPr>
            </w:pPr>
          </w:p>
        </w:tc>
        <w:tc>
          <w:tcPr>
            <w:tcW w:w="4160" w:type="dxa"/>
          </w:tcPr>
          <w:p w14:paraId="6CFCD034">
            <w:pPr>
              <w:autoSpaceDE w:val="0"/>
              <w:autoSpaceDN w:val="0"/>
              <w:adjustRightInd w:val="0"/>
              <w:snapToGrid w:val="0"/>
              <w:spacing w:before="62" w:beforeLines="20" w:line="360" w:lineRule="auto"/>
              <w:rPr>
                <w:rFonts w:ascii="宋体" w:hAnsi="宋体"/>
                <w:color w:val="auto"/>
                <w:szCs w:val="21"/>
                <w:highlight w:val="none"/>
              </w:rPr>
            </w:pPr>
          </w:p>
        </w:tc>
        <w:tc>
          <w:tcPr>
            <w:tcW w:w="3088" w:type="dxa"/>
          </w:tcPr>
          <w:p w14:paraId="4126A634">
            <w:pPr>
              <w:autoSpaceDE w:val="0"/>
              <w:autoSpaceDN w:val="0"/>
              <w:adjustRightInd w:val="0"/>
              <w:snapToGrid w:val="0"/>
              <w:spacing w:before="62" w:beforeLines="20" w:line="360" w:lineRule="auto"/>
              <w:rPr>
                <w:rFonts w:ascii="宋体" w:hAnsi="宋体"/>
                <w:color w:val="auto"/>
                <w:szCs w:val="21"/>
                <w:highlight w:val="none"/>
              </w:rPr>
            </w:pPr>
          </w:p>
        </w:tc>
        <w:tc>
          <w:tcPr>
            <w:tcW w:w="2987" w:type="dxa"/>
          </w:tcPr>
          <w:p w14:paraId="0EB7DD96">
            <w:pPr>
              <w:autoSpaceDE w:val="0"/>
              <w:autoSpaceDN w:val="0"/>
              <w:adjustRightInd w:val="0"/>
              <w:snapToGrid w:val="0"/>
              <w:spacing w:before="62" w:beforeLines="20" w:line="360" w:lineRule="auto"/>
              <w:rPr>
                <w:rFonts w:ascii="宋体" w:hAnsi="宋体"/>
                <w:color w:val="auto"/>
                <w:szCs w:val="21"/>
                <w:highlight w:val="none"/>
              </w:rPr>
            </w:pPr>
          </w:p>
        </w:tc>
        <w:tc>
          <w:tcPr>
            <w:tcW w:w="3175" w:type="dxa"/>
          </w:tcPr>
          <w:p w14:paraId="25F1BA38">
            <w:pPr>
              <w:autoSpaceDE w:val="0"/>
              <w:autoSpaceDN w:val="0"/>
              <w:adjustRightInd w:val="0"/>
              <w:snapToGrid w:val="0"/>
              <w:spacing w:before="62" w:beforeLines="20" w:line="360" w:lineRule="auto"/>
              <w:rPr>
                <w:rFonts w:ascii="宋体" w:hAnsi="宋体"/>
                <w:color w:val="auto"/>
                <w:szCs w:val="21"/>
                <w:highlight w:val="none"/>
              </w:rPr>
            </w:pPr>
          </w:p>
        </w:tc>
      </w:tr>
      <w:tr w14:paraId="5443B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14:paraId="68111FE2">
            <w:pPr>
              <w:autoSpaceDE w:val="0"/>
              <w:autoSpaceDN w:val="0"/>
              <w:adjustRightInd w:val="0"/>
              <w:snapToGrid w:val="0"/>
              <w:spacing w:before="62" w:beforeLines="20" w:line="360" w:lineRule="auto"/>
              <w:rPr>
                <w:rFonts w:ascii="宋体" w:hAnsi="宋体"/>
                <w:color w:val="auto"/>
                <w:szCs w:val="21"/>
                <w:highlight w:val="none"/>
              </w:rPr>
            </w:pPr>
          </w:p>
        </w:tc>
        <w:tc>
          <w:tcPr>
            <w:tcW w:w="4160" w:type="dxa"/>
          </w:tcPr>
          <w:p w14:paraId="10F464F5">
            <w:pPr>
              <w:autoSpaceDE w:val="0"/>
              <w:autoSpaceDN w:val="0"/>
              <w:adjustRightInd w:val="0"/>
              <w:snapToGrid w:val="0"/>
              <w:spacing w:before="62" w:beforeLines="20" w:line="360" w:lineRule="auto"/>
              <w:rPr>
                <w:rFonts w:ascii="宋体" w:hAnsi="宋体"/>
                <w:color w:val="auto"/>
                <w:szCs w:val="21"/>
                <w:highlight w:val="none"/>
              </w:rPr>
            </w:pPr>
          </w:p>
        </w:tc>
        <w:tc>
          <w:tcPr>
            <w:tcW w:w="3088" w:type="dxa"/>
          </w:tcPr>
          <w:p w14:paraId="47CDAAAE">
            <w:pPr>
              <w:autoSpaceDE w:val="0"/>
              <w:autoSpaceDN w:val="0"/>
              <w:adjustRightInd w:val="0"/>
              <w:snapToGrid w:val="0"/>
              <w:spacing w:before="62" w:beforeLines="20" w:line="360" w:lineRule="auto"/>
              <w:rPr>
                <w:rFonts w:ascii="宋体" w:hAnsi="宋体"/>
                <w:color w:val="auto"/>
                <w:szCs w:val="21"/>
                <w:highlight w:val="none"/>
              </w:rPr>
            </w:pPr>
          </w:p>
        </w:tc>
        <w:tc>
          <w:tcPr>
            <w:tcW w:w="2987" w:type="dxa"/>
          </w:tcPr>
          <w:p w14:paraId="736C8D0C">
            <w:pPr>
              <w:autoSpaceDE w:val="0"/>
              <w:autoSpaceDN w:val="0"/>
              <w:adjustRightInd w:val="0"/>
              <w:snapToGrid w:val="0"/>
              <w:spacing w:before="62" w:beforeLines="20" w:line="360" w:lineRule="auto"/>
              <w:rPr>
                <w:rFonts w:ascii="宋体" w:hAnsi="宋体"/>
                <w:color w:val="auto"/>
                <w:szCs w:val="21"/>
                <w:highlight w:val="none"/>
              </w:rPr>
            </w:pPr>
          </w:p>
        </w:tc>
        <w:tc>
          <w:tcPr>
            <w:tcW w:w="3175" w:type="dxa"/>
          </w:tcPr>
          <w:p w14:paraId="264282E4">
            <w:pPr>
              <w:autoSpaceDE w:val="0"/>
              <w:autoSpaceDN w:val="0"/>
              <w:adjustRightInd w:val="0"/>
              <w:snapToGrid w:val="0"/>
              <w:spacing w:before="62" w:beforeLines="20" w:line="360" w:lineRule="auto"/>
              <w:rPr>
                <w:rFonts w:ascii="宋体" w:hAnsi="宋体"/>
                <w:color w:val="auto"/>
                <w:szCs w:val="21"/>
                <w:highlight w:val="none"/>
              </w:rPr>
            </w:pPr>
          </w:p>
        </w:tc>
      </w:tr>
    </w:tbl>
    <w:p w14:paraId="5DA111DE">
      <w:pPr>
        <w:tabs>
          <w:tab w:val="left" w:pos="2740"/>
          <w:tab w:val="left" w:pos="4940"/>
          <w:tab w:val="left" w:pos="6930"/>
        </w:tabs>
        <w:autoSpaceDE w:val="0"/>
        <w:autoSpaceDN w:val="0"/>
        <w:adjustRightInd w:val="0"/>
        <w:snapToGrid w:val="0"/>
        <w:spacing w:line="360" w:lineRule="auto"/>
        <w:ind w:firstLine="420"/>
        <w:jc w:val="left"/>
        <w:rPr>
          <w:rFonts w:ascii="宋体" w:hAnsi="宋体"/>
          <w:snapToGrid w:val="0"/>
          <w:color w:val="auto"/>
          <w:kern w:val="0"/>
          <w:szCs w:val="21"/>
          <w:highlight w:val="none"/>
        </w:rPr>
      </w:pPr>
    </w:p>
    <w:p w14:paraId="4788420F">
      <w:pPr>
        <w:tabs>
          <w:tab w:val="left" w:pos="2740"/>
          <w:tab w:val="left" w:pos="4940"/>
          <w:tab w:val="left" w:pos="6930"/>
        </w:tabs>
        <w:autoSpaceDE w:val="0"/>
        <w:autoSpaceDN w:val="0"/>
        <w:adjustRightInd w:val="0"/>
        <w:snapToGrid w:val="0"/>
        <w:spacing w:line="360" w:lineRule="auto"/>
        <w:ind w:firstLine="420"/>
        <w:jc w:val="left"/>
        <w:rPr>
          <w:rFonts w:ascii="宋体" w:hAnsi="宋体" w:cs="MingLiU"/>
          <w:snapToGrid w:val="0"/>
          <w:color w:val="auto"/>
          <w:w w:val="200"/>
          <w:kern w:val="0"/>
          <w:szCs w:val="21"/>
          <w:highlight w:val="none"/>
          <w:u w:val="single"/>
        </w:rPr>
      </w:pPr>
      <w:r>
        <w:rPr>
          <w:rFonts w:ascii="宋体" w:hAnsi="宋体"/>
          <w:snapToGrid w:val="0"/>
          <w:color w:val="auto"/>
          <w:kern w:val="0"/>
          <w:szCs w:val="21"/>
          <w:highlight w:val="none"/>
        </w:rPr>
        <w:t>招标人代表：</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w w:val="200"/>
          <w:kern w:val="0"/>
          <w:szCs w:val="21"/>
          <w:highlight w:val="none"/>
        </w:rPr>
        <w:t xml:space="preserve">            </w:t>
      </w:r>
      <w:r>
        <w:rPr>
          <w:rFonts w:ascii="宋体" w:hAnsi="宋体"/>
          <w:snapToGrid w:val="0"/>
          <w:color w:val="auto"/>
          <w:kern w:val="0"/>
          <w:szCs w:val="21"/>
          <w:highlight w:val="none"/>
        </w:rPr>
        <w:t>监标人：</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w w:val="200"/>
          <w:kern w:val="0"/>
          <w:szCs w:val="21"/>
          <w:highlight w:val="none"/>
        </w:rPr>
        <w:t xml:space="preserve">            </w:t>
      </w:r>
      <w:r>
        <w:rPr>
          <w:rFonts w:ascii="宋体" w:hAnsi="宋体"/>
          <w:snapToGrid w:val="0"/>
          <w:color w:val="auto"/>
          <w:kern w:val="0"/>
          <w:szCs w:val="21"/>
          <w:highlight w:val="none"/>
        </w:rPr>
        <w:t>记录人：</w:t>
      </w:r>
      <w:r>
        <w:rPr>
          <w:rFonts w:hint="eastAsia" w:ascii="宋体" w:hAnsi="宋体" w:cs="MingLiU"/>
          <w:snapToGrid w:val="0"/>
          <w:color w:val="auto"/>
          <w:w w:val="200"/>
          <w:kern w:val="0"/>
          <w:szCs w:val="21"/>
          <w:highlight w:val="none"/>
          <w:u w:val="single"/>
        </w:rPr>
        <w:t xml:space="preserve">      </w:t>
      </w:r>
    </w:p>
    <w:p w14:paraId="1748506E">
      <w:pPr>
        <w:pStyle w:val="2"/>
        <w:jc w:val="right"/>
        <w:rPr>
          <w:color w:val="auto"/>
          <w:highlight w:val="none"/>
        </w:rPr>
      </w:pPr>
      <w:r>
        <w:rPr>
          <w:rFonts w:ascii="宋体" w:hAnsi="宋体"/>
          <w:snapToGrid w:val="0"/>
          <w:color w:val="auto"/>
          <w:kern w:val="0"/>
          <w:sz w:val="24"/>
          <w:highlight w:val="none"/>
          <w:u w:val="single"/>
        </w:rPr>
        <w:t xml:space="preserve">       </w:t>
      </w:r>
      <w:r>
        <w:rPr>
          <w:rFonts w:ascii="宋体" w:hAnsi="宋体"/>
          <w:snapToGrid w:val="0"/>
          <w:color w:val="auto"/>
          <w:kern w:val="0"/>
          <w:sz w:val="24"/>
          <w:highlight w:val="none"/>
        </w:rPr>
        <w:t>年</w:t>
      </w:r>
      <w:r>
        <w:rPr>
          <w:rFonts w:ascii="宋体" w:hAnsi="宋体"/>
          <w:snapToGrid w:val="0"/>
          <w:color w:val="auto"/>
          <w:kern w:val="0"/>
          <w:sz w:val="24"/>
          <w:highlight w:val="none"/>
          <w:u w:val="single"/>
        </w:rPr>
        <w:t xml:space="preserve">     </w:t>
      </w:r>
      <w:r>
        <w:rPr>
          <w:rFonts w:ascii="宋体" w:hAnsi="宋体"/>
          <w:snapToGrid w:val="0"/>
          <w:color w:val="auto"/>
          <w:kern w:val="0"/>
          <w:sz w:val="24"/>
          <w:highlight w:val="none"/>
        </w:rPr>
        <w:t>月</w:t>
      </w:r>
      <w:r>
        <w:rPr>
          <w:rFonts w:ascii="宋体" w:hAnsi="宋体"/>
          <w:snapToGrid w:val="0"/>
          <w:color w:val="auto"/>
          <w:kern w:val="0"/>
          <w:sz w:val="24"/>
          <w:highlight w:val="none"/>
          <w:u w:val="single"/>
        </w:rPr>
        <w:t xml:space="preserve">    </w:t>
      </w:r>
      <w:r>
        <w:rPr>
          <w:rFonts w:ascii="宋体" w:hAnsi="宋体"/>
          <w:snapToGrid w:val="0"/>
          <w:color w:val="auto"/>
          <w:kern w:val="0"/>
          <w:sz w:val="24"/>
          <w:highlight w:val="none"/>
        </w:rPr>
        <w:t>日</w:t>
      </w:r>
    </w:p>
    <w:p w14:paraId="04CB996F">
      <w:pPr>
        <w:autoSpaceDE w:val="0"/>
        <w:autoSpaceDN w:val="0"/>
        <w:adjustRightInd w:val="0"/>
        <w:snapToGrid w:val="0"/>
        <w:spacing w:before="62" w:beforeLines="20" w:line="360" w:lineRule="auto"/>
        <w:rPr>
          <w:rFonts w:ascii="宋体" w:hAnsi="宋体"/>
          <w:snapToGrid w:val="0"/>
          <w:color w:val="auto"/>
          <w:kern w:val="0"/>
          <w:sz w:val="24"/>
          <w:highlight w:val="none"/>
        </w:rPr>
        <w:sectPr>
          <w:pgSz w:w="16838" w:h="11906" w:orient="landscape"/>
          <w:pgMar w:top="1304" w:right="1304" w:bottom="1134" w:left="1304" w:header="851" w:footer="992" w:gutter="0"/>
          <w:cols w:space="720" w:num="1"/>
          <w:docGrid w:type="lines" w:linePitch="312" w:charSpace="0"/>
        </w:sectPr>
      </w:pPr>
    </w:p>
    <w:p w14:paraId="60E9A6E7">
      <w:pPr>
        <w:autoSpaceDE w:val="0"/>
        <w:autoSpaceDN w:val="0"/>
        <w:adjustRightInd w:val="0"/>
        <w:snapToGrid w:val="0"/>
        <w:spacing w:before="62" w:beforeLines="20" w:line="360" w:lineRule="auto"/>
        <w:jc w:val="right"/>
        <w:rPr>
          <w:rFonts w:ascii="宋体" w:hAnsi="宋体"/>
          <w:snapToGrid w:val="0"/>
          <w:color w:val="auto"/>
          <w:kern w:val="0"/>
          <w:sz w:val="24"/>
          <w:highlight w:val="none"/>
        </w:rPr>
      </w:pPr>
    </w:p>
    <w:p w14:paraId="4E5EA1B1">
      <w:pPr>
        <w:autoSpaceDE w:val="0"/>
        <w:autoSpaceDN w:val="0"/>
        <w:adjustRightInd w:val="0"/>
        <w:snapToGrid w:val="0"/>
        <w:spacing w:line="360" w:lineRule="auto"/>
        <w:jc w:val="left"/>
        <w:rPr>
          <w:rFonts w:ascii="宋体" w:hAnsi="宋体"/>
          <w:b/>
          <w:snapToGrid w:val="0"/>
          <w:color w:val="auto"/>
          <w:kern w:val="0"/>
          <w:highlight w:val="none"/>
        </w:rPr>
      </w:pPr>
      <w:r>
        <w:rPr>
          <w:rFonts w:ascii="宋体" w:hAnsi="宋体"/>
          <w:b/>
          <w:snapToGrid w:val="0"/>
          <w:color w:val="auto"/>
          <w:kern w:val="0"/>
          <w:highlight w:val="none"/>
        </w:rPr>
        <w:t>附表</w:t>
      </w:r>
      <w:r>
        <w:rPr>
          <w:rFonts w:hint="eastAsia" w:ascii="宋体" w:hAnsi="宋体"/>
          <w:b/>
          <w:snapToGrid w:val="0"/>
          <w:color w:val="auto"/>
          <w:kern w:val="0"/>
          <w:highlight w:val="none"/>
        </w:rPr>
        <w:t>三</w:t>
      </w:r>
      <w:r>
        <w:rPr>
          <w:rFonts w:ascii="宋体" w:hAnsi="宋体"/>
          <w:b/>
          <w:snapToGrid w:val="0"/>
          <w:color w:val="auto"/>
          <w:kern w:val="0"/>
          <w:highlight w:val="none"/>
        </w:rPr>
        <w:t>：问题澄清通知</w:t>
      </w:r>
    </w:p>
    <w:p w14:paraId="05FB74DB">
      <w:pPr>
        <w:autoSpaceDE w:val="0"/>
        <w:autoSpaceDN w:val="0"/>
        <w:adjustRightInd w:val="0"/>
        <w:snapToGrid w:val="0"/>
        <w:spacing w:line="360" w:lineRule="auto"/>
        <w:jc w:val="left"/>
        <w:rPr>
          <w:rFonts w:ascii="宋体" w:hAnsi="宋体"/>
          <w:b/>
          <w:snapToGrid w:val="0"/>
          <w:color w:val="auto"/>
          <w:kern w:val="0"/>
          <w:sz w:val="24"/>
          <w:highlight w:val="none"/>
        </w:rPr>
      </w:pPr>
    </w:p>
    <w:p w14:paraId="05B9C10A">
      <w:pPr>
        <w:autoSpaceDE w:val="0"/>
        <w:autoSpaceDN w:val="0"/>
        <w:adjustRightInd w:val="0"/>
        <w:snapToGrid w:val="0"/>
        <w:spacing w:line="360" w:lineRule="auto"/>
        <w:jc w:val="center"/>
        <w:rPr>
          <w:rFonts w:ascii="宋体" w:hAnsi="宋体"/>
          <w:b/>
          <w:snapToGrid w:val="0"/>
          <w:color w:val="auto"/>
          <w:w w:val="99"/>
          <w:kern w:val="0"/>
          <w:sz w:val="32"/>
          <w:szCs w:val="32"/>
          <w:highlight w:val="none"/>
        </w:rPr>
      </w:pPr>
      <w:r>
        <w:rPr>
          <w:rFonts w:hint="eastAsia" w:ascii="宋体" w:hAnsi="宋体"/>
          <w:b/>
          <w:snapToGrid w:val="0"/>
          <w:color w:val="auto"/>
          <w:w w:val="99"/>
          <w:kern w:val="0"/>
          <w:sz w:val="32"/>
          <w:szCs w:val="32"/>
          <w:highlight w:val="none"/>
        </w:rPr>
        <w:t>问题澄清通知</w:t>
      </w:r>
    </w:p>
    <w:p w14:paraId="75823719">
      <w:pPr>
        <w:autoSpaceDE w:val="0"/>
        <w:autoSpaceDN w:val="0"/>
        <w:adjustRightInd w:val="0"/>
        <w:snapToGrid w:val="0"/>
        <w:spacing w:line="360" w:lineRule="auto"/>
        <w:jc w:val="left"/>
        <w:rPr>
          <w:rFonts w:ascii="宋体" w:hAnsi="宋体"/>
          <w:b/>
          <w:snapToGrid w:val="0"/>
          <w:color w:val="auto"/>
          <w:kern w:val="0"/>
          <w:sz w:val="24"/>
          <w:highlight w:val="none"/>
        </w:rPr>
      </w:pPr>
    </w:p>
    <w:p w14:paraId="08D94BE7">
      <w:pPr>
        <w:autoSpaceDE w:val="0"/>
        <w:autoSpaceDN w:val="0"/>
        <w:adjustRightInd w:val="0"/>
        <w:snapToGrid w:val="0"/>
        <w:spacing w:line="360" w:lineRule="auto"/>
        <w:ind w:firstLine="3255" w:firstLineChars="1550"/>
        <w:jc w:val="left"/>
        <w:rPr>
          <w:rFonts w:ascii="宋体" w:hAnsi="宋体"/>
          <w:snapToGrid w:val="0"/>
          <w:color w:val="auto"/>
          <w:kern w:val="0"/>
          <w:szCs w:val="21"/>
          <w:highlight w:val="none"/>
          <w:u w:val="single"/>
        </w:rPr>
      </w:pPr>
      <w:r>
        <w:rPr>
          <w:rFonts w:ascii="宋体" w:hAnsi="宋体"/>
          <w:snapToGrid w:val="0"/>
          <w:color w:val="auto"/>
          <w:kern w:val="0"/>
          <w:szCs w:val="21"/>
          <w:highlight w:val="none"/>
        </w:rPr>
        <w:t>编号：</w:t>
      </w:r>
      <w:r>
        <w:rPr>
          <w:rFonts w:hint="eastAsia" w:ascii="宋体" w:hAnsi="宋体"/>
          <w:snapToGrid w:val="0"/>
          <w:color w:val="auto"/>
          <w:kern w:val="0"/>
          <w:szCs w:val="21"/>
          <w:highlight w:val="none"/>
          <w:u w:val="single"/>
        </w:rPr>
        <w:t xml:space="preserve">                     </w:t>
      </w:r>
    </w:p>
    <w:p w14:paraId="66657A90">
      <w:pPr>
        <w:autoSpaceDE w:val="0"/>
        <w:autoSpaceDN w:val="0"/>
        <w:adjustRightInd w:val="0"/>
        <w:snapToGrid w:val="0"/>
        <w:spacing w:line="360" w:lineRule="auto"/>
        <w:jc w:val="left"/>
        <w:rPr>
          <w:rFonts w:ascii="宋体" w:hAnsi="宋体"/>
          <w:b/>
          <w:snapToGrid w:val="0"/>
          <w:color w:val="auto"/>
          <w:kern w:val="0"/>
          <w:sz w:val="24"/>
          <w:highlight w:val="none"/>
        </w:rPr>
      </w:pPr>
    </w:p>
    <w:p w14:paraId="28302DF3">
      <w:pPr>
        <w:autoSpaceDE w:val="0"/>
        <w:autoSpaceDN w:val="0"/>
        <w:adjustRightInd w:val="0"/>
        <w:snapToGrid w:val="0"/>
        <w:spacing w:line="360" w:lineRule="auto"/>
        <w:rPr>
          <w:rFonts w:ascii="宋体" w:hAnsi="宋体"/>
          <w:snapToGrid w:val="0"/>
          <w:color w:val="auto"/>
          <w:kern w:val="0"/>
          <w:sz w:val="28"/>
          <w:szCs w:val="28"/>
          <w:highlight w:val="none"/>
        </w:rPr>
      </w:pPr>
    </w:p>
    <w:p w14:paraId="424631C2">
      <w:pPr>
        <w:tabs>
          <w:tab w:val="left" w:pos="1580"/>
        </w:tabs>
        <w:autoSpaceDE w:val="0"/>
        <w:autoSpaceDN w:val="0"/>
        <w:adjustRightInd w:val="0"/>
        <w:snapToGrid w:val="0"/>
        <w:spacing w:line="480" w:lineRule="auto"/>
        <w:jc w:val="left"/>
        <w:rPr>
          <w:rFonts w:ascii="宋体" w:hAnsi="宋体"/>
          <w:snapToGrid w:val="0"/>
          <w:color w:val="auto"/>
          <w:kern w:val="0"/>
          <w:szCs w:val="21"/>
          <w:highlight w:val="none"/>
        </w:rPr>
      </w:pP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（投标人名称）</w:t>
      </w:r>
      <w:r>
        <w:rPr>
          <w:rFonts w:ascii="宋体" w:hAnsi="宋体"/>
          <w:snapToGrid w:val="0"/>
          <w:color w:val="auto"/>
          <w:kern w:val="0"/>
          <w:szCs w:val="21"/>
          <w:highlight w:val="none"/>
        </w:rPr>
        <w:t>：</w:t>
      </w:r>
    </w:p>
    <w:p w14:paraId="0CB3E1A5">
      <w:pPr>
        <w:tabs>
          <w:tab w:val="left" w:pos="2320"/>
          <w:tab w:val="left" w:pos="4460"/>
        </w:tabs>
        <w:autoSpaceDE w:val="0"/>
        <w:autoSpaceDN w:val="0"/>
        <w:adjustRightInd w:val="0"/>
        <w:snapToGrid w:val="0"/>
        <w:spacing w:line="480" w:lineRule="auto"/>
        <w:ind w:firstLine="424" w:firstLineChars="101"/>
        <w:jc w:val="left"/>
        <w:rPr>
          <w:rFonts w:ascii="宋体" w:hAnsi="宋体"/>
          <w:snapToGrid w:val="0"/>
          <w:color w:val="auto"/>
          <w:kern w:val="0"/>
          <w:szCs w:val="21"/>
          <w:highlight w:val="none"/>
        </w:rPr>
      </w:pP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（项目名称）</w:t>
      </w:r>
      <w:r>
        <w:rPr>
          <w:rFonts w:ascii="宋体" w:hAnsi="宋体"/>
          <w:snapToGrid w:val="0"/>
          <w:color w:val="auto"/>
          <w:kern w:val="0"/>
          <w:szCs w:val="21"/>
          <w:highlight w:val="none"/>
        </w:rPr>
        <w:t>的评标委员会，对你方的投标文件进行了仔细的审查，现需你方对下列问题予以澄清：</w:t>
      </w:r>
    </w:p>
    <w:p w14:paraId="60074FDF">
      <w:pPr>
        <w:autoSpaceDE w:val="0"/>
        <w:autoSpaceDN w:val="0"/>
        <w:adjustRightInd w:val="0"/>
        <w:snapToGrid w:val="0"/>
        <w:spacing w:line="360" w:lineRule="auto"/>
        <w:jc w:val="left"/>
        <w:rPr>
          <w:rFonts w:ascii="宋体" w:hAnsi="宋体"/>
          <w:snapToGrid w:val="0"/>
          <w:color w:val="auto"/>
          <w:kern w:val="0"/>
          <w:sz w:val="24"/>
          <w:highlight w:val="none"/>
        </w:rPr>
      </w:pPr>
    </w:p>
    <w:p w14:paraId="6DF84003">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 xml:space="preserve">1. </w:t>
      </w:r>
    </w:p>
    <w:p w14:paraId="626FEDC6">
      <w:pPr>
        <w:autoSpaceDE w:val="0"/>
        <w:autoSpaceDN w:val="0"/>
        <w:adjustRightInd w:val="0"/>
        <w:snapToGrid w:val="0"/>
        <w:spacing w:line="360" w:lineRule="auto"/>
        <w:jc w:val="left"/>
        <w:rPr>
          <w:rFonts w:ascii="宋体" w:hAnsi="宋体"/>
          <w:snapToGrid w:val="0"/>
          <w:color w:val="auto"/>
          <w:kern w:val="0"/>
          <w:szCs w:val="21"/>
          <w:highlight w:val="none"/>
        </w:rPr>
      </w:pPr>
    </w:p>
    <w:p w14:paraId="600212B3">
      <w:pPr>
        <w:autoSpaceDE w:val="0"/>
        <w:autoSpaceDN w:val="0"/>
        <w:adjustRightInd w:val="0"/>
        <w:snapToGrid w:val="0"/>
        <w:spacing w:line="360" w:lineRule="auto"/>
        <w:jc w:val="left"/>
        <w:rPr>
          <w:rFonts w:ascii="宋体" w:hAnsi="宋体"/>
          <w:snapToGrid w:val="0"/>
          <w:color w:val="auto"/>
          <w:kern w:val="0"/>
          <w:szCs w:val="21"/>
          <w:highlight w:val="none"/>
        </w:rPr>
      </w:pPr>
    </w:p>
    <w:p w14:paraId="2F2598CD">
      <w:pPr>
        <w:autoSpaceDE w:val="0"/>
        <w:autoSpaceDN w:val="0"/>
        <w:adjustRightInd w:val="0"/>
        <w:snapToGrid w:val="0"/>
        <w:spacing w:line="360" w:lineRule="auto"/>
        <w:jc w:val="left"/>
        <w:rPr>
          <w:rFonts w:ascii="宋体" w:hAnsi="宋体"/>
          <w:snapToGrid w:val="0"/>
          <w:color w:val="auto"/>
          <w:kern w:val="0"/>
          <w:szCs w:val="21"/>
          <w:highlight w:val="none"/>
        </w:rPr>
      </w:pPr>
    </w:p>
    <w:p w14:paraId="19131C46">
      <w:pPr>
        <w:autoSpaceDE w:val="0"/>
        <w:autoSpaceDN w:val="0"/>
        <w:adjustRightInd w:val="0"/>
        <w:snapToGrid w:val="0"/>
        <w:spacing w:line="360" w:lineRule="auto"/>
        <w:jc w:val="left"/>
        <w:rPr>
          <w:rFonts w:ascii="宋体" w:hAnsi="宋体"/>
          <w:snapToGrid w:val="0"/>
          <w:color w:val="auto"/>
          <w:kern w:val="0"/>
          <w:szCs w:val="21"/>
          <w:highlight w:val="none"/>
        </w:rPr>
      </w:pPr>
    </w:p>
    <w:p w14:paraId="6344D806">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 xml:space="preserve">2. </w:t>
      </w:r>
    </w:p>
    <w:p w14:paraId="645FB9AE">
      <w:pPr>
        <w:autoSpaceDE w:val="0"/>
        <w:autoSpaceDN w:val="0"/>
        <w:adjustRightInd w:val="0"/>
        <w:snapToGrid w:val="0"/>
        <w:spacing w:line="360" w:lineRule="auto"/>
        <w:jc w:val="left"/>
        <w:rPr>
          <w:rFonts w:ascii="宋体" w:hAnsi="宋体"/>
          <w:snapToGrid w:val="0"/>
          <w:color w:val="auto"/>
          <w:kern w:val="0"/>
          <w:szCs w:val="21"/>
          <w:highlight w:val="none"/>
        </w:rPr>
      </w:pPr>
    </w:p>
    <w:p w14:paraId="4BA48B8D">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w:t>
      </w:r>
    </w:p>
    <w:p w14:paraId="5E55823D">
      <w:pPr>
        <w:autoSpaceDE w:val="0"/>
        <w:autoSpaceDN w:val="0"/>
        <w:adjustRightInd w:val="0"/>
        <w:snapToGrid w:val="0"/>
        <w:spacing w:line="360" w:lineRule="auto"/>
        <w:jc w:val="left"/>
        <w:rPr>
          <w:rFonts w:ascii="宋体" w:hAnsi="宋体"/>
          <w:snapToGrid w:val="0"/>
          <w:color w:val="auto"/>
          <w:kern w:val="0"/>
          <w:sz w:val="14"/>
          <w:szCs w:val="14"/>
          <w:highlight w:val="none"/>
        </w:rPr>
      </w:pPr>
    </w:p>
    <w:p w14:paraId="5024D999">
      <w:pPr>
        <w:autoSpaceDE w:val="0"/>
        <w:autoSpaceDN w:val="0"/>
        <w:adjustRightInd w:val="0"/>
        <w:snapToGrid w:val="0"/>
        <w:spacing w:line="360" w:lineRule="auto"/>
        <w:jc w:val="left"/>
        <w:rPr>
          <w:rFonts w:ascii="宋体" w:hAnsi="宋体"/>
          <w:snapToGrid w:val="0"/>
          <w:color w:val="auto"/>
          <w:kern w:val="0"/>
          <w:sz w:val="14"/>
          <w:szCs w:val="14"/>
          <w:highlight w:val="none"/>
        </w:rPr>
      </w:pPr>
    </w:p>
    <w:p w14:paraId="194D4D62">
      <w:pPr>
        <w:autoSpaceDE w:val="0"/>
        <w:autoSpaceDN w:val="0"/>
        <w:adjustRightInd w:val="0"/>
        <w:snapToGrid w:val="0"/>
        <w:spacing w:line="360" w:lineRule="auto"/>
        <w:jc w:val="left"/>
        <w:rPr>
          <w:rFonts w:ascii="宋体" w:hAnsi="宋体"/>
          <w:snapToGrid w:val="0"/>
          <w:color w:val="auto"/>
          <w:kern w:val="0"/>
          <w:sz w:val="14"/>
          <w:szCs w:val="14"/>
          <w:highlight w:val="none"/>
        </w:rPr>
      </w:pPr>
    </w:p>
    <w:p w14:paraId="58CDDC01">
      <w:pPr>
        <w:autoSpaceDE w:val="0"/>
        <w:autoSpaceDN w:val="0"/>
        <w:adjustRightInd w:val="0"/>
        <w:snapToGrid w:val="0"/>
        <w:spacing w:line="360" w:lineRule="auto"/>
        <w:jc w:val="left"/>
        <w:rPr>
          <w:rFonts w:ascii="宋体" w:hAnsi="宋体"/>
          <w:snapToGrid w:val="0"/>
          <w:color w:val="auto"/>
          <w:kern w:val="0"/>
          <w:sz w:val="20"/>
          <w:szCs w:val="20"/>
          <w:highlight w:val="none"/>
        </w:rPr>
      </w:pPr>
    </w:p>
    <w:p w14:paraId="66D476E4">
      <w:pPr>
        <w:tabs>
          <w:tab w:val="left" w:pos="2745"/>
          <w:tab w:val="left" w:pos="3360"/>
          <w:tab w:val="left" w:pos="4060"/>
          <w:tab w:val="left" w:pos="4760"/>
          <w:tab w:val="left" w:pos="5360"/>
          <w:tab w:val="left" w:pos="5800"/>
          <w:tab w:val="left" w:pos="6735"/>
          <w:tab w:val="left" w:pos="7260"/>
          <w:tab w:val="left" w:pos="8000"/>
        </w:tabs>
        <w:autoSpaceDE w:val="0"/>
        <w:autoSpaceDN w:val="0"/>
        <w:adjustRightInd w:val="0"/>
        <w:snapToGrid w:val="0"/>
        <w:spacing w:line="480" w:lineRule="auto"/>
        <w:ind w:firstLine="420"/>
        <w:rPr>
          <w:rFonts w:ascii="宋体" w:hAnsi="宋体"/>
          <w:snapToGrid w:val="0"/>
          <w:color w:val="auto"/>
          <w:kern w:val="0"/>
          <w:szCs w:val="21"/>
          <w:highlight w:val="none"/>
        </w:rPr>
      </w:pPr>
      <w:r>
        <w:rPr>
          <w:rFonts w:ascii="宋体" w:hAnsi="宋体"/>
          <w:snapToGrid w:val="0"/>
          <w:color w:val="auto"/>
          <w:kern w:val="0"/>
          <w:szCs w:val="21"/>
          <w:highlight w:val="none"/>
        </w:rPr>
        <w:t>请将上述问题的澄清于</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ascii="宋体" w:hAnsi="宋体"/>
          <w:snapToGrid w:val="0"/>
          <w:color w:val="auto"/>
          <w:w w:val="200"/>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日</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时前</w:t>
      </w:r>
      <w:r>
        <w:rPr>
          <w:rFonts w:hint="eastAsia" w:ascii="宋体" w:hAnsi="宋体"/>
          <w:snapToGrid w:val="0"/>
          <w:color w:val="auto"/>
          <w:kern w:val="0"/>
          <w:szCs w:val="21"/>
          <w:highlight w:val="none"/>
        </w:rPr>
        <w:t>通过重庆市电子招投标系统提交</w:t>
      </w:r>
      <w:r>
        <w:rPr>
          <w:rFonts w:ascii="宋体" w:hAnsi="宋体"/>
          <w:snapToGrid w:val="0"/>
          <w:color w:val="auto"/>
          <w:kern w:val="0"/>
          <w:szCs w:val="21"/>
          <w:highlight w:val="none"/>
        </w:rPr>
        <w:t>。</w:t>
      </w:r>
    </w:p>
    <w:p w14:paraId="03FBAFB6">
      <w:pPr>
        <w:autoSpaceDE w:val="0"/>
        <w:autoSpaceDN w:val="0"/>
        <w:adjustRightInd w:val="0"/>
        <w:snapToGrid w:val="0"/>
        <w:spacing w:line="360" w:lineRule="auto"/>
        <w:jc w:val="left"/>
        <w:rPr>
          <w:rFonts w:ascii="宋体" w:hAnsi="宋体"/>
          <w:snapToGrid w:val="0"/>
          <w:color w:val="auto"/>
          <w:kern w:val="0"/>
          <w:sz w:val="20"/>
          <w:szCs w:val="20"/>
          <w:highlight w:val="none"/>
        </w:rPr>
      </w:pPr>
    </w:p>
    <w:p w14:paraId="35D1BD36">
      <w:pPr>
        <w:tabs>
          <w:tab w:val="left" w:pos="6400"/>
        </w:tabs>
        <w:autoSpaceDE w:val="0"/>
        <w:autoSpaceDN w:val="0"/>
        <w:adjustRightInd w:val="0"/>
        <w:snapToGrid w:val="0"/>
        <w:spacing w:line="360" w:lineRule="auto"/>
        <w:jc w:val="right"/>
        <w:rPr>
          <w:rFonts w:ascii="宋体" w:hAnsi="宋体"/>
          <w:snapToGrid w:val="0"/>
          <w:color w:val="auto"/>
          <w:kern w:val="0"/>
          <w:szCs w:val="21"/>
          <w:highlight w:val="none"/>
        </w:rPr>
      </w:pPr>
      <w:r>
        <w:rPr>
          <w:rFonts w:ascii="宋体" w:hAnsi="宋体"/>
          <w:snapToGrid w:val="0"/>
          <w:color w:val="auto"/>
          <w:kern w:val="0"/>
          <w:szCs w:val="21"/>
          <w:highlight w:val="none"/>
        </w:rPr>
        <w:t xml:space="preserve">                             评标委员会：</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签名</w:t>
      </w:r>
      <w:r>
        <w:rPr>
          <w:rFonts w:ascii="宋体" w:hAnsi="宋体"/>
          <w:snapToGrid w:val="0"/>
          <w:color w:val="auto"/>
          <w:kern w:val="0"/>
          <w:szCs w:val="21"/>
          <w:highlight w:val="none"/>
        </w:rPr>
        <w:t>）</w:t>
      </w:r>
    </w:p>
    <w:p w14:paraId="6FE94DF1">
      <w:pPr>
        <w:pStyle w:val="2"/>
        <w:jc w:val="right"/>
        <w:rPr>
          <w:i/>
          <w:color w:val="auto"/>
          <w:highlight w:val="none"/>
        </w:rPr>
      </w:pPr>
      <w:r>
        <w:rPr>
          <w:rFonts w:hint="eastAsia"/>
          <w:i/>
          <w:color w:val="auto"/>
          <w:highlight w:val="none"/>
        </w:rPr>
        <w:t>[提示：重庆市电子招投标系统应实现投标人接收端口签名隐藏显示功能]</w:t>
      </w:r>
    </w:p>
    <w:p w14:paraId="332ECA1D">
      <w:pPr>
        <w:tabs>
          <w:tab w:val="left" w:pos="6400"/>
        </w:tabs>
        <w:autoSpaceDE w:val="0"/>
        <w:autoSpaceDN w:val="0"/>
        <w:adjustRightInd w:val="0"/>
        <w:snapToGrid w:val="0"/>
        <w:spacing w:line="360" w:lineRule="auto"/>
        <w:ind w:right="120"/>
        <w:jc w:val="right"/>
        <w:rPr>
          <w:rFonts w:ascii="宋体" w:hAnsi="宋体"/>
          <w:snapToGrid w:val="0"/>
          <w:color w:val="auto"/>
          <w:kern w:val="0"/>
          <w:sz w:val="24"/>
          <w:highlight w:val="none"/>
        </w:rPr>
      </w:pPr>
      <w:r>
        <w:rPr>
          <w:rFonts w:ascii="宋体" w:hAnsi="宋体"/>
          <w:snapToGrid w:val="0"/>
          <w:color w:val="auto"/>
          <w:kern w:val="0"/>
          <w:sz w:val="24"/>
          <w:highlight w:val="none"/>
        </w:rPr>
        <w:t xml:space="preserve"> </w:t>
      </w:r>
    </w:p>
    <w:p w14:paraId="2C6B793D">
      <w:pPr>
        <w:autoSpaceDE w:val="0"/>
        <w:autoSpaceDN w:val="0"/>
        <w:adjustRightInd w:val="0"/>
        <w:snapToGrid w:val="0"/>
        <w:spacing w:line="360" w:lineRule="auto"/>
        <w:ind w:firstLine="315" w:firstLineChars="150"/>
        <w:jc w:val="right"/>
        <w:rPr>
          <w:rFonts w:ascii="宋体" w:hAnsi="宋体"/>
          <w:snapToGrid w:val="0"/>
          <w:color w:val="auto"/>
          <w:kern w:val="0"/>
          <w:szCs w:val="21"/>
          <w:highlight w:val="none"/>
        </w:rPr>
      </w:pPr>
      <w:r>
        <w:rPr>
          <w:rFonts w:ascii="宋体" w:hAnsi="宋体"/>
          <w:snapToGrid w:val="0"/>
          <w:color w:val="auto"/>
          <w:kern w:val="0"/>
          <w:szCs w:val="21"/>
          <w:highlight w:val="none"/>
        </w:rPr>
        <w:t xml:space="preserve">                            </w:t>
      </w:r>
    </w:p>
    <w:p w14:paraId="1E2F56FB">
      <w:pPr>
        <w:wordWrap w:val="0"/>
        <w:autoSpaceDE w:val="0"/>
        <w:autoSpaceDN w:val="0"/>
        <w:adjustRightInd w:val="0"/>
        <w:snapToGrid w:val="0"/>
        <w:spacing w:line="360" w:lineRule="auto"/>
        <w:ind w:firstLine="850" w:firstLineChars="405"/>
        <w:jc w:val="right"/>
        <w:rPr>
          <w:rFonts w:ascii="宋体" w:hAnsi="宋体"/>
          <w:snapToGrid w:val="0"/>
          <w:color w:val="auto"/>
          <w:kern w:val="0"/>
          <w:szCs w:val="21"/>
          <w:highlight w:val="none"/>
        </w:rPr>
      </w:pPr>
      <w:r>
        <w:rPr>
          <w:rFonts w:ascii="宋体" w:hAnsi="宋体"/>
          <w:snapToGrid w:val="0"/>
          <w:color w:val="auto"/>
          <w:kern w:val="0"/>
          <w:szCs w:val="21"/>
          <w:highlight w:val="non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ascii="宋体" w:hAnsi="宋体"/>
          <w:snapToGrid w:val="0"/>
          <w:color w:val="auto"/>
          <w:w w:val="200"/>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日</w:t>
      </w:r>
      <w:r>
        <w:rPr>
          <w:rFonts w:hint="eastAsia" w:ascii="宋体" w:hAnsi="宋体"/>
          <w:snapToGrid w:val="0"/>
          <w:color w:val="auto"/>
          <w:kern w:val="0"/>
          <w:szCs w:val="21"/>
          <w:highlight w:val="none"/>
        </w:rPr>
        <w:t xml:space="preserve">  </w:t>
      </w:r>
    </w:p>
    <w:p w14:paraId="0CED6124">
      <w:pPr>
        <w:autoSpaceDE w:val="0"/>
        <w:autoSpaceDN w:val="0"/>
        <w:adjustRightInd w:val="0"/>
        <w:snapToGrid w:val="0"/>
        <w:spacing w:line="360" w:lineRule="auto"/>
        <w:jc w:val="left"/>
        <w:rPr>
          <w:rFonts w:ascii="宋体" w:hAnsi="宋体"/>
          <w:b/>
          <w:snapToGrid w:val="0"/>
          <w:color w:val="auto"/>
          <w:kern w:val="0"/>
          <w:highlight w:val="none"/>
        </w:rPr>
      </w:pPr>
      <w:r>
        <w:rPr>
          <w:rFonts w:ascii="宋体" w:hAnsi="宋体"/>
          <w:b/>
          <w:snapToGrid w:val="0"/>
          <w:color w:val="auto"/>
          <w:kern w:val="0"/>
          <w:sz w:val="24"/>
          <w:highlight w:val="none"/>
        </w:rPr>
        <w:br w:type="page"/>
      </w:r>
      <w:r>
        <w:rPr>
          <w:rFonts w:ascii="宋体" w:hAnsi="宋体"/>
          <w:b/>
          <w:snapToGrid w:val="0"/>
          <w:color w:val="auto"/>
          <w:kern w:val="0"/>
          <w:highlight w:val="none"/>
        </w:rPr>
        <w:t>附表</w:t>
      </w:r>
      <w:r>
        <w:rPr>
          <w:rFonts w:hint="eastAsia" w:ascii="宋体" w:hAnsi="宋体"/>
          <w:b/>
          <w:snapToGrid w:val="0"/>
          <w:color w:val="auto"/>
          <w:kern w:val="0"/>
          <w:highlight w:val="none"/>
        </w:rPr>
        <w:t>四</w:t>
      </w:r>
      <w:r>
        <w:rPr>
          <w:rFonts w:ascii="宋体" w:hAnsi="宋体"/>
          <w:b/>
          <w:snapToGrid w:val="0"/>
          <w:color w:val="auto"/>
          <w:kern w:val="0"/>
          <w:highlight w:val="none"/>
        </w:rPr>
        <w:t>：问题的澄清</w:t>
      </w:r>
    </w:p>
    <w:p w14:paraId="718B2F2D">
      <w:pPr>
        <w:autoSpaceDE w:val="0"/>
        <w:autoSpaceDN w:val="0"/>
        <w:adjustRightInd w:val="0"/>
        <w:snapToGrid w:val="0"/>
        <w:spacing w:line="360" w:lineRule="auto"/>
        <w:jc w:val="left"/>
        <w:rPr>
          <w:rFonts w:ascii="宋体" w:hAnsi="宋体"/>
          <w:b/>
          <w:snapToGrid w:val="0"/>
          <w:color w:val="auto"/>
          <w:kern w:val="0"/>
          <w:sz w:val="10"/>
          <w:szCs w:val="10"/>
          <w:highlight w:val="none"/>
        </w:rPr>
      </w:pPr>
    </w:p>
    <w:p w14:paraId="5663B484">
      <w:pPr>
        <w:autoSpaceDE w:val="0"/>
        <w:autoSpaceDN w:val="0"/>
        <w:adjustRightInd w:val="0"/>
        <w:snapToGrid w:val="0"/>
        <w:spacing w:line="360" w:lineRule="auto"/>
        <w:jc w:val="center"/>
        <w:rPr>
          <w:rFonts w:ascii="宋体" w:hAnsi="宋体"/>
          <w:b/>
          <w:snapToGrid w:val="0"/>
          <w:color w:val="auto"/>
          <w:kern w:val="0"/>
          <w:sz w:val="32"/>
          <w:szCs w:val="32"/>
          <w:highlight w:val="none"/>
        </w:rPr>
      </w:pPr>
      <w:r>
        <w:rPr>
          <w:rFonts w:ascii="宋体" w:hAnsi="宋体"/>
          <w:b/>
          <w:snapToGrid w:val="0"/>
          <w:color w:val="auto"/>
          <w:w w:val="99"/>
          <w:kern w:val="0"/>
          <w:sz w:val="32"/>
          <w:szCs w:val="32"/>
          <w:highlight w:val="none"/>
        </w:rPr>
        <w:t>问题的澄清</w:t>
      </w:r>
    </w:p>
    <w:p w14:paraId="2A96E0B5">
      <w:pPr>
        <w:autoSpaceDE w:val="0"/>
        <w:autoSpaceDN w:val="0"/>
        <w:adjustRightInd w:val="0"/>
        <w:snapToGrid w:val="0"/>
        <w:spacing w:line="360" w:lineRule="auto"/>
        <w:ind w:firstLine="3255" w:firstLineChars="1550"/>
        <w:jc w:val="left"/>
        <w:rPr>
          <w:rFonts w:ascii="宋体" w:hAnsi="宋体"/>
          <w:snapToGrid w:val="0"/>
          <w:color w:val="auto"/>
          <w:kern w:val="0"/>
          <w:szCs w:val="21"/>
          <w:highlight w:val="none"/>
        </w:rPr>
      </w:pPr>
    </w:p>
    <w:p w14:paraId="22F5D8B1">
      <w:pPr>
        <w:autoSpaceDE w:val="0"/>
        <w:autoSpaceDN w:val="0"/>
        <w:adjustRightInd w:val="0"/>
        <w:snapToGrid w:val="0"/>
        <w:spacing w:line="360" w:lineRule="auto"/>
        <w:ind w:firstLine="3255" w:firstLineChars="1550"/>
        <w:jc w:val="left"/>
        <w:rPr>
          <w:rFonts w:ascii="宋体" w:hAnsi="宋体"/>
          <w:snapToGrid w:val="0"/>
          <w:color w:val="auto"/>
          <w:kern w:val="0"/>
          <w:szCs w:val="21"/>
          <w:highlight w:val="none"/>
          <w:u w:val="single"/>
        </w:rPr>
      </w:pPr>
      <w:r>
        <w:rPr>
          <w:rFonts w:ascii="宋体" w:hAnsi="宋体"/>
          <w:snapToGrid w:val="0"/>
          <w:color w:val="auto"/>
          <w:kern w:val="0"/>
          <w:szCs w:val="21"/>
          <w:highlight w:val="none"/>
        </w:rPr>
        <w:t>编号：</w:t>
      </w:r>
      <w:r>
        <w:rPr>
          <w:rFonts w:hint="eastAsia" w:ascii="宋体" w:hAnsi="宋体"/>
          <w:snapToGrid w:val="0"/>
          <w:color w:val="auto"/>
          <w:kern w:val="0"/>
          <w:szCs w:val="21"/>
          <w:highlight w:val="none"/>
          <w:u w:val="single"/>
        </w:rPr>
        <w:t xml:space="preserve">                     </w:t>
      </w:r>
    </w:p>
    <w:p w14:paraId="3F6B01CF">
      <w:pPr>
        <w:autoSpaceDE w:val="0"/>
        <w:autoSpaceDN w:val="0"/>
        <w:adjustRightInd w:val="0"/>
        <w:snapToGrid w:val="0"/>
        <w:spacing w:line="360" w:lineRule="auto"/>
        <w:ind w:firstLine="3150" w:firstLineChars="1500"/>
        <w:rPr>
          <w:rFonts w:ascii="宋体" w:hAnsi="宋体"/>
          <w:snapToGrid w:val="0"/>
          <w:color w:val="auto"/>
          <w:kern w:val="0"/>
          <w:szCs w:val="21"/>
          <w:highlight w:val="none"/>
        </w:rPr>
      </w:pPr>
    </w:p>
    <w:p w14:paraId="2E0B0064">
      <w:pPr>
        <w:autoSpaceDE w:val="0"/>
        <w:autoSpaceDN w:val="0"/>
        <w:adjustRightInd w:val="0"/>
        <w:snapToGrid w:val="0"/>
        <w:spacing w:line="360" w:lineRule="auto"/>
        <w:ind w:firstLine="3150" w:firstLineChars="1500"/>
        <w:rPr>
          <w:rFonts w:ascii="宋体" w:hAnsi="宋体"/>
          <w:snapToGrid w:val="0"/>
          <w:color w:val="auto"/>
          <w:kern w:val="0"/>
          <w:szCs w:val="21"/>
          <w:highlight w:val="none"/>
        </w:rPr>
      </w:pPr>
    </w:p>
    <w:p w14:paraId="12C189BF">
      <w:pPr>
        <w:tabs>
          <w:tab w:val="left" w:pos="735"/>
          <w:tab w:val="left" w:pos="4200"/>
        </w:tabs>
        <w:autoSpaceDE w:val="0"/>
        <w:autoSpaceDN w:val="0"/>
        <w:adjustRightInd w:val="0"/>
        <w:snapToGrid w:val="0"/>
        <w:spacing w:line="480" w:lineRule="auto"/>
        <w:jc w:val="left"/>
        <w:rPr>
          <w:rFonts w:ascii="宋体" w:hAnsi="宋体"/>
          <w:snapToGrid w:val="0"/>
          <w:color w:val="auto"/>
          <w:kern w:val="0"/>
          <w:szCs w:val="21"/>
          <w:highlight w:val="none"/>
        </w:rPr>
      </w:pP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（项目名称）</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招标评标委员会：</w:t>
      </w:r>
    </w:p>
    <w:p w14:paraId="18D6A199">
      <w:pPr>
        <w:tabs>
          <w:tab w:val="left" w:pos="2000"/>
          <w:tab w:val="left" w:pos="3480"/>
          <w:tab w:val="left" w:pos="4200"/>
        </w:tabs>
        <w:autoSpaceDE w:val="0"/>
        <w:autoSpaceDN w:val="0"/>
        <w:adjustRightInd w:val="0"/>
        <w:snapToGrid w:val="0"/>
        <w:spacing w:line="48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问题澄清通知（编号：</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rPr>
        <w:t>）已收悉，现澄清如下：</w:t>
      </w:r>
    </w:p>
    <w:p w14:paraId="741777B7">
      <w:pPr>
        <w:tabs>
          <w:tab w:val="left" w:pos="2000"/>
          <w:tab w:val="left" w:pos="3480"/>
          <w:tab w:val="left" w:pos="4200"/>
        </w:tabs>
        <w:autoSpaceDE w:val="0"/>
        <w:autoSpaceDN w:val="0"/>
        <w:adjustRightInd w:val="0"/>
        <w:snapToGrid w:val="0"/>
        <w:spacing w:line="360" w:lineRule="auto"/>
        <w:jc w:val="left"/>
        <w:rPr>
          <w:rFonts w:ascii="宋体" w:hAnsi="宋体"/>
          <w:snapToGrid w:val="0"/>
          <w:color w:val="auto"/>
          <w:kern w:val="0"/>
          <w:szCs w:val="21"/>
          <w:highlight w:val="none"/>
        </w:rPr>
      </w:pPr>
    </w:p>
    <w:p w14:paraId="77BA026B">
      <w:pPr>
        <w:tabs>
          <w:tab w:val="left" w:pos="2000"/>
          <w:tab w:val="left" w:pos="3480"/>
          <w:tab w:val="left" w:pos="4200"/>
        </w:tabs>
        <w:autoSpaceDE w:val="0"/>
        <w:autoSpaceDN w:val="0"/>
        <w:adjustRightInd w:val="0"/>
        <w:snapToGrid w:val="0"/>
        <w:spacing w:line="360" w:lineRule="auto"/>
        <w:jc w:val="left"/>
        <w:rPr>
          <w:rFonts w:ascii="宋体" w:hAnsi="宋体"/>
          <w:snapToGrid w:val="0"/>
          <w:color w:val="auto"/>
          <w:kern w:val="0"/>
          <w:szCs w:val="21"/>
          <w:highlight w:val="none"/>
        </w:rPr>
      </w:pPr>
    </w:p>
    <w:p w14:paraId="75A6C562">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 xml:space="preserve">1. </w:t>
      </w:r>
    </w:p>
    <w:p w14:paraId="69AF144C">
      <w:pPr>
        <w:autoSpaceDE w:val="0"/>
        <w:autoSpaceDN w:val="0"/>
        <w:adjustRightInd w:val="0"/>
        <w:snapToGrid w:val="0"/>
        <w:spacing w:line="360" w:lineRule="auto"/>
        <w:jc w:val="left"/>
        <w:rPr>
          <w:rFonts w:ascii="宋体" w:hAnsi="宋体"/>
          <w:snapToGrid w:val="0"/>
          <w:color w:val="auto"/>
          <w:kern w:val="0"/>
          <w:sz w:val="18"/>
          <w:szCs w:val="18"/>
          <w:highlight w:val="none"/>
        </w:rPr>
      </w:pPr>
    </w:p>
    <w:p w14:paraId="25087C43">
      <w:pPr>
        <w:autoSpaceDE w:val="0"/>
        <w:autoSpaceDN w:val="0"/>
        <w:adjustRightInd w:val="0"/>
        <w:snapToGrid w:val="0"/>
        <w:spacing w:line="360" w:lineRule="auto"/>
        <w:jc w:val="left"/>
        <w:rPr>
          <w:rFonts w:ascii="宋体" w:hAnsi="宋体"/>
          <w:snapToGrid w:val="0"/>
          <w:color w:val="auto"/>
          <w:kern w:val="0"/>
          <w:sz w:val="18"/>
          <w:szCs w:val="18"/>
          <w:highlight w:val="none"/>
        </w:rPr>
      </w:pPr>
    </w:p>
    <w:p w14:paraId="6641D96C">
      <w:pPr>
        <w:autoSpaceDE w:val="0"/>
        <w:autoSpaceDN w:val="0"/>
        <w:adjustRightInd w:val="0"/>
        <w:snapToGrid w:val="0"/>
        <w:spacing w:line="360" w:lineRule="auto"/>
        <w:jc w:val="left"/>
        <w:rPr>
          <w:rFonts w:ascii="宋体" w:hAnsi="宋体"/>
          <w:snapToGrid w:val="0"/>
          <w:color w:val="auto"/>
          <w:kern w:val="0"/>
          <w:sz w:val="18"/>
          <w:szCs w:val="18"/>
          <w:highlight w:val="none"/>
        </w:rPr>
      </w:pPr>
    </w:p>
    <w:p w14:paraId="61A27186">
      <w:pPr>
        <w:autoSpaceDE w:val="0"/>
        <w:autoSpaceDN w:val="0"/>
        <w:adjustRightInd w:val="0"/>
        <w:snapToGrid w:val="0"/>
        <w:spacing w:line="360" w:lineRule="auto"/>
        <w:jc w:val="left"/>
        <w:rPr>
          <w:rFonts w:ascii="宋体" w:hAnsi="宋体"/>
          <w:snapToGrid w:val="0"/>
          <w:color w:val="auto"/>
          <w:kern w:val="0"/>
          <w:sz w:val="18"/>
          <w:szCs w:val="18"/>
          <w:highlight w:val="none"/>
        </w:rPr>
      </w:pPr>
    </w:p>
    <w:p w14:paraId="6356DB76">
      <w:pPr>
        <w:autoSpaceDE w:val="0"/>
        <w:autoSpaceDN w:val="0"/>
        <w:adjustRightInd w:val="0"/>
        <w:snapToGrid w:val="0"/>
        <w:spacing w:line="360" w:lineRule="auto"/>
        <w:jc w:val="left"/>
        <w:rPr>
          <w:rFonts w:ascii="宋体" w:hAnsi="宋体"/>
          <w:snapToGrid w:val="0"/>
          <w:color w:val="auto"/>
          <w:kern w:val="0"/>
          <w:sz w:val="18"/>
          <w:szCs w:val="18"/>
          <w:highlight w:val="none"/>
        </w:rPr>
      </w:pPr>
    </w:p>
    <w:p w14:paraId="2FDA945E">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 xml:space="preserve">2. </w:t>
      </w:r>
    </w:p>
    <w:p w14:paraId="299F8A09">
      <w:pPr>
        <w:autoSpaceDE w:val="0"/>
        <w:autoSpaceDN w:val="0"/>
        <w:adjustRightInd w:val="0"/>
        <w:snapToGrid w:val="0"/>
        <w:spacing w:line="360" w:lineRule="auto"/>
        <w:jc w:val="left"/>
        <w:rPr>
          <w:rFonts w:ascii="宋体" w:hAnsi="宋体"/>
          <w:snapToGrid w:val="0"/>
          <w:color w:val="auto"/>
          <w:kern w:val="0"/>
          <w:sz w:val="20"/>
          <w:szCs w:val="20"/>
          <w:highlight w:val="none"/>
        </w:rPr>
      </w:pPr>
    </w:p>
    <w:p w14:paraId="3240C17F">
      <w:pPr>
        <w:autoSpaceDE w:val="0"/>
        <w:autoSpaceDN w:val="0"/>
        <w:adjustRightInd w:val="0"/>
        <w:snapToGrid w:val="0"/>
        <w:spacing w:line="360" w:lineRule="auto"/>
        <w:jc w:val="left"/>
        <w:rPr>
          <w:rFonts w:ascii="宋体" w:hAnsi="宋体"/>
          <w:snapToGrid w:val="0"/>
          <w:color w:val="auto"/>
          <w:kern w:val="0"/>
          <w:sz w:val="20"/>
          <w:szCs w:val="20"/>
          <w:highlight w:val="none"/>
        </w:rPr>
      </w:pPr>
    </w:p>
    <w:p w14:paraId="4587ACAD">
      <w:pPr>
        <w:autoSpaceDE w:val="0"/>
        <w:autoSpaceDN w:val="0"/>
        <w:adjustRightInd w:val="0"/>
        <w:snapToGrid w:val="0"/>
        <w:spacing w:line="360" w:lineRule="auto"/>
        <w:jc w:val="left"/>
        <w:rPr>
          <w:rFonts w:ascii="宋体" w:hAnsi="宋体"/>
          <w:snapToGrid w:val="0"/>
          <w:color w:val="auto"/>
          <w:kern w:val="0"/>
          <w:sz w:val="20"/>
          <w:szCs w:val="20"/>
          <w:highlight w:val="none"/>
        </w:rPr>
      </w:pPr>
    </w:p>
    <w:p w14:paraId="4C431CC3">
      <w:pPr>
        <w:autoSpaceDE w:val="0"/>
        <w:autoSpaceDN w:val="0"/>
        <w:adjustRightInd w:val="0"/>
        <w:snapToGrid w:val="0"/>
        <w:spacing w:line="360" w:lineRule="auto"/>
        <w:jc w:val="left"/>
        <w:rPr>
          <w:rFonts w:ascii="宋体" w:hAnsi="宋体"/>
          <w:snapToGrid w:val="0"/>
          <w:color w:val="auto"/>
          <w:kern w:val="0"/>
          <w:sz w:val="20"/>
          <w:szCs w:val="20"/>
          <w:highlight w:val="none"/>
        </w:rPr>
      </w:pPr>
    </w:p>
    <w:p w14:paraId="46588121">
      <w:pPr>
        <w:autoSpaceDE w:val="0"/>
        <w:autoSpaceDN w:val="0"/>
        <w:adjustRightInd w:val="0"/>
        <w:snapToGrid w:val="0"/>
        <w:spacing w:line="360" w:lineRule="auto"/>
        <w:jc w:val="left"/>
        <w:rPr>
          <w:rFonts w:ascii="宋体" w:hAnsi="宋体"/>
          <w:snapToGrid w:val="0"/>
          <w:color w:val="auto"/>
          <w:kern w:val="0"/>
          <w:sz w:val="22"/>
          <w:szCs w:val="22"/>
          <w:highlight w:val="none"/>
        </w:rPr>
      </w:pPr>
    </w:p>
    <w:p w14:paraId="7C416A0D">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w:t>
      </w:r>
    </w:p>
    <w:p w14:paraId="62A696BB">
      <w:pPr>
        <w:autoSpaceDE w:val="0"/>
        <w:autoSpaceDN w:val="0"/>
        <w:adjustRightInd w:val="0"/>
        <w:snapToGrid w:val="0"/>
        <w:spacing w:line="360" w:lineRule="auto"/>
        <w:jc w:val="left"/>
        <w:rPr>
          <w:rFonts w:ascii="宋体" w:hAnsi="宋体"/>
          <w:snapToGrid w:val="0"/>
          <w:color w:val="auto"/>
          <w:kern w:val="0"/>
          <w:sz w:val="18"/>
          <w:szCs w:val="18"/>
          <w:highlight w:val="none"/>
        </w:rPr>
      </w:pPr>
    </w:p>
    <w:p w14:paraId="18917E62">
      <w:pPr>
        <w:autoSpaceDE w:val="0"/>
        <w:autoSpaceDN w:val="0"/>
        <w:adjustRightInd w:val="0"/>
        <w:snapToGrid w:val="0"/>
        <w:spacing w:line="360" w:lineRule="auto"/>
        <w:jc w:val="left"/>
        <w:rPr>
          <w:rFonts w:ascii="宋体" w:hAnsi="宋体"/>
          <w:snapToGrid w:val="0"/>
          <w:color w:val="auto"/>
          <w:kern w:val="0"/>
          <w:sz w:val="20"/>
          <w:szCs w:val="20"/>
          <w:highlight w:val="none"/>
        </w:rPr>
      </w:pPr>
    </w:p>
    <w:p w14:paraId="5C0F2EF0">
      <w:pPr>
        <w:autoSpaceDE w:val="0"/>
        <w:autoSpaceDN w:val="0"/>
        <w:adjustRightInd w:val="0"/>
        <w:snapToGrid w:val="0"/>
        <w:spacing w:line="360" w:lineRule="auto"/>
        <w:jc w:val="left"/>
        <w:rPr>
          <w:rFonts w:ascii="宋体" w:hAnsi="宋体"/>
          <w:snapToGrid w:val="0"/>
          <w:color w:val="auto"/>
          <w:kern w:val="0"/>
          <w:sz w:val="20"/>
          <w:szCs w:val="20"/>
          <w:highlight w:val="none"/>
        </w:rPr>
      </w:pPr>
    </w:p>
    <w:p w14:paraId="3A112D3C">
      <w:pPr>
        <w:autoSpaceDE w:val="0"/>
        <w:autoSpaceDN w:val="0"/>
        <w:adjustRightInd w:val="0"/>
        <w:snapToGrid w:val="0"/>
        <w:spacing w:line="360" w:lineRule="auto"/>
        <w:jc w:val="left"/>
        <w:rPr>
          <w:rFonts w:ascii="宋体" w:hAnsi="宋体"/>
          <w:snapToGrid w:val="0"/>
          <w:color w:val="auto"/>
          <w:kern w:val="0"/>
          <w:sz w:val="20"/>
          <w:szCs w:val="20"/>
          <w:highlight w:val="none"/>
        </w:rPr>
      </w:pPr>
    </w:p>
    <w:p w14:paraId="2EF970E7">
      <w:pPr>
        <w:autoSpaceDE w:val="0"/>
        <w:autoSpaceDN w:val="0"/>
        <w:adjustRightInd w:val="0"/>
        <w:snapToGrid w:val="0"/>
        <w:spacing w:line="360" w:lineRule="auto"/>
        <w:jc w:val="left"/>
        <w:rPr>
          <w:rFonts w:ascii="宋体" w:hAnsi="宋体"/>
          <w:snapToGrid w:val="0"/>
          <w:color w:val="auto"/>
          <w:kern w:val="0"/>
          <w:sz w:val="20"/>
          <w:szCs w:val="20"/>
          <w:highlight w:val="none"/>
        </w:rPr>
      </w:pPr>
    </w:p>
    <w:p w14:paraId="0B4B5ECF">
      <w:pPr>
        <w:tabs>
          <w:tab w:val="left" w:pos="7035"/>
        </w:tabs>
        <w:autoSpaceDE w:val="0"/>
        <w:autoSpaceDN w:val="0"/>
        <w:adjustRightInd w:val="0"/>
        <w:snapToGrid w:val="0"/>
        <w:spacing w:line="480" w:lineRule="auto"/>
        <w:ind w:firstLine="2551" w:firstLineChars="1215"/>
        <w:jc w:val="right"/>
        <w:rPr>
          <w:rFonts w:ascii="宋体" w:hAnsi="宋体"/>
          <w:snapToGrid w:val="0"/>
          <w:color w:val="auto"/>
          <w:kern w:val="0"/>
          <w:szCs w:val="21"/>
          <w:highlight w:val="none"/>
        </w:rPr>
      </w:pPr>
      <w:r>
        <w:rPr>
          <w:rFonts w:ascii="宋体" w:hAnsi="宋体"/>
          <w:snapToGrid w:val="0"/>
          <w:color w:val="auto"/>
          <w:kern w:val="0"/>
          <w:szCs w:val="21"/>
          <w:highlight w:val="none"/>
        </w:rPr>
        <w:t>投标人：</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rPr>
        <w:t xml:space="preserve">（盖单位法人章） </w:t>
      </w:r>
    </w:p>
    <w:p w14:paraId="5486F867">
      <w:pPr>
        <w:tabs>
          <w:tab w:val="left" w:pos="6620"/>
          <w:tab w:val="left" w:pos="7040"/>
        </w:tabs>
        <w:autoSpaceDE w:val="0"/>
        <w:autoSpaceDN w:val="0"/>
        <w:adjustRightInd w:val="0"/>
        <w:snapToGrid w:val="0"/>
        <w:spacing w:line="480" w:lineRule="auto"/>
        <w:ind w:firstLine="2551" w:firstLineChars="1215"/>
        <w:jc w:val="right"/>
        <w:rPr>
          <w:rFonts w:ascii="宋体" w:hAnsi="宋体"/>
          <w:snapToGrid w:val="0"/>
          <w:color w:val="auto"/>
          <w:kern w:val="0"/>
          <w:szCs w:val="21"/>
          <w:highlight w:val="none"/>
        </w:rPr>
      </w:pPr>
      <w:r>
        <w:rPr>
          <w:rFonts w:ascii="宋体" w:hAnsi="宋体"/>
          <w:snapToGrid w:val="0"/>
          <w:color w:val="auto"/>
          <w:kern w:val="0"/>
          <w:szCs w:val="21"/>
          <w:highlight w:val="none"/>
        </w:rPr>
        <w:t>法定代表人或其委托代理人：</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ab/>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签名</w:t>
      </w:r>
      <w:r>
        <w:rPr>
          <w:rFonts w:ascii="宋体" w:hAnsi="宋体"/>
          <w:snapToGrid w:val="0"/>
          <w:color w:val="auto"/>
          <w:kern w:val="0"/>
          <w:szCs w:val="21"/>
          <w:highlight w:val="none"/>
        </w:rPr>
        <w:t>或盖章）</w:t>
      </w:r>
    </w:p>
    <w:p w14:paraId="602F6D7F">
      <w:pPr>
        <w:autoSpaceDE w:val="0"/>
        <w:autoSpaceDN w:val="0"/>
        <w:adjustRightInd w:val="0"/>
        <w:snapToGrid w:val="0"/>
        <w:spacing w:line="360" w:lineRule="auto"/>
        <w:jc w:val="right"/>
        <w:rPr>
          <w:rFonts w:ascii="宋体" w:hAnsi="宋体"/>
          <w:snapToGrid w:val="0"/>
          <w:color w:val="auto"/>
          <w:kern w:val="0"/>
          <w:sz w:val="20"/>
          <w:szCs w:val="20"/>
          <w:highlight w:val="none"/>
        </w:rPr>
      </w:pPr>
    </w:p>
    <w:p w14:paraId="16827DA9">
      <w:pPr>
        <w:wordWrap w:val="0"/>
        <w:autoSpaceDE w:val="0"/>
        <w:autoSpaceDN w:val="0"/>
        <w:adjustRightInd w:val="0"/>
        <w:snapToGrid w:val="0"/>
        <w:spacing w:line="360" w:lineRule="auto"/>
        <w:ind w:firstLine="315" w:firstLineChars="150"/>
        <w:jc w:val="right"/>
        <w:rPr>
          <w:rFonts w:ascii="宋体" w:hAnsi="宋体"/>
          <w:snapToGrid w:val="0"/>
          <w:color w:val="auto"/>
          <w:kern w:val="0"/>
          <w:szCs w:val="21"/>
          <w:highlight w:val="none"/>
        </w:rPr>
      </w:pPr>
      <w:r>
        <w:rPr>
          <w:rFonts w:ascii="宋体" w:hAnsi="宋体"/>
          <w:snapToGrid w:val="0"/>
          <w:color w:val="auto"/>
          <w:kern w:val="0"/>
          <w:szCs w:val="21"/>
          <w:highlight w:val="non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ascii="宋体" w:hAnsi="宋体"/>
          <w:snapToGrid w:val="0"/>
          <w:color w:val="auto"/>
          <w:w w:val="200"/>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日</w:t>
      </w:r>
      <w:r>
        <w:rPr>
          <w:rFonts w:hint="eastAsia" w:ascii="宋体" w:hAnsi="宋体"/>
          <w:snapToGrid w:val="0"/>
          <w:color w:val="auto"/>
          <w:kern w:val="0"/>
          <w:szCs w:val="21"/>
          <w:highlight w:val="none"/>
        </w:rPr>
        <w:t xml:space="preserve"> </w:t>
      </w:r>
    </w:p>
    <w:p w14:paraId="5020F588">
      <w:pPr>
        <w:autoSpaceDE w:val="0"/>
        <w:autoSpaceDN w:val="0"/>
        <w:adjustRightInd w:val="0"/>
        <w:snapToGrid w:val="0"/>
        <w:spacing w:line="360" w:lineRule="auto"/>
        <w:jc w:val="left"/>
        <w:rPr>
          <w:rFonts w:ascii="宋体" w:hAnsi="宋体"/>
          <w:b/>
          <w:snapToGrid w:val="0"/>
          <w:color w:val="auto"/>
          <w:kern w:val="0"/>
          <w:sz w:val="24"/>
          <w:highlight w:val="none"/>
        </w:rPr>
      </w:pPr>
    </w:p>
    <w:p w14:paraId="4A264830">
      <w:pPr>
        <w:autoSpaceDE w:val="0"/>
        <w:autoSpaceDN w:val="0"/>
        <w:adjustRightInd w:val="0"/>
        <w:snapToGrid w:val="0"/>
        <w:spacing w:line="360" w:lineRule="auto"/>
        <w:jc w:val="left"/>
        <w:rPr>
          <w:rFonts w:ascii="宋体" w:hAnsi="宋体"/>
          <w:snapToGrid w:val="0"/>
          <w:color w:val="auto"/>
          <w:kern w:val="0"/>
          <w:sz w:val="20"/>
          <w:szCs w:val="20"/>
          <w:highlight w:val="none"/>
        </w:rPr>
      </w:pPr>
      <w:r>
        <w:rPr>
          <w:rFonts w:ascii="宋体" w:hAnsi="宋体"/>
          <w:b/>
          <w:snapToGrid w:val="0"/>
          <w:color w:val="auto"/>
          <w:kern w:val="0"/>
          <w:highlight w:val="none"/>
        </w:rPr>
        <w:t>附表</w:t>
      </w:r>
      <w:r>
        <w:rPr>
          <w:rFonts w:hint="eastAsia" w:ascii="宋体" w:hAnsi="宋体"/>
          <w:b/>
          <w:snapToGrid w:val="0"/>
          <w:color w:val="auto"/>
          <w:kern w:val="0"/>
          <w:highlight w:val="none"/>
        </w:rPr>
        <w:t>五</w:t>
      </w:r>
      <w:r>
        <w:rPr>
          <w:rFonts w:ascii="宋体" w:hAnsi="宋体"/>
          <w:b/>
          <w:snapToGrid w:val="0"/>
          <w:color w:val="auto"/>
          <w:kern w:val="0"/>
          <w:highlight w:val="none"/>
        </w:rPr>
        <w:t>：中标通知书</w:t>
      </w:r>
    </w:p>
    <w:p w14:paraId="2E9D2B82">
      <w:pPr>
        <w:autoSpaceDE w:val="0"/>
        <w:autoSpaceDN w:val="0"/>
        <w:adjustRightInd w:val="0"/>
        <w:spacing w:line="360" w:lineRule="auto"/>
        <w:jc w:val="left"/>
        <w:rPr>
          <w:rFonts w:ascii="宋体" w:hAnsi="宋体"/>
          <w:snapToGrid w:val="0"/>
          <w:color w:val="auto"/>
          <w:kern w:val="0"/>
          <w:sz w:val="20"/>
          <w:szCs w:val="20"/>
          <w:highlight w:val="none"/>
        </w:rPr>
      </w:pPr>
    </w:p>
    <w:p w14:paraId="6DECE862">
      <w:pPr>
        <w:autoSpaceDE w:val="0"/>
        <w:autoSpaceDN w:val="0"/>
        <w:adjustRightInd w:val="0"/>
        <w:spacing w:line="360" w:lineRule="auto"/>
        <w:jc w:val="left"/>
        <w:rPr>
          <w:rFonts w:ascii="宋体" w:hAnsi="宋体"/>
          <w:snapToGrid w:val="0"/>
          <w:color w:val="auto"/>
          <w:kern w:val="0"/>
          <w:sz w:val="20"/>
          <w:szCs w:val="20"/>
          <w:highlight w:val="none"/>
        </w:rPr>
      </w:pPr>
    </w:p>
    <w:p w14:paraId="4E79D1AE">
      <w:pPr>
        <w:autoSpaceDE w:val="0"/>
        <w:autoSpaceDN w:val="0"/>
        <w:adjustRightInd w:val="0"/>
        <w:spacing w:line="360" w:lineRule="auto"/>
        <w:jc w:val="left"/>
        <w:rPr>
          <w:rFonts w:ascii="宋体" w:hAnsi="宋体"/>
          <w:snapToGrid w:val="0"/>
          <w:color w:val="auto"/>
          <w:kern w:val="0"/>
          <w:sz w:val="20"/>
          <w:szCs w:val="20"/>
          <w:highlight w:val="none"/>
        </w:rPr>
      </w:pPr>
    </w:p>
    <w:p w14:paraId="73750C62">
      <w:pPr>
        <w:autoSpaceDE w:val="0"/>
        <w:autoSpaceDN w:val="0"/>
        <w:adjustRightInd w:val="0"/>
        <w:snapToGrid w:val="0"/>
        <w:spacing w:line="360" w:lineRule="auto"/>
        <w:jc w:val="center"/>
        <w:rPr>
          <w:rFonts w:ascii="宋体" w:hAnsi="宋体"/>
          <w:b/>
          <w:snapToGrid w:val="0"/>
          <w:color w:val="auto"/>
          <w:w w:val="99"/>
          <w:kern w:val="0"/>
          <w:sz w:val="32"/>
          <w:szCs w:val="32"/>
          <w:highlight w:val="none"/>
        </w:rPr>
      </w:pPr>
      <w:r>
        <w:rPr>
          <w:rFonts w:hint="eastAsia" w:ascii="宋体" w:hAnsi="宋体"/>
          <w:b/>
          <w:snapToGrid w:val="0"/>
          <w:color w:val="auto"/>
          <w:w w:val="99"/>
          <w:kern w:val="0"/>
          <w:sz w:val="32"/>
          <w:szCs w:val="32"/>
          <w:highlight w:val="none"/>
        </w:rPr>
        <w:t>重庆市建设工程中标通知书</w:t>
      </w:r>
    </w:p>
    <w:p w14:paraId="34C28CB2">
      <w:pPr>
        <w:spacing w:line="360" w:lineRule="auto"/>
        <w:rPr>
          <w:rFonts w:ascii="宋体" w:hAnsi="宋体"/>
          <w:bCs/>
          <w:color w:val="auto"/>
          <w:kern w:val="0"/>
          <w:szCs w:val="21"/>
          <w:highlight w:val="none"/>
          <w:u w:val="single"/>
        </w:rPr>
      </w:pPr>
      <w:r>
        <w:rPr>
          <w:rFonts w:ascii="宋体" w:hAnsi="宋体"/>
          <w:bCs/>
          <w:color w:val="auto"/>
          <w:kern w:val="0"/>
          <w:szCs w:val="21"/>
          <w:highlight w:val="none"/>
          <w:u w:val="single"/>
        </w:rPr>
        <w:t xml:space="preserve">       </w:t>
      </w:r>
      <w:r>
        <w:rPr>
          <w:rFonts w:ascii="宋体" w:hAnsi="宋体"/>
          <w:color w:val="auto"/>
          <w:kern w:val="0"/>
          <w:szCs w:val="21"/>
          <w:highlight w:val="none"/>
          <w:u w:val="single"/>
        </w:rPr>
        <w:t>中标单位</w:t>
      </w:r>
      <w:r>
        <w:rPr>
          <w:rFonts w:ascii="宋体" w:hAnsi="宋体"/>
          <w:bCs/>
          <w:color w:val="auto"/>
          <w:kern w:val="0"/>
          <w:szCs w:val="21"/>
          <w:highlight w:val="none"/>
          <w:u w:val="single"/>
        </w:rPr>
        <w:t xml:space="preserve">               </w:t>
      </w:r>
      <w:r>
        <w:rPr>
          <w:rFonts w:ascii="宋体" w:hAnsi="宋体"/>
          <w:bCs/>
          <w:color w:val="auto"/>
          <w:kern w:val="0"/>
          <w:szCs w:val="21"/>
          <w:highlight w:val="none"/>
        </w:rPr>
        <w:t>：</w:t>
      </w:r>
    </w:p>
    <w:p w14:paraId="7AFD701B">
      <w:pPr>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 xml:space="preserve">我单位拟建的 </w:t>
      </w:r>
      <w:r>
        <w:rPr>
          <w:rFonts w:ascii="宋体" w:hAnsi="宋体"/>
          <w:bCs/>
          <w:color w:val="auto"/>
          <w:kern w:val="0"/>
          <w:szCs w:val="21"/>
          <w:highlight w:val="none"/>
          <w:u w:val="single"/>
        </w:rPr>
        <w:t xml:space="preserve">   </w:t>
      </w:r>
      <w:r>
        <w:rPr>
          <w:rFonts w:hint="eastAsia" w:ascii="宋体" w:hAnsi="宋体"/>
          <w:bCs/>
          <w:color w:val="auto"/>
          <w:kern w:val="0"/>
          <w:szCs w:val="21"/>
          <w:highlight w:val="none"/>
          <w:u w:val="single"/>
        </w:rPr>
        <w:t>（项目名称）</w:t>
      </w:r>
      <w:r>
        <w:rPr>
          <w:rFonts w:ascii="宋体" w:hAnsi="宋体"/>
          <w:bCs/>
          <w:color w:val="auto"/>
          <w:kern w:val="0"/>
          <w:szCs w:val="21"/>
          <w:highlight w:val="none"/>
          <w:u w:val="single"/>
        </w:rPr>
        <w:t xml:space="preserve">    </w:t>
      </w:r>
      <w:r>
        <w:rPr>
          <w:rFonts w:ascii="宋体" w:hAnsi="宋体"/>
          <w:color w:val="auto"/>
          <w:kern w:val="0"/>
          <w:szCs w:val="21"/>
          <w:highlight w:val="none"/>
        </w:rPr>
        <w:t>于</w:t>
      </w:r>
      <w:r>
        <w:rPr>
          <w:rFonts w:ascii="宋体" w:hAnsi="宋体"/>
          <w:bCs/>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bCs/>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bCs/>
          <w:color w:val="auto"/>
          <w:kern w:val="0"/>
          <w:szCs w:val="21"/>
          <w:highlight w:val="none"/>
          <w:u w:val="single"/>
        </w:rPr>
        <w:t xml:space="preserve">    </w:t>
      </w:r>
      <w:r>
        <w:rPr>
          <w:rFonts w:ascii="宋体" w:hAnsi="宋体"/>
          <w:color w:val="auto"/>
          <w:kern w:val="0"/>
          <w:szCs w:val="21"/>
          <w:highlight w:val="none"/>
        </w:rPr>
        <w:t>日开标，经评标委员会评定，确定你单位为中标人，中标额为</w:t>
      </w:r>
      <w:r>
        <w:rPr>
          <w:rFonts w:hint="eastAsia" w:ascii="宋体" w:hAnsi="宋体"/>
          <w:color w:val="auto"/>
          <w:kern w:val="0"/>
          <w:szCs w:val="21"/>
          <w:highlight w:val="none"/>
        </w:rPr>
        <w:t>（大写）</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rPr>
        <w:t>，</w:t>
      </w:r>
      <w:r>
        <w:rPr>
          <w:rFonts w:ascii="宋体" w:hAnsi="宋体"/>
          <w:bCs/>
          <w:color w:val="auto"/>
          <w:kern w:val="0"/>
          <w:szCs w:val="21"/>
          <w:highlight w:val="none"/>
          <w:u w:val="single"/>
        </w:rPr>
        <w:t xml:space="preserve">￥ </w:t>
      </w:r>
      <w:r>
        <w:rPr>
          <w:rFonts w:hint="eastAsia" w:ascii="宋体" w:hAnsi="宋体"/>
          <w:bCs/>
          <w:color w:val="auto"/>
          <w:kern w:val="0"/>
          <w:szCs w:val="21"/>
          <w:highlight w:val="none"/>
          <w:u w:val="single"/>
        </w:rPr>
        <w:t xml:space="preserve">  </w:t>
      </w:r>
      <w:r>
        <w:rPr>
          <w:rFonts w:ascii="宋体" w:hAnsi="宋体"/>
          <w:bCs/>
          <w:color w:val="auto"/>
          <w:kern w:val="0"/>
          <w:szCs w:val="21"/>
          <w:highlight w:val="none"/>
          <w:u w:val="single"/>
        </w:rPr>
        <w:t xml:space="preserve">  </w:t>
      </w:r>
      <w:r>
        <w:rPr>
          <w:rFonts w:ascii="宋体" w:hAnsi="宋体"/>
          <w:color w:val="auto"/>
          <w:kern w:val="0"/>
          <w:szCs w:val="21"/>
          <w:highlight w:val="none"/>
        </w:rPr>
        <w:t xml:space="preserve">（其中含安全文明施工费 </w:t>
      </w:r>
      <w:r>
        <w:rPr>
          <w:rFonts w:ascii="宋体" w:hAnsi="宋体"/>
          <w:bCs/>
          <w:color w:val="auto"/>
          <w:kern w:val="0"/>
          <w:szCs w:val="21"/>
          <w:highlight w:val="none"/>
          <w:u w:val="single"/>
        </w:rPr>
        <w:t xml:space="preserve">￥    </w:t>
      </w:r>
      <w:r>
        <w:rPr>
          <w:rFonts w:ascii="宋体" w:hAnsi="宋体"/>
          <w:color w:val="auto"/>
          <w:kern w:val="0"/>
          <w:szCs w:val="21"/>
          <w:highlight w:val="none"/>
        </w:rPr>
        <w:t>）。中标工程范围：</w:t>
      </w:r>
      <w:r>
        <w:rPr>
          <w:rFonts w:ascii="宋体" w:hAnsi="宋体"/>
          <w:bCs/>
          <w:color w:val="auto"/>
          <w:kern w:val="0"/>
          <w:szCs w:val="21"/>
          <w:highlight w:val="none"/>
          <w:u w:val="single"/>
        </w:rPr>
        <w:t xml:space="preserve">     </w:t>
      </w:r>
      <w:r>
        <w:rPr>
          <w:rFonts w:ascii="宋体" w:hAnsi="宋体"/>
          <w:color w:val="auto"/>
          <w:kern w:val="0"/>
          <w:szCs w:val="21"/>
          <w:highlight w:val="none"/>
        </w:rPr>
        <w:t xml:space="preserve">，工程规模为 </w:t>
      </w:r>
      <w:r>
        <w:rPr>
          <w:rFonts w:ascii="宋体" w:hAnsi="宋体"/>
          <w:bCs/>
          <w:color w:val="auto"/>
          <w:kern w:val="0"/>
          <w:szCs w:val="21"/>
          <w:highlight w:val="none"/>
          <w:u w:val="single"/>
        </w:rPr>
        <w:t xml:space="preserve">      </w:t>
      </w:r>
      <w:r>
        <w:rPr>
          <w:rFonts w:ascii="宋体" w:hAnsi="宋体"/>
          <w:color w:val="auto"/>
          <w:kern w:val="0"/>
          <w:szCs w:val="21"/>
          <w:highlight w:val="none"/>
        </w:rPr>
        <w:t xml:space="preserve">，中标工期 </w:t>
      </w:r>
      <w:r>
        <w:rPr>
          <w:rFonts w:ascii="宋体" w:hAnsi="宋体"/>
          <w:bCs/>
          <w:color w:val="auto"/>
          <w:kern w:val="0"/>
          <w:szCs w:val="21"/>
          <w:highlight w:val="none"/>
          <w:u w:val="single"/>
        </w:rPr>
        <w:t xml:space="preserve">   </w:t>
      </w:r>
      <w:r>
        <w:rPr>
          <w:rFonts w:ascii="宋体" w:hAnsi="宋体"/>
          <w:color w:val="auto"/>
          <w:kern w:val="0"/>
          <w:szCs w:val="21"/>
          <w:highlight w:val="none"/>
          <w:u w:val="single"/>
        </w:rPr>
        <w:t>日历天</w:t>
      </w:r>
      <w:r>
        <w:rPr>
          <w:rFonts w:ascii="宋体" w:hAnsi="宋体"/>
          <w:color w:val="auto"/>
          <w:kern w:val="0"/>
          <w:szCs w:val="21"/>
          <w:highlight w:val="none"/>
        </w:rPr>
        <w:t>，工程质量达到国家施工验收规范标准。 项目经理由</w:t>
      </w:r>
      <w:r>
        <w:rPr>
          <w:rFonts w:ascii="宋体" w:hAnsi="宋体"/>
          <w:bCs/>
          <w:color w:val="auto"/>
          <w:kern w:val="0"/>
          <w:szCs w:val="21"/>
          <w:highlight w:val="none"/>
          <w:u w:val="single"/>
        </w:rPr>
        <w:t xml:space="preserve">  </w:t>
      </w:r>
      <w:r>
        <w:rPr>
          <w:rFonts w:hint="eastAsia" w:ascii="宋体" w:hAnsi="宋体"/>
          <w:bCs/>
          <w:color w:val="auto"/>
          <w:kern w:val="0"/>
          <w:szCs w:val="21"/>
          <w:highlight w:val="none"/>
          <w:u w:val="single"/>
        </w:rPr>
        <w:t xml:space="preserve">      </w:t>
      </w:r>
      <w:r>
        <w:rPr>
          <w:rFonts w:ascii="宋体" w:hAnsi="宋体"/>
          <w:bCs/>
          <w:color w:val="auto"/>
          <w:kern w:val="0"/>
          <w:szCs w:val="21"/>
          <w:highlight w:val="none"/>
          <w:u w:val="single"/>
        </w:rPr>
        <w:t xml:space="preserve">  </w:t>
      </w:r>
      <w:r>
        <w:rPr>
          <w:rFonts w:ascii="宋体" w:hAnsi="宋体"/>
          <w:color w:val="auto"/>
          <w:kern w:val="0"/>
          <w:szCs w:val="21"/>
          <w:highlight w:val="none"/>
        </w:rPr>
        <w:t>担任。</w:t>
      </w:r>
    </w:p>
    <w:p w14:paraId="7C30E4F2">
      <w:pPr>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 xml:space="preserve">你单位收到中标通知书后，在 </w:t>
      </w:r>
      <w:r>
        <w:rPr>
          <w:rFonts w:ascii="宋体" w:hAnsi="宋体"/>
          <w:bCs/>
          <w:color w:val="auto"/>
          <w:kern w:val="0"/>
          <w:szCs w:val="21"/>
          <w:highlight w:val="none"/>
          <w:u w:val="single"/>
        </w:rPr>
        <w:t xml:space="preserve"> </w:t>
      </w:r>
      <w:r>
        <w:rPr>
          <w:rFonts w:hint="eastAsia" w:ascii="宋体" w:hAnsi="宋体"/>
          <w:bCs/>
          <w:color w:val="auto"/>
          <w:kern w:val="0"/>
          <w:szCs w:val="21"/>
          <w:highlight w:val="none"/>
          <w:u w:val="single"/>
        </w:rPr>
        <w:t xml:space="preserve">      </w:t>
      </w:r>
      <w:r>
        <w:rPr>
          <w:rFonts w:ascii="宋体" w:hAnsi="宋体"/>
          <w:bCs/>
          <w:color w:val="auto"/>
          <w:kern w:val="0"/>
          <w:szCs w:val="21"/>
          <w:highlight w:val="none"/>
          <w:u w:val="single"/>
        </w:rPr>
        <w:t xml:space="preserve">   </w:t>
      </w:r>
      <w:r>
        <w:rPr>
          <w:rFonts w:ascii="宋体" w:hAnsi="宋体"/>
          <w:color w:val="auto"/>
          <w:kern w:val="0"/>
          <w:szCs w:val="21"/>
          <w:highlight w:val="none"/>
        </w:rPr>
        <w:t>日内到我单位签订承发包合同。</w:t>
      </w:r>
      <w:r>
        <w:rPr>
          <w:color w:val="auto"/>
          <w:szCs w:val="21"/>
          <w:highlight w:val="none"/>
        </w:rPr>
        <w:t>在此之前按招标文件第二章</w:t>
      </w:r>
      <w:r>
        <w:rPr>
          <w:rFonts w:hint="eastAsia"/>
          <w:color w:val="auto"/>
          <w:szCs w:val="21"/>
          <w:highlight w:val="none"/>
        </w:rPr>
        <w:t>“</w:t>
      </w:r>
      <w:r>
        <w:rPr>
          <w:color w:val="auto"/>
          <w:szCs w:val="21"/>
          <w:highlight w:val="none"/>
        </w:rPr>
        <w:t>投标人须知</w:t>
      </w:r>
      <w:r>
        <w:rPr>
          <w:rFonts w:hint="eastAsia"/>
          <w:color w:val="auto"/>
          <w:szCs w:val="21"/>
          <w:highlight w:val="none"/>
        </w:rPr>
        <w:t>”</w:t>
      </w:r>
      <w:r>
        <w:rPr>
          <w:color w:val="auto"/>
          <w:szCs w:val="21"/>
          <w:highlight w:val="none"/>
        </w:rPr>
        <w:t>第7.</w:t>
      </w:r>
      <w:r>
        <w:rPr>
          <w:rFonts w:hint="eastAsia"/>
          <w:color w:val="auto"/>
          <w:szCs w:val="21"/>
          <w:highlight w:val="none"/>
        </w:rPr>
        <w:t>3</w:t>
      </w:r>
      <w:r>
        <w:rPr>
          <w:color w:val="auto"/>
          <w:szCs w:val="21"/>
          <w:highlight w:val="none"/>
        </w:rPr>
        <w:t>款规定向我方提交履约担保。</w:t>
      </w:r>
    </w:p>
    <w:p w14:paraId="398AE6D2">
      <w:pPr>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特此通知。</w:t>
      </w:r>
    </w:p>
    <w:p w14:paraId="3CE26CBA">
      <w:pPr>
        <w:spacing w:line="480" w:lineRule="auto"/>
        <w:rPr>
          <w:rFonts w:ascii="宋体" w:hAnsi="宋体"/>
          <w:color w:val="auto"/>
          <w:kern w:val="0"/>
          <w:sz w:val="24"/>
          <w:highlight w:val="none"/>
        </w:rPr>
      </w:pPr>
    </w:p>
    <w:p w14:paraId="4509C36E">
      <w:pPr>
        <w:spacing w:line="480" w:lineRule="auto"/>
        <w:rPr>
          <w:rFonts w:ascii="宋体" w:hAnsi="宋体"/>
          <w:color w:val="auto"/>
          <w:kern w:val="0"/>
          <w:sz w:val="24"/>
          <w:highlight w:val="none"/>
        </w:rPr>
      </w:pPr>
    </w:p>
    <w:p w14:paraId="414E39EA">
      <w:pPr>
        <w:spacing w:line="480" w:lineRule="auto"/>
        <w:rPr>
          <w:rFonts w:ascii="宋体" w:hAnsi="宋体"/>
          <w:color w:val="auto"/>
          <w:kern w:val="0"/>
          <w:sz w:val="24"/>
          <w:highlight w:val="none"/>
        </w:rPr>
      </w:pPr>
    </w:p>
    <w:p w14:paraId="2F7ABB10">
      <w:pPr>
        <w:spacing w:line="480" w:lineRule="auto"/>
        <w:jc w:val="left"/>
        <w:rPr>
          <w:rFonts w:ascii="宋体" w:hAnsi="宋体"/>
          <w:color w:val="auto"/>
          <w:kern w:val="0"/>
          <w:szCs w:val="21"/>
          <w:highlight w:val="none"/>
        </w:rPr>
      </w:pPr>
      <w:r>
        <w:rPr>
          <w:rFonts w:ascii="宋体" w:hAnsi="宋体"/>
          <w:color w:val="auto"/>
          <w:kern w:val="0"/>
          <w:sz w:val="24"/>
          <w:highlight w:val="none"/>
        </w:rPr>
        <w:t xml:space="preserve">                                </w:t>
      </w:r>
      <w:r>
        <w:rPr>
          <w:rFonts w:ascii="宋体" w:hAnsi="宋体"/>
          <w:color w:val="auto"/>
          <w:kern w:val="0"/>
          <w:szCs w:val="21"/>
          <w:highlight w:val="none"/>
        </w:rPr>
        <w:t>招标人</w:t>
      </w:r>
      <w:r>
        <w:rPr>
          <w:rFonts w:ascii="宋体" w:hAnsi="宋体"/>
          <w:snapToGrid w:val="0"/>
          <w:color w:val="auto"/>
          <w:kern w:val="0"/>
          <w:szCs w:val="21"/>
          <w:highlight w:val="none"/>
        </w:rPr>
        <w:t>：</w:t>
      </w:r>
      <w:r>
        <w:rPr>
          <w:rFonts w:ascii="宋体" w:hAnsi="宋体"/>
          <w:color w:val="auto"/>
          <w:kern w:val="0"/>
          <w:szCs w:val="21"/>
          <w:highlight w:val="none"/>
          <w:u w:val="single"/>
        </w:rPr>
        <w:t xml:space="preserve">                          </w:t>
      </w:r>
      <w:r>
        <w:rPr>
          <w:rFonts w:ascii="宋体" w:hAnsi="宋体"/>
          <w:color w:val="auto"/>
          <w:kern w:val="0"/>
          <w:szCs w:val="21"/>
          <w:highlight w:val="none"/>
        </w:rPr>
        <w:t>（</w:t>
      </w:r>
      <w:r>
        <w:rPr>
          <w:rFonts w:ascii="宋体" w:hAnsi="宋体"/>
          <w:snapToGrid w:val="0"/>
          <w:color w:val="auto"/>
          <w:kern w:val="0"/>
          <w:szCs w:val="21"/>
          <w:highlight w:val="none"/>
        </w:rPr>
        <w:t>盖单位法人章</w:t>
      </w:r>
      <w:r>
        <w:rPr>
          <w:rFonts w:ascii="宋体" w:hAnsi="宋体"/>
          <w:color w:val="auto"/>
          <w:kern w:val="0"/>
          <w:szCs w:val="21"/>
          <w:highlight w:val="none"/>
        </w:rPr>
        <w:t>）</w:t>
      </w:r>
    </w:p>
    <w:p w14:paraId="2B0DC785">
      <w:pPr>
        <w:spacing w:line="480" w:lineRule="auto"/>
        <w:jc w:val="left"/>
        <w:rPr>
          <w:rFonts w:ascii="宋体" w:hAnsi="宋体"/>
          <w:color w:val="auto"/>
          <w:kern w:val="0"/>
          <w:szCs w:val="21"/>
          <w:highlight w:val="none"/>
        </w:rPr>
      </w:pPr>
      <w:r>
        <w:rPr>
          <w:rFonts w:ascii="宋体" w:hAnsi="宋体"/>
          <w:color w:val="auto"/>
          <w:kern w:val="0"/>
          <w:szCs w:val="21"/>
          <w:highlight w:val="none"/>
        </w:rPr>
        <w:t xml:space="preserve">                                 </w:t>
      </w:r>
      <w:r>
        <w:rPr>
          <w:rFonts w:hint="eastAsia" w:ascii="宋体" w:hAnsi="宋体"/>
          <w:color w:val="auto"/>
          <w:kern w:val="0"/>
          <w:szCs w:val="21"/>
          <w:highlight w:val="none"/>
        </w:rPr>
        <w:t xml:space="preserve">    </w:t>
      </w:r>
      <w:r>
        <w:rPr>
          <w:rFonts w:ascii="宋体" w:hAnsi="宋体"/>
          <w:color w:val="auto"/>
          <w:kern w:val="0"/>
          <w:szCs w:val="21"/>
          <w:highlight w:val="none"/>
        </w:rPr>
        <w:t>法定代表人</w:t>
      </w:r>
      <w:r>
        <w:rPr>
          <w:rFonts w:ascii="宋体" w:hAnsi="宋体"/>
          <w:snapToGrid w:val="0"/>
          <w:color w:val="auto"/>
          <w:kern w:val="0"/>
          <w:szCs w:val="21"/>
          <w:highlight w:val="none"/>
        </w:rPr>
        <w:t>：</w:t>
      </w:r>
      <w:r>
        <w:rPr>
          <w:rFonts w:ascii="宋体" w:hAnsi="宋体"/>
          <w:color w:val="auto"/>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或盖章）</w:t>
      </w:r>
    </w:p>
    <w:p w14:paraId="0F3CDF9D">
      <w:pPr>
        <w:spacing w:line="480" w:lineRule="auto"/>
        <w:jc w:val="left"/>
        <w:rPr>
          <w:rFonts w:ascii="宋体" w:hAnsi="宋体"/>
          <w:color w:val="auto"/>
          <w:kern w:val="0"/>
          <w:szCs w:val="21"/>
          <w:highlight w:val="none"/>
          <w:u w:val="single"/>
        </w:rPr>
      </w:pPr>
      <w:r>
        <w:rPr>
          <w:rFonts w:ascii="宋体" w:hAnsi="宋体"/>
          <w:color w:val="auto"/>
          <w:kern w:val="0"/>
          <w:szCs w:val="21"/>
          <w:highlight w:val="none"/>
        </w:rPr>
        <w:t xml:space="preserve">                                 </w:t>
      </w:r>
      <w:r>
        <w:rPr>
          <w:rFonts w:hint="eastAsia" w:ascii="宋体" w:hAnsi="宋体"/>
          <w:color w:val="auto"/>
          <w:kern w:val="0"/>
          <w:szCs w:val="21"/>
          <w:highlight w:val="none"/>
        </w:rPr>
        <w:t xml:space="preserve">    </w:t>
      </w:r>
      <w:r>
        <w:rPr>
          <w:rFonts w:ascii="宋体" w:hAnsi="宋体"/>
          <w:color w:val="auto"/>
          <w:kern w:val="0"/>
          <w:szCs w:val="21"/>
          <w:highlight w:val="none"/>
        </w:rPr>
        <w:t>联系人</w:t>
      </w:r>
      <w:r>
        <w:rPr>
          <w:rFonts w:ascii="宋体" w:hAnsi="宋体"/>
          <w:snapToGrid w:val="0"/>
          <w:color w:val="auto"/>
          <w:kern w:val="0"/>
          <w:szCs w:val="21"/>
          <w:highlight w:val="none"/>
        </w:rPr>
        <w:t>：</w:t>
      </w:r>
      <w:r>
        <w:rPr>
          <w:rFonts w:ascii="宋体" w:hAnsi="宋体"/>
          <w:color w:val="auto"/>
          <w:kern w:val="0"/>
          <w:szCs w:val="21"/>
          <w:highlight w:val="none"/>
          <w:u w:val="single"/>
        </w:rPr>
        <w:t xml:space="preserve">                          </w:t>
      </w:r>
    </w:p>
    <w:p w14:paraId="1EAFECBD">
      <w:pPr>
        <w:spacing w:line="480" w:lineRule="auto"/>
        <w:jc w:val="left"/>
        <w:rPr>
          <w:rFonts w:ascii="宋体" w:hAnsi="宋体"/>
          <w:color w:val="auto"/>
          <w:kern w:val="0"/>
          <w:szCs w:val="21"/>
          <w:highlight w:val="none"/>
        </w:rPr>
      </w:pPr>
      <w:r>
        <w:rPr>
          <w:rFonts w:ascii="宋体" w:hAnsi="宋体"/>
          <w:color w:val="auto"/>
          <w:kern w:val="0"/>
          <w:szCs w:val="21"/>
          <w:highlight w:val="none"/>
        </w:rPr>
        <w:t xml:space="preserve">                                 </w:t>
      </w:r>
      <w:r>
        <w:rPr>
          <w:rFonts w:hint="eastAsia" w:ascii="宋体" w:hAnsi="宋体"/>
          <w:color w:val="auto"/>
          <w:kern w:val="0"/>
          <w:szCs w:val="21"/>
          <w:highlight w:val="none"/>
        </w:rPr>
        <w:t xml:space="preserve">    </w:t>
      </w:r>
      <w:r>
        <w:rPr>
          <w:rFonts w:ascii="宋体" w:hAnsi="宋体"/>
          <w:color w:val="auto"/>
          <w:kern w:val="0"/>
          <w:szCs w:val="21"/>
          <w:highlight w:val="none"/>
        </w:rPr>
        <w:t>联系电话</w:t>
      </w:r>
      <w:r>
        <w:rPr>
          <w:rFonts w:ascii="宋体" w:hAnsi="宋体"/>
          <w:snapToGrid w:val="0"/>
          <w:color w:val="auto"/>
          <w:kern w:val="0"/>
          <w:szCs w:val="21"/>
          <w:highlight w:val="none"/>
        </w:rPr>
        <w:t>：</w:t>
      </w:r>
      <w:r>
        <w:rPr>
          <w:rFonts w:ascii="宋体" w:hAnsi="宋体"/>
          <w:color w:val="auto"/>
          <w:kern w:val="0"/>
          <w:szCs w:val="21"/>
          <w:highlight w:val="none"/>
          <w:u w:val="single"/>
        </w:rPr>
        <w:t xml:space="preserve">                        </w:t>
      </w:r>
    </w:p>
    <w:p w14:paraId="217D49FA">
      <w:pPr>
        <w:spacing w:line="480" w:lineRule="auto"/>
        <w:jc w:val="right"/>
        <w:rPr>
          <w:rFonts w:ascii="宋体" w:hAnsi="宋体"/>
          <w:color w:val="auto"/>
          <w:kern w:val="0"/>
          <w:szCs w:val="21"/>
          <w:highlight w:val="none"/>
        </w:rPr>
      </w:pPr>
    </w:p>
    <w:p w14:paraId="2FB14399">
      <w:pPr>
        <w:spacing w:line="480" w:lineRule="auto"/>
        <w:jc w:val="right"/>
        <w:rPr>
          <w:rFonts w:ascii="宋体" w:hAnsi="宋体"/>
          <w:color w:val="auto"/>
          <w:kern w:val="0"/>
          <w:szCs w:val="21"/>
          <w:highlight w:val="none"/>
        </w:rPr>
      </w:pPr>
    </w:p>
    <w:p w14:paraId="54090997">
      <w:pPr>
        <w:spacing w:line="480" w:lineRule="auto"/>
        <w:jc w:val="right"/>
        <w:rPr>
          <w:rFonts w:ascii="宋体" w:hAnsi="宋体"/>
          <w:color w:val="auto"/>
          <w:kern w:val="0"/>
          <w:sz w:val="24"/>
          <w:highlight w:val="none"/>
        </w:rPr>
      </w:pPr>
      <w:r>
        <w:rPr>
          <w:rFonts w:ascii="宋体" w:hAnsi="宋体"/>
          <w:color w:val="auto"/>
          <w:kern w:val="0"/>
          <w:szCs w:val="21"/>
          <w:highlight w:val="none"/>
        </w:rPr>
        <w:t xml:space="preserve">                   签发日期</w:t>
      </w:r>
      <w:r>
        <w:rPr>
          <w:rFonts w:ascii="宋体" w:hAnsi="宋体"/>
          <w:snapToGrid w:val="0"/>
          <w:color w:val="auto"/>
          <w:kern w:val="0"/>
          <w:szCs w:val="21"/>
          <w:highlight w:val="none"/>
        </w:rPr>
        <w:t>：</w:t>
      </w:r>
      <w:r>
        <w:rPr>
          <w:rFonts w:ascii="宋体" w:hAnsi="宋体"/>
          <w:color w:val="auto"/>
          <w:kern w:val="0"/>
          <w:szCs w:val="21"/>
          <w:highlight w:val="none"/>
          <w:u w:val="single"/>
        </w:rPr>
        <w:t xml:space="preserve">        </w:t>
      </w:r>
      <w:r>
        <w:rPr>
          <w:rFonts w:ascii="宋体" w:hAnsi="宋体"/>
          <w:color w:val="auto"/>
          <w:kern w:val="0"/>
          <w:szCs w:val="21"/>
          <w:highlight w:val="none"/>
        </w:rPr>
        <w:t>年</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kern w:val="0"/>
          <w:szCs w:val="21"/>
          <w:highlight w:val="none"/>
          <w:u w:val="single"/>
        </w:rPr>
        <w:t xml:space="preserve">     </w:t>
      </w:r>
      <w:r>
        <w:rPr>
          <w:rFonts w:ascii="宋体" w:hAnsi="宋体"/>
          <w:color w:val="auto"/>
          <w:kern w:val="0"/>
          <w:szCs w:val="21"/>
          <w:highlight w:val="none"/>
        </w:rPr>
        <w:t>日</w:t>
      </w:r>
    </w:p>
    <w:p w14:paraId="438B5E3C">
      <w:pPr>
        <w:pStyle w:val="3"/>
        <w:spacing w:line="360" w:lineRule="auto"/>
        <w:jc w:val="center"/>
        <w:rPr>
          <w:rFonts w:ascii="宋体" w:hAnsi="宋体"/>
          <w:color w:val="auto"/>
          <w:kern w:val="0"/>
          <w:highlight w:val="none"/>
        </w:rPr>
      </w:pPr>
      <w:r>
        <w:rPr>
          <w:rFonts w:ascii="宋体" w:hAnsi="宋体"/>
          <w:color w:val="auto"/>
          <w:kern w:val="0"/>
          <w:sz w:val="24"/>
          <w:highlight w:val="none"/>
        </w:rPr>
        <w:br w:type="page"/>
      </w:r>
      <w:bookmarkStart w:id="493" w:name="招标文件03章02评标办法综合评估法"/>
      <w:bookmarkEnd w:id="493"/>
      <w:bookmarkStart w:id="494" w:name="招标文件03章02评标办法综合评估法00"/>
      <w:bookmarkEnd w:id="494"/>
      <w:bookmarkStart w:id="495" w:name="_Toc287620751"/>
      <w:bookmarkStart w:id="496" w:name="_Toc430530500"/>
      <w:bookmarkStart w:id="497" w:name="_Toc224103384"/>
      <w:bookmarkStart w:id="498" w:name="_Toc200513198"/>
      <w:bookmarkStart w:id="499" w:name="_Toc287607812"/>
      <w:bookmarkStart w:id="500" w:name="_Toc277082618"/>
    </w:p>
    <w:p w14:paraId="3CE0A73C">
      <w:pPr>
        <w:pStyle w:val="3"/>
        <w:spacing w:line="360" w:lineRule="auto"/>
        <w:ind w:firstLine="883" w:firstLineChars="200"/>
        <w:jc w:val="center"/>
        <w:rPr>
          <w:rFonts w:ascii="宋体" w:hAnsi="宋体"/>
          <w:color w:val="auto"/>
          <w:highlight w:val="none"/>
        </w:rPr>
      </w:pPr>
      <w:bookmarkStart w:id="501" w:name="_Toc117005232"/>
      <w:bookmarkStart w:id="502" w:name="_Toc509218774"/>
      <w:r>
        <w:rPr>
          <w:rFonts w:ascii="宋体" w:hAnsi="宋体"/>
          <w:color w:val="auto"/>
          <w:highlight w:val="none"/>
        </w:rPr>
        <w:t xml:space="preserve">第三章 </w:t>
      </w:r>
      <w:r>
        <w:rPr>
          <w:rFonts w:hint="eastAsia" w:ascii="宋体" w:hAnsi="宋体"/>
          <w:color w:val="auto"/>
          <w:highlight w:val="none"/>
        </w:rPr>
        <w:t xml:space="preserve"> </w:t>
      </w:r>
      <w:r>
        <w:rPr>
          <w:rFonts w:ascii="宋体" w:hAnsi="宋体"/>
          <w:color w:val="auto"/>
          <w:highlight w:val="none"/>
        </w:rPr>
        <w:t>评标办法（综合评估法）</w:t>
      </w:r>
      <w:bookmarkEnd w:id="501"/>
      <w:bookmarkEnd w:id="502"/>
      <w:bookmarkStart w:id="503" w:name="_Toc287620750"/>
      <w:bookmarkStart w:id="504" w:name="_Toc224103383"/>
      <w:bookmarkStart w:id="505" w:name="_Toc277082617"/>
      <w:bookmarkStart w:id="506" w:name="_Toc430530499"/>
      <w:bookmarkStart w:id="507" w:name="_Toc287607811"/>
    </w:p>
    <w:p w14:paraId="3DFB5907">
      <w:pPr>
        <w:pStyle w:val="4"/>
        <w:spacing w:before="100" w:after="100" w:line="360" w:lineRule="auto"/>
        <w:rPr>
          <w:rFonts w:ascii="宋体" w:hAnsi="宋体"/>
          <w:color w:val="auto"/>
          <w:highlight w:val="none"/>
        </w:rPr>
      </w:pPr>
      <w:bookmarkStart w:id="508" w:name="_Toc117005233"/>
      <w:bookmarkStart w:id="509" w:name="_Toc509218775"/>
      <w:r>
        <w:rPr>
          <w:rFonts w:hint="eastAsia" w:ascii="宋体" w:hAnsi="宋体"/>
          <w:color w:val="auto"/>
          <w:highlight w:val="none"/>
        </w:rPr>
        <w:t>评标办法前附表</w:t>
      </w:r>
      <w:bookmarkEnd w:id="508"/>
      <w:bookmarkEnd w:id="509"/>
    </w:p>
    <w:p w14:paraId="541F7B5D">
      <w:pPr>
        <w:spacing w:line="360" w:lineRule="auto"/>
        <w:ind w:firstLine="420" w:firstLineChars="200"/>
        <w:rPr>
          <w:color w:val="auto"/>
          <w:szCs w:val="21"/>
          <w:highlight w:val="none"/>
        </w:rPr>
      </w:pPr>
      <w:r>
        <w:rPr>
          <w:color w:val="auto"/>
          <w:szCs w:val="21"/>
          <w:highlight w:val="none"/>
        </w:rPr>
        <w:t>评标办法中的评审内容必须和投标人须知中的对应内容一致，若投标人须知中未作要求的内容，不得列入评标办法作为评定依据。</w:t>
      </w:r>
    </w:p>
    <w:tbl>
      <w:tblPr>
        <w:tblStyle w:val="46"/>
        <w:tblW w:w="9475"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855"/>
        <w:gridCol w:w="32"/>
        <w:gridCol w:w="535"/>
        <w:gridCol w:w="850"/>
        <w:gridCol w:w="1710"/>
        <w:gridCol w:w="5493"/>
      </w:tblGrid>
      <w:tr w14:paraId="0C801D4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422" w:type="dxa"/>
            <w:gridSpan w:val="3"/>
            <w:vAlign w:val="center"/>
          </w:tcPr>
          <w:p w14:paraId="67F67DEA">
            <w:pPr>
              <w:spacing w:line="400" w:lineRule="exact"/>
              <w:jc w:val="center"/>
              <w:rPr>
                <w:rFonts w:ascii="宋体" w:hAnsi="宋体"/>
                <w:b/>
                <w:color w:val="auto"/>
                <w:kern w:val="0"/>
                <w:highlight w:val="none"/>
              </w:rPr>
            </w:pPr>
            <w:r>
              <w:rPr>
                <w:rFonts w:ascii="宋体" w:hAnsi="宋体"/>
                <w:b/>
                <w:color w:val="auto"/>
                <w:kern w:val="0"/>
                <w:highlight w:val="none"/>
              </w:rPr>
              <w:t>条款号</w:t>
            </w:r>
          </w:p>
        </w:tc>
        <w:tc>
          <w:tcPr>
            <w:tcW w:w="2560" w:type="dxa"/>
            <w:gridSpan w:val="2"/>
            <w:vAlign w:val="center"/>
          </w:tcPr>
          <w:p w14:paraId="6D1BA20C">
            <w:pPr>
              <w:spacing w:line="400" w:lineRule="exact"/>
              <w:jc w:val="center"/>
              <w:rPr>
                <w:rFonts w:ascii="宋体" w:hAnsi="宋体"/>
                <w:b/>
                <w:color w:val="auto"/>
                <w:kern w:val="0"/>
                <w:highlight w:val="none"/>
              </w:rPr>
            </w:pPr>
            <w:r>
              <w:rPr>
                <w:rFonts w:ascii="宋体" w:hAnsi="宋体"/>
                <w:b/>
                <w:color w:val="auto"/>
                <w:kern w:val="0"/>
                <w:highlight w:val="none"/>
              </w:rPr>
              <w:t>评审因素</w:t>
            </w:r>
          </w:p>
        </w:tc>
        <w:tc>
          <w:tcPr>
            <w:tcW w:w="5493" w:type="dxa"/>
            <w:vAlign w:val="center"/>
          </w:tcPr>
          <w:p w14:paraId="247ECD3C">
            <w:pPr>
              <w:spacing w:line="400" w:lineRule="exact"/>
              <w:jc w:val="center"/>
              <w:rPr>
                <w:rFonts w:ascii="宋体" w:hAnsi="宋体"/>
                <w:b/>
                <w:color w:val="auto"/>
                <w:kern w:val="0"/>
                <w:highlight w:val="none"/>
              </w:rPr>
            </w:pPr>
            <w:r>
              <w:rPr>
                <w:rFonts w:ascii="宋体" w:hAnsi="宋体"/>
                <w:b/>
                <w:color w:val="auto"/>
                <w:kern w:val="0"/>
                <w:highlight w:val="none"/>
              </w:rPr>
              <w:t>评审标准</w:t>
            </w:r>
          </w:p>
        </w:tc>
      </w:tr>
      <w:tr w14:paraId="16648A4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422" w:type="dxa"/>
            <w:gridSpan w:val="3"/>
            <w:vAlign w:val="center"/>
          </w:tcPr>
          <w:p w14:paraId="265515F2">
            <w:pPr>
              <w:spacing w:line="400" w:lineRule="exact"/>
              <w:jc w:val="center"/>
              <w:rPr>
                <w:rFonts w:ascii="宋体" w:hAnsi="宋体"/>
                <w:color w:val="auto"/>
                <w:kern w:val="0"/>
                <w:highlight w:val="none"/>
              </w:rPr>
            </w:pPr>
            <w:r>
              <w:rPr>
                <w:rFonts w:hint="eastAsia" w:ascii="宋体" w:hAnsi="宋体"/>
                <w:color w:val="auto"/>
                <w:kern w:val="0"/>
                <w:highlight w:val="none"/>
              </w:rPr>
              <w:t>1</w:t>
            </w:r>
          </w:p>
        </w:tc>
        <w:tc>
          <w:tcPr>
            <w:tcW w:w="2560" w:type="dxa"/>
            <w:gridSpan w:val="2"/>
            <w:vAlign w:val="center"/>
          </w:tcPr>
          <w:p w14:paraId="3090E33D">
            <w:pPr>
              <w:spacing w:line="400" w:lineRule="exact"/>
              <w:jc w:val="center"/>
              <w:rPr>
                <w:rFonts w:ascii="宋体" w:hAnsi="宋体"/>
                <w:color w:val="auto"/>
                <w:kern w:val="0"/>
                <w:highlight w:val="none"/>
              </w:rPr>
            </w:pPr>
            <w:r>
              <w:rPr>
                <w:rFonts w:hint="eastAsia" w:ascii="宋体" w:hAnsi="宋体"/>
                <w:color w:val="auto"/>
                <w:kern w:val="0"/>
                <w:highlight w:val="none"/>
              </w:rPr>
              <w:t>评标办法</w:t>
            </w:r>
          </w:p>
        </w:tc>
        <w:tc>
          <w:tcPr>
            <w:tcW w:w="5493" w:type="dxa"/>
            <w:vAlign w:val="center"/>
          </w:tcPr>
          <w:p w14:paraId="2CCC20F1">
            <w:pPr>
              <w:spacing w:line="400" w:lineRule="exact"/>
              <w:ind w:firstLine="420" w:firstLineChars="200"/>
              <w:jc w:val="left"/>
              <w:rPr>
                <w:rFonts w:ascii="宋体" w:hAnsi="宋体"/>
                <w:color w:val="auto"/>
                <w:kern w:val="0"/>
                <w:highlight w:val="none"/>
              </w:rPr>
            </w:pPr>
            <w:r>
              <w:rPr>
                <w:rFonts w:hint="eastAsia" w:ascii="宋体" w:hAnsi="宋体"/>
                <w:color w:val="auto"/>
                <w:kern w:val="0"/>
                <w:highlight w:val="none"/>
              </w:rPr>
              <w:t>本次评标采用综合评估法。评标委员会按照本章第 2.2 款规定的评分标准进行评分，按得分由高到低顺序推荐中标候选人，或根据招标人授权直接确定中标人。综合评分相等时，以投标报价低的优先；投标报价相等的，以“投标人在红名单中优先”的原则排序</w:t>
            </w:r>
            <w:r>
              <w:rPr>
                <w:rFonts w:hint="eastAsia" w:ascii="宋体" w:hAnsi="宋体"/>
                <w:color w:val="auto"/>
                <w:spacing w:val="4"/>
                <w:kern w:val="0"/>
                <w:szCs w:val="21"/>
                <w:highlight w:val="none"/>
              </w:rPr>
              <w:t>，投标人是否属于红名单，以开标环节信用状况查询结果为准</w:t>
            </w:r>
            <w:r>
              <w:rPr>
                <w:rFonts w:hint="eastAsia" w:ascii="宋体" w:hAnsi="宋体"/>
                <w:color w:val="auto"/>
                <w:kern w:val="0"/>
                <w:highlight w:val="none"/>
              </w:rPr>
              <w:t>；投标人均在红名单中或均不在红名单中的，由评标委员会按照</w:t>
            </w:r>
            <w:r>
              <w:rPr>
                <w:rFonts w:hint="eastAsia" w:ascii="宋体" w:hAnsi="宋体"/>
                <w:color w:val="auto"/>
                <w:kern w:val="0"/>
                <w:szCs w:val="21"/>
                <w:highlight w:val="none"/>
                <w:u w:val="single"/>
              </w:rPr>
              <w:t>本招标文件要求的投标人资质等级高低排序；若投标人资质等级相同，由评标委员会按照资格审查业绩合同金额由高到低的</w:t>
            </w:r>
            <w:r>
              <w:rPr>
                <w:rFonts w:hint="eastAsia" w:ascii="宋体" w:hAnsi="宋体"/>
                <w:color w:val="auto"/>
                <w:kern w:val="0"/>
                <w:szCs w:val="21"/>
                <w:highlight w:val="none"/>
              </w:rPr>
              <w:t>原则排序</w:t>
            </w:r>
            <w:r>
              <w:rPr>
                <w:rFonts w:hint="eastAsia" w:ascii="宋体" w:hAnsi="宋体"/>
                <w:color w:val="auto"/>
                <w:kern w:val="0"/>
                <w:highlight w:val="none"/>
              </w:rPr>
              <w:t>。</w:t>
            </w:r>
          </w:p>
        </w:tc>
      </w:tr>
      <w:tr w14:paraId="699E39D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5" w:type="dxa"/>
            <w:vMerge w:val="restart"/>
            <w:tcBorders>
              <w:right w:val="single" w:color="auto" w:sz="4" w:space="0"/>
            </w:tcBorders>
            <w:vAlign w:val="center"/>
          </w:tcPr>
          <w:p w14:paraId="065EDDCC">
            <w:pPr>
              <w:spacing w:line="400" w:lineRule="exact"/>
              <w:jc w:val="center"/>
              <w:rPr>
                <w:rFonts w:ascii="宋体" w:hAnsi="宋体"/>
                <w:color w:val="auto"/>
                <w:kern w:val="0"/>
                <w:highlight w:val="none"/>
              </w:rPr>
            </w:pPr>
            <w:r>
              <w:rPr>
                <w:rFonts w:ascii="宋体" w:hAnsi="宋体"/>
                <w:color w:val="auto"/>
                <w:kern w:val="0"/>
                <w:highlight w:val="none"/>
              </w:rPr>
              <w:t>2.1.</w:t>
            </w:r>
            <w:r>
              <w:rPr>
                <w:rFonts w:hint="eastAsia" w:ascii="宋体" w:hAnsi="宋体"/>
                <w:color w:val="auto"/>
                <w:kern w:val="0"/>
                <w:highlight w:val="none"/>
              </w:rPr>
              <w:t>1</w:t>
            </w:r>
          </w:p>
        </w:tc>
        <w:tc>
          <w:tcPr>
            <w:tcW w:w="567" w:type="dxa"/>
            <w:gridSpan w:val="2"/>
            <w:vMerge w:val="restart"/>
            <w:tcBorders>
              <w:right w:val="single" w:color="auto" w:sz="4" w:space="0"/>
            </w:tcBorders>
            <w:vAlign w:val="center"/>
          </w:tcPr>
          <w:p w14:paraId="7AFF8690">
            <w:pPr>
              <w:spacing w:line="400" w:lineRule="exact"/>
              <w:jc w:val="center"/>
              <w:rPr>
                <w:rFonts w:ascii="宋体" w:hAnsi="宋体"/>
                <w:color w:val="auto"/>
                <w:kern w:val="0"/>
                <w:highlight w:val="none"/>
              </w:rPr>
            </w:pPr>
            <w:r>
              <w:rPr>
                <w:rFonts w:ascii="宋体" w:hAnsi="宋体"/>
                <w:color w:val="auto"/>
                <w:kern w:val="0"/>
                <w:highlight w:val="none"/>
              </w:rPr>
              <w:t>资格评审标准</w:t>
            </w:r>
          </w:p>
        </w:tc>
        <w:tc>
          <w:tcPr>
            <w:tcW w:w="2560" w:type="dxa"/>
            <w:gridSpan w:val="2"/>
            <w:tcBorders>
              <w:left w:val="single" w:color="auto" w:sz="4" w:space="0"/>
            </w:tcBorders>
            <w:vAlign w:val="center"/>
          </w:tcPr>
          <w:p w14:paraId="5C9AE53B">
            <w:pPr>
              <w:spacing w:line="400" w:lineRule="exact"/>
              <w:jc w:val="left"/>
              <w:rPr>
                <w:rFonts w:ascii="宋体" w:hAnsi="宋体"/>
                <w:color w:val="auto"/>
                <w:kern w:val="0"/>
                <w:highlight w:val="none"/>
              </w:rPr>
            </w:pPr>
            <w:r>
              <w:rPr>
                <w:rFonts w:hint="eastAsia" w:ascii="宋体" w:hAnsi="宋体"/>
                <w:color w:val="auto"/>
                <w:kern w:val="0"/>
                <w:highlight w:val="none"/>
              </w:rPr>
              <w:t>资质条件</w:t>
            </w:r>
          </w:p>
        </w:tc>
        <w:tc>
          <w:tcPr>
            <w:tcW w:w="5493" w:type="dxa"/>
            <w:vAlign w:val="center"/>
          </w:tcPr>
          <w:p w14:paraId="410AC5E8">
            <w:pPr>
              <w:spacing w:line="400" w:lineRule="exact"/>
              <w:ind w:firstLine="420" w:firstLineChars="200"/>
              <w:jc w:val="left"/>
              <w:rPr>
                <w:rFonts w:ascii="宋体" w:hAnsi="宋体"/>
                <w:color w:val="auto"/>
                <w:kern w:val="0"/>
                <w:highlight w:val="none"/>
              </w:rPr>
            </w:pPr>
            <w:r>
              <w:rPr>
                <w:rFonts w:ascii="宋体" w:hAnsi="宋体"/>
                <w:color w:val="auto"/>
                <w:kern w:val="0"/>
                <w:highlight w:val="none"/>
              </w:rPr>
              <w:t>符合第二章“投标人须知”第1.4.1项规定</w:t>
            </w:r>
          </w:p>
        </w:tc>
      </w:tr>
      <w:tr w14:paraId="16A6332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5" w:type="dxa"/>
            <w:vMerge w:val="continue"/>
            <w:tcBorders>
              <w:right w:val="single" w:color="auto" w:sz="4" w:space="0"/>
            </w:tcBorders>
          </w:tcPr>
          <w:p w14:paraId="432514BF">
            <w:pPr>
              <w:spacing w:line="400" w:lineRule="exact"/>
              <w:jc w:val="center"/>
              <w:rPr>
                <w:rFonts w:ascii="宋体" w:hAnsi="宋体"/>
                <w:color w:val="auto"/>
                <w:kern w:val="0"/>
                <w:highlight w:val="none"/>
              </w:rPr>
            </w:pPr>
          </w:p>
        </w:tc>
        <w:tc>
          <w:tcPr>
            <w:tcW w:w="567" w:type="dxa"/>
            <w:gridSpan w:val="2"/>
            <w:vMerge w:val="continue"/>
            <w:tcBorders>
              <w:right w:val="single" w:color="auto" w:sz="4" w:space="0"/>
            </w:tcBorders>
          </w:tcPr>
          <w:p w14:paraId="0C478C52">
            <w:pPr>
              <w:spacing w:line="400" w:lineRule="exact"/>
              <w:jc w:val="center"/>
              <w:rPr>
                <w:rFonts w:ascii="宋体" w:hAnsi="宋体"/>
                <w:color w:val="auto"/>
                <w:kern w:val="0"/>
                <w:highlight w:val="none"/>
              </w:rPr>
            </w:pPr>
          </w:p>
        </w:tc>
        <w:tc>
          <w:tcPr>
            <w:tcW w:w="2560" w:type="dxa"/>
            <w:gridSpan w:val="2"/>
            <w:tcBorders>
              <w:left w:val="single" w:color="auto" w:sz="4" w:space="0"/>
            </w:tcBorders>
          </w:tcPr>
          <w:p w14:paraId="37F3198E">
            <w:pPr>
              <w:spacing w:line="400" w:lineRule="exact"/>
              <w:jc w:val="left"/>
              <w:rPr>
                <w:rFonts w:ascii="宋体" w:hAnsi="宋体"/>
                <w:color w:val="auto"/>
                <w:kern w:val="0"/>
                <w:highlight w:val="none"/>
              </w:rPr>
            </w:pPr>
            <w:r>
              <w:rPr>
                <w:rFonts w:hint="eastAsia" w:ascii="宋体" w:hAnsi="宋体"/>
                <w:color w:val="auto"/>
                <w:kern w:val="0"/>
                <w:highlight w:val="none"/>
              </w:rPr>
              <w:t>营业执照</w:t>
            </w:r>
          </w:p>
        </w:tc>
        <w:tc>
          <w:tcPr>
            <w:tcW w:w="5493" w:type="dxa"/>
            <w:vAlign w:val="center"/>
          </w:tcPr>
          <w:p w14:paraId="2B62CE6F">
            <w:pPr>
              <w:spacing w:line="400" w:lineRule="exact"/>
              <w:ind w:firstLine="420" w:firstLineChars="200"/>
              <w:jc w:val="left"/>
              <w:rPr>
                <w:rFonts w:ascii="宋体" w:hAnsi="宋体"/>
                <w:color w:val="auto"/>
                <w:kern w:val="0"/>
                <w:highlight w:val="none"/>
              </w:rPr>
            </w:pPr>
            <w:r>
              <w:rPr>
                <w:rFonts w:ascii="宋体" w:hAnsi="宋体"/>
                <w:color w:val="auto"/>
                <w:kern w:val="0"/>
                <w:highlight w:val="none"/>
              </w:rPr>
              <w:t>符合第二章“投标人须知”第1.4.1项规定</w:t>
            </w:r>
          </w:p>
        </w:tc>
      </w:tr>
      <w:tr w14:paraId="24238D1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5" w:type="dxa"/>
            <w:vMerge w:val="continue"/>
            <w:tcBorders>
              <w:right w:val="single" w:color="auto" w:sz="4" w:space="0"/>
            </w:tcBorders>
          </w:tcPr>
          <w:p w14:paraId="691E8027">
            <w:pPr>
              <w:spacing w:line="400" w:lineRule="exact"/>
              <w:jc w:val="center"/>
              <w:rPr>
                <w:rFonts w:ascii="宋体" w:hAnsi="宋体"/>
                <w:color w:val="auto"/>
                <w:kern w:val="0"/>
                <w:highlight w:val="none"/>
              </w:rPr>
            </w:pPr>
          </w:p>
        </w:tc>
        <w:tc>
          <w:tcPr>
            <w:tcW w:w="567" w:type="dxa"/>
            <w:gridSpan w:val="2"/>
            <w:vMerge w:val="continue"/>
            <w:tcBorders>
              <w:right w:val="single" w:color="auto" w:sz="4" w:space="0"/>
            </w:tcBorders>
          </w:tcPr>
          <w:p w14:paraId="28810460">
            <w:pPr>
              <w:spacing w:line="400" w:lineRule="exact"/>
              <w:jc w:val="center"/>
              <w:rPr>
                <w:rFonts w:ascii="宋体" w:hAnsi="宋体"/>
                <w:color w:val="auto"/>
                <w:kern w:val="0"/>
                <w:highlight w:val="none"/>
              </w:rPr>
            </w:pPr>
          </w:p>
        </w:tc>
        <w:tc>
          <w:tcPr>
            <w:tcW w:w="2560" w:type="dxa"/>
            <w:gridSpan w:val="2"/>
            <w:tcBorders>
              <w:left w:val="single" w:color="auto" w:sz="4" w:space="0"/>
            </w:tcBorders>
          </w:tcPr>
          <w:p w14:paraId="5EE2FF6A">
            <w:pPr>
              <w:spacing w:line="400" w:lineRule="exact"/>
              <w:jc w:val="left"/>
              <w:rPr>
                <w:rFonts w:ascii="宋体" w:hAnsi="宋体"/>
                <w:color w:val="auto"/>
                <w:kern w:val="0"/>
                <w:highlight w:val="none"/>
              </w:rPr>
            </w:pPr>
            <w:r>
              <w:rPr>
                <w:rFonts w:hint="eastAsia" w:ascii="宋体" w:hAnsi="宋体"/>
                <w:color w:val="auto"/>
                <w:kern w:val="0"/>
                <w:highlight w:val="none"/>
              </w:rPr>
              <w:t>安全生产条件</w:t>
            </w:r>
          </w:p>
        </w:tc>
        <w:tc>
          <w:tcPr>
            <w:tcW w:w="5493" w:type="dxa"/>
            <w:vAlign w:val="center"/>
          </w:tcPr>
          <w:p w14:paraId="27D9B5E6">
            <w:pPr>
              <w:spacing w:line="400" w:lineRule="exact"/>
              <w:ind w:firstLine="420" w:firstLineChars="200"/>
              <w:jc w:val="left"/>
              <w:rPr>
                <w:rFonts w:ascii="宋体" w:hAnsi="宋体"/>
                <w:color w:val="auto"/>
                <w:kern w:val="0"/>
                <w:highlight w:val="none"/>
              </w:rPr>
            </w:pPr>
            <w:r>
              <w:rPr>
                <w:rFonts w:ascii="宋体" w:hAnsi="宋体"/>
                <w:color w:val="auto"/>
                <w:kern w:val="0"/>
                <w:highlight w:val="none"/>
              </w:rPr>
              <w:t>符合第二章“投标人须知”第1.4.1项规定</w:t>
            </w:r>
          </w:p>
        </w:tc>
      </w:tr>
      <w:tr w14:paraId="1C67487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5" w:type="dxa"/>
            <w:vMerge w:val="continue"/>
            <w:tcBorders>
              <w:right w:val="single" w:color="auto" w:sz="4" w:space="0"/>
            </w:tcBorders>
          </w:tcPr>
          <w:p w14:paraId="6C0F96CC">
            <w:pPr>
              <w:spacing w:line="400" w:lineRule="exact"/>
              <w:jc w:val="center"/>
              <w:rPr>
                <w:rFonts w:ascii="宋体" w:hAnsi="宋体"/>
                <w:color w:val="auto"/>
                <w:kern w:val="0"/>
                <w:highlight w:val="none"/>
              </w:rPr>
            </w:pPr>
          </w:p>
        </w:tc>
        <w:tc>
          <w:tcPr>
            <w:tcW w:w="567" w:type="dxa"/>
            <w:gridSpan w:val="2"/>
            <w:vMerge w:val="continue"/>
            <w:tcBorders>
              <w:right w:val="single" w:color="auto" w:sz="4" w:space="0"/>
            </w:tcBorders>
          </w:tcPr>
          <w:p w14:paraId="7BBCEB71">
            <w:pPr>
              <w:spacing w:line="400" w:lineRule="exact"/>
              <w:jc w:val="center"/>
              <w:rPr>
                <w:rFonts w:ascii="宋体" w:hAnsi="宋体"/>
                <w:color w:val="auto"/>
                <w:kern w:val="0"/>
                <w:highlight w:val="none"/>
              </w:rPr>
            </w:pPr>
          </w:p>
        </w:tc>
        <w:tc>
          <w:tcPr>
            <w:tcW w:w="2560" w:type="dxa"/>
            <w:gridSpan w:val="2"/>
            <w:tcBorders>
              <w:left w:val="single" w:color="auto" w:sz="4" w:space="0"/>
            </w:tcBorders>
            <w:vAlign w:val="center"/>
          </w:tcPr>
          <w:p w14:paraId="246FA678">
            <w:pPr>
              <w:spacing w:line="400" w:lineRule="exact"/>
              <w:jc w:val="left"/>
              <w:rPr>
                <w:rFonts w:ascii="宋体" w:hAnsi="宋体"/>
                <w:color w:val="auto"/>
                <w:kern w:val="0"/>
                <w:highlight w:val="none"/>
              </w:rPr>
            </w:pPr>
            <w:r>
              <w:rPr>
                <w:rFonts w:hint="eastAsia" w:ascii="宋体" w:hAnsi="宋体" w:cs="宋体"/>
                <w:color w:val="auto"/>
                <w:kern w:val="0"/>
                <w:highlight w:val="none"/>
              </w:rPr>
              <w:sym w:font="Wingdings 2" w:char="F052"/>
            </w:r>
            <w:r>
              <w:rPr>
                <w:rFonts w:ascii="宋体" w:hAnsi="宋体"/>
                <w:color w:val="auto"/>
                <w:kern w:val="0"/>
                <w:highlight w:val="none"/>
              </w:rPr>
              <w:t>财务</w:t>
            </w:r>
            <w:r>
              <w:rPr>
                <w:rFonts w:hint="eastAsia" w:ascii="宋体" w:hAnsi="宋体"/>
                <w:color w:val="auto"/>
                <w:kern w:val="0"/>
                <w:highlight w:val="none"/>
              </w:rPr>
              <w:t>要求</w:t>
            </w:r>
          </w:p>
        </w:tc>
        <w:tc>
          <w:tcPr>
            <w:tcW w:w="5493" w:type="dxa"/>
            <w:vAlign w:val="center"/>
          </w:tcPr>
          <w:p w14:paraId="0C59DB62">
            <w:pPr>
              <w:spacing w:line="400" w:lineRule="exact"/>
              <w:ind w:firstLine="420" w:firstLineChars="200"/>
              <w:jc w:val="left"/>
              <w:rPr>
                <w:rFonts w:ascii="宋体" w:hAnsi="宋体"/>
                <w:color w:val="auto"/>
                <w:kern w:val="0"/>
                <w:highlight w:val="none"/>
              </w:rPr>
            </w:pPr>
            <w:r>
              <w:rPr>
                <w:rFonts w:ascii="宋体" w:hAnsi="宋体"/>
                <w:color w:val="auto"/>
                <w:kern w:val="0"/>
                <w:highlight w:val="none"/>
              </w:rPr>
              <w:t>符合第二章“投标人须知”第1.4.1项规定</w:t>
            </w:r>
          </w:p>
        </w:tc>
      </w:tr>
      <w:tr w14:paraId="403FBCF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5" w:type="dxa"/>
            <w:vMerge w:val="continue"/>
            <w:tcBorders>
              <w:right w:val="single" w:color="auto" w:sz="4" w:space="0"/>
            </w:tcBorders>
          </w:tcPr>
          <w:p w14:paraId="53ACF71B">
            <w:pPr>
              <w:spacing w:line="400" w:lineRule="exact"/>
              <w:jc w:val="center"/>
              <w:rPr>
                <w:rFonts w:ascii="宋体" w:hAnsi="宋体"/>
                <w:color w:val="auto"/>
                <w:kern w:val="0"/>
                <w:highlight w:val="none"/>
              </w:rPr>
            </w:pPr>
          </w:p>
        </w:tc>
        <w:tc>
          <w:tcPr>
            <w:tcW w:w="567" w:type="dxa"/>
            <w:gridSpan w:val="2"/>
            <w:vMerge w:val="continue"/>
            <w:tcBorders>
              <w:right w:val="single" w:color="auto" w:sz="4" w:space="0"/>
            </w:tcBorders>
          </w:tcPr>
          <w:p w14:paraId="2B2999A7">
            <w:pPr>
              <w:spacing w:line="400" w:lineRule="exact"/>
              <w:jc w:val="center"/>
              <w:rPr>
                <w:rFonts w:ascii="宋体" w:hAnsi="宋体"/>
                <w:color w:val="auto"/>
                <w:kern w:val="0"/>
                <w:highlight w:val="none"/>
              </w:rPr>
            </w:pPr>
          </w:p>
        </w:tc>
        <w:tc>
          <w:tcPr>
            <w:tcW w:w="2560" w:type="dxa"/>
            <w:gridSpan w:val="2"/>
            <w:tcBorders>
              <w:left w:val="single" w:color="auto" w:sz="4" w:space="0"/>
            </w:tcBorders>
          </w:tcPr>
          <w:p w14:paraId="4A3E8DF1">
            <w:pPr>
              <w:spacing w:line="400" w:lineRule="exact"/>
              <w:jc w:val="left"/>
              <w:rPr>
                <w:rFonts w:ascii="宋体" w:hAnsi="宋体"/>
                <w:color w:val="auto"/>
                <w:kern w:val="0"/>
                <w:highlight w:val="none"/>
              </w:rPr>
            </w:pPr>
            <w:r>
              <w:rPr>
                <w:rFonts w:hint="eastAsia" w:ascii="宋体" w:hAnsi="宋体" w:cs="宋体"/>
                <w:color w:val="auto"/>
                <w:kern w:val="0"/>
                <w:highlight w:val="none"/>
              </w:rPr>
              <w:sym w:font="Wingdings 2" w:char="F052"/>
            </w:r>
            <w:r>
              <w:rPr>
                <w:rFonts w:hint="eastAsia" w:ascii="宋体" w:hAnsi="宋体"/>
                <w:color w:val="auto"/>
                <w:kern w:val="0"/>
                <w:highlight w:val="none"/>
              </w:rPr>
              <w:t>业绩要求</w:t>
            </w:r>
          </w:p>
        </w:tc>
        <w:tc>
          <w:tcPr>
            <w:tcW w:w="5493" w:type="dxa"/>
            <w:vAlign w:val="center"/>
          </w:tcPr>
          <w:p w14:paraId="4BE49C1D">
            <w:pPr>
              <w:spacing w:line="400" w:lineRule="exact"/>
              <w:ind w:firstLine="420" w:firstLineChars="200"/>
              <w:jc w:val="left"/>
              <w:rPr>
                <w:rFonts w:ascii="宋体" w:hAnsi="宋体"/>
                <w:color w:val="auto"/>
                <w:kern w:val="0"/>
                <w:highlight w:val="none"/>
              </w:rPr>
            </w:pPr>
            <w:r>
              <w:rPr>
                <w:rFonts w:ascii="宋体" w:hAnsi="宋体"/>
                <w:color w:val="auto"/>
                <w:kern w:val="0"/>
                <w:highlight w:val="none"/>
              </w:rPr>
              <w:t>符合第二章“投标人须知”第1.4.1项规定</w:t>
            </w:r>
          </w:p>
        </w:tc>
      </w:tr>
      <w:tr w14:paraId="71310F4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5" w:type="dxa"/>
            <w:vMerge w:val="continue"/>
            <w:tcBorders>
              <w:right w:val="single" w:color="auto" w:sz="4" w:space="0"/>
            </w:tcBorders>
          </w:tcPr>
          <w:p w14:paraId="58A4B44C">
            <w:pPr>
              <w:spacing w:line="400" w:lineRule="exact"/>
              <w:jc w:val="center"/>
              <w:rPr>
                <w:rFonts w:ascii="宋体" w:hAnsi="宋体"/>
                <w:color w:val="auto"/>
                <w:kern w:val="0"/>
                <w:highlight w:val="none"/>
              </w:rPr>
            </w:pPr>
          </w:p>
        </w:tc>
        <w:tc>
          <w:tcPr>
            <w:tcW w:w="567" w:type="dxa"/>
            <w:gridSpan w:val="2"/>
            <w:vMerge w:val="continue"/>
            <w:tcBorders>
              <w:right w:val="single" w:color="auto" w:sz="4" w:space="0"/>
            </w:tcBorders>
          </w:tcPr>
          <w:p w14:paraId="258DE765">
            <w:pPr>
              <w:spacing w:line="400" w:lineRule="exact"/>
              <w:jc w:val="center"/>
              <w:rPr>
                <w:rFonts w:ascii="宋体" w:hAnsi="宋体"/>
                <w:color w:val="auto"/>
                <w:kern w:val="0"/>
                <w:highlight w:val="none"/>
              </w:rPr>
            </w:pPr>
          </w:p>
        </w:tc>
        <w:tc>
          <w:tcPr>
            <w:tcW w:w="2560" w:type="dxa"/>
            <w:gridSpan w:val="2"/>
            <w:tcBorders>
              <w:left w:val="single" w:color="auto" w:sz="4" w:space="0"/>
            </w:tcBorders>
          </w:tcPr>
          <w:p w14:paraId="36AE868C">
            <w:pPr>
              <w:spacing w:line="400" w:lineRule="exact"/>
              <w:jc w:val="left"/>
              <w:rPr>
                <w:rFonts w:ascii="宋体" w:hAnsi="宋体"/>
                <w:color w:val="auto"/>
                <w:kern w:val="0"/>
                <w:highlight w:val="none"/>
              </w:rPr>
            </w:pPr>
            <w:r>
              <w:rPr>
                <w:rFonts w:ascii="宋体" w:hAnsi="宋体"/>
                <w:color w:val="auto"/>
                <w:szCs w:val="21"/>
                <w:highlight w:val="none"/>
              </w:rPr>
              <w:t>投标截止日投标资格情况</w:t>
            </w:r>
          </w:p>
        </w:tc>
        <w:tc>
          <w:tcPr>
            <w:tcW w:w="5493" w:type="dxa"/>
            <w:vAlign w:val="center"/>
          </w:tcPr>
          <w:p w14:paraId="3B4B60F1">
            <w:pPr>
              <w:spacing w:line="400" w:lineRule="exact"/>
              <w:ind w:firstLine="420" w:firstLineChars="200"/>
              <w:jc w:val="left"/>
              <w:rPr>
                <w:rFonts w:ascii="宋体" w:hAnsi="宋体"/>
                <w:color w:val="auto"/>
                <w:kern w:val="0"/>
                <w:highlight w:val="none"/>
              </w:rPr>
            </w:pPr>
            <w:r>
              <w:rPr>
                <w:rFonts w:ascii="宋体" w:hAnsi="宋体"/>
                <w:color w:val="auto"/>
                <w:kern w:val="0"/>
                <w:highlight w:val="none"/>
              </w:rPr>
              <w:t>符合第二章“投标人须知”第1.4.1项规定</w:t>
            </w:r>
          </w:p>
        </w:tc>
      </w:tr>
      <w:tr w14:paraId="07DAE8F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5" w:type="dxa"/>
            <w:vMerge w:val="continue"/>
            <w:tcBorders>
              <w:right w:val="single" w:color="auto" w:sz="4" w:space="0"/>
            </w:tcBorders>
          </w:tcPr>
          <w:p w14:paraId="0AEFD033">
            <w:pPr>
              <w:spacing w:line="400" w:lineRule="exact"/>
              <w:jc w:val="center"/>
              <w:rPr>
                <w:rFonts w:ascii="宋体" w:hAnsi="宋体"/>
                <w:color w:val="auto"/>
                <w:kern w:val="0"/>
                <w:highlight w:val="none"/>
              </w:rPr>
            </w:pPr>
          </w:p>
        </w:tc>
        <w:tc>
          <w:tcPr>
            <w:tcW w:w="567" w:type="dxa"/>
            <w:gridSpan w:val="2"/>
            <w:vMerge w:val="continue"/>
            <w:tcBorders>
              <w:right w:val="single" w:color="auto" w:sz="4" w:space="0"/>
            </w:tcBorders>
          </w:tcPr>
          <w:p w14:paraId="387B09DF">
            <w:pPr>
              <w:spacing w:line="400" w:lineRule="exact"/>
              <w:jc w:val="center"/>
              <w:rPr>
                <w:rFonts w:ascii="宋体" w:hAnsi="宋体"/>
                <w:color w:val="auto"/>
                <w:kern w:val="0"/>
                <w:highlight w:val="none"/>
              </w:rPr>
            </w:pPr>
          </w:p>
        </w:tc>
        <w:tc>
          <w:tcPr>
            <w:tcW w:w="2560" w:type="dxa"/>
            <w:gridSpan w:val="2"/>
            <w:tcBorders>
              <w:left w:val="single" w:color="auto" w:sz="4" w:space="0"/>
            </w:tcBorders>
          </w:tcPr>
          <w:p w14:paraId="6AD333D0">
            <w:pPr>
              <w:spacing w:line="400" w:lineRule="exact"/>
              <w:jc w:val="left"/>
              <w:rPr>
                <w:rFonts w:ascii="宋体" w:hAnsi="宋体"/>
                <w:color w:val="auto"/>
                <w:kern w:val="0"/>
                <w:highlight w:val="none"/>
              </w:rPr>
            </w:pPr>
            <w:r>
              <w:rPr>
                <w:rFonts w:ascii="宋体" w:hAnsi="宋体"/>
                <w:color w:val="auto"/>
                <w:kern w:val="0"/>
                <w:highlight w:val="none"/>
              </w:rPr>
              <w:t>项目经理资格</w:t>
            </w:r>
            <w:r>
              <w:rPr>
                <w:rFonts w:hint="eastAsia" w:ascii="宋体" w:hAnsi="宋体"/>
                <w:color w:val="auto"/>
                <w:kern w:val="0"/>
                <w:highlight w:val="none"/>
              </w:rPr>
              <w:t>要求</w:t>
            </w:r>
          </w:p>
        </w:tc>
        <w:tc>
          <w:tcPr>
            <w:tcW w:w="5493" w:type="dxa"/>
            <w:vAlign w:val="center"/>
          </w:tcPr>
          <w:p w14:paraId="40BB9340">
            <w:pPr>
              <w:spacing w:line="400" w:lineRule="exact"/>
              <w:ind w:firstLine="420" w:firstLineChars="200"/>
              <w:jc w:val="left"/>
              <w:rPr>
                <w:rFonts w:ascii="宋体" w:hAnsi="宋体"/>
                <w:color w:val="auto"/>
                <w:kern w:val="0"/>
                <w:highlight w:val="none"/>
              </w:rPr>
            </w:pPr>
            <w:r>
              <w:rPr>
                <w:rFonts w:ascii="宋体" w:hAnsi="宋体"/>
                <w:color w:val="auto"/>
                <w:kern w:val="0"/>
                <w:highlight w:val="none"/>
              </w:rPr>
              <w:t>符合第二章“投标人须知”第1.4.1项规定</w:t>
            </w:r>
          </w:p>
        </w:tc>
      </w:tr>
      <w:tr w14:paraId="501C3B5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5" w:type="dxa"/>
            <w:vMerge w:val="continue"/>
            <w:tcBorders>
              <w:right w:val="single" w:color="auto" w:sz="4" w:space="0"/>
            </w:tcBorders>
          </w:tcPr>
          <w:p w14:paraId="3D7ADAD1">
            <w:pPr>
              <w:spacing w:line="400" w:lineRule="exact"/>
              <w:jc w:val="center"/>
              <w:rPr>
                <w:rFonts w:ascii="宋体" w:hAnsi="宋体"/>
                <w:color w:val="auto"/>
                <w:kern w:val="0"/>
                <w:highlight w:val="none"/>
              </w:rPr>
            </w:pPr>
          </w:p>
        </w:tc>
        <w:tc>
          <w:tcPr>
            <w:tcW w:w="567" w:type="dxa"/>
            <w:gridSpan w:val="2"/>
            <w:vMerge w:val="continue"/>
            <w:tcBorders>
              <w:right w:val="single" w:color="auto" w:sz="4" w:space="0"/>
            </w:tcBorders>
          </w:tcPr>
          <w:p w14:paraId="4F91ECBD">
            <w:pPr>
              <w:spacing w:line="400" w:lineRule="exact"/>
              <w:jc w:val="center"/>
              <w:rPr>
                <w:rFonts w:ascii="宋体" w:hAnsi="宋体"/>
                <w:color w:val="auto"/>
                <w:kern w:val="0"/>
                <w:highlight w:val="none"/>
              </w:rPr>
            </w:pPr>
          </w:p>
        </w:tc>
        <w:tc>
          <w:tcPr>
            <w:tcW w:w="2560" w:type="dxa"/>
            <w:gridSpan w:val="2"/>
            <w:tcBorders>
              <w:left w:val="single" w:color="auto" w:sz="4" w:space="0"/>
            </w:tcBorders>
          </w:tcPr>
          <w:p w14:paraId="47CCF1AB">
            <w:pPr>
              <w:spacing w:line="400" w:lineRule="exact"/>
              <w:jc w:val="left"/>
              <w:rPr>
                <w:rFonts w:ascii="宋体" w:hAnsi="宋体"/>
                <w:color w:val="auto"/>
                <w:kern w:val="0"/>
                <w:highlight w:val="none"/>
              </w:rPr>
            </w:pPr>
            <w:r>
              <w:rPr>
                <w:rFonts w:ascii="宋体" w:hAnsi="宋体"/>
                <w:color w:val="auto"/>
                <w:kern w:val="0"/>
                <w:highlight w:val="none"/>
              </w:rPr>
              <w:t>其他要求</w:t>
            </w:r>
          </w:p>
        </w:tc>
        <w:tc>
          <w:tcPr>
            <w:tcW w:w="5493" w:type="dxa"/>
            <w:vAlign w:val="center"/>
          </w:tcPr>
          <w:p w14:paraId="10F43105">
            <w:pPr>
              <w:spacing w:line="400" w:lineRule="exact"/>
              <w:ind w:firstLine="420" w:firstLineChars="200"/>
              <w:jc w:val="left"/>
              <w:rPr>
                <w:rFonts w:ascii="宋体" w:hAnsi="宋体"/>
                <w:color w:val="auto"/>
                <w:kern w:val="0"/>
                <w:highlight w:val="none"/>
              </w:rPr>
            </w:pPr>
            <w:r>
              <w:rPr>
                <w:rFonts w:ascii="宋体" w:hAnsi="宋体"/>
                <w:color w:val="auto"/>
                <w:kern w:val="0"/>
                <w:highlight w:val="none"/>
              </w:rPr>
              <w:t>符合第二章“投标人须知”第1.4.1项规定</w:t>
            </w:r>
          </w:p>
        </w:tc>
      </w:tr>
      <w:tr w14:paraId="610E115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5" w:type="dxa"/>
            <w:vMerge w:val="restart"/>
            <w:tcBorders>
              <w:right w:val="single" w:color="auto" w:sz="4" w:space="0"/>
            </w:tcBorders>
            <w:vAlign w:val="center"/>
          </w:tcPr>
          <w:p w14:paraId="3930E04A">
            <w:pPr>
              <w:spacing w:line="400" w:lineRule="exact"/>
              <w:jc w:val="center"/>
              <w:rPr>
                <w:rFonts w:ascii="宋体" w:hAnsi="宋体"/>
                <w:color w:val="auto"/>
                <w:kern w:val="0"/>
                <w:highlight w:val="none"/>
              </w:rPr>
            </w:pPr>
            <w:r>
              <w:rPr>
                <w:rFonts w:ascii="宋体" w:hAnsi="宋体"/>
                <w:color w:val="auto"/>
                <w:kern w:val="0"/>
                <w:highlight w:val="none"/>
              </w:rPr>
              <w:t>2.1.</w:t>
            </w:r>
            <w:r>
              <w:rPr>
                <w:rFonts w:hint="eastAsia" w:ascii="宋体" w:hAnsi="宋体"/>
                <w:color w:val="auto"/>
                <w:kern w:val="0"/>
                <w:highlight w:val="none"/>
              </w:rPr>
              <w:t>2</w:t>
            </w:r>
          </w:p>
        </w:tc>
        <w:tc>
          <w:tcPr>
            <w:tcW w:w="567" w:type="dxa"/>
            <w:gridSpan w:val="2"/>
            <w:vMerge w:val="restart"/>
            <w:tcBorders>
              <w:right w:val="single" w:color="auto" w:sz="4" w:space="0"/>
            </w:tcBorders>
            <w:vAlign w:val="center"/>
          </w:tcPr>
          <w:p w14:paraId="06846DE9">
            <w:pPr>
              <w:spacing w:line="400" w:lineRule="exact"/>
              <w:jc w:val="center"/>
              <w:rPr>
                <w:rFonts w:ascii="宋体" w:hAnsi="宋体"/>
                <w:color w:val="auto"/>
                <w:kern w:val="0"/>
                <w:highlight w:val="none"/>
              </w:rPr>
            </w:pPr>
            <w:r>
              <w:rPr>
                <w:rFonts w:ascii="宋体" w:hAnsi="宋体"/>
                <w:color w:val="auto"/>
                <w:kern w:val="0"/>
                <w:highlight w:val="none"/>
              </w:rPr>
              <w:t>形式评审标准</w:t>
            </w:r>
          </w:p>
        </w:tc>
        <w:tc>
          <w:tcPr>
            <w:tcW w:w="2560" w:type="dxa"/>
            <w:gridSpan w:val="2"/>
            <w:tcBorders>
              <w:left w:val="single" w:color="auto" w:sz="4" w:space="0"/>
            </w:tcBorders>
            <w:vAlign w:val="center"/>
          </w:tcPr>
          <w:p w14:paraId="03308013">
            <w:pPr>
              <w:spacing w:line="400" w:lineRule="exact"/>
              <w:jc w:val="left"/>
              <w:rPr>
                <w:rFonts w:ascii="宋体" w:hAnsi="宋体"/>
                <w:color w:val="auto"/>
                <w:kern w:val="0"/>
                <w:highlight w:val="none"/>
              </w:rPr>
            </w:pPr>
            <w:r>
              <w:rPr>
                <w:rFonts w:ascii="宋体" w:hAnsi="宋体"/>
                <w:color w:val="auto"/>
                <w:kern w:val="0"/>
                <w:highlight w:val="none"/>
              </w:rPr>
              <w:t>投标人名称</w:t>
            </w:r>
          </w:p>
        </w:tc>
        <w:tc>
          <w:tcPr>
            <w:tcW w:w="5493" w:type="dxa"/>
            <w:vAlign w:val="center"/>
          </w:tcPr>
          <w:p w14:paraId="3CA77B6E">
            <w:pPr>
              <w:spacing w:line="400" w:lineRule="exact"/>
              <w:ind w:firstLine="420" w:firstLineChars="200"/>
              <w:rPr>
                <w:rFonts w:ascii="宋体" w:hAnsi="宋体"/>
                <w:color w:val="auto"/>
                <w:kern w:val="0"/>
                <w:highlight w:val="none"/>
              </w:rPr>
            </w:pPr>
            <w:r>
              <w:rPr>
                <w:rFonts w:ascii="宋体" w:hAnsi="宋体"/>
                <w:color w:val="auto"/>
                <w:kern w:val="0"/>
                <w:highlight w:val="none"/>
              </w:rPr>
              <w:t>与营业执照、资质证书、安全生产许可证一致</w:t>
            </w:r>
            <w:r>
              <w:rPr>
                <w:rFonts w:hint="eastAsia" w:ascii="宋体" w:hAnsi="宋体"/>
                <w:color w:val="auto"/>
                <w:kern w:val="0"/>
                <w:highlight w:val="none"/>
              </w:rPr>
              <w:t>，依法变更名称的应提交相应证明材料</w:t>
            </w:r>
            <w:r>
              <w:rPr>
                <w:rFonts w:ascii="宋体" w:hAnsi="宋体"/>
                <w:color w:val="auto"/>
                <w:kern w:val="0"/>
                <w:highlight w:val="none"/>
              </w:rPr>
              <w:t>。</w:t>
            </w:r>
          </w:p>
        </w:tc>
      </w:tr>
      <w:tr w14:paraId="7200347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5" w:type="dxa"/>
            <w:vMerge w:val="continue"/>
            <w:tcBorders>
              <w:right w:val="single" w:color="auto" w:sz="4" w:space="0"/>
            </w:tcBorders>
          </w:tcPr>
          <w:p w14:paraId="336DE9CD">
            <w:pPr>
              <w:spacing w:line="400" w:lineRule="exact"/>
              <w:jc w:val="center"/>
              <w:rPr>
                <w:rFonts w:ascii="宋体" w:hAnsi="宋体"/>
                <w:color w:val="auto"/>
                <w:kern w:val="0"/>
                <w:highlight w:val="none"/>
              </w:rPr>
            </w:pPr>
          </w:p>
        </w:tc>
        <w:tc>
          <w:tcPr>
            <w:tcW w:w="567" w:type="dxa"/>
            <w:gridSpan w:val="2"/>
            <w:vMerge w:val="continue"/>
            <w:tcBorders>
              <w:right w:val="single" w:color="auto" w:sz="4" w:space="0"/>
            </w:tcBorders>
          </w:tcPr>
          <w:p w14:paraId="64DB9D1D">
            <w:pPr>
              <w:spacing w:line="400" w:lineRule="exact"/>
              <w:jc w:val="center"/>
              <w:rPr>
                <w:rFonts w:ascii="宋体" w:hAnsi="宋体"/>
                <w:color w:val="auto"/>
                <w:kern w:val="0"/>
                <w:highlight w:val="none"/>
              </w:rPr>
            </w:pPr>
          </w:p>
        </w:tc>
        <w:tc>
          <w:tcPr>
            <w:tcW w:w="2560" w:type="dxa"/>
            <w:gridSpan w:val="2"/>
            <w:tcBorders>
              <w:left w:val="single" w:color="auto" w:sz="4" w:space="0"/>
            </w:tcBorders>
            <w:vAlign w:val="center"/>
          </w:tcPr>
          <w:p w14:paraId="109141DD">
            <w:pPr>
              <w:spacing w:line="400" w:lineRule="exact"/>
              <w:jc w:val="left"/>
              <w:rPr>
                <w:rFonts w:ascii="宋体" w:hAnsi="宋体"/>
                <w:color w:val="auto"/>
                <w:kern w:val="0"/>
                <w:highlight w:val="none"/>
              </w:rPr>
            </w:pPr>
            <w:r>
              <w:rPr>
                <w:rFonts w:ascii="宋体" w:hAnsi="宋体"/>
                <w:color w:val="auto"/>
                <w:kern w:val="0"/>
                <w:highlight w:val="none"/>
              </w:rPr>
              <w:t>投标文件格式</w:t>
            </w:r>
          </w:p>
        </w:tc>
        <w:tc>
          <w:tcPr>
            <w:tcW w:w="5493" w:type="dxa"/>
            <w:vAlign w:val="center"/>
          </w:tcPr>
          <w:p w14:paraId="5748E16B">
            <w:pPr>
              <w:spacing w:line="400" w:lineRule="exact"/>
              <w:ind w:firstLine="420" w:firstLineChars="200"/>
              <w:rPr>
                <w:rFonts w:ascii="宋体" w:hAnsi="宋体"/>
                <w:color w:val="auto"/>
                <w:kern w:val="0"/>
                <w:highlight w:val="none"/>
              </w:rPr>
            </w:pPr>
            <w:r>
              <w:rPr>
                <w:rFonts w:ascii="宋体" w:hAnsi="宋体"/>
                <w:color w:val="auto"/>
                <w:kern w:val="0"/>
                <w:highlight w:val="none"/>
              </w:rPr>
              <w:t>符合第</w:t>
            </w:r>
            <w:r>
              <w:rPr>
                <w:rFonts w:hint="eastAsia" w:ascii="宋体" w:hAnsi="宋体"/>
                <w:color w:val="auto"/>
                <w:kern w:val="0"/>
                <w:highlight w:val="none"/>
              </w:rPr>
              <w:t>二</w:t>
            </w:r>
            <w:r>
              <w:rPr>
                <w:rFonts w:ascii="宋体" w:hAnsi="宋体"/>
                <w:color w:val="auto"/>
                <w:kern w:val="0"/>
                <w:highlight w:val="none"/>
              </w:rPr>
              <w:t>章“投标</w:t>
            </w:r>
            <w:r>
              <w:rPr>
                <w:rFonts w:hint="eastAsia" w:ascii="宋体" w:hAnsi="宋体"/>
                <w:color w:val="auto"/>
                <w:kern w:val="0"/>
                <w:highlight w:val="none"/>
              </w:rPr>
              <w:t>人须知</w:t>
            </w:r>
            <w:r>
              <w:rPr>
                <w:rFonts w:ascii="宋体" w:hAnsi="宋体"/>
                <w:color w:val="auto"/>
                <w:kern w:val="0"/>
                <w:highlight w:val="none"/>
              </w:rPr>
              <w:t>”</w:t>
            </w:r>
            <w:r>
              <w:rPr>
                <w:rFonts w:hint="eastAsia" w:ascii="宋体" w:hAnsi="宋体"/>
                <w:color w:val="auto"/>
                <w:kern w:val="0"/>
                <w:highlight w:val="none"/>
              </w:rPr>
              <w:t>第3.7款</w:t>
            </w:r>
            <w:r>
              <w:rPr>
                <w:rFonts w:ascii="宋体" w:hAnsi="宋体"/>
                <w:color w:val="auto"/>
                <w:kern w:val="0"/>
                <w:highlight w:val="none"/>
              </w:rPr>
              <w:t>的要求</w:t>
            </w:r>
            <w:r>
              <w:rPr>
                <w:rFonts w:hint="eastAsia" w:ascii="宋体" w:hAnsi="宋体"/>
                <w:color w:val="auto"/>
                <w:kern w:val="0"/>
                <w:highlight w:val="none"/>
              </w:rPr>
              <w:t>（不含投标函部分）</w:t>
            </w:r>
            <w:r>
              <w:rPr>
                <w:rFonts w:ascii="宋体" w:hAnsi="宋体"/>
                <w:color w:val="auto"/>
                <w:kern w:val="0"/>
                <w:highlight w:val="none"/>
              </w:rPr>
              <w:t>。</w:t>
            </w:r>
          </w:p>
        </w:tc>
      </w:tr>
      <w:tr w14:paraId="0E198A9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5" w:type="dxa"/>
            <w:vMerge w:val="continue"/>
            <w:tcBorders>
              <w:right w:val="single" w:color="auto" w:sz="4" w:space="0"/>
            </w:tcBorders>
          </w:tcPr>
          <w:p w14:paraId="70599318">
            <w:pPr>
              <w:spacing w:line="400" w:lineRule="exact"/>
              <w:jc w:val="center"/>
              <w:rPr>
                <w:rFonts w:ascii="宋体" w:hAnsi="宋体"/>
                <w:color w:val="auto"/>
                <w:kern w:val="0"/>
                <w:highlight w:val="none"/>
              </w:rPr>
            </w:pPr>
          </w:p>
        </w:tc>
        <w:tc>
          <w:tcPr>
            <w:tcW w:w="567" w:type="dxa"/>
            <w:gridSpan w:val="2"/>
            <w:vMerge w:val="continue"/>
            <w:tcBorders>
              <w:right w:val="single" w:color="auto" w:sz="4" w:space="0"/>
            </w:tcBorders>
          </w:tcPr>
          <w:p w14:paraId="20B0595D">
            <w:pPr>
              <w:spacing w:line="400" w:lineRule="exact"/>
              <w:jc w:val="center"/>
              <w:rPr>
                <w:rFonts w:ascii="宋体" w:hAnsi="宋体"/>
                <w:color w:val="auto"/>
                <w:kern w:val="0"/>
                <w:highlight w:val="none"/>
              </w:rPr>
            </w:pPr>
          </w:p>
        </w:tc>
        <w:tc>
          <w:tcPr>
            <w:tcW w:w="2560" w:type="dxa"/>
            <w:gridSpan w:val="2"/>
            <w:tcBorders>
              <w:left w:val="single" w:color="auto" w:sz="4" w:space="0"/>
            </w:tcBorders>
            <w:vAlign w:val="center"/>
          </w:tcPr>
          <w:p w14:paraId="7E307E42">
            <w:pPr>
              <w:spacing w:line="400" w:lineRule="exact"/>
              <w:jc w:val="left"/>
              <w:rPr>
                <w:rFonts w:ascii="宋体" w:hAnsi="宋体"/>
                <w:color w:val="auto"/>
                <w:kern w:val="0"/>
                <w:highlight w:val="none"/>
              </w:rPr>
            </w:pPr>
            <w:r>
              <w:rPr>
                <w:rFonts w:ascii="宋体" w:hAnsi="宋体"/>
                <w:color w:val="auto"/>
                <w:kern w:val="0"/>
                <w:highlight w:val="none"/>
              </w:rPr>
              <w:t>投标文件的签署</w:t>
            </w:r>
          </w:p>
        </w:tc>
        <w:tc>
          <w:tcPr>
            <w:tcW w:w="5493" w:type="dxa"/>
            <w:vAlign w:val="center"/>
          </w:tcPr>
          <w:p w14:paraId="5FD6E3BB">
            <w:pPr>
              <w:spacing w:line="400" w:lineRule="exact"/>
              <w:ind w:firstLine="420" w:firstLineChars="200"/>
              <w:rPr>
                <w:rFonts w:ascii="宋体" w:hAnsi="宋体"/>
                <w:color w:val="auto"/>
                <w:kern w:val="0"/>
                <w:highlight w:val="none"/>
              </w:rPr>
            </w:pPr>
            <w:r>
              <w:rPr>
                <w:rFonts w:hint="eastAsia" w:ascii="宋体" w:hAnsi="宋体"/>
                <w:color w:val="auto"/>
                <w:kern w:val="0"/>
                <w:highlight w:val="none"/>
              </w:rPr>
              <w:t xml:space="preserve">第八章 </w:t>
            </w:r>
            <w:r>
              <w:rPr>
                <w:rFonts w:ascii="宋体" w:hAnsi="宋体"/>
                <w:color w:val="auto"/>
                <w:kern w:val="0"/>
                <w:highlight w:val="none"/>
              </w:rPr>
              <w:t>投标文件</w:t>
            </w:r>
            <w:r>
              <w:rPr>
                <w:rFonts w:hint="eastAsia" w:ascii="宋体" w:hAnsi="宋体"/>
                <w:color w:val="auto"/>
                <w:kern w:val="0"/>
                <w:highlight w:val="none"/>
              </w:rPr>
              <w:t>格式（不含投标函部分）要求</w:t>
            </w:r>
            <w:r>
              <w:rPr>
                <w:rFonts w:ascii="宋体" w:hAnsi="宋体"/>
                <w:color w:val="auto"/>
                <w:kern w:val="0"/>
                <w:highlight w:val="none"/>
              </w:rPr>
              <w:t>法定代表人或其委托代理人</w:t>
            </w:r>
            <w:r>
              <w:rPr>
                <w:rFonts w:hint="eastAsia" w:ascii="宋体" w:hAnsi="宋体"/>
                <w:color w:val="auto"/>
                <w:kern w:val="0"/>
                <w:highlight w:val="none"/>
              </w:rPr>
              <w:t>签名</w:t>
            </w:r>
            <w:r>
              <w:rPr>
                <w:rFonts w:ascii="宋体" w:hAnsi="宋体"/>
                <w:color w:val="auto"/>
                <w:kern w:val="0"/>
                <w:highlight w:val="none"/>
              </w:rPr>
              <w:t>（或盖章）</w:t>
            </w:r>
            <w:r>
              <w:rPr>
                <w:rFonts w:hint="eastAsia" w:ascii="宋体" w:hAnsi="宋体"/>
                <w:color w:val="auto"/>
                <w:kern w:val="0"/>
                <w:highlight w:val="none"/>
              </w:rPr>
              <w:t>的须</w:t>
            </w:r>
            <w:r>
              <w:rPr>
                <w:rFonts w:ascii="宋体" w:hAnsi="宋体"/>
                <w:color w:val="auto"/>
                <w:kern w:val="0"/>
                <w:highlight w:val="none"/>
              </w:rPr>
              <w:t>齐全</w:t>
            </w:r>
            <w:r>
              <w:rPr>
                <w:rFonts w:hint="eastAsia" w:asciiTheme="minorEastAsia" w:hAnsiTheme="minorEastAsia" w:eastAsiaTheme="minorEastAsia" w:cstheme="minorEastAsia"/>
                <w:color w:val="auto"/>
                <w:kern w:val="0"/>
                <w:highlight w:val="none"/>
              </w:rPr>
              <w:t>，</w:t>
            </w:r>
            <w:r>
              <w:rPr>
                <w:rFonts w:hint="eastAsia" w:asciiTheme="minorEastAsia" w:hAnsiTheme="minorEastAsia" w:eastAsiaTheme="minorEastAsia" w:cstheme="minorEastAsia"/>
                <w:color w:val="auto"/>
                <w:szCs w:val="21"/>
                <w:highlight w:val="none"/>
              </w:rPr>
              <w:t>要求签名的，</w:t>
            </w:r>
            <w:r>
              <w:rPr>
                <w:rFonts w:hint="eastAsia" w:asciiTheme="minorEastAsia" w:hAnsiTheme="minorEastAsia" w:eastAsiaTheme="minorEastAsia" w:cstheme="minorEastAsia"/>
                <w:color w:val="auto"/>
                <w:kern w:val="0"/>
                <w:highlight w:val="none"/>
              </w:rPr>
              <w:t>签名采用手写签名或签章或加盖CA数字证书均可</w:t>
            </w:r>
            <w:r>
              <w:rPr>
                <w:rFonts w:ascii="宋体" w:hAnsi="宋体"/>
                <w:color w:val="auto"/>
                <w:kern w:val="0"/>
                <w:highlight w:val="none"/>
              </w:rPr>
              <w:t>。</w:t>
            </w:r>
          </w:p>
          <w:p w14:paraId="40EC466E">
            <w:pPr>
              <w:autoSpaceDE w:val="0"/>
              <w:autoSpaceDN w:val="0"/>
              <w:adjustRightInd w:val="0"/>
              <w:snapToGrid w:val="0"/>
              <w:spacing w:line="400" w:lineRule="exact"/>
              <w:ind w:firstLine="420" w:firstLineChars="200"/>
              <w:rPr>
                <w:rFonts w:ascii="宋体" w:hAnsi="宋体"/>
                <w:color w:val="auto"/>
                <w:kern w:val="0"/>
                <w:highlight w:val="none"/>
              </w:rPr>
            </w:pPr>
            <w:r>
              <w:rPr>
                <w:rFonts w:hint="eastAsia" w:ascii="宋体" w:hAnsi="宋体"/>
                <w:color w:val="auto"/>
                <w:kern w:val="0"/>
                <w:highlight w:val="none"/>
              </w:rPr>
              <w:t>第八章 投标文件格式（不含投标函部分）要求加盖单位法人章的，应使用 CA 数字证书加盖投标人的单位电子印章。</w:t>
            </w:r>
          </w:p>
        </w:tc>
      </w:tr>
      <w:tr w14:paraId="6A2C48C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55" w:type="dxa"/>
            <w:vMerge w:val="continue"/>
            <w:tcBorders>
              <w:right w:val="single" w:color="auto" w:sz="4" w:space="0"/>
            </w:tcBorders>
          </w:tcPr>
          <w:p w14:paraId="0BB88B48">
            <w:pPr>
              <w:spacing w:line="400" w:lineRule="exact"/>
              <w:jc w:val="center"/>
              <w:rPr>
                <w:rFonts w:ascii="宋体" w:hAnsi="宋体"/>
                <w:color w:val="auto"/>
                <w:kern w:val="0"/>
                <w:highlight w:val="none"/>
              </w:rPr>
            </w:pPr>
          </w:p>
        </w:tc>
        <w:tc>
          <w:tcPr>
            <w:tcW w:w="567" w:type="dxa"/>
            <w:gridSpan w:val="2"/>
            <w:vMerge w:val="continue"/>
            <w:tcBorders>
              <w:right w:val="single" w:color="auto" w:sz="4" w:space="0"/>
            </w:tcBorders>
          </w:tcPr>
          <w:p w14:paraId="5E6D7F03">
            <w:pPr>
              <w:spacing w:line="400" w:lineRule="exact"/>
              <w:jc w:val="center"/>
              <w:rPr>
                <w:rFonts w:ascii="宋体" w:hAnsi="宋体"/>
                <w:color w:val="auto"/>
                <w:kern w:val="0"/>
                <w:highlight w:val="none"/>
              </w:rPr>
            </w:pPr>
          </w:p>
        </w:tc>
        <w:tc>
          <w:tcPr>
            <w:tcW w:w="2560" w:type="dxa"/>
            <w:gridSpan w:val="2"/>
            <w:tcBorders>
              <w:left w:val="single" w:color="auto" w:sz="4" w:space="0"/>
            </w:tcBorders>
            <w:vAlign w:val="center"/>
          </w:tcPr>
          <w:p w14:paraId="58DE6C5B">
            <w:pPr>
              <w:spacing w:line="400" w:lineRule="exact"/>
              <w:jc w:val="left"/>
              <w:rPr>
                <w:rFonts w:ascii="宋体" w:hAnsi="宋体"/>
                <w:color w:val="auto"/>
                <w:kern w:val="0"/>
                <w:highlight w:val="none"/>
              </w:rPr>
            </w:pPr>
            <w:r>
              <w:rPr>
                <w:rFonts w:ascii="宋体" w:hAnsi="宋体"/>
                <w:color w:val="auto"/>
                <w:kern w:val="0"/>
                <w:highlight w:val="none"/>
              </w:rPr>
              <w:t>委托代理人</w:t>
            </w:r>
          </w:p>
        </w:tc>
        <w:tc>
          <w:tcPr>
            <w:tcW w:w="5493" w:type="dxa"/>
            <w:vAlign w:val="center"/>
          </w:tcPr>
          <w:p w14:paraId="60D59417">
            <w:pPr>
              <w:spacing w:line="400" w:lineRule="exact"/>
              <w:ind w:firstLine="420" w:firstLineChars="200"/>
              <w:rPr>
                <w:rFonts w:ascii="宋体" w:hAnsi="宋体"/>
                <w:color w:val="auto"/>
                <w:kern w:val="0"/>
                <w:highlight w:val="none"/>
              </w:rPr>
            </w:pPr>
            <w:r>
              <w:rPr>
                <w:rFonts w:ascii="宋体" w:hAnsi="宋体"/>
                <w:color w:val="auto"/>
                <w:kern w:val="0"/>
                <w:highlight w:val="none"/>
              </w:rPr>
              <w:t>投标人法定代表人的委托代理人有法定代表人签署的授权委托书</w:t>
            </w:r>
            <w:r>
              <w:rPr>
                <w:rFonts w:hint="eastAsia" w:ascii="宋体" w:hAnsi="宋体"/>
                <w:color w:val="auto"/>
                <w:kern w:val="0"/>
                <w:highlight w:val="none"/>
              </w:rPr>
              <w:t>和投标人为其缴纳的养老保险。</w:t>
            </w:r>
          </w:p>
        </w:tc>
      </w:tr>
      <w:tr w14:paraId="3BC2D10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5" w:type="dxa"/>
            <w:vMerge w:val="restart"/>
            <w:vAlign w:val="center"/>
          </w:tcPr>
          <w:p w14:paraId="05A3C0E2">
            <w:pPr>
              <w:spacing w:line="400" w:lineRule="exact"/>
              <w:jc w:val="center"/>
              <w:rPr>
                <w:rFonts w:ascii="宋体" w:hAnsi="宋体"/>
                <w:color w:val="auto"/>
                <w:kern w:val="0"/>
                <w:highlight w:val="none"/>
              </w:rPr>
            </w:pPr>
            <w:r>
              <w:rPr>
                <w:rFonts w:ascii="宋体" w:hAnsi="宋体"/>
                <w:color w:val="auto"/>
                <w:kern w:val="0"/>
                <w:highlight w:val="none"/>
              </w:rPr>
              <w:t>2.1.</w:t>
            </w:r>
            <w:r>
              <w:rPr>
                <w:rFonts w:hint="eastAsia" w:ascii="宋体" w:hAnsi="宋体"/>
                <w:color w:val="auto"/>
                <w:kern w:val="0"/>
                <w:highlight w:val="none"/>
              </w:rPr>
              <w:t>3</w:t>
            </w:r>
          </w:p>
        </w:tc>
        <w:tc>
          <w:tcPr>
            <w:tcW w:w="567" w:type="dxa"/>
            <w:gridSpan w:val="2"/>
            <w:vMerge w:val="restart"/>
            <w:vAlign w:val="center"/>
          </w:tcPr>
          <w:p w14:paraId="02D09E79">
            <w:pPr>
              <w:spacing w:line="400" w:lineRule="exact"/>
              <w:jc w:val="center"/>
              <w:rPr>
                <w:rFonts w:ascii="宋体" w:hAnsi="宋体"/>
                <w:color w:val="auto"/>
                <w:kern w:val="0"/>
                <w:highlight w:val="none"/>
              </w:rPr>
            </w:pPr>
            <w:r>
              <w:rPr>
                <w:rFonts w:hint="eastAsia" w:ascii="宋体" w:hAnsi="宋体"/>
                <w:color w:val="auto"/>
                <w:kern w:val="0"/>
                <w:highlight w:val="none"/>
              </w:rPr>
              <w:t>响应性</w:t>
            </w:r>
            <w:r>
              <w:rPr>
                <w:rFonts w:ascii="宋体" w:hAnsi="宋体"/>
                <w:color w:val="auto"/>
                <w:kern w:val="0"/>
                <w:highlight w:val="none"/>
              </w:rPr>
              <w:t>评审标准</w:t>
            </w:r>
          </w:p>
        </w:tc>
        <w:tc>
          <w:tcPr>
            <w:tcW w:w="2560" w:type="dxa"/>
            <w:gridSpan w:val="2"/>
            <w:vAlign w:val="center"/>
          </w:tcPr>
          <w:p w14:paraId="27E0EEE7">
            <w:pPr>
              <w:spacing w:line="400" w:lineRule="exact"/>
              <w:jc w:val="left"/>
              <w:rPr>
                <w:rFonts w:ascii="宋体" w:hAnsi="宋体"/>
                <w:color w:val="auto"/>
                <w:kern w:val="0"/>
                <w:highlight w:val="none"/>
              </w:rPr>
            </w:pPr>
            <w:r>
              <w:rPr>
                <w:rFonts w:ascii="宋体" w:hAnsi="宋体"/>
                <w:color w:val="auto"/>
                <w:kern w:val="0"/>
                <w:highlight w:val="none"/>
              </w:rPr>
              <w:t>投标内容</w:t>
            </w:r>
          </w:p>
        </w:tc>
        <w:tc>
          <w:tcPr>
            <w:tcW w:w="5493" w:type="dxa"/>
            <w:vAlign w:val="center"/>
          </w:tcPr>
          <w:p w14:paraId="03CA3828">
            <w:pPr>
              <w:spacing w:line="400" w:lineRule="exact"/>
              <w:ind w:firstLine="420" w:firstLineChars="200"/>
              <w:jc w:val="left"/>
              <w:rPr>
                <w:rFonts w:ascii="宋体" w:hAnsi="宋体"/>
                <w:color w:val="auto"/>
                <w:kern w:val="0"/>
                <w:highlight w:val="none"/>
              </w:rPr>
            </w:pPr>
            <w:r>
              <w:rPr>
                <w:rFonts w:ascii="宋体" w:hAnsi="宋体"/>
                <w:color w:val="auto"/>
                <w:kern w:val="0"/>
                <w:highlight w:val="none"/>
              </w:rPr>
              <w:t>符合第二章“投标人须知”第1.3.1项规定</w:t>
            </w:r>
          </w:p>
        </w:tc>
      </w:tr>
      <w:tr w14:paraId="0AEBD0A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5" w:type="dxa"/>
            <w:vMerge w:val="continue"/>
            <w:vAlign w:val="center"/>
          </w:tcPr>
          <w:p w14:paraId="78CAACE4">
            <w:pPr>
              <w:spacing w:line="400" w:lineRule="exact"/>
              <w:jc w:val="center"/>
              <w:rPr>
                <w:rFonts w:ascii="宋体" w:hAnsi="宋体"/>
                <w:color w:val="auto"/>
                <w:kern w:val="0"/>
                <w:highlight w:val="none"/>
              </w:rPr>
            </w:pPr>
          </w:p>
        </w:tc>
        <w:tc>
          <w:tcPr>
            <w:tcW w:w="567" w:type="dxa"/>
            <w:gridSpan w:val="2"/>
            <w:vMerge w:val="continue"/>
            <w:textDirection w:val="tbRlV"/>
            <w:vAlign w:val="center"/>
          </w:tcPr>
          <w:p w14:paraId="417AB2CD">
            <w:pPr>
              <w:spacing w:line="400" w:lineRule="exact"/>
              <w:jc w:val="center"/>
              <w:rPr>
                <w:rFonts w:ascii="宋体" w:hAnsi="宋体"/>
                <w:color w:val="auto"/>
                <w:kern w:val="0"/>
                <w:highlight w:val="none"/>
              </w:rPr>
            </w:pPr>
          </w:p>
        </w:tc>
        <w:tc>
          <w:tcPr>
            <w:tcW w:w="2560" w:type="dxa"/>
            <w:gridSpan w:val="2"/>
            <w:tcBorders>
              <w:top w:val="single" w:color="auto" w:sz="4" w:space="0"/>
            </w:tcBorders>
            <w:vAlign w:val="center"/>
          </w:tcPr>
          <w:p w14:paraId="43B5D4D8">
            <w:pPr>
              <w:spacing w:line="400" w:lineRule="exact"/>
              <w:jc w:val="left"/>
              <w:rPr>
                <w:rFonts w:ascii="宋体" w:hAnsi="宋体"/>
                <w:color w:val="auto"/>
                <w:kern w:val="0"/>
                <w:highlight w:val="none"/>
              </w:rPr>
            </w:pPr>
            <w:r>
              <w:rPr>
                <w:rFonts w:ascii="宋体" w:hAnsi="宋体"/>
                <w:color w:val="auto"/>
                <w:kern w:val="0"/>
                <w:highlight w:val="none"/>
              </w:rPr>
              <w:t>投标保证金</w:t>
            </w:r>
          </w:p>
        </w:tc>
        <w:tc>
          <w:tcPr>
            <w:tcW w:w="5493" w:type="dxa"/>
            <w:vAlign w:val="center"/>
          </w:tcPr>
          <w:p w14:paraId="70866C3D">
            <w:pPr>
              <w:tabs>
                <w:tab w:val="left" w:pos="601"/>
                <w:tab w:val="left" w:pos="669"/>
              </w:tabs>
              <w:snapToGrid w:val="0"/>
              <w:spacing w:line="400" w:lineRule="exact"/>
              <w:ind w:firstLine="420" w:firstLineChars="200"/>
              <w:rPr>
                <w:rFonts w:ascii="宋体" w:hAnsi="宋体"/>
                <w:color w:val="auto"/>
                <w:kern w:val="0"/>
                <w:highlight w:val="none"/>
              </w:rPr>
            </w:pPr>
            <w:r>
              <w:rPr>
                <w:rFonts w:ascii="宋体" w:hAnsi="宋体"/>
                <w:color w:val="auto"/>
                <w:kern w:val="0"/>
                <w:szCs w:val="21"/>
                <w:highlight w:val="none"/>
              </w:rPr>
              <w:t>符合第二章投标人须知前附表第3.4</w:t>
            </w:r>
            <w:r>
              <w:rPr>
                <w:rFonts w:hint="eastAsia" w:ascii="宋体" w:hAnsi="宋体"/>
                <w:color w:val="auto"/>
                <w:kern w:val="0"/>
                <w:szCs w:val="21"/>
                <w:highlight w:val="none"/>
              </w:rPr>
              <w:t>款</w:t>
            </w:r>
            <w:r>
              <w:rPr>
                <w:rFonts w:ascii="宋体" w:hAnsi="宋体"/>
                <w:color w:val="auto"/>
                <w:kern w:val="0"/>
                <w:highlight w:val="none"/>
              </w:rPr>
              <w:t>规定</w:t>
            </w:r>
          </w:p>
        </w:tc>
      </w:tr>
      <w:tr w14:paraId="6BAA91A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5" w:type="dxa"/>
            <w:vMerge w:val="continue"/>
          </w:tcPr>
          <w:p w14:paraId="461780D3">
            <w:pPr>
              <w:spacing w:line="400" w:lineRule="exact"/>
              <w:jc w:val="center"/>
              <w:rPr>
                <w:rFonts w:ascii="宋体" w:hAnsi="宋体"/>
                <w:color w:val="auto"/>
                <w:highlight w:val="none"/>
              </w:rPr>
            </w:pPr>
          </w:p>
        </w:tc>
        <w:tc>
          <w:tcPr>
            <w:tcW w:w="567" w:type="dxa"/>
            <w:gridSpan w:val="2"/>
            <w:vMerge w:val="continue"/>
          </w:tcPr>
          <w:p w14:paraId="26014B5F">
            <w:pPr>
              <w:spacing w:line="400" w:lineRule="exact"/>
              <w:jc w:val="center"/>
              <w:rPr>
                <w:rFonts w:ascii="宋体" w:hAnsi="宋体"/>
                <w:color w:val="auto"/>
                <w:highlight w:val="none"/>
              </w:rPr>
            </w:pPr>
          </w:p>
        </w:tc>
        <w:tc>
          <w:tcPr>
            <w:tcW w:w="2560" w:type="dxa"/>
            <w:gridSpan w:val="2"/>
            <w:vAlign w:val="center"/>
          </w:tcPr>
          <w:p w14:paraId="4AE529A0">
            <w:pPr>
              <w:spacing w:line="400" w:lineRule="exact"/>
              <w:jc w:val="left"/>
              <w:rPr>
                <w:rFonts w:ascii="宋体" w:hAnsi="宋体"/>
                <w:color w:val="auto"/>
                <w:kern w:val="0"/>
                <w:highlight w:val="none"/>
              </w:rPr>
            </w:pPr>
            <w:r>
              <w:rPr>
                <w:rFonts w:ascii="宋体" w:hAnsi="宋体"/>
                <w:color w:val="auto"/>
                <w:kern w:val="0"/>
                <w:highlight w:val="none"/>
              </w:rPr>
              <w:t>权利义务</w:t>
            </w:r>
          </w:p>
        </w:tc>
        <w:tc>
          <w:tcPr>
            <w:tcW w:w="5493" w:type="dxa"/>
            <w:vAlign w:val="center"/>
          </w:tcPr>
          <w:p w14:paraId="5AE4FE9E">
            <w:pPr>
              <w:spacing w:after="62" w:afterLines="20" w:line="400" w:lineRule="exact"/>
              <w:ind w:firstLine="420" w:firstLineChars="200"/>
              <w:rPr>
                <w:rFonts w:ascii="宋体" w:hAnsi="宋体"/>
                <w:color w:val="auto"/>
                <w:kern w:val="0"/>
                <w:highlight w:val="none"/>
              </w:rPr>
            </w:pPr>
            <w:r>
              <w:rPr>
                <w:rFonts w:ascii="宋体" w:hAnsi="宋体"/>
                <w:color w:val="auto"/>
                <w:kern w:val="0"/>
                <w:highlight w:val="none"/>
              </w:rPr>
              <w:t>符合第四章“合同条款及格式”规定，投标文件不应附有招标人不能接受的条件。</w:t>
            </w:r>
            <w:r>
              <w:rPr>
                <w:rFonts w:hint="eastAsia" w:ascii="宋体" w:hAnsi="宋体"/>
                <w:color w:val="auto"/>
                <w:kern w:val="0"/>
                <w:highlight w:val="none"/>
              </w:rPr>
              <w:t>（由投标人承诺，承诺书格式详见第八章投标文件格式。）</w:t>
            </w:r>
          </w:p>
        </w:tc>
      </w:tr>
      <w:tr w14:paraId="60E6CBF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5" w:type="dxa"/>
            <w:vMerge w:val="continue"/>
          </w:tcPr>
          <w:p w14:paraId="463A3B35">
            <w:pPr>
              <w:spacing w:line="400" w:lineRule="exact"/>
              <w:jc w:val="center"/>
              <w:rPr>
                <w:rFonts w:ascii="宋体" w:hAnsi="宋体"/>
                <w:color w:val="auto"/>
                <w:highlight w:val="none"/>
              </w:rPr>
            </w:pPr>
          </w:p>
        </w:tc>
        <w:tc>
          <w:tcPr>
            <w:tcW w:w="567" w:type="dxa"/>
            <w:gridSpan w:val="2"/>
            <w:vMerge w:val="continue"/>
          </w:tcPr>
          <w:p w14:paraId="799D3A14">
            <w:pPr>
              <w:spacing w:line="400" w:lineRule="exact"/>
              <w:jc w:val="center"/>
              <w:rPr>
                <w:rFonts w:ascii="宋体" w:hAnsi="宋体"/>
                <w:color w:val="auto"/>
                <w:highlight w:val="none"/>
              </w:rPr>
            </w:pPr>
          </w:p>
        </w:tc>
        <w:tc>
          <w:tcPr>
            <w:tcW w:w="2560" w:type="dxa"/>
            <w:gridSpan w:val="2"/>
            <w:vAlign w:val="center"/>
          </w:tcPr>
          <w:p w14:paraId="19DE41DA">
            <w:pPr>
              <w:spacing w:line="400" w:lineRule="exact"/>
              <w:jc w:val="left"/>
              <w:rPr>
                <w:rFonts w:ascii="宋体" w:hAnsi="宋体"/>
                <w:color w:val="auto"/>
                <w:kern w:val="0"/>
                <w:highlight w:val="none"/>
              </w:rPr>
            </w:pPr>
            <w:r>
              <w:rPr>
                <w:rFonts w:hint="eastAsia" w:ascii="宋体" w:hAnsi="宋体" w:cs="宋体"/>
                <w:color w:val="auto"/>
                <w:kern w:val="0"/>
                <w:highlight w:val="none"/>
              </w:rPr>
              <w:sym w:font="Wingdings 2" w:char="F052"/>
            </w:r>
            <w:r>
              <w:rPr>
                <w:rFonts w:ascii="宋体" w:hAnsi="宋体"/>
                <w:color w:val="auto"/>
                <w:kern w:val="0"/>
                <w:highlight w:val="none"/>
              </w:rPr>
              <w:t>技术标准和要求</w:t>
            </w:r>
          </w:p>
        </w:tc>
        <w:tc>
          <w:tcPr>
            <w:tcW w:w="5493" w:type="dxa"/>
            <w:vAlign w:val="center"/>
          </w:tcPr>
          <w:p w14:paraId="7697175D">
            <w:pPr>
              <w:spacing w:line="400" w:lineRule="exact"/>
              <w:ind w:firstLine="420" w:firstLineChars="200"/>
              <w:rPr>
                <w:rFonts w:ascii="宋体" w:hAnsi="宋体"/>
                <w:color w:val="auto"/>
                <w:kern w:val="0"/>
                <w:highlight w:val="none"/>
              </w:rPr>
            </w:pPr>
            <w:r>
              <w:rPr>
                <w:rFonts w:ascii="宋体" w:hAnsi="宋体"/>
                <w:color w:val="auto"/>
                <w:kern w:val="0"/>
                <w:highlight w:val="none"/>
              </w:rPr>
              <w:t>符合第七章“技术标准和要求”规定</w:t>
            </w:r>
            <w:r>
              <w:rPr>
                <w:rFonts w:hint="eastAsia" w:ascii="宋体" w:hAnsi="宋体"/>
                <w:color w:val="auto"/>
                <w:kern w:val="0"/>
                <w:highlight w:val="none"/>
              </w:rPr>
              <w:t>。（由投标人承诺，承诺书格式详见第八章投标文件格式。）</w:t>
            </w:r>
          </w:p>
        </w:tc>
      </w:tr>
      <w:tr w14:paraId="7ABAC74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5" w:type="dxa"/>
            <w:vMerge w:val="continue"/>
          </w:tcPr>
          <w:p w14:paraId="7F11D1AE">
            <w:pPr>
              <w:spacing w:line="400" w:lineRule="exact"/>
              <w:rPr>
                <w:rFonts w:ascii="宋体" w:hAnsi="宋体"/>
                <w:color w:val="auto"/>
                <w:highlight w:val="none"/>
              </w:rPr>
            </w:pPr>
          </w:p>
        </w:tc>
        <w:tc>
          <w:tcPr>
            <w:tcW w:w="567" w:type="dxa"/>
            <w:gridSpan w:val="2"/>
            <w:vMerge w:val="continue"/>
          </w:tcPr>
          <w:p w14:paraId="445A54A3">
            <w:pPr>
              <w:spacing w:line="400" w:lineRule="exact"/>
              <w:rPr>
                <w:rFonts w:ascii="宋体" w:hAnsi="宋体"/>
                <w:color w:val="auto"/>
                <w:highlight w:val="none"/>
              </w:rPr>
            </w:pPr>
          </w:p>
        </w:tc>
        <w:tc>
          <w:tcPr>
            <w:tcW w:w="2560" w:type="dxa"/>
            <w:gridSpan w:val="2"/>
            <w:vAlign w:val="center"/>
          </w:tcPr>
          <w:p w14:paraId="426455B6">
            <w:pPr>
              <w:spacing w:line="400" w:lineRule="exact"/>
              <w:jc w:val="left"/>
              <w:rPr>
                <w:rFonts w:ascii="宋体" w:hAnsi="宋体"/>
                <w:color w:val="auto"/>
                <w:kern w:val="0"/>
                <w:highlight w:val="none"/>
              </w:rPr>
            </w:pPr>
            <w:r>
              <w:rPr>
                <w:rFonts w:ascii="宋体" w:hAnsi="宋体"/>
                <w:color w:val="auto"/>
                <w:kern w:val="0"/>
                <w:highlight w:val="none"/>
              </w:rPr>
              <w:t>实质性要求</w:t>
            </w:r>
          </w:p>
        </w:tc>
        <w:tc>
          <w:tcPr>
            <w:tcW w:w="5493" w:type="dxa"/>
            <w:vAlign w:val="center"/>
          </w:tcPr>
          <w:p w14:paraId="35FC5414">
            <w:pPr>
              <w:spacing w:after="62" w:afterLines="20" w:line="400" w:lineRule="exact"/>
              <w:ind w:firstLine="420" w:firstLineChars="200"/>
              <w:rPr>
                <w:rFonts w:ascii="宋体" w:hAnsi="宋体"/>
                <w:color w:val="auto"/>
                <w:kern w:val="0"/>
                <w:highlight w:val="none"/>
              </w:rPr>
            </w:pPr>
            <w:r>
              <w:rPr>
                <w:rFonts w:hint="eastAsia" w:ascii="宋体" w:hAnsi="宋体"/>
                <w:color w:val="auto"/>
                <w:kern w:val="0"/>
                <w:highlight w:val="none"/>
              </w:rPr>
              <w:t>符合第二章“投标人须知”第1.4.3项规定。</w:t>
            </w:r>
          </w:p>
          <w:p w14:paraId="462FDC49">
            <w:pPr>
              <w:spacing w:after="62" w:afterLines="20" w:line="400" w:lineRule="exact"/>
              <w:ind w:firstLine="420" w:firstLineChars="200"/>
              <w:rPr>
                <w:rFonts w:ascii="宋体" w:hAnsi="宋体"/>
                <w:color w:val="auto"/>
                <w:kern w:val="0"/>
                <w:highlight w:val="none"/>
              </w:rPr>
            </w:pPr>
            <w:r>
              <w:rPr>
                <w:rFonts w:hint="eastAsia" w:ascii="宋体" w:hAnsi="宋体"/>
                <w:color w:val="auto"/>
                <w:kern w:val="0"/>
                <w:highlight w:val="none"/>
              </w:rPr>
              <w:t>本次投标不得有串通投标</w:t>
            </w:r>
            <w:r>
              <w:rPr>
                <w:rFonts w:ascii="宋体" w:hAnsi="宋体"/>
                <w:color w:val="auto"/>
                <w:kern w:val="0"/>
                <w:highlight w:val="none"/>
              </w:rPr>
              <w:t>、弄虚作假等其他违反招投标相关法律、法规行为。</w:t>
            </w:r>
          </w:p>
          <w:p w14:paraId="766672F5">
            <w:pPr>
              <w:spacing w:after="62" w:afterLines="20" w:line="400" w:lineRule="exact"/>
              <w:ind w:firstLine="420" w:firstLineChars="200"/>
              <w:rPr>
                <w:rFonts w:ascii="宋体" w:hAnsi="宋体"/>
                <w:color w:val="auto"/>
                <w:kern w:val="0"/>
                <w:highlight w:val="none"/>
              </w:rPr>
            </w:pPr>
            <w:r>
              <w:rPr>
                <w:rFonts w:hint="eastAsia" w:ascii="宋体" w:hAnsi="宋体"/>
                <w:color w:val="auto"/>
                <w:kern w:val="0"/>
                <w:highlight w:val="none"/>
              </w:rPr>
              <w:t>按评标委员会要求澄清、说明或补正。</w:t>
            </w:r>
          </w:p>
        </w:tc>
      </w:tr>
      <w:bookmarkEnd w:id="503"/>
      <w:bookmarkEnd w:id="504"/>
      <w:bookmarkEnd w:id="505"/>
      <w:bookmarkEnd w:id="506"/>
      <w:bookmarkEnd w:id="507"/>
      <w:tr w14:paraId="521D412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422" w:type="dxa"/>
            <w:gridSpan w:val="3"/>
            <w:vAlign w:val="center"/>
          </w:tcPr>
          <w:p w14:paraId="7BBF4EBE">
            <w:pPr>
              <w:spacing w:line="400" w:lineRule="exact"/>
              <w:ind w:firstLine="210" w:firstLineChars="100"/>
              <w:jc w:val="center"/>
              <w:rPr>
                <w:rFonts w:ascii="宋体" w:hAnsi="宋体"/>
                <w:color w:val="auto"/>
                <w:kern w:val="0"/>
                <w:highlight w:val="none"/>
              </w:rPr>
            </w:pPr>
            <w:r>
              <w:rPr>
                <w:rFonts w:ascii="宋体" w:hAnsi="宋体"/>
                <w:color w:val="auto"/>
                <w:kern w:val="0"/>
                <w:highlight w:val="none"/>
              </w:rPr>
              <w:t>2.2.1</w:t>
            </w:r>
          </w:p>
        </w:tc>
        <w:tc>
          <w:tcPr>
            <w:tcW w:w="2560" w:type="dxa"/>
            <w:gridSpan w:val="2"/>
            <w:vAlign w:val="center"/>
          </w:tcPr>
          <w:p w14:paraId="0BDF7A1A">
            <w:pPr>
              <w:tabs>
                <w:tab w:val="left" w:pos="1875"/>
              </w:tabs>
              <w:spacing w:line="400" w:lineRule="exact"/>
              <w:jc w:val="center"/>
              <w:rPr>
                <w:rFonts w:ascii="宋体" w:hAnsi="宋体"/>
                <w:color w:val="auto"/>
                <w:kern w:val="0"/>
                <w:highlight w:val="none"/>
              </w:rPr>
            </w:pPr>
            <w:r>
              <w:rPr>
                <w:rFonts w:ascii="宋体" w:hAnsi="宋体"/>
                <w:color w:val="auto"/>
                <w:kern w:val="0"/>
                <w:highlight w:val="none"/>
              </w:rPr>
              <w:t>分值构成 （总分1</w:t>
            </w:r>
            <w:r>
              <w:rPr>
                <w:rFonts w:hint="eastAsia" w:ascii="宋体" w:hAnsi="宋体"/>
                <w:color w:val="auto"/>
                <w:kern w:val="0"/>
                <w:highlight w:val="none"/>
              </w:rPr>
              <w:t>00</w:t>
            </w:r>
            <w:r>
              <w:rPr>
                <w:rFonts w:ascii="宋体" w:hAnsi="宋体"/>
                <w:color w:val="auto"/>
                <w:kern w:val="0"/>
                <w:highlight w:val="none"/>
              </w:rPr>
              <w:t>分）</w:t>
            </w:r>
          </w:p>
        </w:tc>
        <w:tc>
          <w:tcPr>
            <w:tcW w:w="5493" w:type="dxa"/>
            <w:vAlign w:val="center"/>
          </w:tcPr>
          <w:p w14:paraId="1BDCAAB3">
            <w:pPr>
              <w:snapToGrid w:val="0"/>
              <w:spacing w:line="400" w:lineRule="exact"/>
              <w:ind w:firstLine="420" w:firstLineChars="200"/>
              <w:rPr>
                <w:rFonts w:ascii="宋体" w:hAnsi="宋体"/>
                <w:color w:val="auto"/>
                <w:kern w:val="0"/>
                <w:highlight w:val="none"/>
              </w:rPr>
            </w:pPr>
            <w:r>
              <w:rPr>
                <w:rFonts w:hint="eastAsia" w:ascii="宋体" w:hAnsi="宋体"/>
                <w:color w:val="auto"/>
                <w:kern w:val="0"/>
                <w:highlight w:val="none"/>
              </w:rPr>
              <w:t>1</w:t>
            </w:r>
            <w:r>
              <w:rPr>
                <w:rFonts w:ascii="宋体" w:hAnsi="宋体"/>
                <w:color w:val="auto"/>
                <w:kern w:val="0"/>
                <w:highlight w:val="none"/>
              </w:rPr>
              <w:t>.</w:t>
            </w:r>
            <w:r>
              <w:rPr>
                <w:rFonts w:hint="eastAsia" w:ascii="宋体" w:hAnsi="宋体"/>
                <w:color w:val="auto"/>
                <w:kern w:val="0"/>
                <w:highlight w:val="none"/>
              </w:rPr>
              <w:t xml:space="preserve">技术部分 </w:t>
            </w:r>
            <w:r>
              <w:rPr>
                <w:rFonts w:hint="eastAsia" w:ascii="宋体" w:hAnsi="宋体"/>
                <w:color w:val="auto"/>
                <w:kern w:val="0"/>
                <w:highlight w:val="none"/>
                <w:u w:val="single"/>
              </w:rPr>
              <w:t>3</w:t>
            </w:r>
            <w:r>
              <w:rPr>
                <w:rFonts w:ascii="宋体" w:hAnsi="宋体"/>
                <w:color w:val="auto"/>
                <w:kern w:val="0"/>
                <w:highlight w:val="none"/>
                <w:u w:val="single"/>
              </w:rPr>
              <w:t>0</w:t>
            </w:r>
            <w:r>
              <w:rPr>
                <w:rFonts w:ascii="宋体" w:hAnsi="宋体"/>
                <w:color w:val="auto"/>
                <w:kern w:val="0"/>
                <w:highlight w:val="none"/>
              </w:rPr>
              <w:t>分</w:t>
            </w:r>
            <w:r>
              <w:rPr>
                <w:rFonts w:hint="eastAsia" w:ascii="宋体" w:hAnsi="宋体"/>
                <w:color w:val="auto"/>
                <w:kern w:val="0"/>
                <w:highlight w:val="none"/>
              </w:rPr>
              <w:t>；</w:t>
            </w:r>
          </w:p>
          <w:p w14:paraId="788286C9">
            <w:pPr>
              <w:snapToGrid w:val="0"/>
              <w:spacing w:line="400" w:lineRule="exact"/>
              <w:ind w:firstLine="420" w:firstLineChars="200"/>
              <w:rPr>
                <w:rFonts w:ascii="宋体" w:hAnsi="宋体"/>
                <w:color w:val="auto"/>
                <w:kern w:val="0"/>
                <w:highlight w:val="none"/>
              </w:rPr>
            </w:pPr>
            <w:r>
              <w:rPr>
                <w:rFonts w:hint="eastAsia" w:ascii="宋体" w:hAnsi="宋体"/>
                <w:color w:val="auto"/>
                <w:kern w:val="0"/>
                <w:highlight w:val="none"/>
              </w:rPr>
              <w:t>2.投标总报价</w:t>
            </w:r>
            <w:r>
              <w:rPr>
                <w:rFonts w:ascii="宋体" w:hAnsi="宋体"/>
                <w:color w:val="auto"/>
                <w:kern w:val="0"/>
                <w:highlight w:val="none"/>
                <w:u w:val="single"/>
              </w:rPr>
              <w:t>70</w:t>
            </w:r>
            <w:r>
              <w:rPr>
                <w:rFonts w:hint="eastAsia" w:ascii="宋体" w:hAnsi="宋体"/>
                <w:color w:val="auto"/>
                <w:kern w:val="0"/>
                <w:highlight w:val="none"/>
              </w:rPr>
              <w:t>分。</w:t>
            </w:r>
          </w:p>
        </w:tc>
      </w:tr>
      <w:tr w14:paraId="46DBC53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87" w:type="dxa"/>
            <w:gridSpan w:val="2"/>
            <w:vMerge w:val="restart"/>
            <w:tcBorders>
              <w:right w:val="single" w:color="auto" w:sz="4" w:space="0"/>
            </w:tcBorders>
            <w:vAlign w:val="center"/>
          </w:tcPr>
          <w:p w14:paraId="002ADEF8">
            <w:pPr>
              <w:spacing w:line="400" w:lineRule="exact"/>
              <w:jc w:val="center"/>
              <w:rPr>
                <w:rFonts w:ascii="宋体" w:hAnsi="宋体"/>
                <w:color w:val="auto"/>
                <w:kern w:val="0"/>
                <w:highlight w:val="none"/>
              </w:rPr>
            </w:pPr>
            <w:r>
              <w:rPr>
                <w:rFonts w:hint="eastAsia" w:ascii="宋体" w:hAnsi="宋体"/>
                <w:color w:val="auto"/>
                <w:kern w:val="0"/>
                <w:highlight w:val="none"/>
              </w:rPr>
              <w:t>2.2.2（1）</w:t>
            </w:r>
          </w:p>
        </w:tc>
        <w:tc>
          <w:tcPr>
            <w:tcW w:w="535" w:type="dxa"/>
            <w:vMerge w:val="restart"/>
            <w:tcBorders>
              <w:left w:val="single" w:color="auto" w:sz="4" w:space="0"/>
            </w:tcBorders>
            <w:vAlign w:val="center"/>
          </w:tcPr>
          <w:p w14:paraId="786C15FE">
            <w:pPr>
              <w:spacing w:line="400" w:lineRule="exact"/>
              <w:jc w:val="center"/>
              <w:rPr>
                <w:rFonts w:ascii="宋体" w:hAnsi="宋体"/>
                <w:color w:val="auto"/>
                <w:kern w:val="0"/>
                <w:highlight w:val="none"/>
              </w:rPr>
            </w:pPr>
            <w:r>
              <w:rPr>
                <w:rFonts w:hint="eastAsia" w:ascii="宋体" w:hAnsi="宋体"/>
                <w:color w:val="auto"/>
                <w:kern w:val="0"/>
                <w:highlight w:val="none"/>
              </w:rPr>
              <w:t>技术部分评分标准</w:t>
            </w:r>
          </w:p>
        </w:tc>
        <w:tc>
          <w:tcPr>
            <w:tcW w:w="850" w:type="dxa"/>
            <w:vMerge w:val="restart"/>
            <w:tcBorders>
              <w:right w:val="single" w:color="auto" w:sz="4" w:space="0"/>
            </w:tcBorders>
            <w:vAlign w:val="center"/>
          </w:tcPr>
          <w:p w14:paraId="40464EAC">
            <w:pPr>
              <w:tabs>
                <w:tab w:val="left" w:pos="1875"/>
              </w:tabs>
              <w:spacing w:line="400" w:lineRule="exact"/>
              <w:jc w:val="center"/>
              <w:rPr>
                <w:rFonts w:ascii="宋体" w:hAnsi="宋体"/>
                <w:color w:val="auto"/>
                <w:kern w:val="0"/>
                <w:highlight w:val="none"/>
              </w:rPr>
            </w:pPr>
            <w:r>
              <w:rPr>
                <w:rFonts w:ascii="宋体" w:hAnsi="宋体"/>
                <w:color w:val="auto"/>
                <w:kern w:val="0"/>
                <w:highlight w:val="none"/>
              </w:rPr>
              <w:t>技</w:t>
            </w:r>
          </w:p>
          <w:p w14:paraId="60E8A6DA">
            <w:pPr>
              <w:tabs>
                <w:tab w:val="left" w:pos="1875"/>
              </w:tabs>
              <w:spacing w:line="400" w:lineRule="exact"/>
              <w:jc w:val="center"/>
              <w:rPr>
                <w:rFonts w:ascii="宋体" w:hAnsi="宋体"/>
                <w:color w:val="auto"/>
                <w:kern w:val="0"/>
                <w:highlight w:val="none"/>
              </w:rPr>
            </w:pPr>
            <w:r>
              <w:rPr>
                <w:rFonts w:ascii="宋体" w:hAnsi="宋体"/>
                <w:color w:val="auto"/>
                <w:kern w:val="0"/>
                <w:highlight w:val="none"/>
              </w:rPr>
              <w:t>术</w:t>
            </w:r>
          </w:p>
          <w:p w14:paraId="3C6F8CA3">
            <w:pPr>
              <w:tabs>
                <w:tab w:val="left" w:pos="1875"/>
              </w:tabs>
              <w:spacing w:line="400" w:lineRule="exact"/>
              <w:jc w:val="center"/>
              <w:rPr>
                <w:rFonts w:ascii="宋体" w:hAnsi="宋体"/>
                <w:color w:val="auto"/>
                <w:kern w:val="0"/>
                <w:highlight w:val="none"/>
              </w:rPr>
            </w:pPr>
            <w:r>
              <w:rPr>
                <w:rFonts w:ascii="宋体" w:hAnsi="宋体"/>
                <w:color w:val="auto"/>
                <w:kern w:val="0"/>
                <w:highlight w:val="none"/>
              </w:rPr>
              <w:t>方</w:t>
            </w:r>
          </w:p>
          <w:p w14:paraId="18AB2796">
            <w:pPr>
              <w:tabs>
                <w:tab w:val="left" w:pos="1875"/>
              </w:tabs>
              <w:spacing w:line="400" w:lineRule="exact"/>
              <w:jc w:val="center"/>
              <w:rPr>
                <w:rFonts w:ascii="宋体" w:hAnsi="宋体"/>
                <w:color w:val="auto"/>
                <w:kern w:val="0"/>
                <w:highlight w:val="none"/>
              </w:rPr>
            </w:pPr>
            <w:r>
              <w:rPr>
                <w:rFonts w:ascii="宋体" w:hAnsi="宋体"/>
                <w:color w:val="auto"/>
                <w:kern w:val="0"/>
                <w:highlight w:val="none"/>
              </w:rPr>
              <w:t>案</w:t>
            </w:r>
          </w:p>
          <w:p w14:paraId="38CFEF0B">
            <w:pPr>
              <w:tabs>
                <w:tab w:val="left" w:pos="1875"/>
              </w:tabs>
              <w:spacing w:line="400" w:lineRule="exact"/>
              <w:jc w:val="center"/>
              <w:rPr>
                <w:rFonts w:ascii="宋体" w:hAnsi="宋体"/>
                <w:color w:val="auto"/>
                <w:kern w:val="0"/>
                <w:highlight w:val="none"/>
              </w:rPr>
            </w:pPr>
            <w:r>
              <w:rPr>
                <w:rFonts w:ascii="宋体" w:hAnsi="宋体"/>
                <w:color w:val="auto"/>
                <w:kern w:val="0"/>
                <w:highlight w:val="none"/>
              </w:rPr>
              <w:t>评</w:t>
            </w:r>
          </w:p>
          <w:p w14:paraId="2E38BCFF">
            <w:pPr>
              <w:tabs>
                <w:tab w:val="left" w:pos="1875"/>
              </w:tabs>
              <w:spacing w:line="400" w:lineRule="exact"/>
              <w:jc w:val="center"/>
              <w:rPr>
                <w:rFonts w:ascii="宋体" w:hAnsi="宋体"/>
                <w:color w:val="auto"/>
                <w:kern w:val="0"/>
                <w:highlight w:val="none"/>
              </w:rPr>
            </w:pPr>
            <w:r>
              <w:rPr>
                <w:rFonts w:ascii="宋体" w:hAnsi="宋体"/>
                <w:color w:val="auto"/>
                <w:kern w:val="0"/>
                <w:highlight w:val="none"/>
              </w:rPr>
              <w:t>审</w:t>
            </w:r>
          </w:p>
        </w:tc>
        <w:tc>
          <w:tcPr>
            <w:tcW w:w="1710" w:type="dxa"/>
            <w:tcBorders>
              <w:left w:val="single" w:color="auto" w:sz="4" w:space="0"/>
            </w:tcBorders>
            <w:vAlign w:val="center"/>
          </w:tcPr>
          <w:p w14:paraId="18ED94EA">
            <w:pPr>
              <w:tabs>
                <w:tab w:val="left" w:pos="1875"/>
              </w:tabs>
              <w:spacing w:line="400" w:lineRule="exact"/>
              <w:rPr>
                <w:rFonts w:ascii="宋体" w:hAnsi="宋体"/>
                <w:color w:val="auto"/>
                <w:kern w:val="0"/>
                <w:highlight w:val="none"/>
              </w:rPr>
            </w:pPr>
            <w:r>
              <w:rPr>
                <w:rFonts w:hint="eastAsia" w:ascii="宋体" w:hAnsi="宋体" w:cs="宋体"/>
                <w:color w:val="auto"/>
                <w:kern w:val="0"/>
                <w:highlight w:val="none"/>
              </w:rPr>
              <w:sym w:font="Wingdings 2" w:char="F052"/>
            </w:r>
            <w:r>
              <w:rPr>
                <w:rFonts w:hint="eastAsia" w:ascii="宋体" w:hAnsi="宋体" w:cs="宋体"/>
                <w:color w:val="auto"/>
                <w:kern w:val="0"/>
                <w:highlight w:val="none"/>
              </w:rPr>
              <w:t>技术方案部分形式要求</w:t>
            </w:r>
          </w:p>
        </w:tc>
        <w:tc>
          <w:tcPr>
            <w:tcW w:w="5493" w:type="dxa"/>
            <w:vAlign w:val="center"/>
          </w:tcPr>
          <w:p w14:paraId="695C8D2A">
            <w:pPr>
              <w:snapToGrid w:val="0"/>
              <w:spacing w:line="400" w:lineRule="exact"/>
              <w:ind w:firstLine="420" w:firstLineChars="200"/>
              <w:rPr>
                <w:rFonts w:ascii="宋体" w:hAnsi="宋体"/>
                <w:color w:val="auto"/>
                <w:highlight w:val="none"/>
                <w:u w:val="single"/>
              </w:rPr>
            </w:pPr>
            <w:r>
              <w:rPr>
                <w:rFonts w:hint="eastAsia" w:ascii="宋体" w:hAnsi="宋体" w:cs="宋体"/>
                <w:color w:val="auto"/>
                <w:kern w:val="0"/>
                <w:highlight w:val="none"/>
              </w:rPr>
              <w:t>须符合第二章投标人须知前附表第3.7.5项（3）技术部分的要求，否则其技术方案为0分，不再对技术方案的其他评分标准进行评审。</w:t>
            </w:r>
          </w:p>
        </w:tc>
      </w:tr>
      <w:tr w14:paraId="75AA3C9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87" w:type="dxa"/>
            <w:gridSpan w:val="2"/>
            <w:vMerge w:val="continue"/>
            <w:tcBorders>
              <w:right w:val="single" w:color="auto" w:sz="4" w:space="0"/>
            </w:tcBorders>
            <w:vAlign w:val="center"/>
          </w:tcPr>
          <w:p w14:paraId="21DAFF79">
            <w:pPr>
              <w:spacing w:line="400" w:lineRule="exact"/>
              <w:jc w:val="center"/>
              <w:rPr>
                <w:rFonts w:ascii="宋体" w:hAnsi="宋体"/>
                <w:color w:val="auto"/>
                <w:kern w:val="0"/>
                <w:highlight w:val="none"/>
              </w:rPr>
            </w:pPr>
          </w:p>
        </w:tc>
        <w:tc>
          <w:tcPr>
            <w:tcW w:w="535" w:type="dxa"/>
            <w:vMerge w:val="continue"/>
            <w:tcBorders>
              <w:left w:val="single" w:color="auto" w:sz="4" w:space="0"/>
            </w:tcBorders>
            <w:vAlign w:val="center"/>
          </w:tcPr>
          <w:p w14:paraId="0BB2DC9D">
            <w:pPr>
              <w:spacing w:line="400" w:lineRule="exact"/>
              <w:jc w:val="center"/>
              <w:rPr>
                <w:rFonts w:ascii="宋体" w:hAnsi="宋体"/>
                <w:color w:val="auto"/>
                <w:kern w:val="0"/>
                <w:highlight w:val="none"/>
              </w:rPr>
            </w:pPr>
          </w:p>
        </w:tc>
        <w:tc>
          <w:tcPr>
            <w:tcW w:w="850" w:type="dxa"/>
            <w:vMerge w:val="continue"/>
            <w:tcBorders>
              <w:right w:val="single" w:color="auto" w:sz="4" w:space="0"/>
            </w:tcBorders>
            <w:vAlign w:val="center"/>
          </w:tcPr>
          <w:p w14:paraId="0B0E0137">
            <w:pPr>
              <w:tabs>
                <w:tab w:val="left" w:pos="1875"/>
              </w:tabs>
              <w:spacing w:line="400" w:lineRule="exact"/>
              <w:jc w:val="center"/>
              <w:rPr>
                <w:rFonts w:ascii="宋体" w:hAnsi="宋体"/>
                <w:color w:val="auto"/>
                <w:kern w:val="0"/>
                <w:highlight w:val="none"/>
              </w:rPr>
            </w:pPr>
          </w:p>
        </w:tc>
        <w:tc>
          <w:tcPr>
            <w:tcW w:w="1710" w:type="dxa"/>
            <w:tcBorders>
              <w:left w:val="single" w:color="auto" w:sz="4" w:space="0"/>
            </w:tcBorders>
            <w:vAlign w:val="center"/>
          </w:tcPr>
          <w:p w14:paraId="522E7433">
            <w:pPr>
              <w:tabs>
                <w:tab w:val="left" w:pos="1875"/>
              </w:tabs>
              <w:spacing w:line="400" w:lineRule="exact"/>
              <w:rPr>
                <w:rFonts w:ascii="宋体" w:hAnsi="宋体"/>
                <w:color w:val="auto"/>
                <w:kern w:val="0"/>
                <w:highlight w:val="none"/>
              </w:rPr>
            </w:pPr>
            <w:r>
              <w:rPr>
                <w:rFonts w:hint="eastAsia" w:ascii="宋体" w:hAnsi="宋体"/>
                <w:color w:val="auto"/>
                <w:kern w:val="0"/>
                <w:highlight w:val="none"/>
              </w:rPr>
              <w:t>内容完整性和编制水平</w:t>
            </w:r>
          </w:p>
        </w:tc>
        <w:tc>
          <w:tcPr>
            <w:tcW w:w="5493" w:type="dxa"/>
            <w:vAlign w:val="center"/>
          </w:tcPr>
          <w:p w14:paraId="6BF9B89B">
            <w:pPr>
              <w:snapToGrid w:val="0"/>
              <w:spacing w:line="400" w:lineRule="exact"/>
              <w:ind w:firstLine="210" w:firstLineChars="100"/>
              <w:rPr>
                <w:color w:val="auto"/>
                <w:highlight w:val="none"/>
                <w:u w:val="single"/>
              </w:rPr>
            </w:pPr>
            <w:r>
              <w:rPr>
                <w:rFonts w:hint="eastAsia" w:ascii="宋体" w:hAnsi="宋体" w:cs="宋体"/>
                <w:color w:val="auto"/>
                <w:kern w:val="0"/>
                <w:highlight w:val="none"/>
              </w:rPr>
              <w:t>3分</w:t>
            </w:r>
            <w:r>
              <w:rPr>
                <w:rFonts w:hint="eastAsia"/>
                <w:color w:val="auto"/>
                <w:highlight w:val="none"/>
              </w:rPr>
              <w:t xml:space="preserve"> 编制</w:t>
            </w:r>
            <w:r>
              <w:rPr>
                <w:color w:val="auto"/>
                <w:highlight w:val="none"/>
              </w:rPr>
              <w:t>要点：</w:t>
            </w:r>
            <w:r>
              <w:rPr>
                <w:rFonts w:hint="eastAsia"/>
                <w:color w:val="auto"/>
                <w:highlight w:val="none"/>
                <w:u w:val="single"/>
              </w:rPr>
              <w:t>内容完整全面，能够指导现场施工，符合相关规定，语言简明、准确、规范，审批过程符合要求。</w:t>
            </w:r>
          </w:p>
          <w:p w14:paraId="20BB7F6F">
            <w:pPr>
              <w:snapToGrid w:val="0"/>
              <w:spacing w:line="276" w:lineRule="auto"/>
              <w:ind w:firstLine="420" w:firstLineChars="200"/>
              <w:rPr>
                <w:rFonts w:ascii="宋体" w:hAnsi="宋体" w:cs="宋体"/>
                <w:color w:val="auto"/>
                <w:highlight w:val="none"/>
              </w:rPr>
            </w:pPr>
            <w:r>
              <w:rPr>
                <w:rFonts w:hint="eastAsia" w:ascii="宋体" w:hAnsi="宋体" w:cs="宋体"/>
                <w:color w:val="auto"/>
                <w:highlight w:val="none"/>
              </w:rPr>
              <w:t>优：科学、可行、 针对性强得2-3分；</w:t>
            </w:r>
          </w:p>
          <w:p w14:paraId="494DFF63">
            <w:pPr>
              <w:snapToGrid w:val="0"/>
              <w:spacing w:line="276" w:lineRule="auto"/>
              <w:ind w:firstLine="420" w:firstLineChars="200"/>
              <w:rPr>
                <w:rFonts w:ascii="宋体" w:hAnsi="宋体" w:cs="宋体"/>
                <w:color w:val="auto"/>
                <w:highlight w:val="none"/>
              </w:rPr>
            </w:pPr>
            <w:r>
              <w:rPr>
                <w:rFonts w:hint="eastAsia" w:ascii="宋体" w:hAnsi="宋体" w:cs="宋体"/>
                <w:color w:val="auto"/>
                <w:highlight w:val="none"/>
              </w:rPr>
              <w:t>良：合理、可行、 细节待完善得1-2分（不含2分）；</w:t>
            </w:r>
          </w:p>
          <w:p w14:paraId="2171A781">
            <w:pPr>
              <w:snapToGrid w:val="0"/>
              <w:spacing w:line="276" w:lineRule="auto"/>
              <w:ind w:firstLine="420" w:firstLineChars="200"/>
              <w:rPr>
                <w:rFonts w:ascii="宋体" w:hAnsi="宋体" w:cs="宋体"/>
                <w:color w:val="auto"/>
                <w:highlight w:val="none"/>
              </w:rPr>
            </w:pPr>
            <w:r>
              <w:rPr>
                <w:rFonts w:hint="eastAsia" w:ascii="宋体" w:hAnsi="宋体" w:cs="宋体"/>
                <w:color w:val="auto"/>
                <w:highlight w:val="none"/>
              </w:rPr>
              <w:t>差：欠合理，可行 性较差，基本满足工程需要得0-1分（不含1分）；缺项得0分。</w:t>
            </w:r>
          </w:p>
          <w:p w14:paraId="4807F5C8">
            <w:pPr>
              <w:snapToGrid w:val="0"/>
              <w:spacing w:line="276" w:lineRule="auto"/>
              <w:ind w:firstLine="420" w:firstLineChars="200"/>
              <w:rPr>
                <w:color w:val="auto"/>
                <w:highlight w:val="none"/>
              </w:rPr>
            </w:pPr>
            <w:r>
              <w:rPr>
                <w:rFonts w:hint="eastAsia" w:ascii="宋体" w:hAnsi="宋体" w:cs="宋体"/>
                <w:color w:val="auto"/>
                <w:highlight w:val="none"/>
              </w:rPr>
              <w:t>各评委评分的最终结果取小数点后两位，第三位四舍五入。</w:t>
            </w:r>
          </w:p>
        </w:tc>
      </w:tr>
      <w:tr w14:paraId="03E044B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87" w:type="dxa"/>
            <w:gridSpan w:val="2"/>
            <w:vMerge w:val="continue"/>
            <w:tcBorders>
              <w:right w:val="single" w:color="auto" w:sz="4" w:space="0"/>
            </w:tcBorders>
            <w:vAlign w:val="center"/>
          </w:tcPr>
          <w:p w14:paraId="67C122AD">
            <w:pPr>
              <w:spacing w:line="400" w:lineRule="exact"/>
              <w:ind w:firstLine="210" w:firstLineChars="100"/>
              <w:jc w:val="center"/>
              <w:rPr>
                <w:rFonts w:ascii="宋体" w:hAnsi="宋体"/>
                <w:color w:val="auto"/>
                <w:kern w:val="0"/>
                <w:highlight w:val="none"/>
              </w:rPr>
            </w:pPr>
          </w:p>
        </w:tc>
        <w:tc>
          <w:tcPr>
            <w:tcW w:w="535" w:type="dxa"/>
            <w:vMerge w:val="continue"/>
            <w:tcBorders>
              <w:left w:val="single" w:color="auto" w:sz="4" w:space="0"/>
            </w:tcBorders>
            <w:vAlign w:val="center"/>
          </w:tcPr>
          <w:p w14:paraId="1AE8A54B">
            <w:pPr>
              <w:spacing w:line="400" w:lineRule="exact"/>
              <w:ind w:firstLine="210" w:firstLineChars="100"/>
              <w:jc w:val="center"/>
              <w:rPr>
                <w:rFonts w:ascii="宋体" w:hAnsi="宋体"/>
                <w:color w:val="auto"/>
                <w:kern w:val="0"/>
                <w:highlight w:val="none"/>
              </w:rPr>
            </w:pPr>
          </w:p>
        </w:tc>
        <w:tc>
          <w:tcPr>
            <w:tcW w:w="850" w:type="dxa"/>
            <w:vMerge w:val="continue"/>
            <w:tcBorders>
              <w:right w:val="single" w:color="auto" w:sz="4" w:space="0"/>
            </w:tcBorders>
            <w:vAlign w:val="center"/>
          </w:tcPr>
          <w:p w14:paraId="141008A0">
            <w:pPr>
              <w:tabs>
                <w:tab w:val="left" w:pos="1875"/>
              </w:tabs>
              <w:spacing w:line="400" w:lineRule="exact"/>
              <w:jc w:val="left"/>
              <w:rPr>
                <w:rFonts w:ascii="宋体" w:hAnsi="宋体"/>
                <w:color w:val="auto"/>
                <w:kern w:val="0"/>
                <w:highlight w:val="none"/>
              </w:rPr>
            </w:pPr>
          </w:p>
        </w:tc>
        <w:tc>
          <w:tcPr>
            <w:tcW w:w="1710" w:type="dxa"/>
            <w:tcBorders>
              <w:left w:val="single" w:color="auto" w:sz="4" w:space="0"/>
            </w:tcBorders>
            <w:vAlign w:val="center"/>
          </w:tcPr>
          <w:p w14:paraId="4BEBE986">
            <w:pPr>
              <w:tabs>
                <w:tab w:val="left" w:pos="1875"/>
              </w:tabs>
              <w:spacing w:line="400" w:lineRule="exact"/>
              <w:rPr>
                <w:rFonts w:ascii="宋体" w:hAnsi="宋体"/>
                <w:color w:val="auto"/>
                <w:kern w:val="0"/>
                <w:highlight w:val="none"/>
              </w:rPr>
            </w:pPr>
            <w:r>
              <w:rPr>
                <w:rFonts w:hint="eastAsia" w:ascii="宋体" w:hAnsi="宋体"/>
                <w:color w:val="auto"/>
                <w:kern w:val="0"/>
                <w:highlight w:val="none"/>
              </w:rPr>
              <w:t>施工方案与技术措施</w:t>
            </w:r>
          </w:p>
        </w:tc>
        <w:tc>
          <w:tcPr>
            <w:tcW w:w="5493" w:type="dxa"/>
            <w:vAlign w:val="center"/>
          </w:tcPr>
          <w:p w14:paraId="64E48F06">
            <w:pPr>
              <w:snapToGrid w:val="0"/>
              <w:spacing w:line="400" w:lineRule="exact"/>
              <w:ind w:firstLine="210" w:firstLineChars="100"/>
              <w:rPr>
                <w:rFonts w:ascii="宋体" w:hAnsi="宋体"/>
                <w:color w:val="auto"/>
                <w:highlight w:val="none"/>
                <w:u w:val="single"/>
              </w:rPr>
            </w:pPr>
            <w:r>
              <w:rPr>
                <w:rFonts w:hint="eastAsia" w:ascii="宋体" w:hAnsi="宋体" w:cs="宋体"/>
                <w:color w:val="auto"/>
                <w:kern w:val="0"/>
                <w:highlight w:val="none"/>
              </w:rPr>
              <w:t>3分 编制</w:t>
            </w:r>
            <w:r>
              <w:rPr>
                <w:rFonts w:ascii="宋体" w:hAnsi="宋体" w:cs="宋体"/>
                <w:color w:val="auto"/>
                <w:kern w:val="0"/>
                <w:highlight w:val="none"/>
              </w:rPr>
              <w:t>要点：</w:t>
            </w:r>
            <w:r>
              <w:rPr>
                <w:rFonts w:hint="eastAsia"/>
                <w:color w:val="auto"/>
                <w:spacing w:val="-1"/>
                <w:szCs w:val="21"/>
                <w:highlight w:val="none"/>
                <w:u w:val="single"/>
              </w:rPr>
              <w:t>施工方案与技术措施可行性、针对性、完整性、合理性强，组织机构健全、施工机具及人员配置充分合理</w:t>
            </w:r>
            <w:r>
              <w:rPr>
                <w:rFonts w:hint="eastAsia" w:ascii="宋体" w:hAnsi="宋体"/>
                <w:color w:val="auto"/>
                <w:highlight w:val="none"/>
                <w:u w:val="single"/>
              </w:rPr>
              <w:t>。</w:t>
            </w:r>
          </w:p>
          <w:p w14:paraId="4474DBF3">
            <w:pPr>
              <w:snapToGrid w:val="0"/>
              <w:spacing w:line="276" w:lineRule="auto"/>
              <w:ind w:firstLine="420" w:firstLineChars="200"/>
              <w:rPr>
                <w:rFonts w:ascii="宋体" w:hAnsi="宋体" w:cs="宋体"/>
                <w:color w:val="auto"/>
                <w:highlight w:val="none"/>
              </w:rPr>
            </w:pPr>
            <w:r>
              <w:rPr>
                <w:rFonts w:hint="eastAsia" w:ascii="宋体" w:hAnsi="宋体" w:cs="宋体"/>
                <w:color w:val="auto"/>
                <w:highlight w:val="none"/>
              </w:rPr>
              <w:t>优：科学、可行、 针对性强得2-3分；</w:t>
            </w:r>
          </w:p>
          <w:p w14:paraId="095F73C9">
            <w:pPr>
              <w:snapToGrid w:val="0"/>
              <w:spacing w:line="276" w:lineRule="auto"/>
              <w:ind w:firstLine="420" w:firstLineChars="200"/>
              <w:rPr>
                <w:rFonts w:ascii="宋体" w:hAnsi="宋体" w:cs="宋体"/>
                <w:color w:val="auto"/>
                <w:highlight w:val="none"/>
              </w:rPr>
            </w:pPr>
            <w:r>
              <w:rPr>
                <w:rFonts w:hint="eastAsia" w:ascii="宋体" w:hAnsi="宋体" w:cs="宋体"/>
                <w:color w:val="auto"/>
                <w:highlight w:val="none"/>
              </w:rPr>
              <w:t>良：合理、可行、 细节待完善得1-2分（不含2分）；</w:t>
            </w:r>
          </w:p>
          <w:p w14:paraId="42C94608">
            <w:pPr>
              <w:snapToGrid w:val="0"/>
              <w:spacing w:line="276" w:lineRule="auto"/>
              <w:ind w:firstLine="420" w:firstLineChars="200"/>
              <w:rPr>
                <w:rFonts w:ascii="宋体" w:hAnsi="宋体" w:cs="宋体"/>
                <w:color w:val="auto"/>
                <w:highlight w:val="none"/>
              </w:rPr>
            </w:pPr>
            <w:r>
              <w:rPr>
                <w:rFonts w:hint="eastAsia" w:ascii="宋体" w:hAnsi="宋体" w:cs="宋体"/>
                <w:color w:val="auto"/>
                <w:highlight w:val="none"/>
              </w:rPr>
              <w:t>差：欠合理，可行 性较差，基本满足工程需要得0-1分（不含1分）；缺项得0分。</w:t>
            </w:r>
          </w:p>
          <w:p w14:paraId="000E8D34">
            <w:pPr>
              <w:snapToGrid w:val="0"/>
              <w:spacing w:line="276" w:lineRule="auto"/>
              <w:ind w:firstLine="420" w:firstLineChars="200"/>
              <w:rPr>
                <w:rFonts w:ascii="宋体" w:hAnsi="宋体"/>
                <w:color w:val="auto"/>
                <w:kern w:val="0"/>
                <w:highlight w:val="none"/>
              </w:rPr>
            </w:pPr>
            <w:r>
              <w:rPr>
                <w:rFonts w:hint="eastAsia" w:ascii="宋体" w:hAnsi="宋体" w:cs="宋体"/>
                <w:color w:val="auto"/>
                <w:highlight w:val="none"/>
              </w:rPr>
              <w:t>各评委评分的最终结果取小数点后两位，第三位四舍五入。</w:t>
            </w:r>
          </w:p>
        </w:tc>
      </w:tr>
      <w:tr w14:paraId="07017BD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87" w:type="dxa"/>
            <w:gridSpan w:val="2"/>
            <w:vMerge w:val="continue"/>
            <w:tcBorders>
              <w:right w:val="single" w:color="auto" w:sz="4" w:space="0"/>
            </w:tcBorders>
            <w:vAlign w:val="center"/>
          </w:tcPr>
          <w:p w14:paraId="2F44670C">
            <w:pPr>
              <w:spacing w:line="400" w:lineRule="exact"/>
              <w:ind w:firstLine="210" w:firstLineChars="100"/>
              <w:jc w:val="center"/>
              <w:rPr>
                <w:rFonts w:ascii="宋体" w:hAnsi="宋体"/>
                <w:color w:val="auto"/>
                <w:kern w:val="0"/>
                <w:highlight w:val="none"/>
              </w:rPr>
            </w:pPr>
          </w:p>
        </w:tc>
        <w:tc>
          <w:tcPr>
            <w:tcW w:w="535" w:type="dxa"/>
            <w:vMerge w:val="continue"/>
            <w:tcBorders>
              <w:left w:val="single" w:color="auto" w:sz="4" w:space="0"/>
            </w:tcBorders>
            <w:vAlign w:val="center"/>
          </w:tcPr>
          <w:p w14:paraId="6BC2E3BE">
            <w:pPr>
              <w:spacing w:line="400" w:lineRule="exact"/>
              <w:ind w:firstLine="210" w:firstLineChars="100"/>
              <w:jc w:val="center"/>
              <w:rPr>
                <w:rFonts w:ascii="宋体" w:hAnsi="宋体"/>
                <w:color w:val="auto"/>
                <w:kern w:val="0"/>
                <w:highlight w:val="none"/>
              </w:rPr>
            </w:pPr>
          </w:p>
        </w:tc>
        <w:tc>
          <w:tcPr>
            <w:tcW w:w="850" w:type="dxa"/>
            <w:vMerge w:val="continue"/>
            <w:tcBorders>
              <w:right w:val="single" w:color="auto" w:sz="4" w:space="0"/>
            </w:tcBorders>
            <w:vAlign w:val="center"/>
          </w:tcPr>
          <w:p w14:paraId="48E61001">
            <w:pPr>
              <w:tabs>
                <w:tab w:val="left" w:pos="1875"/>
              </w:tabs>
              <w:spacing w:line="400" w:lineRule="exact"/>
              <w:jc w:val="left"/>
              <w:rPr>
                <w:rFonts w:ascii="宋体" w:hAnsi="宋体"/>
                <w:color w:val="auto"/>
                <w:kern w:val="0"/>
                <w:highlight w:val="none"/>
              </w:rPr>
            </w:pPr>
          </w:p>
        </w:tc>
        <w:tc>
          <w:tcPr>
            <w:tcW w:w="1710" w:type="dxa"/>
            <w:tcBorders>
              <w:left w:val="single" w:color="auto" w:sz="4" w:space="0"/>
            </w:tcBorders>
            <w:vAlign w:val="center"/>
          </w:tcPr>
          <w:p w14:paraId="5498193A">
            <w:pPr>
              <w:tabs>
                <w:tab w:val="left" w:pos="1875"/>
              </w:tabs>
              <w:spacing w:line="400" w:lineRule="exact"/>
              <w:rPr>
                <w:rFonts w:ascii="宋体" w:hAnsi="宋体"/>
                <w:color w:val="auto"/>
                <w:kern w:val="0"/>
                <w:highlight w:val="none"/>
              </w:rPr>
            </w:pPr>
            <w:r>
              <w:rPr>
                <w:rFonts w:ascii="宋体" w:hAnsi="宋体"/>
                <w:color w:val="auto"/>
                <w:kern w:val="0"/>
                <w:highlight w:val="none"/>
              </w:rPr>
              <w:t>质量管理体系与措施</w:t>
            </w:r>
          </w:p>
        </w:tc>
        <w:tc>
          <w:tcPr>
            <w:tcW w:w="5493" w:type="dxa"/>
            <w:vAlign w:val="center"/>
          </w:tcPr>
          <w:p w14:paraId="69618BB7">
            <w:pPr>
              <w:snapToGrid w:val="0"/>
              <w:spacing w:line="400" w:lineRule="exact"/>
              <w:ind w:firstLine="420" w:firstLineChars="200"/>
              <w:rPr>
                <w:color w:val="auto"/>
                <w:spacing w:val="-1"/>
                <w:szCs w:val="21"/>
                <w:highlight w:val="none"/>
                <w:u w:val="single"/>
              </w:rPr>
            </w:pPr>
            <w:r>
              <w:rPr>
                <w:rFonts w:hint="eastAsia" w:ascii="宋体" w:hAnsi="宋体" w:cs="宋体"/>
                <w:color w:val="auto"/>
                <w:kern w:val="0"/>
                <w:highlight w:val="none"/>
              </w:rPr>
              <w:t>3分 编制</w:t>
            </w:r>
            <w:r>
              <w:rPr>
                <w:rFonts w:ascii="宋体" w:hAnsi="宋体" w:cs="宋体"/>
                <w:color w:val="auto"/>
                <w:kern w:val="0"/>
                <w:highlight w:val="none"/>
              </w:rPr>
              <w:t>要点：</w:t>
            </w:r>
            <w:r>
              <w:rPr>
                <w:rFonts w:hint="eastAsia"/>
                <w:color w:val="auto"/>
                <w:spacing w:val="-1"/>
                <w:szCs w:val="21"/>
                <w:highlight w:val="none"/>
                <w:u w:val="single"/>
              </w:rPr>
              <w:t>质量保证目标明确，质量保证体系和质量检查监督机构健全，有控制措施和手段，有成品保护措施，有保修制度。</w:t>
            </w:r>
          </w:p>
          <w:p w14:paraId="0808EB97">
            <w:pPr>
              <w:snapToGrid w:val="0"/>
              <w:spacing w:line="276" w:lineRule="auto"/>
              <w:ind w:firstLine="420" w:firstLineChars="200"/>
              <w:rPr>
                <w:rFonts w:ascii="宋体" w:hAnsi="宋体" w:cs="宋体"/>
                <w:color w:val="auto"/>
                <w:highlight w:val="none"/>
              </w:rPr>
            </w:pPr>
            <w:r>
              <w:rPr>
                <w:rFonts w:hint="eastAsia" w:ascii="宋体" w:hAnsi="宋体" w:cs="宋体"/>
                <w:color w:val="auto"/>
                <w:highlight w:val="none"/>
              </w:rPr>
              <w:t>优：科学、可行、 针对性强得2-3分；</w:t>
            </w:r>
          </w:p>
          <w:p w14:paraId="7AF478C0">
            <w:pPr>
              <w:snapToGrid w:val="0"/>
              <w:spacing w:line="276" w:lineRule="auto"/>
              <w:ind w:firstLine="420" w:firstLineChars="200"/>
              <w:rPr>
                <w:rFonts w:ascii="宋体" w:hAnsi="宋体" w:cs="宋体"/>
                <w:color w:val="auto"/>
                <w:highlight w:val="none"/>
              </w:rPr>
            </w:pPr>
            <w:r>
              <w:rPr>
                <w:rFonts w:hint="eastAsia" w:ascii="宋体" w:hAnsi="宋体" w:cs="宋体"/>
                <w:color w:val="auto"/>
                <w:highlight w:val="none"/>
              </w:rPr>
              <w:t>良：合理、可行、 细节待完善得1-2分（不含2分）；</w:t>
            </w:r>
          </w:p>
          <w:p w14:paraId="2D5CD80D">
            <w:pPr>
              <w:snapToGrid w:val="0"/>
              <w:spacing w:line="276" w:lineRule="auto"/>
              <w:ind w:firstLine="420" w:firstLineChars="200"/>
              <w:rPr>
                <w:rFonts w:ascii="宋体" w:hAnsi="宋体" w:cs="宋体"/>
                <w:color w:val="auto"/>
                <w:highlight w:val="none"/>
              </w:rPr>
            </w:pPr>
            <w:r>
              <w:rPr>
                <w:rFonts w:hint="eastAsia" w:ascii="宋体" w:hAnsi="宋体" w:cs="宋体"/>
                <w:color w:val="auto"/>
                <w:highlight w:val="none"/>
              </w:rPr>
              <w:t>差：欠合理，可行 性较差，基本满足工程需要得0-1分（不含1分）；缺项得0分。</w:t>
            </w:r>
          </w:p>
          <w:p w14:paraId="3E450D22">
            <w:pPr>
              <w:snapToGrid w:val="0"/>
              <w:spacing w:line="276" w:lineRule="auto"/>
              <w:ind w:firstLine="420" w:firstLineChars="200"/>
              <w:rPr>
                <w:color w:val="auto"/>
                <w:highlight w:val="none"/>
              </w:rPr>
            </w:pPr>
            <w:r>
              <w:rPr>
                <w:rFonts w:hint="eastAsia" w:ascii="宋体" w:hAnsi="宋体" w:cs="宋体"/>
                <w:color w:val="auto"/>
                <w:highlight w:val="none"/>
              </w:rPr>
              <w:t>各评委评分的最终结果取小数点后两位，第三位四舍五入。</w:t>
            </w:r>
          </w:p>
        </w:tc>
      </w:tr>
      <w:tr w14:paraId="7D62A2E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87" w:type="dxa"/>
            <w:gridSpan w:val="2"/>
            <w:vMerge w:val="continue"/>
            <w:tcBorders>
              <w:right w:val="single" w:color="auto" w:sz="4" w:space="0"/>
            </w:tcBorders>
            <w:vAlign w:val="center"/>
          </w:tcPr>
          <w:p w14:paraId="17CB4C38">
            <w:pPr>
              <w:spacing w:line="400" w:lineRule="exact"/>
              <w:ind w:firstLine="210" w:firstLineChars="100"/>
              <w:jc w:val="center"/>
              <w:rPr>
                <w:rFonts w:ascii="宋体" w:hAnsi="宋体"/>
                <w:color w:val="auto"/>
                <w:kern w:val="0"/>
                <w:highlight w:val="none"/>
              </w:rPr>
            </w:pPr>
          </w:p>
        </w:tc>
        <w:tc>
          <w:tcPr>
            <w:tcW w:w="535" w:type="dxa"/>
            <w:vMerge w:val="continue"/>
            <w:tcBorders>
              <w:left w:val="single" w:color="auto" w:sz="4" w:space="0"/>
            </w:tcBorders>
            <w:vAlign w:val="center"/>
          </w:tcPr>
          <w:p w14:paraId="0B78AFB5">
            <w:pPr>
              <w:spacing w:line="400" w:lineRule="exact"/>
              <w:ind w:firstLine="210" w:firstLineChars="100"/>
              <w:jc w:val="center"/>
              <w:rPr>
                <w:rFonts w:ascii="宋体" w:hAnsi="宋体"/>
                <w:color w:val="auto"/>
                <w:kern w:val="0"/>
                <w:highlight w:val="none"/>
              </w:rPr>
            </w:pPr>
          </w:p>
        </w:tc>
        <w:tc>
          <w:tcPr>
            <w:tcW w:w="850" w:type="dxa"/>
            <w:vMerge w:val="continue"/>
            <w:tcBorders>
              <w:right w:val="single" w:color="auto" w:sz="4" w:space="0"/>
            </w:tcBorders>
            <w:vAlign w:val="center"/>
          </w:tcPr>
          <w:p w14:paraId="036F5FF1">
            <w:pPr>
              <w:tabs>
                <w:tab w:val="left" w:pos="1875"/>
              </w:tabs>
              <w:spacing w:line="400" w:lineRule="exact"/>
              <w:jc w:val="left"/>
              <w:rPr>
                <w:rFonts w:ascii="宋体" w:hAnsi="宋体"/>
                <w:color w:val="auto"/>
                <w:kern w:val="0"/>
                <w:highlight w:val="none"/>
              </w:rPr>
            </w:pPr>
          </w:p>
        </w:tc>
        <w:tc>
          <w:tcPr>
            <w:tcW w:w="1710" w:type="dxa"/>
            <w:tcBorders>
              <w:left w:val="single" w:color="auto" w:sz="4" w:space="0"/>
            </w:tcBorders>
            <w:vAlign w:val="center"/>
          </w:tcPr>
          <w:p w14:paraId="334EC53C">
            <w:pPr>
              <w:tabs>
                <w:tab w:val="left" w:pos="1875"/>
              </w:tabs>
              <w:spacing w:line="400" w:lineRule="exact"/>
              <w:rPr>
                <w:rFonts w:ascii="宋体" w:hAnsi="宋体"/>
                <w:color w:val="auto"/>
                <w:kern w:val="0"/>
                <w:highlight w:val="none"/>
              </w:rPr>
            </w:pPr>
            <w:r>
              <w:rPr>
                <w:rFonts w:ascii="宋体" w:hAnsi="宋体"/>
                <w:color w:val="auto"/>
                <w:kern w:val="0"/>
                <w:highlight w:val="none"/>
              </w:rPr>
              <w:t>安全管理体系与措施</w:t>
            </w:r>
          </w:p>
        </w:tc>
        <w:tc>
          <w:tcPr>
            <w:tcW w:w="5493" w:type="dxa"/>
            <w:vAlign w:val="center"/>
          </w:tcPr>
          <w:p w14:paraId="54FD14D3">
            <w:pPr>
              <w:snapToGrid w:val="0"/>
              <w:spacing w:line="400" w:lineRule="exact"/>
              <w:ind w:firstLine="420" w:firstLineChars="200"/>
              <w:rPr>
                <w:color w:val="auto"/>
                <w:spacing w:val="-1"/>
                <w:szCs w:val="21"/>
                <w:highlight w:val="none"/>
                <w:u w:val="single"/>
              </w:rPr>
            </w:pPr>
            <w:r>
              <w:rPr>
                <w:rFonts w:hint="eastAsia" w:ascii="宋体" w:hAnsi="宋体" w:cs="宋体"/>
                <w:color w:val="auto"/>
                <w:kern w:val="0"/>
                <w:highlight w:val="none"/>
              </w:rPr>
              <w:t>5分 编制</w:t>
            </w:r>
            <w:r>
              <w:rPr>
                <w:rFonts w:ascii="宋体" w:hAnsi="宋体" w:cs="宋体"/>
                <w:color w:val="auto"/>
                <w:kern w:val="0"/>
                <w:highlight w:val="none"/>
              </w:rPr>
              <w:t>要点：</w:t>
            </w:r>
            <w:r>
              <w:rPr>
                <w:rFonts w:hint="eastAsia"/>
                <w:color w:val="auto"/>
                <w:spacing w:val="-1"/>
                <w:szCs w:val="21"/>
                <w:highlight w:val="none"/>
                <w:u w:val="single"/>
              </w:rPr>
              <w:t>建立安全保障体系，各级管理人员安全生产职责明确，安全保证目标明确，确定危险源并制定防护措施，危险性较大的工程应编制专项方案。</w:t>
            </w:r>
          </w:p>
          <w:p w14:paraId="3DCD23CE">
            <w:pPr>
              <w:snapToGrid w:val="0"/>
              <w:spacing w:line="276" w:lineRule="auto"/>
              <w:ind w:firstLine="420" w:firstLineChars="200"/>
              <w:rPr>
                <w:rFonts w:ascii="宋体" w:hAnsi="宋体" w:cs="宋体"/>
                <w:color w:val="auto"/>
                <w:highlight w:val="none"/>
              </w:rPr>
            </w:pPr>
            <w:r>
              <w:rPr>
                <w:rFonts w:hint="eastAsia" w:ascii="宋体" w:hAnsi="宋体" w:cs="宋体"/>
                <w:color w:val="auto"/>
                <w:highlight w:val="none"/>
              </w:rPr>
              <w:t>优：科学、可行、 针对性强得4-5分；</w:t>
            </w:r>
          </w:p>
          <w:p w14:paraId="2A007598">
            <w:pPr>
              <w:snapToGrid w:val="0"/>
              <w:spacing w:line="276" w:lineRule="auto"/>
              <w:ind w:firstLine="420" w:firstLineChars="200"/>
              <w:rPr>
                <w:rFonts w:ascii="宋体" w:hAnsi="宋体" w:cs="宋体"/>
                <w:color w:val="auto"/>
                <w:highlight w:val="none"/>
              </w:rPr>
            </w:pPr>
            <w:r>
              <w:rPr>
                <w:rFonts w:hint="eastAsia" w:ascii="宋体" w:hAnsi="宋体" w:cs="宋体"/>
                <w:color w:val="auto"/>
                <w:highlight w:val="none"/>
              </w:rPr>
              <w:t>良：合理、可行、 细节待完善得2-4分（不含4分）；</w:t>
            </w:r>
          </w:p>
          <w:p w14:paraId="6141A79F">
            <w:pPr>
              <w:snapToGrid w:val="0"/>
              <w:spacing w:line="276" w:lineRule="auto"/>
              <w:ind w:firstLine="420" w:firstLineChars="200"/>
              <w:rPr>
                <w:rFonts w:ascii="宋体" w:hAnsi="宋体" w:cs="宋体"/>
                <w:color w:val="auto"/>
                <w:highlight w:val="none"/>
              </w:rPr>
            </w:pPr>
            <w:r>
              <w:rPr>
                <w:rFonts w:hint="eastAsia" w:ascii="宋体" w:hAnsi="宋体" w:cs="宋体"/>
                <w:color w:val="auto"/>
                <w:highlight w:val="none"/>
              </w:rPr>
              <w:t>差：欠合理，可行 性较差，基本满足工程需要得0-2分（不含2分）；缺项得0分。</w:t>
            </w:r>
          </w:p>
          <w:p w14:paraId="58F1EA37">
            <w:pPr>
              <w:snapToGrid w:val="0"/>
              <w:spacing w:line="276" w:lineRule="auto"/>
              <w:ind w:firstLine="420" w:firstLineChars="200"/>
              <w:rPr>
                <w:color w:val="auto"/>
                <w:highlight w:val="none"/>
              </w:rPr>
            </w:pPr>
            <w:r>
              <w:rPr>
                <w:rFonts w:hint="eastAsia" w:ascii="宋体" w:hAnsi="宋体" w:cs="宋体"/>
                <w:color w:val="auto"/>
                <w:highlight w:val="none"/>
              </w:rPr>
              <w:t>各评委评分的最终结果取小数点后两位，第三位四舍五入。</w:t>
            </w:r>
          </w:p>
        </w:tc>
      </w:tr>
      <w:tr w14:paraId="399C61B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87" w:type="dxa"/>
            <w:gridSpan w:val="2"/>
            <w:vMerge w:val="continue"/>
            <w:tcBorders>
              <w:right w:val="single" w:color="auto" w:sz="4" w:space="0"/>
            </w:tcBorders>
            <w:vAlign w:val="center"/>
          </w:tcPr>
          <w:p w14:paraId="2C03047A">
            <w:pPr>
              <w:spacing w:line="400" w:lineRule="exact"/>
              <w:ind w:firstLine="210" w:firstLineChars="100"/>
              <w:jc w:val="center"/>
              <w:rPr>
                <w:rFonts w:ascii="宋体" w:hAnsi="宋体"/>
                <w:color w:val="auto"/>
                <w:kern w:val="0"/>
                <w:highlight w:val="none"/>
              </w:rPr>
            </w:pPr>
          </w:p>
        </w:tc>
        <w:tc>
          <w:tcPr>
            <w:tcW w:w="535" w:type="dxa"/>
            <w:vMerge w:val="continue"/>
            <w:tcBorders>
              <w:left w:val="single" w:color="auto" w:sz="4" w:space="0"/>
            </w:tcBorders>
            <w:vAlign w:val="center"/>
          </w:tcPr>
          <w:p w14:paraId="44789224">
            <w:pPr>
              <w:spacing w:line="400" w:lineRule="exact"/>
              <w:ind w:firstLine="210" w:firstLineChars="100"/>
              <w:jc w:val="center"/>
              <w:rPr>
                <w:rFonts w:ascii="宋体" w:hAnsi="宋体"/>
                <w:color w:val="auto"/>
                <w:kern w:val="0"/>
                <w:highlight w:val="none"/>
              </w:rPr>
            </w:pPr>
          </w:p>
        </w:tc>
        <w:tc>
          <w:tcPr>
            <w:tcW w:w="850" w:type="dxa"/>
            <w:vMerge w:val="continue"/>
            <w:tcBorders>
              <w:right w:val="single" w:color="auto" w:sz="4" w:space="0"/>
            </w:tcBorders>
            <w:vAlign w:val="center"/>
          </w:tcPr>
          <w:p w14:paraId="41A62AAA">
            <w:pPr>
              <w:tabs>
                <w:tab w:val="left" w:pos="1875"/>
              </w:tabs>
              <w:spacing w:line="400" w:lineRule="exact"/>
              <w:jc w:val="left"/>
              <w:rPr>
                <w:rFonts w:ascii="宋体" w:hAnsi="宋体"/>
                <w:color w:val="auto"/>
                <w:kern w:val="0"/>
                <w:highlight w:val="none"/>
              </w:rPr>
            </w:pPr>
          </w:p>
        </w:tc>
        <w:tc>
          <w:tcPr>
            <w:tcW w:w="1710" w:type="dxa"/>
            <w:tcBorders>
              <w:left w:val="single" w:color="auto" w:sz="4" w:space="0"/>
            </w:tcBorders>
            <w:vAlign w:val="center"/>
          </w:tcPr>
          <w:p w14:paraId="28E5B150">
            <w:pPr>
              <w:tabs>
                <w:tab w:val="left" w:pos="1875"/>
              </w:tabs>
              <w:spacing w:line="400" w:lineRule="exact"/>
              <w:rPr>
                <w:rFonts w:ascii="宋体" w:hAnsi="宋体"/>
                <w:color w:val="auto"/>
                <w:kern w:val="0"/>
                <w:highlight w:val="none"/>
              </w:rPr>
            </w:pPr>
            <w:r>
              <w:rPr>
                <w:rFonts w:ascii="宋体" w:hAnsi="宋体"/>
                <w:color w:val="auto"/>
                <w:kern w:val="0"/>
                <w:highlight w:val="none"/>
              </w:rPr>
              <w:t>环境保护管理体系措施</w:t>
            </w:r>
          </w:p>
        </w:tc>
        <w:tc>
          <w:tcPr>
            <w:tcW w:w="5493" w:type="dxa"/>
            <w:vAlign w:val="center"/>
          </w:tcPr>
          <w:p w14:paraId="3C41A63B">
            <w:pPr>
              <w:snapToGrid w:val="0"/>
              <w:spacing w:line="400" w:lineRule="exact"/>
              <w:ind w:firstLine="210" w:firstLineChars="100"/>
              <w:rPr>
                <w:color w:val="auto"/>
                <w:spacing w:val="-1"/>
                <w:szCs w:val="21"/>
                <w:highlight w:val="none"/>
                <w:u w:val="single"/>
              </w:rPr>
            </w:pPr>
            <w:r>
              <w:rPr>
                <w:rFonts w:ascii="宋体" w:hAnsi="宋体"/>
                <w:color w:val="auto"/>
                <w:highlight w:val="none"/>
              </w:rPr>
              <w:t>3分  编制要点</w:t>
            </w:r>
            <w:r>
              <w:rPr>
                <w:rFonts w:hint="eastAsia" w:ascii="宋体" w:hAnsi="宋体"/>
                <w:color w:val="auto"/>
                <w:highlight w:val="none"/>
              </w:rPr>
              <w:t>：</w:t>
            </w:r>
            <w:r>
              <w:rPr>
                <w:rFonts w:hint="eastAsia"/>
                <w:color w:val="auto"/>
                <w:spacing w:val="-1"/>
                <w:szCs w:val="21"/>
                <w:highlight w:val="none"/>
                <w:u w:val="single"/>
              </w:rPr>
              <w:t>建立环境保护保障体系，各级管理人员环境保护职责明确，文明施工目标明确，针对工地特点和周边环境，制定具体的环境保护措施。</w:t>
            </w:r>
          </w:p>
          <w:p w14:paraId="4D97927D">
            <w:pPr>
              <w:snapToGrid w:val="0"/>
              <w:spacing w:line="276" w:lineRule="auto"/>
              <w:ind w:firstLine="420" w:firstLineChars="200"/>
              <w:rPr>
                <w:rFonts w:ascii="宋体" w:hAnsi="宋体" w:cs="宋体"/>
                <w:color w:val="auto"/>
                <w:highlight w:val="none"/>
              </w:rPr>
            </w:pPr>
            <w:r>
              <w:rPr>
                <w:rFonts w:hint="eastAsia" w:ascii="宋体" w:hAnsi="宋体" w:cs="宋体"/>
                <w:color w:val="auto"/>
                <w:highlight w:val="none"/>
              </w:rPr>
              <w:t>优：科学、可行、 针对性强得2-3分；</w:t>
            </w:r>
          </w:p>
          <w:p w14:paraId="57A610D2">
            <w:pPr>
              <w:snapToGrid w:val="0"/>
              <w:spacing w:line="276" w:lineRule="auto"/>
              <w:ind w:firstLine="420" w:firstLineChars="200"/>
              <w:rPr>
                <w:rFonts w:ascii="宋体" w:hAnsi="宋体" w:cs="宋体"/>
                <w:color w:val="auto"/>
                <w:highlight w:val="none"/>
              </w:rPr>
            </w:pPr>
            <w:r>
              <w:rPr>
                <w:rFonts w:hint="eastAsia" w:ascii="宋体" w:hAnsi="宋体" w:cs="宋体"/>
                <w:color w:val="auto"/>
                <w:highlight w:val="none"/>
              </w:rPr>
              <w:t>良：合理、可行、 细节待完善得1-2分（不含2分）；</w:t>
            </w:r>
          </w:p>
          <w:p w14:paraId="74D54286">
            <w:pPr>
              <w:snapToGrid w:val="0"/>
              <w:spacing w:line="276" w:lineRule="auto"/>
              <w:ind w:firstLine="420" w:firstLineChars="200"/>
              <w:rPr>
                <w:rFonts w:ascii="宋体" w:hAnsi="宋体" w:cs="宋体"/>
                <w:color w:val="auto"/>
                <w:highlight w:val="none"/>
              </w:rPr>
            </w:pPr>
            <w:r>
              <w:rPr>
                <w:rFonts w:hint="eastAsia" w:ascii="宋体" w:hAnsi="宋体" w:cs="宋体"/>
                <w:color w:val="auto"/>
                <w:highlight w:val="none"/>
              </w:rPr>
              <w:t>差：欠合理，可行 性较差，基本满足工程需要得0-1分（不含1分）；缺项得0分。</w:t>
            </w:r>
          </w:p>
          <w:p w14:paraId="598096F3">
            <w:pPr>
              <w:snapToGrid w:val="0"/>
              <w:spacing w:line="276" w:lineRule="auto"/>
              <w:ind w:firstLine="420" w:firstLineChars="200"/>
              <w:rPr>
                <w:rFonts w:ascii="宋体" w:hAnsi="宋体" w:cs="宋体"/>
                <w:color w:val="auto"/>
                <w:kern w:val="0"/>
                <w:highlight w:val="none"/>
              </w:rPr>
            </w:pPr>
            <w:r>
              <w:rPr>
                <w:rFonts w:hint="eastAsia" w:ascii="宋体" w:hAnsi="宋体" w:cs="宋体"/>
                <w:color w:val="auto"/>
                <w:highlight w:val="none"/>
              </w:rPr>
              <w:t>各评委评分的最终结果取小数点后两位，第三位四舍五入。</w:t>
            </w:r>
          </w:p>
        </w:tc>
      </w:tr>
      <w:tr w14:paraId="17954D6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87" w:type="dxa"/>
            <w:gridSpan w:val="2"/>
            <w:vMerge w:val="continue"/>
            <w:tcBorders>
              <w:right w:val="single" w:color="auto" w:sz="4" w:space="0"/>
            </w:tcBorders>
            <w:vAlign w:val="center"/>
          </w:tcPr>
          <w:p w14:paraId="7146591C">
            <w:pPr>
              <w:spacing w:line="400" w:lineRule="exact"/>
              <w:ind w:firstLine="210" w:firstLineChars="100"/>
              <w:jc w:val="center"/>
              <w:rPr>
                <w:rFonts w:ascii="宋体" w:hAnsi="宋体"/>
                <w:color w:val="auto"/>
                <w:kern w:val="0"/>
                <w:highlight w:val="none"/>
              </w:rPr>
            </w:pPr>
          </w:p>
        </w:tc>
        <w:tc>
          <w:tcPr>
            <w:tcW w:w="535" w:type="dxa"/>
            <w:vMerge w:val="continue"/>
            <w:tcBorders>
              <w:left w:val="single" w:color="auto" w:sz="4" w:space="0"/>
            </w:tcBorders>
            <w:vAlign w:val="center"/>
          </w:tcPr>
          <w:p w14:paraId="4DA159C6">
            <w:pPr>
              <w:spacing w:line="400" w:lineRule="exact"/>
              <w:ind w:firstLine="210" w:firstLineChars="100"/>
              <w:jc w:val="center"/>
              <w:rPr>
                <w:rFonts w:ascii="宋体" w:hAnsi="宋体"/>
                <w:color w:val="auto"/>
                <w:kern w:val="0"/>
                <w:highlight w:val="none"/>
              </w:rPr>
            </w:pPr>
          </w:p>
        </w:tc>
        <w:tc>
          <w:tcPr>
            <w:tcW w:w="850" w:type="dxa"/>
            <w:vMerge w:val="continue"/>
            <w:tcBorders>
              <w:right w:val="single" w:color="auto" w:sz="4" w:space="0"/>
            </w:tcBorders>
            <w:vAlign w:val="center"/>
          </w:tcPr>
          <w:p w14:paraId="6546E3E6">
            <w:pPr>
              <w:tabs>
                <w:tab w:val="left" w:pos="1875"/>
              </w:tabs>
              <w:spacing w:line="400" w:lineRule="exact"/>
              <w:jc w:val="left"/>
              <w:rPr>
                <w:rFonts w:ascii="宋体" w:hAnsi="宋体"/>
                <w:color w:val="auto"/>
                <w:kern w:val="0"/>
                <w:highlight w:val="none"/>
              </w:rPr>
            </w:pPr>
          </w:p>
        </w:tc>
        <w:tc>
          <w:tcPr>
            <w:tcW w:w="1710" w:type="dxa"/>
            <w:tcBorders>
              <w:left w:val="single" w:color="auto" w:sz="4" w:space="0"/>
            </w:tcBorders>
            <w:vAlign w:val="center"/>
          </w:tcPr>
          <w:p w14:paraId="3E15FD9B">
            <w:pPr>
              <w:tabs>
                <w:tab w:val="left" w:pos="1875"/>
              </w:tabs>
              <w:spacing w:line="400" w:lineRule="exact"/>
              <w:rPr>
                <w:rFonts w:ascii="宋体" w:hAnsi="宋体"/>
                <w:color w:val="auto"/>
                <w:kern w:val="0"/>
                <w:highlight w:val="none"/>
              </w:rPr>
            </w:pPr>
            <w:r>
              <w:rPr>
                <w:rFonts w:ascii="宋体" w:hAnsi="宋体"/>
                <w:color w:val="auto"/>
                <w:kern w:val="0"/>
                <w:highlight w:val="none"/>
              </w:rPr>
              <w:t>工程进度计划与措施</w:t>
            </w:r>
          </w:p>
        </w:tc>
        <w:tc>
          <w:tcPr>
            <w:tcW w:w="5493" w:type="dxa"/>
            <w:vAlign w:val="center"/>
          </w:tcPr>
          <w:p w14:paraId="741D5F29">
            <w:pPr>
              <w:snapToGrid w:val="0"/>
              <w:spacing w:line="400" w:lineRule="exact"/>
              <w:ind w:firstLine="420" w:firstLineChars="200"/>
              <w:rPr>
                <w:color w:val="auto"/>
                <w:spacing w:val="-1"/>
                <w:szCs w:val="21"/>
                <w:highlight w:val="none"/>
              </w:rPr>
            </w:pPr>
            <w:r>
              <w:rPr>
                <w:rFonts w:ascii="宋体" w:hAnsi="宋体"/>
                <w:color w:val="auto"/>
                <w:highlight w:val="none"/>
                <w:u w:val="single"/>
              </w:rPr>
              <w:t>3</w:t>
            </w:r>
            <w:r>
              <w:rPr>
                <w:rFonts w:ascii="宋体" w:hAnsi="宋体"/>
                <w:color w:val="auto"/>
                <w:highlight w:val="none"/>
              </w:rPr>
              <w:t>分   编制要点</w:t>
            </w:r>
            <w:r>
              <w:rPr>
                <w:rFonts w:hint="eastAsia" w:ascii="宋体" w:hAnsi="宋体"/>
                <w:color w:val="auto"/>
                <w:highlight w:val="none"/>
              </w:rPr>
              <w:t>：</w:t>
            </w:r>
            <w:r>
              <w:rPr>
                <w:rFonts w:hint="eastAsia"/>
                <w:color w:val="auto"/>
                <w:spacing w:val="-1"/>
                <w:szCs w:val="21"/>
                <w:highlight w:val="none"/>
                <w:u w:val="single"/>
              </w:rPr>
              <w:t>在确保质量、降低成本、缩短工期、减轻劳动强度、提高工效等方面所起的作用如何。并以每天工作24小时按总工期编制工程总进度计划。</w:t>
            </w:r>
          </w:p>
          <w:p w14:paraId="130AC14B">
            <w:pPr>
              <w:snapToGrid w:val="0"/>
              <w:spacing w:line="276" w:lineRule="auto"/>
              <w:ind w:firstLine="420" w:firstLineChars="200"/>
              <w:rPr>
                <w:rFonts w:ascii="宋体" w:hAnsi="宋体" w:cs="宋体"/>
                <w:color w:val="auto"/>
                <w:highlight w:val="none"/>
              </w:rPr>
            </w:pPr>
            <w:r>
              <w:rPr>
                <w:rFonts w:hint="eastAsia" w:ascii="宋体" w:hAnsi="宋体" w:cs="宋体"/>
                <w:color w:val="auto"/>
                <w:highlight w:val="none"/>
              </w:rPr>
              <w:t>优：科学、可行、 针对性强得2-3分；</w:t>
            </w:r>
          </w:p>
          <w:p w14:paraId="69E28242">
            <w:pPr>
              <w:snapToGrid w:val="0"/>
              <w:spacing w:line="276" w:lineRule="auto"/>
              <w:ind w:firstLine="420" w:firstLineChars="200"/>
              <w:rPr>
                <w:rFonts w:ascii="宋体" w:hAnsi="宋体" w:cs="宋体"/>
                <w:color w:val="auto"/>
                <w:highlight w:val="none"/>
              </w:rPr>
            </w:pPr>
            <w:r>
              <w:rPr>
                <w:rFonts w:hint="eastAsia" w:ascii="宋体" w:hAnsi="宋体" w:cs="宋体"/>
                <w:color w:val="auto"/>
                <w:highlight w:val="none"/>
              </w:rPr>
              <w:t>良：合理、可行、 细节待完善得1-2分（不含2分）；</w:t>
            </w:r>
          </w:p>
          <w:p w14:paraId="305CD9DD">
            <w:pPr>
              <w:snapToGrid w:val="0"/>
              <w:spacing w:line="276" w:lineRule="auto"/>
              <w:ind w:firstLine="420" w:firstLineChars="200"/>
              <w:rPr>
                <w:rFonts w:ascii="宋体" w:hAnsi="宋体" w:cs="宋体"/>
                <w:color w:val="auto"/>
                <w:highlight w:val="none"/>
              </w:rPr>
            </w:pPr>
            <w:r>
              <w:rPr>
                <w:rFonts w:hint="eastAsia" w:ascii="宋体" w:hAnsi="宋体" w:cs="宋体"/>
                <w:color w:val="auto"/>
                <w:highlight w:val="none"/>
              </w:rPr>
              <w:t>差：欠合理，可行 性较差，基本满足工程需要得0-1分（不含1分）；缺项得0分。</w:t>
            </w:r>
          </w:p>
          <w:p w14:paraId="72212A67">
            <w:pPr>
              <w:snapToGrid w:val="0"/>
              <w:spacing w:line="276" w:lineRule="auto"/>
              <w:ind w:firstLine="420" w:firstLineChars="200"/>
              <w:rPr>
                <w:color w:val="auto"/>
                <w:spacing w:val="-1"/>
                <w:szCs w:val="21"/>
                <w:highlight w:val="none"/>
              </w:rPr>
            </w:pPr>
            <w:r>
              <w:rPr>
                <w:rFonts w:hint="eastAsia" w:ascii="宋体" w:hAnsi="宋体" w:cs="宋体"/>
                <w:color w:val="auto"/>
                <w:highlight w:val="none"/>
              </w:rPr>
              <w:t>各评委评分的最终结果取小数点后两位，第三位四舍五入。</w:t>
            </w:r>
          </w:p>
        </w:tc>
      </w:tr>
      <w:tr w14:paraId="773FB95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87" w:type="dxa"/>
            <w:gridSpan w:val="2"/>
            <w:vMerge w:val="continue"/>
            <w:tcBorders>
              <w:right w:val="single" w:color="auto" w:sz="4" w:space="0"/>
            </w:tcBorders>
            <w:vAlign w:val="center"/>
          </w:tcPr>
          <w:p w14:paraId="1718611A">
            <w:pPr>
              <w:spacing w:line="400" w:lineRule="exact"/>
              <w:ind w:firstLine="210" w:firstLineChars="100"/>
              <w:jc w:val="center"/>
              <w:rPr>
                <w:rFonts w:ascii="宋体" w:hAnsi="宋体"/>
                <w:color w:val="auto"/>
                <w:kern w:val="0"/>
                <w:highlight w:val="none"/>
              </w:rPr>
            </w:pPr>
          </w:p>
        </w:tc>
        <w:tc>
          <w:tcPr>
            <w:tcW w:w="535" w:type="dxa"/>
            <w:vMerge w:val="continue"/>
            <w:tcBorders>
              <w:left w:val="single" w:color="auto" w:sz="4" w:space="0"/>
            </w:tcBorders>
            <w:vAlign w:val="center"/>
          </w:tcPr>
          <w:p w14:paraId="02E4393F">
            <w:pPr>
              <w:spacing w:line="400" w:lineRule="exact"/>
              <w:ind w:firstLine="210" w:firstLineChars="100"/>
              <w:jc w:val="center"/>
              <w:rPr>
                <w:rFonts w:ascii="宋体" w:hAnsi="宋体"/>
                <w:color w:val="auto"/>
                <w:kern w:val="0"/>
                <w:highlight w:val="none"/>
              </w:rPr>
            </w:pPr>
          </w:p>
        </w:tc>
        <w:tc>
          <w:tcPr>
            <w:tcW w:w="850" w:type="dxa"/>
            <w:vMerge w:val="continue"/>
            <w:tcBorders>
              <w:right w:val="single" w:color="auto" w:sz="4" w:space="0"/>
            </w:tcBorders>
            <w:vAlign w:val="center"/>
          </w:tcPr>
          <w:p w14:paraId="2519FB2A">
            <w:pPr>
              <w:tabs>
                <w:tab w:val="left" w:pos="1875"/>
              </w:tabs>
              <w:spacing w:line="400" w:lineRule="exact"/>
              <w:jc w:val="left"/>
              <w:rPr>
                <w:rFonts w:ascii="宋体" w:hAnsi="宋体"/>
                <w:color w:val="auto"/>
                <w:kern w:val="0"/>
                <w:highlight w:val="none"/>
              </w:rPr>
            </w:pPr>
          </w:p>
        </w:tc>
        <w:tc>
          <w:tcPr>
            <w:tcW w:w="1710" w:type="dxa"/>
            <w:tcBorders>
              <w:left w:val="single" w:color="auto" w:sz="4" w:space="0"/>
            </w:tcBorders>
            <w:vAlign w:val="center"/>
          </w:tcPr>
          <w:p w14:paraId="5F6574E9">
            <w:pPr>
              <w:tabs>
                <w:tab w:val="left" w:pos="1875"/>
              </w:tabs>
              <w:spacing w:line="400" w:lineRule="exact"/>
              <w:rPr>
                <w:rFonts w:ascii="宋体" w:hAnsi="宋体"/>
                <w:color w:val="auto"/>
                <w:kern w:val="0"/>
                <w:highlight w:val="none"/>
              </w:rPr>
            </w:pPr>
            <w:r>
              <w:rPr>
                <w:rFonts w:ascii="宋体" w:hAnsi="宋体"/>
                <w:color w:val="auto"/>
                <w:kern w:val="0"/>
                <w:highlight w:val="none"/>
              </w:rPr>
              <w:t>资源配备计划与先进性</w:t>
            </w:r>
          </w:p>
        </w:tc>
        <w:tc>
          <w:tcPr>
            <w:tcW w:w="5493" w:type="dxa"/>
            <w:vAlign w:val="center"/>
          </w:tcPr>
          <w:p w14:paraId="5AEB6587">
            <w:pPr>
              <w:snapToGrid w:val="0"/>
              <w:spacing w:line="400" w:lineRule="exact"/>
              <w:ind w:firstLine="420" w:firstLineChars="200"/>
              <w:rPr>
                <w:color w:val="auto"/>
                <w:spacing w:val="-1"/>
                <w:szCs w:val="21"/>
                <w:highlight w:val="none"/>
                <w:u w:val="single"/>
              </w:rPr>
            </w:pPr>
            <w:r>
              <w:rPr>
                <w:rFonts w:ascii="宋体" w:hAnsi="宋体"/>
                <w:color w:val="auto"/>
                <w:highlight w:val="none"/>
              </w:rPr>
              <w:t>3分 编制要点</w:t>
            </w:r>
            <w:r>
              <w:rPr>
                <w:rFonts w:hint="eastAsia" w:ascii="宋体" w:hAnsi="宋体"/>
                <w:color w:val="auto"/>
                <w:highlight w:val="none"/>
              </w:rPr>
              <w:t>：</w:t>
            </w:r>
            <w:r>
              <w:rPr>
                <w:rFonts w:hint="eastAsia"/>
                <w:color w:val="auto"/>
                <w:spacing w:val="-1"/>
                <w:szCs w:val="21"/>
                <w:highlight w:val="none"/>
                <w:u w:val="single"/>
              </w:rPr>
              <w:t>施工设备、仪器、劳动力资源配备计划合理；针对本项目的特点，提供给建设方的合理化建议，有利于保障工程质量、进度、安全方面的先进技术和措施，满足项目需要的前提下节约资源。</w:t>
            </w:r>
          </w:p>
          <w:p w14:paraId="2E821CCA">
            <w:pPr>
              <w:snapToGrid w:val="0"/>
              <w:spacing w:line="276" w:lineRule="auto"/>
              <w:ind w:firstLine="420" w:firstLineChars="200"/>
              <w:rPr>
                <w:rFonts w:ascii="宋体" w:hAnsi="宋体" w:cs="宋体"/>
                <w:color w:val="auto"/>
                <w:highlight w:val="none"/>
              </w:rPr>
            </w:pPr>
            <w:r>
              <w:rPr>
                <w:rFonts w:hint="eastAsia" w:ascii="宋体" w:hAnsi="宋体" w:cs="宋体"/>
                <w:color w:val="auto"/>
                <w:highlight w:val="none"/>
              </w:rPr>
              <w:t>优：科学、可行、 针对性强得2-3分；</w:t>
            </w:r>
          </w:p>
          <w:p w14:paraId="175B9869">
            <w:pPr>
              <w:snapToGrid w:val="0"/>
              <w:spacing w:line="276" w:lineRule="auto"/>
              <w:ind w:firstLine="420" w:firstLineChars="200"/>
              <w:rPr>
                <w:rFonts w:ascii="宋体" w:hAnsi="宋体" w:cs="宋体"/>
                <w:color w:val="auto"/>
                <w:highlight w:val="none"/>
              </w:rPr>
            </w:pPr>
            <w:r>
              <w:rPr>
                <w:rFonts w:hint="eastAsia" w:ascii="宋体" w:hAnsi="宋体" w:cs="宋体"/>
                <w:color w:val="auto"/>
                <w:highlight w:val="none"/>
              </w:rPr>
              <w:t>良：合理、可行、 细节待完善得1-2分（不含2分）；</w:t>
            </w:r>
          </w:p>
          <w:p w14:paraId="258CFD69">
            <w:pPr>
              <w:snapToGrid w:val="0"/>
              <w:spacing w:line="276" w:lineRule="auto"/>
              <w:ind w:firstLine="420" w:firstLineChars="200"/>
              <w:rPr>
                <w:rFonts w:ascii="宋体" w:hAnsi="宋体" w:cs="宋体"/>
                <w:color w:val="auto"/>
                <w:highlight w:val="none"/>
              </w:rPr>
            </w:pPr>
            <w:r>
              <w:rPr>
                <w:rFonts w:hint="eastAsia" w:ascii="宋体" w:hAnsi="宋体" w:cs="宋体"/>
                <w:color w:val="auto"/>
                <w:highlight w:val="none"/>
              </w:rPr>
              <w:t>差：欠合理，可行 性较差，基本满足工程需要得0-1分（不含1分）；缺项得0分。</w:t>
            </w:r>
          </w:p>
          <w:p w14:paraId="757E3AA1">
            <w:pPr>
              <w:snapToGrid w:val="0"/>
              <w:spacing w:line="276" w:lineRule="auto"/>
              <w:ind w:firstLine="420" w:firstLineChars="200"/>
              <w:rPr>
                <w:color w:val="auto"/>
                <w:spacing w:val="-1"/>
                <w:szCs w:val="21"/>
                <w:highlight w:val="none"/>
                <w:u w:val="single"/>
              </w:rPr>
            </w:pPr>
            <w:r>
              <w:rPr>
                <w:rFonts w:hint="eastAsia" w:ascii="宋体" w:hAnsi="宋体" w:cs="宋体"/>
                <w:color w:val="auto"/>
                <w:highlight w:val="none"/>
              </w:rPr>
              <w:t>各评委评分的最终结果取小数点后两位，第三位四舍五入。</w:t>
            </w:r>
          </w:p>
        </w:tc>
      </w:tr>
      <w:tr w14:paraId="3893702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87" w:type="dxa"/>
            <w:gridSpan w:val="2"/>
            <w:vMerge w:val="continue"/>
            <w:tcBorders>
              <w:right w:val="single" w:color="auto" w:sz="4" w:space="0"/>
            </w:tcBorders>
            <w:vAlign w:val="center"/>
          </w:tcPr>
          <w:p w14:paraId="0BD74277">
            <w:pPr>
              <w:spacing w:line="400" w:lineRule="exact"/>
              <w:ind w:firstLine="210" w:firstLineChars="100"/>
              <w:jc w:val="center"/>
              <w:rPr>
                <w:rFonts w:ascii="宋体" w:hAnsi="宋体"/>
                <w:color w:val="auto"/>
                <w:kern w:val="0"/>
                <w:highlight w:val="none"/>
              </w:rPr>
            </w:pPr>
          </w:p>
        </w:tc>
        <w:tc>
          <w:tcPr>
            <w:tcW w:w="535" w:type="dxa"/>
            <w:vMerge w:val="continue"/>
            <w:tcBorders>
              <w:left w:val="single" w:color="auto" w:sz="4" w:space="0"/>
            </w:tcBorders>
            <w:vAlign w:val="center"/>
          </w:tcPr>
          <w:p w14:paraId="12DF056D">
            <w:pPr>
              <w:spacing w:line="400" w:lineRule="exact"/>
              <w:ind w:firstLine="210" w:firstLineChars="100"/>
              <w:jc w:val="center"/>
              <w:rPr>
                <w:rFonts w:ascii="宋体" w:hAnsi="宋体"/>
                <w:color w:val="auto"/>
                <w:kern w:val="0"/>
                <w:highlight w:val="none"/>
              </w:rPr>
            </w:pPr>
          </w:p>
        </w:tc>
        <w:tc>
          <w:tcPr>
            <w:tcW w:w="850" w:type="dxa"/>
            <w:vMerge w:val="continue"/>
            <w:tcBorders>
              <w:right w:val="single" w:color="auto" w:sz="4" w:space="0"/>
            </w:tcBorders>
          </w:tcPr>
          <w:p w14:paraId="373362B8">
            <w:pPr>
              <w:tabs>
                <w:tab w:val="left" w:pos="1875"/>
              </w:tabs>
              <w:spacing w:line="400" w:lineRule="exact"/>
              <w:jc w:val="left"/>
              <w:rPr>
                <w:rFonts w:ascii="宋体" w:hAnsi="宋体"/>
                <w:color w:val="auto"/>
                <w:kern w:val="0"/>
                <w:highlight w:val="none"/>
              </w:rPr>
            </w:pPr>
          </w:p>
        </w:tc>
        <w:tc>
          <w:tcPr>
            <w:tcW w:w="1710" w:type="dxa"/>
            <w:tcBorders>
              <w:left w:val="single" w:color="auto" w:sz="4" w:space="0"/>
            </w:tcBorders>
            <w:vAlign w:val="center"/>
          </w:tcPr>
          <w:p w14:paraId="6E8B1FC2">
            <w:pPr>
              <w:tabs>
                <w:tab w:val="left" w:pos="1875"/>
              </w:tabs>
              <w:spacing w:line="400" w:lineRule="exact"/>
              <w:rPr>
                <w:rFonts w:ascii="宋体" w:hAnsi="宋体"/>
                <w:color w:val="auto"/>
                <w:kern w:val="0"/>
                <w:highlight w:val="none"/>
              </w:rPr>
            </w:pPr>
            <w:r>
              <w:rPr>
                <w:rFonts w:hint="eastAsia" w:ascii="宋体" w:hAnsi="宋体" w:cs="宋体"/>
                <w:color w:val="auto"/>
                <w:kern w:val="0"/>
                <w:highlight w:val="none"/>
              </w:rPr>
              <w:t>专项方案</w:t>
            </w:r>
          </w:p>
        </w:tc>
        <w:tc>
          <w:tcPr>
            <w:tcW w:w="5493" w:type="dxa"/>
            <w:vAlign w:val="center"/>
          </w:tcPr>
          <w:p w14:paraId="27B35D6C">
            <w:pPr>
              <w:snapToGrid w:val="0"/>
              <w:spacing w:line="400" w:lineRule="exact"/>
              <w:ind w:firstLine="420" w:firstLineChars="200"/>
              <w:rPr>
                <w:rFonts w:ascii="宋体" w:hAnsi="宋体"/>
                <w:color w:val="auto"/>
                <w:highlight w:val="none"/>
                <w:u w:val="single"/>
              </w:rPr>
            </w:pPr>
            <w:r>
              <w:rPr>
                <w:rFonts w:hint="eastAsia" w:ascii="宋体" w:hAnsi="宋体"/>
                <w:color w:val="auto"/>
                <w:highlight w:val="none"/>
                <w:u w:val="single"/>
              </w:rPr>
              <w:t>7</w:t>
            </w:r>
            <w:r>
              <w:rPr>
                <w:rFonts w:ascii="宋体" w:hAnsi="宋体"/>
                <w:color w:val="auto"/>
                <w:highlight w:val="none"/>
              </w:rPr>
              <w:t>分 编制要点</w:t>
            </w:r>
            <w:r>
              <w:rPr>
                <w:rFonts w:hint="eastAsia" w:ascii="宋体" w:hAnsi="宋体"/>
                <w:color w:val="auto"/>
                <w:highlight w:val="none"/>
              </w:rPr>
              <w:t>：</w:t>
            </w:r>
            <w:r>
              <w:rPr>
                <w:rFonts w:hint="eastAsia" w:ascii="宋体" w:hAnsi="宋体"/>
                <w:color w:val="auto"/>
                <w:highlight w:val="none"/>
                <w:u w:val="single"/>
              </w:rPr>
              <w:t>充分踏勘现场</w:t>
            </w:r>
            <w:r>
              <w:rPr>
                <w:rFonts w:ascii="宋体" w:hAnsi="宋体"/>
                <w:color w:val="auto"/>
                <w:highlight w:val="none"/>
                <w:u w:val="single"/>
              </w:rPr>
              <w:t>，熟悉环境、地形、交通状况，编制</w:t>
            </w:r>
            <w:r>
              <w:rPr>
                <w:rFonts w:hint="eastAsia" w:ascii="宋体" w:hAnsi="宋体"/>
                <w:color w:val="auto"/>
                <w:highlight w:val="none"/>
                <w:u w:val="single"/>
              </w:rPr>
              <w:t>专项</w:t>
            </w:r>
            <w:r>
              <w:rPr>
                <w:rFonts w:ascii="宋体" w:hAnsi="宋体"/>
                <w:color w:val="auto"/>
                <w:highlight w:val="none"/>
                <w:u w:val="single"/>
              </w:rPr>
              <w:t>方案，</w:t>
            </w:r>
            <w:r>
              <w:rPr>
                <w:rFonts w:hint="eastAsia" w:ascii="宋体" w:hAnsi="宋体"/>
                <w:color w:val="auto"/>
                <w:highlight w:val="none"/>
                <w:u w:val="single"/>
              </w:rPr>
              <w:t>以保障项目的高效</w:t>
            </w:r>
            <w:r>
              <w:rPr>
                <w:rFonts w:ascii="宋体" w:hAnsi="宋体"/>
                <w:color w:val="auto"/>
                <w:highlight w:val="none"/>
                <w:u w:val="single"/>
              </w:rPr>
              <w:t>、高质量推进</w:t>
            </w:r>
            <w:r>
              <w:rPr>
                <w:rFonts w:hint="eastAsia" w:ascii="宋体" w:hAnsi="宋体"/>
                <w:color w:val="auto"/>
                <w:highlight w:val="none"/>
                <w:u w:val="single"/>
              </w:rPr>
              <w:t>，</w:t>
            </w:r>
            <w:r>
              <w:rPr>
                <w:rFonts w:ascii="宋体" w:hAnsi="宋体"/>
                <w:color w:val="auto"/>
                <w:highlight w:val="none"/>
                <w:u w:val="single"/>
              </w:rPr>
              <w:t>专项</w:t>
            </w:r>
            <w:r>
              <w:rPr>
                <w:rFonts w:hint="eastAsia" w:ascii="宋体" w:hAnsi="宋体"/>
                <w:color w:val="auto"/>
                <w:highlight w:val="none"/>
                <w:u w:val="single"/>
              </w:rPr>
              <w:t>包括以下</w:t>
            </w:r>
            <w:r>
              <w:rPr>
                <w:rFonts w:ascii="宋体" w:hAnsi="宋体"/>
                <w:color w:val="auto"/>
                <w:highlight w:val="none"/>
                <w:u w:val="single"/>
              </w:rPr>
              <w:t xml:space="preserve">内容： </w:t>
            </w:r>
          </w:p>
          <w:p w14:paraId="44E02FFC">
            <w:pPr>
              <w:snapToGrid w:val="0"/>
              <w:spacing w:line="400" w:lineRule="exact"/>
              <w:ind w:firstLine="420" w:firstLineChars="200"/>
              <w:rPr>
                <w:rFonts w:ascii="宋体" w:hAnsi="宋体"/>
                <w:color w:val="auto"/>
                <w:highlight w:val="none"/>
                <w:u w:val="single"/>
              </w:rPr>
            </w:pPr>
            <w:r>
              <w:rPr>
                <w:rFonts w:ascii="宋体" w:hAnsi="宋体"/>
                <w:color w:val="auto"/>
                <w:highlight w:val="none"/>
                <w:u w:val="single"/>
              </w:rPr>
              <w:t>1</w:t>
            </w:r>
            <w:r>
              <w:rPr>
                <w:rFonts w:hint="eastAsia" w:ascii="宋体" w:hAnsi="宋体"/>
                <w:color w:val="auto"/>
                <w:highlight w:val="none"/>
                <w:u w:val="single"/>
              </w:rPr>
              <w:t>、</w:t>
            </w:r>
            <w:r>
              <w:rPr>
                <w:rFonts w:ascii="宋体" w:hAnsi="宋体"/>
                <w:color w:val="auto"/>
                <w:highlight w:val="none"/>
                <w:u w:val="single"/>
              </w:rPr>
              <w:t>交通疏导</w:t>
            </w:r>
            <w:r>
              <w:rPr>
                <w:rFonts w:hint="eastAsia" w:ascii="宋体" w:hAnsi="宋体"/>
                <w:color w:val="auto"/>
                <w:highlight w:val="none"/>
                <w:u w:val="single"/>
              </w:rPr>
              <w:t>方案：充分踏勘现场</w:t>
            </w:r>
            <w:r>
              <w:rPr>
                <w:rFonts w:ascii="宋体" w:hAnsi="宋体"/>
                <w:color w:val="auto"/>
                <w:highlight w:val="none"/>
                <w:u w:val="single"/>
              </w:rPr>
              <w:t>，</w:t>
            </w:r>
            <w:r>
              <w:rPr>
                <w:rFonts w:hint="eastAsia" w:ascii="宋体" w:hAnsi="宋体"/>
                <w:color w:val="auto"/>
                <w:highlight w:val="none"/>
                <w:u w:val="single"/>
              </w:rPr>
              <w:t>熟悉</w:t>
            </w:r>
            <w:r>
              <w:rPr>
                <w:rFonts w:ascii="宋体" w:hAnsi="宋体"/>
                <w:color w:val="auto"/>
                <w:highlight w:val="none"/>
                <w:u w:val="single"/>
              </w:rPr>
              <w:t>项目周边交通状况</w:t>
            </w:r>
            <w:r>
              <w:rPr>
                <w:rFonts w:hint="eastAsia" w:ascii="宋体" w:hAnsi="宋体"/>
                <w:color w:val="auto"/>
                <w:highlight w:val="none"/>
                <w:u w:val="single"/>
              </w:rPr>
              <w:t>，</w:t>
            </w:r>
            <w:r>
              <w:rPr>
                <w:rFonts w:ascii="宋体" w:hAnsi="宋体"/>
                <w:color w:val="auto"/>
                <w:highlight w:val="none"/>
                <w:u w:val="single"/>
              </w:rPr>
              <w:t>编制交通疏导方案。</w:t>
            </w:r>
          </w:p>
          <w:p w14:paraId="0BAD2130">
            <w:pPr>
              <w:snapToGrid w:val="0"/>
              <w:spacing w:line="400" w:lineRule="exact"/>
              <w:ind w:firstLine="420" w:firstLineChars="200"/>
              <w:rPr>
                <w:rFonts w:asciiTheme="minorEastAsia" w:hAnsiTheme="minorEastAsia" w:eastAsiaTheme="minorEastAsia"/>
                <w:color w:val="auto"/>
                <w:highlight w:val="none"/>
                <w:u w:val="single"/>
              </w:rPr>
            </w:pPr>
            <w:r>
              <w:rPr>
                <w:rFonts w:hint="eastAsia" w:asciiTheme="minorEastAsia" w:hAnsiTheme="minorEastAsia" w:eastAsiaTheme="minorEastAsia"/>
                <w:color w:val="auto"/>
                <w:highlight w:val="none"/>
                <w:u w:val="single"/>
              </w:rPr>
              <w:t>2、交叉施工</w:t>
            </w:r>
            <w:r>
              <w:rPr>
                <w:rFonts w:asciiTheme="minorEastAsia" w:hAnsiTheme="minorEastAsia" w:eastAsiaTheme="minorEastAsia"/>
                <w:color w:val="auto"/>
                <w:highlight w:val="none"/>
                <w:u w:val="single"/>
              </w:rPr>
              <w:t>方案；</w:t>
            </w:r>
            <w:r>
              <w:rPr>
                <w:rFonts w:hint="eastAsia" w:ascii="宋体" w:hAnsi="宋体"/>
                <w:color w:val="auto"/>
                <w:highlight w:val="none"/>
                <w:u w:val="single"/>
              </w:rPr>
              <w:t>充分踏勘现场</w:t>
            </w:r>
            <w:r>
              <w:rPr>
                <w:rFonts w:ascii="宋体" w:hAnsi="宋体"/>
                <w:color w:val="auto"/>
                <w:highlight w:val="none"/>
                <w:u w:val="single"/>
              </w:rPr>
              <w:t>，熟悉</w:t>
            </w:r>
            <w:r>
              <w:rPr>
                <w:rFonts w:hint="eastAsia" w:ascii="宋体" w:hAnsi="宋体"/>
                <w:color w:val="auto"/>
                <w:highlight w:val="none"/>
                <w:u w:val="single"/>
              </w:rPr>
              <w:t>项目</w:t>
            </w:r>
            <w:r>
              <w:rPr>
                <w:rFonts w:ascii="宋体" w:hAnsi="宋体"/>
                <w:color w:val="auto"/>
                <w:highlight w:val="none"/>
                <w:u w:val="single"/>
              </w:rPr>
              <w:t>位置环境、地形</w:t>
            </w:r>
            <w:r>
              <w:rPr>
                <w:rFonts w:hint="eastAsia" w:ascii="宋体" w:hAnsi="宋体"/>
                <w:color w:val="auto"/>
                <w:highlight w:val="none"/>
                <w:u w:val="single"/>
              </w:rPr>
              <w:t>及</w:t>
            </w:r>
            <w:r>
              <w:rPr>
                <w:rFonts w:ascii="宋体" w:hAnsi="宋体"/>
                <w:color w:val="auto"/>
                <w:highlight w:val="none"/>
                <w:u w:val="single"/>
              </w:rPr>
              <w:t>在建项目情况，编制</w:t>
            </w:r>
            <w:r>
              <w:rPr>
                <w:rFonts w:hint="eastAsia" w:ascii="宋体" w:hAnsi="宋体"/>
                <w:color w:val="auto"/>
                <w:highlight w:val="none"/>
                <w:u w:val="single"/>
              </w:rPr>
              <w:t>交叉</w:t>
            </w:r>
            <w:r>
              <w:rPr>
                <w:rFonts w:ascii="宋体" w:hAnsi="宋体"/>
                <w:color w:val="auto"/>
                <w:highlight w:val="none"/>
                <w:u w:val="single"/>
              </w:rPr>
              <w:t>施工方案。</w:t>
            </w:r>
          </w:p>
          <w:p w14:paraId="41601687">
            <w:pPr>
              <w:snapToGrid w:val="0"/>
              <w:spacing w:line="276" w:lineRule="auto"/>
              <w:ind w:firstLine="420" w:firstLineChars="200"/>
              <w:rPr>
                <w:rFonts w:ascii="宋体" w:hAnsi="宋体" w:cs="宋体"/>
                <w:color w:val="auto"/>
                <w:highlight w:val="none"/>
              </w:rPr>
            </w:pPr>
            <w:r>
              <w:rPr>
                <w:rFonts w:hint="eastAsia" w:ascii="宋体" w:hAnsi="宋体" w:cs="宋体"/>
                <w:color w:val="auto"/>
                <w:highlight w:val="none"/>
              </w:rPr>
              <w:t>优：科学、可行、 针对性强得5-7分；</w:t>
            </w:r>
          </w:p>
          <w:p w14:paraId="08D2A50E">
            <w:pPr>
              <w:snapToGrid w:val="0"/>
              <w:spacing w:line="276" w:lineRule="auto"/>
              <w:ind w:firstLine="420" w:firstLineChars="200"/>
              <w:rPr>
                <w:rFonts w:ascii="宋体" w:hAnsi="宋体" w:cs="宋体"/>
                <w:color w:val="auto"/>
                <w:highlight w:val="none"/>
              </w:rPr>
            </w:pPr>
            <w:r>
              <w:rPr>
                <w:rFonts w:hint="eastAsia" w:ascii="宋体" w:hAnsi="宋体" w:cs="宋体"/>
                <w:color w:val="auto"/>
                <w:highlight w:val="none"/>
              </w:rPr>
              <w:t>良：合理、可行、 细节待完善得2-5分（不含5分）；</w:t>
            </w:r>
          </w:p>
          <w:p w14:paraId="1BCA9004">
            <w:pPr>
              <w:snapToGrid w:val="0"/>
              <w:spacing w:line="276" w:lineRule="auto"/>
              <w:ind w:firstLine="420" w:firstLineChars="200"/>
              <w:rPr>
                <w:rFonts w:ascii="宋体" w:hAnsi="宋体" w:cs="宋体"/>
                <w:color w:val="auto"/>
                <w:highlight w:val="none"/>
              </w:rPr>
            </w:pPr>
            <w:r>
              <w:rPr>
                <w:rFonts w:hint="eastAsia" w:ascii="宋体" w:hAnsi="宋体" w:cs="宋体"/>
                <w:color w:val="auto"/>
                <w:highlight w:val="none"/>
              </w:rPr>
              <w:t>差：欠合理，可行性较差，基本满足工程需要得0-2分（不含2分）；缺项得0分。</w:t>
            </w:r>
          </w:p>
          <w:p w14:paraId="6DB24D29">
            <w:pPr>
              <w:snapToGrid w:val="0"/>
              <w:spacing w:line="276" w:lineRule="auto"/>
              <w:ind w:firstLine="420" w:firstLineChars="200"/>
              <w:rPr>
                <w:color w:val="auto"/>
                <w:highlight w:val="none"/>
              </w:rPr>
            </w:pPr>
            <w:r>
              <w:rPr>
                <w:rFonts w:hint="eastAsia" w:ascii="宋体" w:hAnsi="宋体" w:cs="宋体"/>
                <w:color w:val="auto"/>
                <w:highlight w:val="none"/>
              </w:rPr>
              <w:t>各评委评分的最终结果取小数点后两位，第三位四舍五入。</w:t>
            </w:r>
          </w:p>
        </w:tc>
      </w:tr>
      <w:tr w14:paraId="4BD10BC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87" w:type="dxa"/>
            <w:gridSpan w:val="2"/>
            <w:vMerge w:val="restart"/>
            <w:tcBorders>
              <w:right w:val="single" w:color="auto" w:sz="4" w:space="0"/>
            </w:tcBorders>
            <w:vAlign w:val="center"/>
          </w:tcPr>
          <w:p w14:paraId="4A15FC8C">
            <w:pPr>
              <w:spacing w:line="400" w:lineRule="exact"/>
              <w:rPr>
                <w:rFonts w:ascii="宋体" w:hAnsi="宋体"/>
                <w:color w:val="auto"/>
                <w:kern w:val="0"/>
                <w:highlight w:val="none"/>
              </w:rPr>
            </w:pPr>
            <w:r>
              <w:rPr>
                <w:rFonts w:hint="eastAsia" w:ascii="宋体" w:hAnsi="宋体"/>
                <w:color w:val="auto"/>
                <w:kern w:val="0"/>
                <w:highlight w:val="none"/>
              </w:rPr>
              <w:t>2.2.2（2）</w:t>
            </w:r>
          </w:p>
        </w:tc>
        <w:tc>
          <w:tcPr>
            <w:tcW w:w="535" w:type="dxa"/>
            <w:vMerge w:val="restart"/>
            <w:tcBorders>
              <w:left w:val="single" w:color="auto" w:sz="4" w:space="0"/>
            </w:tcBorders>
            <w:vAlign w:val="center"/>
          </w:tcPr>
          <w:p w14:paraId="2352942C">
            <w:pPr>
              <w:spacing w:line="400" w:lineRule="exact"/>
              <w:jc w:val="center"/>
              <w:rPr>
                <w:rFonts w:ascii="宋体" w:hAnsi="宋体"/>
                <w:color w:val="auto"/>
                <w:kern w:val="0"/>
                <w:highlight w:val="none"/>
              </w:rPr>
            </w:pPr>
            <w:r>
              <w:rPr>
                <w:rFonts w:hint="eastAsia" w:ascii="宋体" w:hAnsi="宋体"/>
                <w:color w:val="auto"/>
                <w:kern w:val="0"/>
                <w:highlight w:val="none"/>
              </w:rPr>
              <w:t>投标函部分及经济部分评审标准</w:t>
            </w:r>
          </w:p>
        </w:tc>
        <w:tc>
          <w:tcPr>
            <w:tcW w:w="2560" w:type="dxa"/>
            <w:gridSpan w:val="2"/>
            <w:vAlign w:val="center"/>
          </w:tcPr>
          <w:p w14:paraId="15EEF54D">
            <w:pPr>
              <w:tabs>
                <w:tab w:val="left" w:pos="1875"/>
              </w:tabs>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投标函部分的签名盖章</w:t>
            </w:r>
          </w:p>
        </w:tc>
        <w:tc>
          <w:tcPr>
            <w:tcW w:w="5493" w:type="dxa"/>
            <w:vAlign w:val="center"/>
          </w:tcPr>
          <w:p w14:paraId="69CD946E">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投标函部分的格式要求法定代表人或其委托代理人签名（或盖章）的须齐全，</w:t>
            </w:r>
            <w:r>
              <w:rPr>
                <w:rFonts w:hint="eastAsia" w:asciiTheme="minorEastAsia" w:hAnsiTheme="minorEastAsia" w:eastAsiaTheme="minorEastAsia" w:cstheme="minorEastAsia"/>
                <w:color w:val="auto"/>
                <w:szCs w:val="21"/>
                <w:highlight w:val="none"/>
              </w:rPr>
              <w:t>要求签名的，</w:t>
            </w:r>
            <w:r>
              <w:rPr>
                <w:rFonts w:hint="eastAsia" w:asciiTheme="minorEastAsia" w:hAnsiTheme="minorEastAsia" w:eastAsiaTheme="minorEastAsia" w:cstheme="minorEastAsia"/>
                <w:color w:val="auto"/>
                <w:kern w:val="0"/>
                <w:highlight w:val="none"/>
              </w:rPr>
              <w:t>签名采用手写签名或签章或加盖CA数字证书均可，</w:t>
            </w:r>
            <w:r>
              <w:rPr>
                <w:rFonts w:hint="eastAsia" w:ascii="宋体" w:hAnsi="宋体" w:cs="宋体"/>
                <w:color w:val="auto"/>
                <w:kern w:val="0"/>
                <w:highlight w:val="none"/>
              </w:rPr>
              <w:t>要求加盖单位法人章的，应使用 CA 数字证书加盖投标人的单位电子印章。</w:t>
            </w:r>
          </w:p>
        </w:tc>
      </w:tr>
      <w:tr w14:paraId="6CB0095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87" w:type="dxa"/>
            <w:gridSpan w:val="2"/>
            <w:vMerge w:val="continue"/>
            <w:tcBorders>
              <w:right w:val="single" w:color="auto" w:sz="4" w:space="0"/>
            </w:tcBorders>
            <w:vAlign w:val="center"/>
          </w:tcPr>
          <w:p w14:paraId="035B6FBD">
            <w:pPr>
              <w:spacing w:line="400" w:lineRule="exact"/>
              <w:rPr>
                <w:rFonts w:ascii="宋体" w:hAnsi="宋体"/>
                <w:color w:val="auto"/>
                <w:kern w:val="0"/>
                <w:highlight w:val="none"/>
              </w:rPr>
            </w:pPr>
          </w:p>
        </w:tc>
        <w:tc>
          <w:tcPr>
            <w:tcW w:w="535" w:type="dxa"/>
            <w:vMerge w:val="continue"/>
            <w:tcBorders>
              <w:left w:val="single" w:color="auto" w:sz="4" w:space="0"/>
            </w:tcBorders>
            <w:vAlign w:val="center"/>
          </w:tcPr>
          <w:p w14:paraId="43A42E6B">
            <w:pPr>
              <w:spacing w:line="400" w:lineRule="exact"/>
              <w:ind w:firstLine="210" w:firstLineChars="100"/>
              <w:jc w:val="center"/>
              <w:rPr>
                <w:rFonts w:ascii="宋体" w:hAnsi="宋体"/>
                <w:color w:val="auto"/>
                <w:kern w:val="0"/>
                <w:highlight w:val="none"/>
              </w:rPr>
            </w:pPr>
          </w:p>
        </w:tc>
        <w:tc>
          <w:tcPr>
            <w:tcW w:w="2560" w:type="dxa"/>
            <w:gridSpan w:val="2"/>
            <w:vAlign w:val="center"/>
          </w:tcPr>
          <w:p w14:paraId="168715C2">
            <w:pPr>
              <w:tabs>
                <w:tab w:val="left" w:pos="1875"/>
              </w:tabs>
              <w:spacing w:line="400" w:lineRule="exact"/>
              <w:jc w:val="left"/>
              <w:rPr>
                <w:rFonts w:ascii="宋体" w:hAnsi="宋体" w:cs="宋体"/>
                <w:color w:val="auto"/>
                <w:kern w:val="0"/>
                <w:highlight w:val="none"/>
              </w:rPr>
            </w:pPr>
            <w:r>
              <w:rPr>
                <w:rFonts w:hint="eastAsia" w:ascii="宋体" w:hAnsi="宋体" w:cs="宋体"/>
                <w:color w:val="auto"/>
                <w:kern w:val="0"/>
                <w:highlight w:val="none"/>
              </w:rPr>
              <w:t>工期</w:t>
            </w:r>
          </w:p>
        </w:tc>
        <w:tc>
          <w:tcPr>
            <w:tcW w:w="5493" w:type="dxa"/>
            <w:vAlign w:val="center"/>
          </w:tcPr>
          <w:p w14:paraId="1573C180">
            <w:pPr>
              <w:snapToGrid w:val="0"/>
              <w:spacing w:line="400" w:lineRule="exact"/>
              <w:ind w:firstLine="420" w:firstLineChars="200"/>
              <w:rPr>
                <w:rFonts w:ascii="宋体" w:hAnsi="宋体"/>
                <w:color w:val="auto"/>
                <w:highlight w:val="none"/>
                <w:u w:val="single"/>
              </w:rPr>
            </w:pPr>
            <w:r>
              <w:rPr>
                <w:rFonts w:hint="eastAsia" w:ascii="宋体" w:hAnsi="宋体" w:cs="宋体"/>
                <w:color w:val="auto"/>
                <w:kern w:val="0"/>
                <w:highlight w:val="none"/>
              </w:rPr>
              <w:t>符合第二章“投标人须知”第1.3.2项规定</w:t>
            </w:r>
          </w:p>
        </w:tc>
      </w:tr>
      <w:tr w14:paraId="1896935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87" w:type="dxa"/>
            <w:gridSpan w:val="2"/>
            <w:vMerge w:val="continue"/>
            <w:tcBorders>
              <w:right w:val="single" w:color="auto" w:sz="4" w:space="0"/>
            </w:tcBorders>
            <w:vAlign w:val="center"/>
          </w:tcPr>
          <w:p w14:paraId="080777CE">
            <w:pPr>
              <w:spacing w:line="400" w:lineRule="exact"/>
              <w:rPr>
                <w:rFonts w:ascii="宋体" w:hAnsi="宋体"/>
                <w:color w:val="auto"/>
                <w:kern w:val="0"/>
                <w:highlight w:val="none"/>
              </w:rPr>
            </w:pPr>
          </w:p>
        </w:tc>
        <w:tc>
          <w:tcPr>
            <w:tcW w:w="535" w:type="dxa"/>
            <w:vMerge w:val="continue"/>
            <w:tcBorders>
              <w:left w:val="single" w:color="auto" w:sz="4" w:space="0"/>
            </w:tcBorders>
            <w:vAlign w:val="center"/>
          </w:tcPr>
          <w:p w14:paraId="10E60964">
            <w:pPr>
              <w:spacing w:line="400" w:lineRule="exact"/>
              <w:ind w:firstLine="210" w:firstLineChars="100"/>
              <w:jc w:val="center"/>
              <w:rPr>
                <w:rFonts w:ascii="宋体" w:hAnsi="宋体"/>
                <w:color w:val="auto"/>
                <w:kern w:val="0"/>
                <w:highlight w:val="none"/>
              </w:rPr>
            </w:pPr>
          </w:p>
        </w:tc>
        <w:tc>
          <w:tcPr>
            <w:tcW w:w="2560" w:type="dxa"/>
            <w:gridSpan w:val="2"/>
            <w:vAlign w:val="center"/>
          </w:tcPr>
          <w:p w14:paraId="2A890509">
            <w:pPr>
              <w:tabs>
                <w:tab w:val="left" w:pos="1875"/>
              </w:tabs>
              <w:spacing w:line="400" w:lineRule="exact"/>
              <w:jc w:val="left"/>
              <w:rPr>
                <w:rFonts w:ascii="宋体" w:hAnsi="宋体" w:cs="宋体"/>
                <w:color w:val="auto"/>
                <w:kern w:val="0"/>
                <w:highlight w:val="none"/>
              </w:rPr>
            </w:pPr>
            <w:r>
              <w:rPr>
                <w:rFonts w:hint="eastAsia" w:ascii="宋体" w:hAnsi="宋体" w:cs="宋体"/>
                <w:color w:val="auto"/>
                <w:kern w:val="0"/>
                <w:highlight w:val="none"/>
              </w:rPr>
              <w:t>工程质量</w:t>
            </w:r>
          </w:p>
        </w:tc>
        <w:tc>
          <w:tcPr>
            <w:tcW w:w="5493" w:type="dxa"/>
            <w:vAlign w:val="center"/>
          </w:tcPr>
          <w:p w14:paraId="34BE2E79">
            <w:pPr>
              <w:snapToGrid w:val="0"/>
              <w:spacing w:line="400" w:lineRule="exact"/>
              <w:ind w:firstLine="420" w:firstLineChars="200"/>
              <w:rPr>
                <w:rFonts w:ascii="宋体" w:hAnsi="宋体"/>
                <w:color w:val="auto"/>
                <w:highlight w:val="none"/>
                <w:u w:val="single"/>
              </w:rPr>
            </w:pPr>
            <w:r>
              <w:rPr>
                <w:rFonts w:hint="eastAsia" w:ascii="宋体" w:hAnsi="宋体" w:cs="宋体"/>
                <w:color w:val="auto"/>
                <w:kern w:val="0"/>
                <w:highlight w:val="none"/>
              </w:rPr>
              <w:t>符合第二章“投标人须知”第1.3.3项规定</w:t>
            </w:r>
          </w:p>
        </w:tc>
      </w:tr>
      <w:tr w14:paraId="3B5030B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87" w:type="dxa"/>
            <w:gridSpan w:val="2"/>
            <w:vMerge w:val="continue"/>
            <w:tcBorders>
              <w:right w:val="single" w:color="auto" w:sz="4" w:space="0"/>
            </w:tcBorders>
            <w:vAlign w:val="center"/>
          </w:tcPr>
          <w:p w14:paraId="7AE63DDE">
            <w:pPr>
              <w:spacing w:line="400" w:lineRule="exact"/>
              <w:rPr>
                <w:rFonts w:ascii="宋体" w:hAnsi="宋体"/>
                <w:color w:val="auto"/>
                <w:kern w:val="0"/>
                <w:highlight w:val="none"/>
              </w:rPr>
            </w:pPr>
          </w:p>
        </w:tc>
        <w:tc>
          <w:tcPr>
            <w:tcW w:w="535" w:type="dxa"/>
            <w:vMerge w:val="continue"/>
            <w:tcBorders>
              <w:left w:val="single" w:color="auto" w:sz="4" w:space="0"/>
            </w:tcBorders>
            <w:vAlign w:val="center"/>
          </w:tcPr>
          <w:p w14:paraId="25DD0389">
            <w:pPr>
              <w:spacing w:line="400" w:lineRule="exact"/>
              <w:ind w:firstLine="210" w:firstLineChars="100"/>
              <w:jc w:val="center"/>
              <w:rPr>
                <w:rFonts w:ascii="宋体" w:hAnsi="宋体"/>
                <w:color w:val="auto"/>
                <w:kern w:val="0"/>
                <w:highlight w:val="none"/>
              </w:rPr>
            </w:pPr>
          </w:p>
        </w:tc>
        <w:tc>
          <w:tcPr>
            <w:tcW w:w="2560" w:type="dxa"/>
            <w:gridSpan w:val="2"/>
            <w:vAlign w:val="center"/>
          </w:tcPr>
          <w:p w14:paraId="4231913D">
            <w:pPr>
              <w:tabs>
                <w:tab w:val="left" w:pos="1875"/>
              </w:tabs>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投标有效期</w:t>
            </w:r>
          </w:p>
        </w:tc>
        <w:tc>
          <w:tcPr>
            <w:tcW w:w="5493" w:type="dxa"/>
            <w:vAlign w:val="center"/>
          </w:tcPr>
          <w:p w14:paraId="13539D3E">
            <w:pPr>
              <w:snapToGrid w:val="0"/>
              <w:spacing w:line="400" w:lineRule="exact"/>
              <w:ind w:firstLine="420" w:firstLineChars="200"/>
              <w:rPr>
                <w:rFonts w:ascii="宋体" w:hAnsi="宋体"/>
                <w:color w:val="auto"/>
                <w:highlight w:val="none"/>
                <w:u w:val="single"/>
              </w:rPr>
            </w:pPr>
            <w:r>
              <w:rPr>
                <w:rFonts w:hint="eastAsia" w:ascii="宋体" w:hAnsi="宋体" w:cs="宋体"/>
                <w:color w:val="auto"/>
                <w:kern w:val="0"/>
                <w:highlight w:val="none"/>
              </w:rPr>
              <w:t>符合第二章“投标人须知”第3.3.1项规定</w:t>
            </w:r>
          </w:p>
        </w:tc>
      </w:tr>
      <w:tr w14:paraId="43A7FFA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87" w:type="dxa"/>
            <w:gridSpan w:val="2"/>
            <w:vMerge w:val="continue"/>
            <w:tcBorders>
              <w:right w:val="single" w:color="auto" w:sz="4" w:space="0"/>
            </w:tcBorders>
            <w:vAlign w:val="center"/>
          </w:tcPr>
          <w:p w14:paraId="1CEAF44D">
            <w:pPr>
              <w:spacing w:line="400" w:lineRule="exact"/>
              <w:rPr>
                <w:rFonts w:ascii="宋体" w:hAnsi="宋体"/>
                <w:color w:val="auto"/>
                <w:kern w:val="0"/>
                <w:highlight w:val="none"/>
              </w:rPr>
            </w:pPr>
          </w:p>
        </w:tc>
        <w:tc>
          <w:tcPr>
            <w:tcW w:w="535" w:type="dxa"/>
            <w:vMerge w:val="continue"/>
            <w:tcBorders>
              <w:left w:val="single" w:color="auto" w:sz="4" w:space="0"/>
            </w:tcBorders>
            <w:vAlign w:val="center"/>
          </w:tcPr>
          <w:p w14:paraId="0CAF7A8D">
            <w:pPr>
              <w:spacing w:line="400" w:lineRule="exact"/>
              <w:ind w:firstLine="210" w:firstLineChars="100"/>
              <w:jc w:val="center"/>
              <w:rPr>
                <w:rFonts w:ascii="宋体" w:hAnsi="宋体"/>
                <w:color w:val="auto"/>
                <w:kern w:val="0"/>
                <w:highlight w:val="none"/>
              </w:rPr>
            </w:pPr>
          </w:p>
        </w:tc>
        <w:tc>
          <w:tcPr>
            <w:tcW w:w="2560" w:type="dxa"/>
            <w:gridSpan w:val="2"/>
            <w:vAlign w:val="center"/>
          </w:tcPr>
          <w:p w14:paraId="66BD60C1">
            <w:pPr>
              <w:tabs>
                <w:tab w:val="left" w:pos="1875"/>
              </w:tabs>
              <w:spacing w:line="400" w:lineRule="exact"/>
              <w:jc w:val="left"/>
              <w:rPr>
                <w:rFonts w:ascii="宋体" w:hAnsi="宋体" w:cs="宋体"/>
                <w:color w:val="auto"/>
                <w:kern w:val="0"/>
                <w:highlight w:val="none"/>
              </w:rPr>
            </w:pPr>
            <w:r>
              <w:rPr>
                <w:rFonts w:ascii="宋体" w:hAnsi="宋体"/>
                <w:color w:val="auto"/>
                <w:kern w:val="0"/>
                <w:highlight w:val="none"/>
              </w:rPr>
              <w:t>投标总报价</w:t>
            </w:r>
          </w:p>
        </w:tc>
        <w:tc>
          <w:tcPr>
            <w:tcW w:w="5493" w:type="dxa"/>
            <w:vAlign w:val="center"/>
          </w:tcPr>
          <w:p w14:paraId="42BFC16B">
            <w:pPr>
              <w:spacing w:line="400" w:lineRule="exact"/>
              <w:ind w:firstLine="420" w:firstLineChars="200"/>
              <w:rPr>
                <w:rFonts w:ascii="宋体" w:hAnsi="宋体"/>
                <w:color w:val="auto"/>
                <w:kern w:val="0"/>
                <w:highlight w:val="none"/>
              </w:rPr>
            </w:pPr>
            <w:r>
              <w:rPr>
                <w:rFonts w:hint="eastAsia" w:ascii="宋体" w:hAnsi="宋体"/>
                <w:color w:val="auto"/>
                <w:kern w:val="0"/>
                <w:highlight w:val="none"/>
              </w:rPr>
              <w:t>1.投标函中的总报价应与已标价工程量清单总报价一致，工程量清单总报价应与依据单价、工程数量、分部分项工程合价计算出的结果一致。</w:t>
            </w:r>
          </w:p>
          <w:p w14:paraId="36D1A7F4">
            <w:pPr>
              <w:spacing w:line="400" w:lineRule="exact"/>
              <w:ind w:firstLine="420" w:firstLineChars="200"/>
              <w:rPr>
                <w:rFonts w:ascii="宋体" w:hAnsi="宋体"/>
                <w:color w:val="auto"/>
                <w:kern w:val="0"/>
                <w:highlight w:val="none"/>
              </w:rPr>
            </w:pPr>
            <w:r>
              <w:rPr>
                <w:rFonts w:hint="eastAsia" w:ascii="宋体" w:hAnsi="宋体"/>
                <w:color w:val="auto"/>
                <w:kern w:val="0"/>
                <w:highlight w:val="none"/>
              </w:rPr>
              <w:t>2</w:t>
            </w:r>
            <w:r>
              <w:rPr>
                <w:rFonts w:ascii="宋体" w:hAnsi="宋体"/>
                <w:color w:val="auto"/>
                <w:kern w:val="0"/>
                <w:highlight w:val="none"/>
              </w:rPr>
              <w:t>.投标总报价不得高于招标人公布的投标总报价最高限价</w:t>
            </w:r>
            <w:r>
              <w:rPr>
                <w:rFonts w:hint="eastAsia" w:ascii="宋体" w:hAnsi="宋体"/>
                <w:color w:val="auto"/>
                <w:kern w:val="0"/>
                <w:highlight w:val="none"/>
              </w:rPr>
              <w:t>。</w:t>
            </w:r>
          </w:p>
        </w:tc>
      </w:tr>
      <w:tr w14:paraId="477F13C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87" w:type="dxa"/>
            <w:gridSpan w:val="2"/>
            <w:vMerge w:val="continue"/>
            <w:tcBorders>
              <w:right w:val="single" w:color="auto" w:sz="4" w:space="0"/>
            </w:tcBorders>
            <w:vAlign w:val="center"/>
          </w:tcPr>
          <w:p w14:paraId="311E2D29">
            <w:pPr>
              <w:spacing w:line="400" w:lineRule="exact"/>
              <w:rPr>
                <w:rFonts w:ascii="宋体" w:hAnsi="宋体"/>
                <w:color w:val="auto"/>
                <w:kern w:val="0"/>
                <w:highlight w:val="none"/>
              </w:rPr>
            </w:pPr>
          </w:p>
        </w:tc>
        <w:tc>
          <w:tcPr>
            <w:tcW w:w="535" w:type="dxa"/>
            <w:vMerge w:val="continue"/>
            <w:tcBorders>
              <w:left w:val="single" w:color="auto" w:sz="4" w:space="0"/>
            </w:tcBorders>
            <w:vAlign w:val="center"/>
          </w:tcPr>
          <w:p w14:paraId="7FC27991">
            <w:pPr>
              <w:spacing w:line="400" w:lineRule="exact"/>
              <w:ind w:firstLine="210" w:firstLineChars="100"/>
              <w:jc w:val="center"/>
              <w:rPr>
                <w:rFonts w:ascii="宋体" w:hAnsi="宋体"/>
                <w:color w:val="auto"/>
                <w:kern w:val="0"/>
                <w:highlight w:val="none"/>
              </w:rPr>
            </w:pPr>
          </w:p>
        </w:tc>
        <w:tc>
          <w:tcPr>
            <w:tcW w:w="2560" w:type="dxa"/>
            <w:gridSpan w:val="2"/>
            <w:vAlign w:val="center"/>
          </w:tcPr>
          <w:p w14:paraId="18446390">
            <w:pPr>
              <w:tabs>
                <w:tab w:val="left" w:pos="1875"/>
              </w:tabs>
              <w:spacing w:line="400" w:lineRule="exact"/>
              <w:jc w:val="left"/>
              <w:rPr>
                <w:rFonts w:ascii="宋体" w:hAnsi="宋体"/>
                <w:color w:val="auto"/>
                <w:kern w:val="0"/>
                <w:highlight w:val="none"/>
              </w:rPr>
            </w:pPr>
            <w:r>
              <w:rPr>
                <w:rFonts w:hint="eastAsia" w:ascii="宋体" w:hAnsi="宋体"/>
                <w:color w:val="auto"/>
                <w:kern w:val="0"/>
                <w:highlight w:val="none"/>
              </w:rPr>
              <w:t>暂定金额</w:t>
            </w:r>
          </w:p>
        </w:tc>
        <w:tc>
          <w:tcPr>
            <w:tcW w:w="5493" w:type="dxa"/>
            <w:vAlign w:val="center"/>
          </w:tcPr>
          <w:p w14:paraId="7E6441EF">
            <w:pPr>
              <w:spacing w:line="400" w:lineRule="exact"/>
              <w:ind w:firstLine="420" w:firstLineChars="200"/>
              <w:rPr>
                <w:rFonts w:ascii="宋体" w:hAnsi="宋体"/>
                <w:color w:val="auto"/>
                <w:kern w:val="0"/>
                <w:highlight w:val="none"/>
              </w:rPr>
            </w:pPr>
            <w:r>
              <w:rPr>
                <w:rFonts w:hint="eastAsia" w:ascii="宋体" w:hAnsi="宋体"/>
                <w:color w:val="auto"/>
                <w:kern w:val="0"/>
                <w:highlight w:val="none"/>
              </w:rPr>
              <w:t>暂列金额、暂估价、安全文明施工费等暂定金额必须按照招标文件给定的金额填报。</w:t>
            </w:r>
          </w:p>
        </w:tc>
      </w:tr>
      <w:tr w14:paraId="09746FF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87" w:type="dxa"/>
            <w:gridSpan w:val="2"/>
            <w:vMerge w:val="continue"/>
            <w:tcBorders>
              <w:right w:val="single" w:color="auto" w:sz="4" w:space="0"/>
            </w:tcBorders>
            <w:vAlign w:val="center"/>
          </w:tcPr>
          <w:p w14:paraId="710E7F4E">
            <w:pPr>
              <w:spacing w:line="400" w:lineRule="exact"/>
              <w:rPr>
                <w:rFonts w:ascii="宋体" w:hAnsi="宋体"/>
                <w:color w:val="auto"/>
                <w:kern w:val="0"/>
                <w:highlight w:val="none"/>
              </w:rPr>
            </w:pPr>
          </w:p>
        </w:tc>
        <w:tc>
          <w:tcPr>
            <w:tcW w:w="535" w:type="dxa"/>
            <w:vMerge w:val="continue"/>
            <w:tcBorders>
              <w:left w:val="single" w:color="auto" w:sz="4" w:space="0"/>
            </w:tcBorders>
            <w:vAlign w:val="center"/>
          </w:tcPr>
          <w:p w14:paraId="10B98BEB">
            <w:pPr>
              <w:spacing w:line="400" w:lineRule="exact"/>
              <w:ind w:firstLine="210" w:firstLineChars="100"/>
              <w:jc w:val="center"/>
              <w:rPr>
                <w:rFonts w:ascii="宋体" w:hAnsi="宋体"/>
                <w:color w:val="auto"/>
                <w:kern w:val="0"/>
                <w:highlight w:val="none"/>
              </w:rPr>
            </w:pPr>
          </w:p>
        </w:tc>
        <w:tc>
          <w:tcPr>
            <w:tcW w:w="2560" w:type="dxa"/>
            <w:gridSpan w:val="2"/>
            <w:vAlign w:val="center"/>
          </w:tcPr>
          <w:p w14:paraId="209FB92A">
            <w:pPr>
              <w:tabs>
                <w:tab w:val="left" w:pos="1875"/>
              </w:tabs>
              <w:spacing w:line="400" w:lineRule="exact"/>
              <w:jc w:val="left"/>
              <w:rPr>
                <w:rFonts w:ascii="宋体" w:hAnsi="宋体" w:cs="宋体"/>
                <w:color w:val="auto"/>
                <w:kern w:val="0"/>
                <w:highlight w:val="none"/>
              </w:rPr>
            </w:pPr>
            <w:r>
              <w:rPr>
                <w:rFonts w:ascii="宋体" w:hAnsi="宋体"/>
                <w:color w:val="auto"/>
                <w:kern w:val="0"/>
                <w:highlight w:val="none"/>
              </w:rPr>
              <w:t>报价唯一</w:t>
            </w:r>
          </w:p>
        </w:tc>
        <w:tc>
          <w:tcPr>
            <w:tcW w:w="5493" w:type="dxa"/>
            <w:vAlign w:val="center"/>
          </w:tcPr>
          <w:p w14:paraId="66A4CDEC">
            <w:pPr>
              <w:snapToGrid w:val="0"/>
              <w:spacing w:line="400" w:lineRule="exact"/>
              <w:ind w:firstLine="420" w:firstLineChars="200"/>
              <w:rPr>
                <w:rFonts w:ascii="宋体" w:hAnsi="宋体"/>
                <w:color w:val="auto"/>
                <w:highlight w:val="none"/>
                <w:u w:val="single"/>
              </w:rPr>
            </w:pPr>
            <w:r>
              <w:rPr>
                <w:rFonts w:ascii="宋体" w:hAnsi="宋体"/>
                <w:color w:val="auto"/>
                <w:kern w:val="0"/>
                <w:highlight w:val="none"/>
              </w:rPr>
              <w:t>只能有一个有效报价，在招标文件没有规定的情况下，不得提交选择性报价。</w:t>
            </w:r>
          </w:p>
        </w:tc>
      </w:tr>
      <w:tr w14:paraId="60FD627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87" w:type="dxa"/>
            <w:gridSpan w:val="2"/>
            <w:vMerge w:val="continue"/>
            <w:tcBorders>
              <w:right w:val="single" w:color="auto" w:sz="4" w:space="0"/>
            </w:tcBorders>
            <w:vAlign w:val="center"/>
          </w:tcPr>
          <w:p w14:paraId="5D0325D9">
            <w:pPr>
              <w:spacing w:line="400" w:lineRule="exact"/>
              <w:rPr>
                <w:rFonts w:ascii="宋体" w:hAnsi="宋体"/>
                <w:color w:val="auto"/>
                <w:kern w:val="0"/>
                <w:highlight w:val="none"/>
              </w:rPr>
            </w:pPr>
          </w:p>
        </w:tc>
        <w:tc>
          <w:tcPr>
            <w:tcW w:w="535" w:type="dxa"/>
            <w:vMerge w:val="continue"/>
            <w:tcBorders>
              <w:left w:val="single" w:color="auto" w:sz="4" w:space="0"/>
            </w:tcBorders>
            <w:vAlign w:val="center"/>
          </w:tcPr>
          <w:p w14:paraId="5AED06C4">
            <w:pPr>
              <w:spacing w:line="400" w:lineRule="exact"/>
              <w:ind w:firstLine="210" w:firstLineChars="100"/>
              <w:jc w:val="center"/>
              <w:rPr>
                <w:rFonts w:ascii="宋体" w:hAnsi="宋体"/>
                <w:color w:val="auto"/>
                <w:kern w:val="0"/>
                <w:highlight w:val="none"/>
              </w:rPr>
            </w:pPr>
          </w:p>
        </w:tc>
        <w:tc>
          <w:tcPr>
            <w:tcW w:w="2560" w:type="dxa"/>
            <w:gridSpan w:val="2"/>
            <w:vAlign w:val="center"/>
          </w:tcPr>
          <w:p w14:paraId="0632221D">
            <w:pPr>
              <w:tabs>
                <w:tab w:val="left" w:pos="1875"/>
              </w:tabs>
              <w:spacing w:line="400" w:lineRule="exact"/>
              <w:jc w:val="left"/>
              <w:rPr>
                <w:rFonts w:ascii="宋体" w:hAnsi="宋体" w:cs="宋体"/>
                <w:color w:val="auto"/>
                <w:kern w:val="0"/>
                <w:highlight w:val="none"/>
              </w:rPr>
            </w:pPr>
            <w:r>
              <w:rPr>
                <w:rFonts w:ascii="宋体" w:hAnsi="宋体"/>
                <w:color w:val="auto"/>
                <w:kern w:val="0"/>
                <w:highlight w:val="none"/>
              </w:rPr>
              <w:t>已标价工程量清单</w:t>
            </w:r>
          </w:p>
        </w:tc>
        <w:tc>
          <w:tcPr>
            <w:tcW w:w="5493" w:type="dxa"/>
            <w:vAlign w:val="center"/>
          </w:tcPr>
          <w:p w14:paraId="2D55898F">
            <w:pPr>
              <w:spacing w:after="62" w:afterLines="20" w:line="400" w:lineRule="exact"/>
              <w:ind w:firstLine="420" w:firstLineChars="200"/>
              <w:rPr>
                <w:rFonts w:ascii="宋体" w:hAnsi="宋体"/>
                <w:color w:val="auto"/>
                <w:kern w:val="0"/>
                <w:highlight w:val="none"/>
              </w:rPr>
            </w:pPr>
            <w:r>
              <w:rPr>
                <w:rFonts w:hint="eastAsia" w:ascii="宋体" w:hAnsi="宋体"/>
                <w:color w:val="auto"/>
                <w:kern w:val="0"/>
                <w:highlight w:val="none"/>
              </w:rPr>
              <w:t>1</w:t>
            </w:r>
            <w:r>
              <w:rPr>
                <w:rFonts w:ascii="宋体" w:hAnsi="宋体"/>
                <w:color w:val="auto"/>
                <w:kern w:val="0"/>
                <w:highlight w:val="none"/>
              </w:rPr>
              <w:t>.</w:t>
            </w:r>
            <w:r>
              <w:rPr>
                <w:rFonts w:hint="eastAsia" w:ascii="宋体" w:hAnsi="宋体" w:cs="宋体"/>
                <w:color w:val="auto"/>
                <w:kern w:val="0"/>
                <w:highlight w:val="none"/>
              </w:rPr>
              <w:t>投标人</w:t>
            </w:r>
            <w:r>
              <w:rPr>
                <w:rFonts w:hint="eastAsia" w:ascii="宋体" w:hAnsi="宋体"/>
                <w:color w:val="auto"/>
                <w:szCs w:val="21"/>
                <w:highlight w:val="none"/>
              </w:rPr>
              <w:t>应当按招标工程量清单填报价格。项目编码、项目名称、项目特征、计量单位、工程量应当与招标工程量清单一致</w:t>
            </w:r>
            <w:r>
              <w:rPr>
                <w:rFonts w:ascii="宋体" w:hAnsi="宋体"/>
                <w:color w:val="auto"/>
                <w:kern w:val="0"/>
                <w:highlight w:val="none"/>
              </w:rPr>
              <w:t>。</w:t>
            </w:r>
          </w:p>
          <w:p w14:paraId="58CFA1FF">
            <w:pPr>
              <w:snapToGrid w:val="0"/>
              <w:spacing w:line="400" w:lineRule="exact"/>
              <w:ind w:firstLine="420" w:firstLineChars="200"/>
              <w:rPr>
                <w:rFonts w:ascii="宋体" w:hAnsi="宋体"/>
                <w:color w:val="auto"/>
                <w:highlight w:val="none"/>
                <w:u w:val="single"/>
              </w:rPr>
            </w:pPr>
            <w:r>
              <w:rPr>
                <w:rFonts w:ascii="宋体" w:hAnsi="宋体"/>
                <w:color w:val="auto"/>
                <w:kern w:val="0"/>
                <w:highlight w:val="none"/>
              </w:rPr>
              <w:t>2</w:t>
            </w:r>
            <w:r>
              <w:rPr>
                <w:rFonts w:hint="eastAsia" w:ascii="宋体" w:hAnsi="宋体"/>
                <w:color w:val="auto"/>
                <w:kern w:val="0"/>
                <w:highlight w:val="none"/>
              </w:rPr>
              <w:t>.每项清单综合单价报价不得高于每项清单综合单价最高限价。</w:t>
            </w:r>
          </w:p>
        </w:tc>
      </w:tr>
      <w:tr w14:paraId="34F0720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887" w:type="dxa"/>
            <w:gridSpan w:val="2"/>
            <w:vMerge w:val="continue"/>
            <w:tcBorders>
              <w:right w:val="single" w:color="auto" w:sz="4" w:space="0"/>
            </w:tcBorders>
            <w:vAlign w:val="center"/>
          </w:tcPr>
          <w:p w14:paraId="0CB999F0">
            <w:pPr>
              <w:spacing w:line="400" w:lineRule="exact"/>
              <w:rPr>
                <w:rFonts w:ascii="宋体" w:hAnsi="宋体"/>
                <w:color w:val="auto"/>
                <w:kern w:val="0"/>
                <w:highlight w:val="none"/>
              </w:rPr>
            </w:pPr>
          </w:p>
        </w:tc>
        <w:tc>
          <w:tcPr>
            <w:tcW w:w="535" w:type="dxa"/>
            <w:vMerge w:val="continue"/>
            <w:tcBorders>
              <w:left w:val="single" w:color="auto" w:sz="4" w:space="0"/>
            </w:tcBorders>
            <w:vAlign w:val="center"/>
          </w:tcPr>
          <w:p w14:paraId="3CD811EB">
            <w:pPr>
              <w:spacing w:line="400" w:lineRule="exact"/>
              <w:ind w:firstLine="210" w:firstLineChars="100"/>
              <w:jc w:val="center"/>
              <w:rPr>
                <w:rFonts w:ascii="宋体" w:hAnsi="宋体"/>
                <w:color w:val="auto"/>
                <w:kern w:val="0"/>
                <w:highlight w:val="none"/>
              </w:rPr>
            </w:pPr>
          </w:p>
        </w:tc>
        <w:tc>
          <w:tcPr>
            <w:tcW w:w="2560" w:type="dxa"/>
            <w:gridSpan w:val="2"/>
            <w:vAlign w:val="center"/>
          </w:tcPr>
          <w:p w14:paraId="2A7C7C03">
            <w:pPr>
              <w:tabs>
                <w:tab w:val="left" w:pos="1875"/>
              </w:tabs>
              <w:spacing w:line="400" w:lineRule="exact"/>
              <w:jc w:val="left"/>
              <w:rPr>
                <w:rFonts w:ascii="宋体" w:hAnsi="宋体" w:cs="宋体"/>
                <w:color w:val="auto"/>
                <w:kern w:val="0"/>
                <w:highlight w:val="none"/>
              </w:rPr>
            </w:pPr>
            <w:r>
              <w:rPr>
                <w:rFonts w:ascii="宋体" w:hAnsi="宋体"/>
                <w:color w:val="auto"/>
                <w:kern w:val="0"/>
                <w:highlight w:val="none"/>
              </w:rPr>
              <w:t>投标报价算术错误修正</w:t>
            </w:r>
          </w:p>
        </w:tc>
        <w:tc>
          <w:tcPr>
            <w:tcW w:w="5493" w:type="dxa"/>
            <w:vAlign w:val="center"/>
          </w:tcPr>
          <w:p w14:paraId="243CA264">
            <w:pPr>
              <w:snapToGrid w:val="0"/>
              <w:spacing w:line="400" w:lineRule="exact"/>
              <w:ind w:firstLine="420" w:firstLineChars="200"/>
              <w:rPr>
                <w:rFonts w:ascii="宋体" w:hAnsi="宋体"/>
                <w:color w:val="auto"/>
                <w:highlight w:val="none"/>
                <w:u w:val="single"/>
              </w:rPr>
            </w:pPr>
            <w:r>
              <w:rPr>
                <w:rFonts w:ascii="宋体" w:hAnsi="宋体"/>
                <w:color w:val="auto"/>
                <w:kern w:val="0"/>
                <w:highlight w:val="none"/>
              </w:rPr>
              <w:t>符合第三章3.评标程序第3.1.3项规定。</w:t>
            </w:r>
          </w:p>
        </w:tc>
      </w:tr>
      <w:tr w14:paraId="4928C03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cantSplit/>
          <w:jc w:val="center"/>
        </w:trPr>
        <w:tc>
          <w:tcPr>
            <w:tcW w:w="855" w:type="dxa"/>
            <w:vAlign w:val="center"/>
          </w:tcPr>
          <w:p w14:paraId="389D19EA">
            <w:pPr>
              <w:spacing w:line="400" w:lineRule="exact"/>
              <w:jc w:val="center"/>
              <w:rPr>
                <w:rFonts w:ascii="宋体" w:hAnsi="宋体"/>
                <w:color w:val="auto"/>
                <w:kern w:val="0"/>
                <w:highlight w:val="none"/>
              </w:rPr>
            </w:pPr>
            <w:r>
              <w:rPr>
                <w:rFonts w:ascii="宋体" w:hAnsi="宋体"/>
                <w:color w:val="auto"/>
                <w:highlight w:val="none"/>
              </w:rPr>
              <w:t>3</w:t>
            </w:r>
          </w:p>
        </w:tc>
        <w:tc>
          <w:tcPr>
            <w:tcW w:w="1417" w:type="dxa"/>
            <w:gridSpan w:val="3"/>
            <w:vAlign w:val="center"/>
          </w:tcPr>
          <w:p w14:paraId="1DE521B3">
            <w:pPr>
              <w:spacing w:line="400" w:lineRule="exact"/>
              <w:jc w:val="center"/>
              <w:rPr>
                <w:rFonts w:ascii="宋体" w:hAnsi="宋体"/>
                <w:color w:val="auto"/>
                <w:kern w:val="0"/>
                <w:highlight w:val="none"/>
              </w:rPr>
            </w:pPr>
            <w:r>
              <w:rPr>
                <w:rFonts w:ascii="宋体" w:hAnsi="宋体"/>
                <w:color w:val="auto"/>
                <w:highlight w:val="none"/>
              </w:rPr>
              <w:t>评标程序</w:t>
            </w:r>
          </w:p>
        </w:tc>
        <w:tc>
          <w:tcPr>
            <w:tcW w:w="7203" w:type="dxa"/>
            <w:gridSpan w:val="2"/>
          </w:tcPr>
          <w:p w14:paraId="3DA5C49D">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1.按本章评标办法第3.1款进行初步评审。未通过初步评审或评标委员会认定为无效的投标文件的不再进行后续评审。</w:t>
            </w:r>
          </w:p>
          <w:p w14:paraId="668E824D">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2.按本章评标办法前附表第2.2.2（1）目及第3.2.1（1）目的规定对技术部分进行评审。</w:t>
            </w:r>
          </w:p>
          <w:p w14:paraId="51B080B4">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3.按本章评标办法前附表第2.2.2（2）目的规定对投标函部分及经济部分部分进行评审，经评审不合格的投标文件不再参与后续评审。</w:t>
            </w:r>
          </w:p>
          <w:p w14:paraId="06EEF3E8">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4.因评标委员会作否决投标处理导致有效投标人不足三个的，评标委员会应当否决所有投标。但是有效投标人的经济、技术等指标仍然具有市场竞争力，能够满足招标文件要求的，评标委员会可以继续评标并确定中标候选人。</w:t>
            </w:r>
          </w:p>
          <w:p w14:paraId="37971224">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5.经评审合格的投标人按照本章第2.2.3项计算方法计算评标基准价，并按本附表第3.2.1（2）目规定的评分方法对投标总报价进行评分。</w:t>
            </w:r>
          </w:p>
          <w:p w14:paraId="32D5E254">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6.对技术部分、投标总报价得分进行汇总，确定得分由高至低前三名投标人为中标候选人。</w:t>
            </w:r>
          </w:p>
        </w:tc>
      </w:tr>
      <w:tr w14:paraId="22A40C0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855" w:type="dxa"/>
            <w:vMerge w:val="restart"/>
            <w:vAlign w:val="center"/>
          </w:tcPr>
          <w:p w14:paraId="7020459C">
            <w:pPr>
              <w:spacing w:line="400" w:lineRule="exact"/>
              <w:jc w:val="center"/>
              <w:rPr>
                <w:rFonts w:ascii="宋体" w:hAnsi="宋体"/>
                <w:color w:val="auto"/>
                <w:highlight w:val="none"/>
              </w:rPr>
            </w:pPr>
            <w:r>
              <w:rPr>
                <w:rFonts w:ascii="宋体" w:hAnsi="宋体"/>
                <w:color w:val="auto"/>
                <w:highlight w:val="none"/>
              </w:rPr>
              <w:t>3.2.1</w:t>
            </w:r>
          </w:p>
          <w:p w14:paraId="16A5FC70">
            <w:pPr>
              <w:spacing w:line="400" w:lineRule="exact"/>
              <w:jc w:val="center"/>
              <w:rPr>
                <w:rFonts w:ascii="宋体" w:hAnsi="宋体"/>
                <w:color w:val="auto"/>
                <w:highlight w:val="none"/>
              </w:rPr>
            </w:pPr>
            <w:r>
              <w:rPr>
                <w:rFonts w:ascii="宋体" w:hAnsi="宋体"/>
                <w:color w:val="auto"/>
                <w:highlight w:val="none"/>
              </w:rPr>
              <w:t>（</w:t>
            </w:r>
            <w:r>
              <w:rPr>
                <w:rFonts w:hint="eastAsia" w:ascii="宋体" w:hAnsi="宋体"/>
                <w:color w:val="auto"/>
                <w:highlight w:val="none"/>
              </w:rPr>
              <w:t>1</w:t>
            </w:r>
            <w:r>
              <w:rPr>
                <w:rFonts w:ascii="宋体" w:hAnsi="宋体"/>
                <w:color w:val="auto"/>
                <w:highlight w:val="none"/>
              </w:rPr>
              <w:t>）</w:t>
            </w:r>
          </w:p>
        </w:tc>
        <w:tc>
          <w:tcPr>
            <w:tcW w:w="1417" w:type="dxa"/>
            <w:gridSpan w:val="3"/>
            <w:vMerge w:val="restart"/>
            <w:vAlign w:val="center"/>
          </w:tcPr>
          <w:p w14:paraId="561D3F6F">
            <w:pPr>
              <w:spacing w:line="400" w:lineRule="exact"/>
              <w:jc w:val="center"/>
              <w:rPr>
                <w:rFonts w:ascii="宋体" w:hAnsi="宋体"/>
                <w:color w:val="auto"/>
                <w:highlight w:val="none"/>
              </w:rPr>
            </w:pPr>
            <w:r>
              <w:rPr>
                <w:rFonts w:hint="eastAsia" w:ascii="宋体" w:hAnsi="宋体"/>
                <w:color w:val="auto"/>
                <w:highlight w:val="none"/>
              </w:rPr>
              <w:t>技术部分</w:t>
            </w:r>
            <w:r>
              <w:rPr>
                <w:rFonts w:ascii="宋体" w:hAnsi="宋体"/>
                <w:color w:val="auto"/>
                <w:kern w:val="0"/>
                <w:highlight w:val="none"/>
              </w:rPr>
              <w:t>得分</w:t>
            </w:r>
            <w:r>
              <w:rPr>
                <w:rFonts w:ascii="宋体" w:hAnsi="宋体"/>
                <w:color w:val="auto"/>
                <w:spacing w:val="-4"/>
                <w:highlight w:val="none"/>
              </w:rPr>
              <w:t>（</w:t>
            </w:r>
            <w:r>
              <w:rPr>
                <w:rFonts w:hint="eastAsia" w:ascii="宋体" w:hAnsi="宋体"/>
                <w:color w:val="auto"/>
                <w:spacing w:val="-4"/>
                <w:highlight w:val="none"/>
              </w:rPr>
              <w:t>A）</w:t>
            </w:r>
          </w:p>
        </w:tc>
        <w:tc>
          <w:tcPr>
            <w:tcW w:w="1710" w:type="dxa"/>
            <w:tcBorders>
              <w:bottom w:val="single" w:color="auto" w:sz="4" w:space="0"/>
            </w:tcBorders>
            <w:vAlign w:val="center"/>
          </w:tcPr>
          <w:p w14:paraId="1EB138DF">
            <w:pPr>
              <w:spacing w:line="400" w:lineRule="exact"/>
              <w:jc w:val="left"/>
              <w:rPr>
                <w:rFonts w:ascii="宋体" w:hAnsi="宋体"/>
                <w:color w:val="auto"/>
                <w:highlight w:val="none"/>
              </w:rPr>
            </w:pPr>
            <w:r>
              <w:rPr>
                <w:rFonts w:hint="eastAsia" w:ascii="宋体" w:hAnsi="宋体" w:cs="宋体"/>
                <w:color w:val="auto"/>
                <w:kern w:val="0"/>
                <w:highlight w:val="none"/>
              </w:rPr>
              <w:sym w:font="Wingdings 2" w:char="F052"/>
            </w:r>
            <w:r>
              <w:rPr>
                <w:rFonts w:hint="eastAsia" w:ascii="宋体" w:hAnsi="宋体" w:cs="宋体"/>
                <w:color w:val="auto"/>
                <w:kern w:val="0"/>
                <w:highlight w:val="none"/>
              </w:rPr>
              <w:t>技术方案部分形式要求</w:t>
            </w:r>
          </w:p>
        </w:tc>
        <w:tc>
          <w:tcPr>
            <w:tcW w:w="5493" w:type="dxa"/>
            <w:tcBorders>
              <w:bottom w:val="single" w:color="auto" w:sz="4" w:space="0"/>
            </w:tcBorders>
            <w:vAlign w:val="center"/>
          </w:tcPr>
          <w:p w14:paraId="64094C1A">
            <w:pPr>
              <w:spacing w:line="400" w:lineRule="exact"/>
              <w:ind w:firstLine="420" w:firstLineChars="200"/>
              <w:rPr>
                <w:rFonts w:ascii="宋体" w:hAnsi="宋体"/>
                <w:color w:val="auto"/>
                <w:kern w:val="0"/>
                <w:szCs w:val="21"/>
                <w:highlight w:val="none"/>
              </w:rPr>
            </w:pPr>
            <w:r>
              <w:rPr>
                <w:rFonts w:hint="eastAsia" w:ascii="宋体" w:hAnsi="宋体"/>
                <w:color w:val="auto"/>
                <w:kern w:val="0"/>
                <w:highlight w:val="none"/>
              </w:rPr>
              <w:t>不符合</w:t>
            </w:r>
            <w:r>
              <w:rPr>
                <w:rFonts w:hint="eastAsia" w:ascii="宋体" w:hAnsi="宋体" w:cs="宋体"/>
                <w:color w:val="auto"/>
                <w:kern w:val="0"/>
                <w:highlight w:val="none"/>
              </w:rPr>
              <w:t>第二章投标人须知前附表第3.7.5项（3）技术部分要求的</w:t>
            </w:r>
            <w:r>
              <w:rPr>
                <w:rFonts w:hint="eastAsia" w:ascii="宋体" w:hAnsi="宋体"/>
                <w:color w:val="auto"/>
                <w:kern w:val="0"/>
                <w:highlight w:val="none"/>
              </w:rPr>
              <w:t>，技术方案得0分。</w:t>
            </w:r>
          </w:p>
        </w:tc>
      </w:tr>
      <w:tr w14:paraId="5124172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18" w:hRule="atLeast"/>
          <w:jc w:val="center"/>
        </w:trPr>
        <w:tc>
          <w:tcPr>
            <w:tcW w:w="855" w:type="dxa"/>
            <w:vMerge w:val="continue"/>
            <w:vAlign w:val="center"/>
          </w:tcPr>
          <w:p w14:paraId="518EC3B6">
            <w:pPr>
              <w:spacing w:line="400" w:lineRule="exact"/>
              <w:jc w:val="center"/>
              <w:rPr>
                <w:rFonts w:ascii="宋体" w:hAnsi="宋体"/>
                <w:color w:val="auto"/>
                <w:highlight w:val="none"/>
              </w:rPr>
            </w:pPr>
          </w:p>
        </w:tc>
        <w:tc>
          <w:tcPr>
            <w:tcW w:w="1417" w:type="dxa"/>
            <w:gridSpan w:val="3"/>
            <w:vMerge w:val="continue"/>
            <w:vAlign w:val="center"/>
          </w:tcPr>
          <w:p w14:paraId="73B4B6D2">
            <w:pPr>
              <w:spacing w:line="400" w:lineRule="exact"/>
              <w:jc w:val="center"/>
              <w:rPr>
                <w:rFonts w:ascii="宋体" w:hAnsi="宋体"/>
                <w:color w:val="auto"/>
                <w:highlight w:val="none"/>
              </w:rPr>
            </w:pPr>
          </w:p>
        </w:tc>
        <w:tc>
          <w:tcPr>
            <w:tcW w:w="1710" w:type="dxa"/>
            <w:tcBorders>
              <w:bottom w:val="single" w:color="auto" w:sz="4" w:space="0"/>
            </w:tcBorders>
            <w:vAlign w:val="center"/>
          </w:tcPr>
          <w:p w14:paraId="319702EB">
            <w:pPr>
              <w:spacing w:line="400" w:lineRule="exact"/>
              <w:jc w:val="left"/>
              <w:rPr>
                <w:rFonts w:ascii="宋体" w:hAnsi="宋体"/>
                <w:color w:val="auto"/>
                <w:kern w:val="0"/>
                <w:highlight w:val="none"/>
              </w:rPr>
            </w:pPr>
            <w:r>
              <w:rPr>
                <w:rFonts w:ascii="宋体" w:hAnsi="宋体"/>
                <w:color w:val="auto"/>
                <w:kern w:val="0"/>
                <w:highlight w:val="none"/>
              </w:rPr>
              <w:t>内容完整性和编制水平</w:t>
            </w:r>
          </w:p>
        </w:tc>
        <w:tc>
          <w:tcPr>
            <w:tcW w:w="5493" w:type="dxa"/>
            <w:vMerge w:val="restart"/>
            <w:tcBorders>
              <w:top w:val="single" w:color="auto" w:sz="4" w:space="0"/>
            </w:tcBorders>
            <w:vAlign w:val="center"/>
          </w:tcPr>
          <w:p w14:paraId="56538FC6">
            <w:pPr>
              <w:autoSpaceDE w:val="0"/>
              <w:autoSpaceDN w:val="0"/>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评标委员会按第2.2.</w:t>
            </w:r>
            <w:r>
              <w:rPr>
                <w:rFonts w:hint="eastAsia" w:ascii="宋体" w:hAnsi="宋体"/>
                <w:color w:val="auto"/>
                <w:szCs w:val="21"/>
                <w:highlight w:val="none"/>
              </w:rPr>
              <w:t>2（1）目</w:t>
            </w:r>
            <w:r>
              <w:rPr>
                <w:rFonts w:ascii="宋体" w:hAnsi="宋体"/>
                <w:color w:val="auto"/>
                <w:szCs w:val="21"/>
                <w:highlight w:val="none"/>
              </w:rPr>
              <w:t>各评审因素设定的分值评分。</w:t>
            </w:r>
          </w:p>
          <w:p w14:paraId="3CB364D0">
            <w:pPr>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评标委员会成员为5人及以上时，所有评委</w:t>
            </w:r>
            <w:r>
              <w:rPr>
                <w:rFonts w:hint="eastAsia" w:ascii="宋体" w:hAnsi="宋体"/>
                <w:snapToGrid w:val="0"/>
                <w:color w:val="auto"/>
                <w:kern w:val="0"/>
                <w:szCs w:val="21"/>
                <w:highlight w:val="none"/>
              </w:rPr>
              <w:t>评分</w:t>
            </w:r>
            <w:r>
              <w:rPr>
                <w:rFonts w:ascii="宋体" w:hAnsi="宋体"/>
                <w:snapToGrid w:val="0"/>
                <w:color w:val="auto"/>
                <w:kern w:val="0"/>
                <w:szCs w:val="21"/>
                <w:highlight w:val="none"/>
              </w:rPr>
              <w:t>中去掉一个最高和一个最低分，余下评委</w:t>
            </w:r>
            <w:r>
              <w:rPr>
                <w:rFonts w:hint="eastAsia" w:ascii="宋体" w:hAnsi="宋体"/>
                <w:snapToGrid w:val="0"/>
                <w:color w:val="auto"/>
                <w:kern w:val="0"/>
                <w:szCs w:val="21"/>
                <w:highlight w:val="none"/>
              </w:rPr>
              <w:t>评分</w:t>
            </w:r>
            <w:r>
              <w:rPr>
                <w:rFonts w:ascii="宋体" w:hAnsi="宋体"/>
                <w:snapToGrid w:val="0"/>
                <w:color w:val="auto"/>
                <w:kern w:val="0"/>
                <w:szCs w:val="21"/>
                <w:highlight w:val="none"/>
              </w:rPr>
              <w:t>取算术平均值为该投标人技术方案得分。</w:t>
            </w:r>
          </w:p>
          <w:p w14:paraId="63B28FEC">
            <w:pPr>
              <w:spacing w:line="400" w:lineRule="exact"/>
              <w:ind w:firstLine="420" w:firstLineChars="200"/>
              <w:rPr>
                <w:rFonts w:ascii="宋体" w:hAnsi="宋体"/>
                <w:color w:val="auto"/>
                <w:kern w:val="0"/>
                <w:szCs w:val="21"/>
                <w:highlight w:val="none"/>
              </w:rPr>
            </w:pPr>
            <w:r>
              <w:rPr>
                <w:rFonts w:ascii="宋体" w:hAnsi="宋体"/>
                <w:color w:val="auto"/>
                <w:kern w:val="0"/>
                <w:szCs w:val="21"/>
                <w:highlight w:val="none"/>
              </w:rPr>
              <w:t>技术方案得分的最终结果取小数点后两位，第三位四舍五入。</w:t>
            </w:r>
          </w:p>
        </w:tc>
      </w:tr>
      <w:tr w14:paraId="62BC3A4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36" w:hRule="atLeast"/>
          <w:jc w:val="center"/>
        </w:trPr>
        <w:tc>
          <w:tcPr>
            <w:tcW w:w="855" w:type="dxa"/>
            <w:vMerge w:val="continue"/>
            <w:vAlign w:val="center"/>
          </w:tcPr>
          <w:p w14:paraId="61ADFC70">
            <w:pPr>
              <w:spacing w:line="400" w:lineRule="exact"/>
              <w:jc w:val="center"/>
              <w:rPr>
                <w:rFonts w:ascii="宋体" w:hAnsi="宋体"/>
                <w:color w:val="auto"/>
                <w:highlight w:val="none"/>
              </w:rPr>
            </w:pPr>
          </w:p>
        </w:tc>
        <w:tc>
          <w:tcPr>
            <w:tcW w:w="1417" w:type="dxa"/>
            <w:gridSpan w:val="3"/>
            <w:vMerge w:val="continue"/>
            <w:vAlign w:val="center"/>
          </w:tcPr>
          <w:p w14:paraId="4ADB2874">
            <w:pPr>
              <w:spacing w:line="400" w:lineRule="exact"/>
              <w:jc w:val="center"/>
              <w:rPr>
                <w:rFonts w:ascii="宋体" w:hAnsi="宋体"/>
                <w:color w:val="auto"/>
                <w:highlight w:val="none"/>
              </w:rPr>
            </w:pPr>
          </w:p>
        </w:tc>
        <w:tc>
          <w:tcPr>
            <w:tcW w:w="1710" w:type="dxa"/>
            <w:tcBorders>
              <w:top w:val="single" w:color="auto" w:sz="4" w:space="0"/>
              <w:bottom w:val="single" w:color="auto" w:sz="4" w:space="0"/>
            </w:tcBorders>
            <w:vAlign w:val="center"/>
          </w:tcPr>
          <w:p w14:paraId="4107703B">
            <w:pPr>
              <w:spacing w:line="400" w:lineRule="exact"/>
              <w:jc w:val="left"/>
              <w:rPr>
                <w:rFonts w:ascii="宋体" w:hAnsi="宋体"/>
                <w:color w:val="auto"/>
                <w:highlight w:val="none"/>
              </w:rPr>
            </w:pPr>
            <w:r>
              <w:rPr>
                <w:rFonts w:ascii="宋体" w:hAnsi="宋体"/>
                <w:color w:val="auto"/>
                <w:kern w:val="0"/>
                <w:highlight w:val="none"/>
              </w:rPr>
              <w:t>施工方案与技术措施</w:t>
            </w:r>
          </w:p>
        </w:tc>
        <w:tc>
          <w:tcPr>
            <w:tcW w:w="5493" w:type="dxa"/>
            <w:vMerge w:val="continue"/>
            <w:vAlign w:val="center"/>
          </w:tcPr>
          <w:p w14:paraId="0A705070">
            <w:pPr>
              <w:autoSpaceDE w:val="0"/>
              <w:autoSpaceDN w:val="0"/>
              <w:adjustRightInd w:val="0"/>
              <w:snapToGrid w:val="0"/>
              <w:spacing w:line="400" w:lineRule="exact"/>
              <w:ind w:firstLine="420" w:firstLineChars="200"/>
              <w:rPr>
                <w:rFonts w:ascii="宋体" w:hAnsi="宋体"/>
                <w:color w:val="auto"/>
                <w:szCs w:val="21"/>
                <w:highlight w:val="none"/>
              </w:rPr>
            </w:pPr>
          </w:p>
        </w:tc>
      </w:tr>
      <w:tr w14:paraId="3D8B71A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51" w:hRule="atLeast"/>
          <w:jc w:val="center"/>
        </w:trPr>
        <w:tc>
          <w:tcPr>
            <w:tcW w:w="855" w:type="dxa"/>
            <w:vMerge w:val="continue"/>
            <w:vAlign w:val="center"/>
          </w:tcPr>
          <w:p w14:paraId="26037725">
            <w:pPr>
              <w:spacing w:line="400" w:lineRule="exact"/>
              <w:jc w:val="center"/>
              <w:rPr>
                <w:rFonts w:ascii="宋体" w:hAnsi="宋体"/>
                <w:color w:val="auto"/>
                <w:highlight w:val="none"/>
              </w:rPr>
            </w:pPr>
          </w:p>
        </w:tc>
        <w:tc>
          <w:tcPr>
            <w:tcW w:w="1417" w:type="dxa"/>
            <w:gridSpan w:val="3"/>
            <w:vMerge w:val="continue"/>
            <w:vAlign w:val="center"/>
          </w:tcPr>
          <w:p w14:paraId="36EB5FF6">
            <w:pPr>
              <w:spacing w:line="400" w:lineRule="exact"/>
              <w:jc w:val="center"/>
              <w:rPr>
                <w:rFonts w:ascii="宋体" w:hAnsi="宋体"/>
                <w:color w:val="auto"/>
                <w:highlight w:val="none"/>
              </w:rPr>
            </w:pPr>
          </w:p>
        </w:tc>
        <w:tc>
          <w:tcPr>
            <w:tcW w:w="1710" w:type="dxa"/>
            <w:tcBorders>
              <w:top w:val="single" w:color="auto" w:sz="4" w:space="0"/>
              <w:bottom w:val="single" w:color="auto" w:sz="4" w:space="0"/>
            </w:tcBorders>
            <w:vAlign w:val="center"/>
          </w:tcPr>
          <w:p w14:paraId="54E3BEEA">
            <w:pPr>
              <w:spacing w:line="400" w:lineRule="exact"/>
              <w:jc w:val="left"/>
              <w:rPr>
                <w:rFonts w:ascii="宋体" w:hAnsi="宋体"/>
                <w:color w:val="auto"/>
                <w:highlight w:val="none"/>
              </w:rPr>
            </w:pPr>
            <w:r>
              <w:rPr>
                <w:rFonts w:ascii="宋体" w:hAnsi="宋体"/>
                <w:color w:val="auto"/>
                <w:kern w:val="0"/>
                <w:highlight w:val="none"/>
              </w:rPr>
              <w:t>质量管理体系与措施</w:t>
            </w:r>
          </w:p>
        </w:tc>
        <w:tc>
          <w:tcPr>
            <w:tcW w:w="5493" w:type="dxa"/>
            <w:vMerge w:val="continue"/>
            <w:vAlign w:val="center"/>
          </w:tcPr>
          <w:p w14:paraId="0B6B61BF">
            <w:pPr>
              <w:autoSpaceDE w:val="0"/>
              <w:autoSpaceDN w:val="0"/>
              <w:adjustRightInd w:val="0"/>
              <w:snapToGrid w:val="0"/>
              <w:spacing w:line="400" w:lineRule="exact"/>
              <w:ind w:firstLine="420" w:firstLineChars="200"/>
              <w:rPr>
                <w:rFonts w:ascii="宋体" w:hAnsi="宋体"/>
                <w:color w:val="auto"/>
                <w:szCs w:val="21"/>
                <w:highlight w:val="none"/>
              </w:rPr>
            </w:pPr>
          </w:p>
        </w:tc>
      </w:tr>
      <w:tr w14:paraId="775C848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2" w:hRule="atLeast"/>
          <w:jc w:val="center"/>
        </w:trPr>
        <w:tc>
          <w:tcPr>
            <w:tcW w:w="855" w:type="dxa"/>
            <w:vMerge w:val="continue"/>
            <w:vAlign w:val="center"/>
          </w:tcPr>
          <w:p w14:paraId="0075104B">
            <w:pPr>
              <w:spacing w:line="400" w:lineRule="exact"/>
              <w:jc w:val="center"/>
              <w:rPr>
                <w:rFonts w:ascii="宋体" w:hAnsi="宋体"/>
                <w:color w:val="auto"/>
                <w:highlight w:val="none"/>
              </w:rPr>
            </w:pPr>
          </w:p>
        </w:tc>
        <w:tc>
          <w:tcPr>
            <w:tcW w:w="1417" w:type="dxa"/>
            <w:gridSpan w:val="3"/>
            <w:vMerge w:val="continue"/>
            <w:vAlign w:val="center"/>
          </w:tcPr>
          <w:p w14:paraId="0A093F38">
            <w:pPr>
              <w:spacing w:line="400" w:lineRule="exact"/>
              <w:jc w:val="center"/>
              <w:rPr>
                <w:rFonts w:ascii="宋体" w:hAnsi="宋体"/>
                <w:color w:val="auto"/>
                <w:highlight w:val="none"/>
              </w:rPr>
            </w:pPr>
          </w:p>
        </w:tc>
        <w:tc>
          <w:tcPr>
            <w:tcW w:w="1710" w:type="dxa"/>
            <w:tcBorders>
              <w:top w:val="single" w:color="auto" w:sz="4" w:space="0"/>
              <w:bottom w:val="single" w:color="auto" w:sz="4" w:space="0"/>
            </w:tcBorders>
            <w:vAlign w:val="center"/>
          </w:tcPr>
          <w:p w14:paraId="5DA27770">
            <w:pPr>
              <w:spacing w:line="400" w:lineRule="exact"/>
              <w:jc w:val="left"/>
              <w:rPr>
                <w:rFonts w:ascii="宋体" w:hAnsi="宋体"/>
                <w:color w:val="auto"/>
                <w:highlight w:val="none"/>
              </w:rPr>
            </w:pPr>
            <w:r>
              <w:rPr>
                <w:rFonts w:ascii="宋体" w:hAnsi="宋体"/>
                <w:color w:val="auto"/>
                <w:kern w:val="0"/>
                <w:highlight w:val="none"/>
              </w:rPr>
              <w:t>安全管理体系与措施</w:t>
            </w:r>
          </w:p>
        </w:tc>
        <w:tc>
          <w:tcPr>
            <w:tcW w:w="5493" w:type="dxa"/>
            <w:vMerge w:val="continue"/>
            <w:vAlign w:val="center"/>
          </w:tcPr>
          <w:p w14:paraId="17C218EF">
            <w:pPr>
              <w:autoSpaceDE w:val="0"/>
              <w:autoSpaceDN w:val="0"/>
              <w:adjustRightInd w:val="0"/>
              <w:snapToGrid w:val="0"/>
              <w:spacing w:line="400" w:lineRule="exact"/>
              <w:ind w:firstLine="420" w:firstLineChars="200"/>
              <w:rPr>
                <w:rFonts w:ascii="宋体" w:hAnsi="宋体"/>
                <w:color w:val="auto"/>
                <w:szCs w:val="21"/>
                <w:highlight w:val="none"/>
              </w:rPr>
            </w:pPr>
          </w:p>
        </w:tc>
      </w:tr>
      <w:tr w14:paraId="083B4A8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18" w:hRule="atLeast"/>
          <w:jc w:val="center"/>
        </w:trPr>
        <w:tc>
          <w:tcPr>
            <w:tcW w:w="855" w:type="dxa"/>
            <w:vMerge w:val="continue"/>
            <w:vAlign w:val="center"/>
          </w:tcPr>
          <w:p w14:paraId="4938B4B0">
            <w:pPr>
              <w:spacing w:line="400" w:lineRule="exact"/>
              <w:jc w:val="center"/>
              <w:rPr>
                <w:rFonts w:ascii="宋体" w:hAnsi="宋体"/>
                <w:color w:val="auto"/>
                <w:highlight w:val="none"/>
              </w:rPr>
            </w:pPr>
          </w:p>
        </w:tc>
        <w:tc>
          <w:tcPr>
            <w:tcW w:w="1417" w:type="dxa"/>
            <w:gridSpan w:val="3"/>
            <w:vMerge w:val="continue"/>
            <w:vAlign w:val="center"/>
          </w:tcPr>
          <w:p w14:paraId="5F33D2C0">
            <w:pPr>
              <w:spacing w:line="400" w:lineRule="exact"/>
              <w:jc w:val="center"/>
              <w:rPr>
                <w:rFonts w:ascii="宋体" w:hAnsi="宋体"/>
                <w:color w:val="auto"/>
                <w:highlight w:val="none"/>
              </w:rPr>
            </w:pPr>
          </w:p>
        </w:tc>
        <w:tc>
          <w:tcPr>
            <w:tcW w:w="1710" w:type="dxa"/>
            <w:tcBorders>
              <w:top w:val="single" w:color="auto" w:sz="4" w:space="0"/>
              <w:bottom w:val="single" w:color="auto" w:sz="4" w:space="0"/>
            </w:tcBorders>
            <w:vAlign w:val="center"/>
          </w:tcPr>
          <w:p w14:paraId="36DC0475">
            <w:pPr>
              <w:spacing w:line="400" w:lineRule="exact"/>
              <w:jc w:val="left"/>
              <w:rPr>
                <w:rFonts w:ascii="宋体" w:hAnsi="宋体"/>
                <w:color w:val="auto"/>
                <w:highlight w:val="none"/>
              </w:rPr>
            </w:pPr>
            <w:r>
              <w:rPr>
                <w:rFonts w:ascii="宋体" w:hAnsi="宋体"/>
                <w:color w:val="auto"/>
                <w:kern w:val="0"/>
                <w:highlight w:val="none"/>
              </w:rPr>
              <w:t>环境保护管理体系措施</w:t>
            </w:r>
          </w:p>
        </w:tc>
        <w:tc>
          <w:tcPr>
            <w:tcW w:w="5493" w:type="dxa"/>
            <w:vMerge w:val="continue"/>
            <w:vAlign w:val="center"/>
          </w:tcPr>
          <w:p w14:paraId="364E8DCD">
            <w:pPr>
              <w:autoSpaceDE w:val="0"/>
              <w:autoSpaceDN w:val="0"/>
              <w:adjustRightInd w:val="0"/>
              <w:snapToGrid w:val="0"/>
              <w:spacing w:line="400" w:lineRule="exact"/>
              <w:ind w:firstLine="420" w:firstLineChars="200"/>
              <w:rPr>
                <w:rFonts w:ascii="宋体" w:hAnsi="宋体"/>
                <w:color w:val="auto"/>
                <w:szCs w:val="21"/>
                <w:highlight w:val="none"/>
              </w:rPr>
            </w:pPr>
          </w:p>
        </w:tc>
      </w:tr>
      <w:tr w14:paraId="23F8FDA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02" w:hRule="atLeast"/>
          <w:jc w:val="center"/>
        </w:trPr>
        <w:tc>
          <w:tcPr>
            <w:tcW w:w="855" w:type="dxa"/>
            <w:vMerge w:val="continue"/>
            <w:vAlign w:val="center"/>
          </w:tcPr>
          <w:p w14:paraId="3FBEB4CB">
            <w:pPr>
              <w:spacing w:line="400" w:lineRule="exact"/>
              <w:jc w:val="center"/>
              <w:rPr>
                <w:rFonts w:ascii="宋体" w:hAnsi="宋体"/>
                <w:color w:val="auto"/>
                <w:highlight w:val="none"/>
              </w:rPr>
            </w:pPr>
          </w:p>
        </w:tc>
        <w:tc>
          <w:tcPr>
            <w:tcW w:w="1417" w:type="dxa"/>
            <w:gridSpan w:val="3"/>
            <w:vMerge w:val="continue"/>
            <w:vAlign w:val="center"/>
          </w:tcPr>
          <w:p w14:paraId="5D7C7F7C">
            <w:pPr>
              <w:spacing w:line="400" w:lineRule="exact"/>
              <w:jc w:val="center"/>
              <w:rPr>
                <w:rFonts w:ascii="宋体" w:hAnsi="宋体"/>
                <w:color w:val="auto"/>
                <w:highlight w:val="none"/>
              </w:rPr>
            </w:pPr>
          </w:p>
        </w:tc>
        <w:tc>
          <w:tcPr>
            <w:tcW w:w="1710" w:type="dxa"/>
            <w:tcBorders>
              <w:top w:val="single" w:color="auto" w:sz="4" w:space="0"/>
              <w:bottom w:val="single" w:color="auto" w:sz="4" w:space="0"/>
            </w:tcBorders>
            <w:vAlign w:val="center"/>
          </w:tcPr>
          <w:p w14:paraId="5C44C760">
            <w:pPr>
              <w:spacing w:line="400" w:lineRule="exact"/>
              <w:jc w:val="left"/>
              <w:rPr>
                <w:rFonts w:ascii="宋体" w:hAnsi="宋体"/>
                <w:color w:val="auto"/>
                <w:highlight w:val="none"/>
              </w:rPr>
            </w:pPr>
            <w:r>
              <w:rPr>
                <w:rFonts w:ascii="宋体" w:hAnsi="宋体"/>
                <w:color w:val="auto"/>
                <w:kern w:val="0"/>
                <w:highlight w:val="none"/>
              </w:rPr>
              <w:t>工程进度计划与措施</w:t>
            </w:r>
          </w:p>
        </w:tc>
        <w:tc>
          <w:tcPr>
            <w:tcW w:w="5493" w:type="dxa"/>
            <w:vMerge w:val="continue"/>
            <w:vAlign w:val="center"/>
          </w:tcPr>
          <w:p w14:paraId="56ED9982">
            <w:pPr>
              <w:autoSpaceDE w:val="0"/>
              <w:autoSpaceDN w:val="0"/>
              <w:adjustRightInd w:val="0"/>
              <w:snapToGrid w:val="0"/>
              <w:spacing w:line="400" w:lineRule="exact"/>
              <w:ind w:firstLine="420" w:firstLineChars="200"/>
              <w:rPr>
                <w:rFonts w:ascii="宋体" w:hAnsi="宋体"/>
                <w:color w:val="auto"/>
                <w:szCs w:val="21"/>
                <w:highlight w:val="none"/>
              </w:rPr>
            </w:pPr>
          </w:p>
        </w:tc>
      </w:tr>
      <w:tr w14:paraId="6725505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35" w:hRule="atLeast"/>
          <w:jc w:val="center"/>
        </w:trPr>
        <w:tc>
          <w:tcPr>
            <w:tcW w:w="855" w:type="dxa"/>
            <w:vMerge w:val="continue"/>
            <w:vAlign w:val="center"/>
          </w:tcPr>
          <w:p w14:paraId="4ED624C1">
            <w:pPr>
              <w:spacing w:line="400" w:lineRule="exact"/>
              <w:jc w:val="center"/>
              <w:rPr>
                <w:rFonts w:ascii="宋体" w:hAnsi="宋体"/>
                <w:color w:val="auto"/>
                <w:highlight w:val="none"/>
              </w:rPr>
            </w:pPr>
          </w:p>
        </w:tc>
        <w:tc>
          <w:tcPr>
            <w:tcW w:w="1417" w:type="dxa"/>
            <w:gridSpan w:val="3"/>
            <w:vMerge w:val="continue"/>
            <w:vAlign w:val="center"/>
          </w:tcPr>
          <w:p w14:paraId="2D0C3E4F">
            <w:pPr>
              <w:spacing w:line="400" w:lineRule="exact"/>
              <w:jc w:val="center"/>
              <w:rPr>
                <w:rFonts w:ascii="宋体" w:hAnsi="宋体"/>
                <w:color w:val="auto"/>
                <w:highlight w:val="none"/>
              </w:rPr>
            </w:pPr>
          </w:p>
        </w:tc>
        <w:tc>
          <w:tcPr>
            <w:tcW w:w="1710" w:type="dxa"/>
            <w:tcBorders>
              <w:top w:val="single" w:color="auto" w:sz="4" w:space="0"/>
              <w:bottom w:val="single" w:color="auto" w:sz="4" w:space="0"/>
            </w:tcBorders>
            <w:vAlign w:val="center"/>
          </w:tcPr>
          <w:p w14:paraId="1C1AA040">
            <w:pPr>
              <w:spacing w:line="400" w:lineRule="exact"/>
              <w:jc w:val="left"/>
              <w:rPr>
                <w:rFonts w:ascii="宋体" w:hAnsi="宋体"/>
                <w:color w:val="auto"/>
                <w:highlight w:val="none"/>
              </w:rPr>
            </w:pPr>
            <w:r>
              <w:rPr>
                <w:rFonts w:ascii="宋体" w:hAnsi="宋体"/>
                <w:color w:val="auto"/>
                <w:kern w:val="0"/>
                <w:highlight w:val="none"/>
              </w:rPr>
              <w:t>资源配备计划与先进性</w:t>
            </w:r>
          </w:p>
        </w:tc>
        <w:tc>
          <w:tcPr>
            <w:tcW w:w="5493" w:type="dxa"/>
            <w:vMerge w:val="continue"/>
            <w:vAlign w:val="center"/>
          </w:tcPr>
          <w:p w14:paraId="0E31EDF6">
            <w:pPr>
              <w:autoSpaceDE w:val="0"/>
              <w:autoSpaceDN w:val="0"/>
              <w:adjustRightInd w:val="0"/>
              <w:snapToGrid w:val="0"/>
              <w:spacing w:line="400" w:lineRule="exact"/>
              <w:ind w:firstLine="420" w:firstLineChars="200"/>
              <w:rPr>
                <w:rFonts w:ascii="宋体" w:hAnsi="宋体"/>
                <w:color w:val="auto"/>
                <w:szCs w:val="21"/>
                <w:highlight w:val="none"/>
              </w:rPr>
            </w:pPr>
          </w:p>
        </w:tc>
      </w:tr>
      <w:tr w14:paraId="51B3A5F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335" w:hRule="atLeast"/>
          <w:jc w:val="center"/>
        </w:trPr>
        <w:tc>
          <w:tcPr>
            <w:tcW w:w="855" w:type="dxa"/>
            <w:vMerge w:val="continue"/>
            <w:vAlign w:val="center"/>
          </w:tcPr>
          <w:p w14:paraId="44E80A8C">
            <w:pPr>
              <w:spacing w:line="400" w:lineRule="exact"/>
              <w:jc w:val="center"/>
              <w:rPr>
                <w:rFonts w:ascii="宋体" w:hAnsi="宋体"/>
                <w:color w:val="auto"/>
                <w:highlight w:val="none"/>
              </w:rPr>
            </w:pPr>
          </w:p>
        </w:tc>
        <w:tc>
          <w:tcPr>
            <w:tcW w:w="1417" w:type="dxa"/>
            <w:gridSpan w:val="3"/>
            <w:vMerge w:val="continue"/>
            <w:vAlign w:val="center"/>
          </w:tcPr>
          <w:p w14:paraId="064ED4E6">
            <w:pPr>
              <w:spacing w:line="400" w:lineRule="exact"/>
              <w:jc w:val="center"/>
              <w:rPr>
                <w:rFonts w:ascii="宋体" w:hAnsi="宋体"/>
                <w:color w:val="auto"/>
                <w:highlight w:val="none"/>
              </w:rPr>
            </w:pPr>
          </w:p>
        </w:tc>
        <w:tc>
          <w:tcPr>
            <w:tcW w:w="1710" w:type="dxa"/>
            <w:tcBorders>
              <w:top w:val="single" w:color="auto" w:sz="4" w:space="0"/>
              <w:bottom w:val="single" w:color="auto" w:sz="4" w:space="0"/>
            </w:tcBorders>
          </w:tcPr>
          <w:p w14:paraId="4BEE9715">
            <w:pPr>
              <w:spacing w:line="400" w:lineRule="exact"/>
              <w:jc w:val="left"/>
              <w:rPr>
                <w:rFonts w:ascii="宋体" w:hAnsi="宋体"/>
                <w:color w:val="auto"/>
                <w:highlight w:val="none"/>
              </w:rPr>
            </w:pPr>
            <w:r>
              <w:rPr>
                <w:rFonts w:hint="eastAsia" w:ascii="宋体" w:hAnsi="宋体" w:cs="宋体"/>
                <w:color w:val="auto"/>
                <w:kern w:val="0"/>
                <w:highlight w:val="none"/>
              </w:rPr>
              <w:t>专项方案</w:t>
            </w:r>
          </w:p>
        </w:tc>
        <w:tc>
          <w:tcPr>
            <w:tcW w:w="5493" w:type="dxa"/>
            <w:vMerge w:val="continue"/>
            <w:vAlign w:val="center"/>
          </w:tcPr>
          <w:p w14:paraId="4B265B22">
            <w:pPr>
              <w:autoSpaceDE w:val="0"/>
              <w:autoSpaceDN w:val="0"/>
              <w:adjustRightInd w:val="0"/>
              <w:snapToGrid w:val="0"/>
              <w:spacing w:line="400" w:lineRule="exact"/>
              <w:ind w:firstLine="420" w:firstLineChars="200"/>
              <w:rPr>
                <w:rFonts w:ascii="宋体" w:hAnsi="宋体"/>
                <w:color w:val="auto"/>
                <w:szCs w:val="21"/>
                <w:highlight w:val="none"/>
              </w:rPr>
            </w:pPr>
          </w:p>
        </w:tc>
      </w:tr>
      <w:tr w14:paraId="02A7C2F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435" w:hRule="atLeast"/>
          <w:jc w:val="center"/>
        </w:trPr>
        <w:tc>
          <w:tcPr>
            <w:tcW w:w="855" w:type="dxa"/>
            <w:vAlign w:val="center"/>
          </w:tcPr>
          <w:p w14:paraId="48D04BB5">
            <w:pPr>
              <w:spacing w:line="400" w:lineRule="exact"/>
              <w:jc w:val="center"/>
              <w:rPr>
                <w:rFonts w:ascii="宋体" w:hAnsi="宋体"/>
                <w:color w:val="auto"/>
                <w:highlight w:val="none"/>
              </w:rPr>
            </w:pPr>
            <w:r>
              <w:rPr>
                <w:rFonts w:ascii="宋体" w:hAnsi="宋体"/>
                <w:color w:val="auto"/>
                <w:highlight w:val="none"/>
              </w:rPr>
              <w:t>3.2.1（</w:t>
            </w:r>
            <w:r>
              <w:rPr>
                <w:rFonts w:hint="eastAsia" w:ascii="宋体" w:hAnsi="宋体"/>
                <w:color w:val="auto"/>
                <w:highlight w:val="none"/>
              </w:rPr>
              <w:t>2</w:t>
            </w:r>
            <w:r>
              <w:rPr>
                <w:rFonts w:ascii="宋体" w:hAnsi="宋体"/>
                <w:color w:val="auto"/>
                <w:highlight w:val="none"/>
              </w:rPr>
              <w:t>）</w:t>
            </w:r>
          </w:p>
        </w:tc>
        <w:tc>
          <w:tcPr>
            <w:tcW w:w="1417" w:type="dxa"/>
            <w:gridSpan w:val="3"/>
            <w:vAlign w:val="center"/>
          </w:tcPr>
          <w:p w14:paraId="4877D696">
            <w:pPr>
              <w:spacing w:line="400" w:lineRule="exact"/>
              <w:jc w:val="center"/>
              <w:rPr>
                <w:rFonts w:ascii="宋体" w:hAnsi="宋体"/>
                <w:color w:val="auto"/>
                <w:highlight w:val="none"/>
              </w:rPr>
            </w:pPr>
            <w:r>
              <w:rPr>
                <w:rFonts w:ascii="宋体" w:hAnsi="宋体"/>
                <w:color w:val="auto"/>
                <w:highlight w:val="none"/>
              </w:rPr>
              <w:t>投标报价</w:t>
            </w:r>
            <w:r>
              <w:rPr>
                <w:rFonts w:ascii="宋体" w:hAnsi="宋体"/>
                <w:color w:val="auto"/>
                <w:kern w:val="0"/>
                <w:highlight w:val="none"/>
              </w:rPr>
              <w:t>得分</w:t>
            </w:r>
            <w:r>
              <w:rPr>
                <w:rFonts w:ascii="宋体" w:hAnsi="宋体"/>
                <w:color w:val="auto"/>
                <w:spacing w:val="-8"/>
                <w:highlight w:val="none"/>
              </w:rPr>
              <w:t>（</w:t>
            </w:r>
            <w:r>
              <w:rPr>
                <w:rFonts w:hint="eastAsia" w:ascii="宋体" w:hAnsi="宋体"/>
                <w:color w:val="auto"/>
                <w:spacing w:val="-8"/>
                <w:highlight w:val="none"/>
              </w:rPr>
              <w:t>B</w:t>
            </w:r>
            <w:r>
              <w:rPr>
                <w:rFonts w:ascii="宋体" w:hAnsi="宋体"/>
                <w:color w:val="auto"/>
                <w:spacing w:val="-8"/>
                <w:highlight w:val="none"/>
              </w:rPr>
              <w:t>）</w:t>
            </w:r>
          </w:p>
        </w:tc>
        <w:tc>
          <w:tcPr>
            <w:tcW w:w="1710" w:type="dxa"/>
            <w:tcBorders>
              <w:top w:val="single" w:color="auto" w:sz="4" w:space="0"/>
            </w:tcBorders>
            <w:vAlign w:val="center"/>
          </w:tcPr>
          <w:p w14:paraId="73B61BB5">
            <w:pPr>
              <w:spacing w:line="400" w:lineRule="exact"/>
              <w:jc w:val="center"/>
              <w:rPr>
                <w:rFonts w:ascii="宋体" w:hAnsi="宋体"/>
                <w:color w:val="auto"/>
                <w:highlight w:val="none"/>
              </w:rPr>
            </w:pPr>
            <w:r>
              <w:rPr>
                <w:rFonts w:ascii="宋体" w:hAnsi="宋体"/>
                <w:color w:val="auto"/>
                <w:highlight w:val="none"/>
              </w:rPr>
              <w:t>投标总报价</w:t>
            </w:r>
          </w:p>
        </w:tc>
        <w:tc>
          <w:tcPr>
            <w:tcW w:w="5493" w:type="dxa"/>
            <w:vAlign w:val="center"/>
          </w:tcPr>
          <w:p w14:paraId="0B3E5465">
            <w:pPr>
              <w:autoSpaceDE w:val="0"/>
              <w:autoSpaceDN w:val="0"/>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所有通过初步评审和本章第</w:t>
            </w:r>
            <w:r>
              <w:rPr>
                <w:rFonts w:ascii="宋体" w:hAnsi="宋体"/>
                <w:color w:val="auto"/>
                <w:szCs w:val="21"/>
                <w:highlight w:val="none"/>
              </w:rPr>
              <w:t>2.2.2</w:t>
            </w:r>
            <w:r>
              <w:rPr>
                <w:rFonts w:hint="eastAsia" w:ascii="宋体" w:hAnsi="宋体"/>
                <w:color w:val="auto"/>
                <w:szCs w:val="21"/>
                <w:highlight w:val="none"/>
              </w:rPr>
              <w:t>（</w:t>
            </w:r>
            <w:r>
              <w:rPr>
                <w:rFonts w:ascii="宋体" w:hAnsi="宋体"/>
                <w:color w:val="auto"/>
                <w:szCs w:val="21"/>
                <w:highlight w:val="none"/>
              </w:rPr>
              <w:t>3</w:t>
            </w:r>
            <w:r>
              <w:rPr>
                <w:rFonts w:hint="eastAsia" w:ascii="宋体" w:hAnsi="宋体"/>
                <w:color w:val="auto"/>
                <w:szCs w:val="21"/>
                <w:highlight w:val="none"/>
              </w:rPr>
              <w:t>）目评审合格的投标人的投标总报价中，最低投标总报价得本附表第</w:t>
            </w:r>
            <w:r>
              <w:rPr>
                <w:rFonts w:ascii="宋体" w:hAnsi="宋体"/>
                <w:color w:val="auto"/>
                <w:szCs w:val="21"/>
                <w:highlight w:val="none"/>
              </w:rPr>
              <w:t xml:space="preserve">2.2.1 </w:t>
            </w:r>
            <w:r>
              <w:rPr>
                <w:rFonts w:hint="eastAsia" w:ascii="宋体" w:hAnsi="宋体"/>
                <w:color w:val="auto"/>
                <w:szCs w:val="21"/>
                <w:highlight w:val="none"/>
              </w:rPr>
              <w:t>项规定分值的满分</w:t>
            </w:r>
            <w:r>
              <w:rPr>
                <w:rFonts w:ascii="宋体" w:hAnsi="宋体"/>
                <w:color w:val="auto"/>
                <w:szCs w:val="21"/>
                <w:highlight w:val="none"/>
              </w:rPr>
              <w:t>70</w:t>
            </w:r>
            <w:r>
              <w:rPr>
                <w:rFonts w:hint="eastAsia" w:ascii="宋体" w:hAnsi="宋体"/>
                <w:color w:val="auto"/>
                <w:szCs w:val="21"/>
                <w:highlight w:val="none"/>
              </w:rPr>
              <w:t>分，最高投标总报价得</w:t>
            </w:r>
            <w:r>
              <w:rPr>
                <w:rFonts w:ascii="宋体" w:hAnsi="宋体"/>
                <w:color w:val="auto"/>
                <w:szCs w:val="21"/>
                <w:highlight w:val="none"/>
              </w:rPr>
              <w:t>67</w:t>
            </w:r>
            <w:r>
              <w:rPr>
                <w:rFonts w:hint="eastAsia" w:ascii="宋体" w:hAnsi="宋体"/>
                <w:color w:val="auto"/>
                <w:szCs w:val="21"/>
                <w:highlight w:val="none"/>
              </w:rPr>
              <w:t>分，其他投标总报价按插入法计算得分，其他投标总报价得分统一按照下列公式计算：</w:t>
            </w:r>
          </w:p>
          <w:p w14:paraId="07AA638F">
            <w:pPr>
              <w:autoSpaceDE w:val="0"/>
              <w:autoSpaceDN w:val="0"/>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投标总报价得分＝</w:t>
            </w:r>
            <w:r>
              <w:rPr>
                <w:rFonts w:ascii="宋体" w:hAnsi="宋体"/>
                <w:color w:val="auto"/>
                <w:szCs w:val="21"/>
                <w:highlight w:val="none"/>
              </w:rPr>
              <w:t>70-</w:t>
            </w:r>
            <w:r>
              <w:rPr>
                <w:rFonts w:hint="eastAsia" w:ascii="宋体" w:hAnsi="宋体"/>
                <w:color w:val="auto"/>
                <w:szCs w:val="21"/>
                <w:highlight w:val="none"/>
              </w:rPr>
              <w:t>（</w:t>
            </w:r>
            <w:r>
              <w:rPr>
                <w:rFonts w:ascii="宋体" w:hAnsi="宋体"/>
                <w:color w:val="auto"/>
                <w:szCs w:val="21"/>
                <w:highlight w:val="none"/>
              </w:rPr>
              <w:t>70-67</w:t>
            </w:r>
            <w:r>
              <w:rPr>
                <w:rFonts w:hint="eastAsia" w:ascii="宋体" w:hAnsi="宋体"/>
                <w:color w:val="auto"/>
                <w:szCs w:val="21"/>
                <w:highlight w:val="none"/>
              </w:rPr>
              <w:t>）×（投标总报价</w:t>
            </w:r>
            <w:r>
              <w:rPr>
                <w:rFonts w:ascii="宋体" w:hAnsi="宋体"/>
                <w:color w:val="auto"/>
                <w:szCs w:val="21"/>
                <w:highlight w:val="none"/>
              </w:rPr>
              <w:t>-</w:t>
            </w:r>
            <w:r>
              <w:rPr>
                <w:rFonts w:hint="eastAsia" w:ascii="宋体" w:hAnsi="宋体"/>
                <w:color w:val="auto"/>
                <w:szCs w:val="21"/>
                <w:highlight w:val="none"/>
              </w:rPr>
              <w:t>最低投标总报价）</w:t>
            </w:r>
            <w:r>
              <w:rPr>
                <w:rFonts w:ascii="宋体" w:hAnsi="宋体"/>
                <w:color w:val="auto"/>
                <w:szCs w:val="21"/>
                <w:highlight w:val="none"/>
              </w:rPr>
              <w:t>/</w:t>
            </w:r>
            <w:r>
              <w:rPr>
                <w:rFonts w:hint="eastAsia" w:ascii="宋体" w:hAnsi="宋体"/>
                <w:color w:val="auto"/>
                <w:szCs w:val="21"/>
                <w:highlight w:val="none"/>
              </w:rPr>
              <w:t>（最高投标总报价</w:t>
            </w:r>
            <w:r>
              <w:rPr>
                <w:rFonts w:ascii="宋体" w:hAnsi="宋体"/>
                <w:color w:val="auto"/>
                <w:szCs w:val="21"/>
                <w:highlight w:val="none"/>
              </w:rPr>
              <w:t>-</w:t>
            </w:r>
            <w:r>
              <w:rPr>
                <w:rFonts w:hint="eastAsia" w:ascii="宋体" w:hAnsi="宋体"/>
                <w:color w:val="auto"/>
                <w:szCs w:val="21"/>
                <w:highlight w:val="none"/>
              </w:rPr>
              <w:t>最低投标总报价）</w:t>
            </w:r>
          </w:p>
          <w:p w14:paraId="0777AA4C">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投标总报价评分的最终结果取小数点后两位，第三位四舍五入。</w:t>
            </w:r>
          </w:p>
          <w:p w14:paraId="193E33F8">
            <w:pPr>
              <w:spacing w:after="31" w:afterLines="10" w:line="360" w:lineRule="auto"/>
              <w:ind w:firstLine="420" w:firstLineChars="200"/>
              <w:rPr>
                <w:rFonts w:ascii="宋体" w:hAnsi="宋体"/>
                <w:color w:val="auto"/>
                <w:highlight w:val="none"/>
              </w:rPr>
            </w:pPr>
            <w:r>
              <w:rPr>
                <w:rFonts w:hint="eastAsia" w:ascii="宋体" w:hAnsi="宋体"/>
                <w:color w:val="auto"/>
                <w:highlight w:val="none"/>
              </w:rPr>
              <w:t>例：若投标人</w:t>
            </w:r>
            <w:r>
              <w:rPr>
                <w:rFonts w:ascii="宋体" w:hAnsi="宋体"/>
                <w:color w:val="auto"/>
                <w:highlight w:val="none"/>
              </w:rPr>
              <w:t>A</w:t>
            </w:r>
            <w:r>
              <w:rPr>
                <w:rFonts w:hint="eastAsia" w:ascii="宋体" w:hAnsi="宋体"/>
                <w:color w:val="auto"/>
                <w:highlight w:val="none"/>
              </w:rPr>
              <w:t>的报价报价为</w:t>
            </w:r>
            <w:r>
              <w:rPr>
                <w:rFonts w:ascii="宋体" w:hAnsi="宋体"/>
                <w:color w:val="auto"/>
                <w:highlight w:val="none"/>
              </w:rPr>
              <w:t>100</w:t>
            </w:r>
            <w:r>
              <w:rPr>
                <w:rFonts w:hint="eastAsia" w:ascii="宋体" w:hAnsi="宋体"/>
                <w:color w:val="auto"/>
                <w:highlight w:val="none"/>
              </w:rPr>
              <w:t>万元，为最低报价；则投标人</w:t>
            </w:r>
            <w:r>
              <w:rPr>
                <w:rFonts w:ascii="宋体" w:hAnsi="宋体"/>
                <w:color w:val="auto"/>
                <w:highlight w:val="none"/>
              </w:rPr>
              <w:t>A</w:t>
            </w:r>
            <w:r>
              <w:rPr>
                <w:rFonts w:hint="eastAsia" w:ascii="宋体" w:hAnsi="宋体"/>
                <w:color w:val="auto"/>
                <w:highlight w:val="none"/>
              </w:rPr>
              <w:t>投标报价得分为</w:t>
            </w:r>
            <w:r>
              <w:rPr>
                <w:rFonts w:ascii="宋体" w:hAnsi="宋体"/>
                <w:color w:val="auto"/>
                <w:highlight w:val="none"/>
              </w:rPr>
              <w:t>70</w:t>
            </w:r>
            <w:r>
              <w:rPr>
                <w:rFonts w:hint="eastAsia" w:ascii="宋体" w:hAnsi="宋体"/>
                <w:color w:val="auto"/>
                <w:highlight w:val="none"/>
              </w:rPr>
              <w:t>分；</w:t>
            </w:r>
          </w:p>
          <w:p w14:paraId="7C3F12CB">
            <w:pPr>
              <w:spacing w:after="31" w:afterLines="10" w:line="360" w:lineRule="auto"/>
              <w:ind w:firstLine="420" w:firstLineChars="200"/>
              <w:rPr>
                <w:rFonts w:ascii="宋体" w:hAnsi="宋体"/>
                <w:color w:val="auto"/>
                <w:highlight w:val="none"/>
              </w:rPr>
            </w:pPr>
            <w:r>
              <w:rPr>
                <w:rFonts w:hint="eastAsia" w:ascii="宋体" w:hAnsi="宋体"/>
                <w:color w:val="auto"/>
                <w:highlight w:val="none"/>
              </w:rPr>
              <w:t>若投标人</w:t>
            </w:r>
            <w:r>
              <w:rPr>
                <w:rFonts w:ascii="宋体" w:hAnsi="宋体"/>
                <w:color w:val="auto"/>
                <w:highlight w:val="none"/>
              </w:rPr>
              <w:t>B</w:t>
            </w:r>
            <w:r>
              <w:rPr>
                <w:rFonts w:hint="eastAsia" w:ascii="宋体" w:hAnsi="宋体"/>
                <w:color w:val="auto"/>
                <w:highlight w:val="none"/>
              </w:rPr>
              <w:t>的报价报价为</w:t>
            </w:r>
            <w:r>
              <w:rPr>
                <w:rFonts w:ascii="宋体" w:hAnsi="宋体"/>
                <w:color w:val="auto"/>
                <w:highlight w:val="none"/>
              </w:rPr>
              <w:t>200</w:t>
            </w:r>
            <w:r>
              <w:rPr>
                <w:rFonts w:hint="eastAsia" w:ascii="宋体" w:hAnsi="宋体"/>
                <w:color w:val="auto"/>
                <w:highlight w:val="none"/>
              </w:rPr>
              <w:t>万元，为最高报价；则投标人</w:t>
            </w:r>
            <w:r>
              <w:rPr>
                <w:rFonts w:ascii="宋体" w:hAnsi="宋体"/>
                <w:color w:val="auto"/>
                <w:highlight w:val="none"/>
              </w:rPr>
              <w:t>B</w:t>
            </w:r>
            <w:r>
              <w:rPr>
                <w:rFonts w:hint="eastAsia" w:ascii="宋体" w:hAnsi="宋体"/>
                <w:color w:val="auto"/>
                <w:highlight w:val="none"/>
              </w:rPr>
              <w:t>投标报价得分为</w:t>
            </w:r>
            <w:r>
              <w:rPr>
                <w:rFonts w:ascii="宋体" w:hAnsi="宋体"/>
                <w:color w:val="auto"/>
                <w:highlight w:val="none"/>
              </w:rPr>
              <w:t>67</w:t>
            </w:r>
            <w:r>
              <w:rPr>
                <w:rFonts w:hint="eastAsia" w:ascii="宋体" w:hAnsi="宋体"/>
                <w:color w:val="auto"/>
                <w:highlight w:val="none"/>
              </w:rPr>
              <w:t>分；</w:t>
            </w:r>
            <w:r>
              <w:rPr>
                <w:rFonts w:ascii="宋体" w:hAnsi="宋体"/>
                <w:color w:val="auto"/>
                <w:highlight w:val="none"/>
              </w:rPr>
              <w:t xml:space="preserve"> </w:t>
            </w:r>
          </w:p>
          <w:p w14:paraId="70B83245">
            <w:pPr>
              <w:spacing w:after="31" w:afterLines="10" w:line="360" w:lineRule="auto"/>
              <w:ind w:firstLine="420" w:firstLineChars="200"/>
              <w:rPr>
                <w:rFonts w:ascii="宋体" w:hAnsi="宋体"/>
                <w:color w:val="auto"/>
                <w:highlight w:val="none"/>
              </w:rPr>
            </w:pPr>
            <w:r>
              <w:rPr>
                <w:rFonts w:hint="eastAsia" w:ascii="宋体" w:hAnsi="宋体"/>
                <w:color w:val="auto"/>
                <w:highlight w:val="none"/>
              </w:rPr>
              <w:t>若投标人</w:t>
            </w:r>
            <w:r>
              <w:rPr>
                <w:rFonts w:ascii="宋体" w:hAnsi="宋体"/>
                <w:color w:val="auto"/>
                <w:highlight w:val="none"/>
              </w:rPr>
              <w:t>C</w:t>
            </w:r>
            <w:r>
              <w:rPr>
                <w:rFonts w:hint="eastAsia" w:ascii="宋体" w:hAnsi="宋体"/>
                <w:color w:val="auto"/>
                <w:highlight w:val="none"/>
              </w:rPr>
              <w:t>的投标报价为</w:t>
            </w:r>
            <w:r>
              <w:rPr>
                <w:rFonts w:ascii="宋体" w:hAnsi="宋体"/>
                <w:color w:val="auto"/>
                <w:highlight w:val="none"/>
              </w:rPr>
              <w:t>150</w:t>
            </w:r>
            <w:r>
              <w:rPr>
                <w:rFonts w:hint="eastAsia" w:ascii="宋体" w:hAnsi="宋体"/>
                <w:color w:val="auto"/>
                <w:highlight w:val="none"/>
              </w:rPr>
              <w:t>万元，则投标人</w:t>
            </w:r>
            <w:r>
              <w:rPr>
                <w:rFonts w:ascii="宋体" w:hAnsi="宋体"/>
                <w:color w:val="auto"/>
                <w:highlight w:val="none"/>
              </w:rPr>
              <w:t>C</w:t>
            </w:r>
            <w:r>
              <w:rPr>
                <w:rFonts w:hint="eastAsia" w:ascii="宋体" w:hAnsi="宋体"/>
                <w:color w:val="auto"/>
                <w:highlight w:val="none"/>
              </w:rPr>
              <w:t>得分</w:t>
            </w:r>
            <w:r>
              <w:rPr>
                <w:rFonts w:ascii="宋体" w:hAnsi="宋体"/>
                <w:color w:val="auto"/>
                <w:highlight w:val="none"/>
              </w:rPr>
              <w:t>=70-</w:t>
            </w:r>
            <w:r>
              <w:rPr>
                <w:rFonts w:hint="eastAsia" w:ascii="宋体" w:hAnsi="宋体"/>
                <w:color w:val="auto"/>
                <w:highlight w:val="none"/>
              </w:rPr>
              <w:t>（</w:t>
            </w:r>
            <w:r>
              <w:rPr>
                <w:rFonts w:ascii="宋体" w:hAnsi="宋体"/>
                <w:color w:val="auto"/>
                <w:highlight w:val="none"/>
              </w:rPr>
              <w:t>70-67</w:t>
            </w:r>
            <w:r>
              <w:rPr>
                <w:rFonts w:hint="eastAsia" w:ascii="宋体" w:hAnsi="宋体"/>
                <w:color w:val="auto"/>
                <w:highlight w:val="none"/>
              </w:rPr>
              <w:t>）</w:t>
            </w:r>
            <w:r>
              <w:rPr>
                <w:rFonts w:ascii="宋体" w:hAnsi="宋体"/>
                <w:color w:val="auto"/>
                <w:highlight w:val="none"/>
              </w:rPr>
              <w:t>*</w:t>
            </w:r>
            <w:r>
              <w:rPr>
                <w:rFonts w:hint="eastAsia" w:ascii="宋体" w:hAnsi="宋体"/>
                <w:color w:val="auto"/>
                <w:highlight w:val="none"/>
              </w:rPr>
              <w:t>（</w:t>
            </w:r>
            <w:r>
              <w:rPr>
                <w:rFonts w:ascii="宋体" w:hAnsi="宋体"/>
                <w:color w:val="auto"/>
                <w:highlight w:val="none"/>
              </w:rPr>
              <w:t>150-100</w:t>
            </w:r>
            <w:r>
              <w:rPr>
                <w:rFonts w:hint="eastAsia" w:ascii="宋体" w:hAnsi="宋体"/>
                <w:color w:val="auto"/>
                <w:highlight w:val="none"/>
              </w:rPr>
              <w:t>）</w:t>
            </w:r>
            <w:r>
              <w:rPr>
                <w:rFonts w:ascii="宋体" w:hAnsi="宋体"/>
                <w:color w:val="auto"/>
                <w:highlight w:val="none"/>
              </w:rPr>
              <w:t>/</w:t>
            </w:r>
            <w:r>
              <w:rPr>
                <w:rFonts w:hint="eastAsia" w:ascii="宋体" w:hAnsi="宋体"/>
                <w:color w:val="auto"/>
                <w:highlight w:val="none"/>
              </w:rPr>
              <w:t>（</w:t>
            </w:r>
            <w:r>
              <w:rPr>
                <w:rFonts w:ascii="宋体" w:hAnsi="宋体"/>
                <w:color w:val="auto"/>
                <w:highlight w:val="none"/>
              </w:rPr>
              <w:t>200-100</w:t>
            </w:r>
            <w:r>
              <w:rPr>
                <w:rFonts w:hint="eastAsia" w:ascii="宋体" w:hAnsi="宋体"/>
                <w:color w:val="auto"/>
                <w:highlight w:val="none"/>
              </w:rPr>
              <w:t>）</w:t>
            </w:r>
            <w:r>
              <w:rPr>
                <w:rFonts w:ascii="宋体" w:hAnsi="宋体"/>
                <w:color w:val="auto"/>
                <w:highlight w:val="none"/>
              </w:rPr>
              <w:t>=68.5</w:t>
            </w:r>
            <w:r>
              <w:rPr>
                <w:rFonts w:hint="eastAsia" w:ascii="宋体" w:hAnsi="宋体"/>
                <w:color w:val="auto"/>
                <w:highlight w:val="none"/>
              </w:rPr>
              <w:t>分。</w:t>
            </w:r>
            <w:r>
              <w:rPr>
                <w:rFonts w:ascii="宋体" w:hAnsi="宋体"/>
                <w:color w:val="auto"/>
                <w:highlight w:val="none"/>
              </w:rPr>
              <w:t xml:space="preserve"> </w:t>
            </w:r>
          </w:p>
          <w:p w14:paraId="1BFBB38F">
            <w:pPr>
              <w:pStyle w:val="2"/>
              <w:rPr>
                <w:color w:val="auto"/>
                <w:highlight w:val="none"/>
              </w:rPr>
            </w:pPr>
            <w:r>
              <w:rPr>
                <w:rFonts w:hint="eastAsia" w:ascii="宋体" w:hAnsi="宋体"/>
                <w:color w:val="auto"/>
                <w:highlight w:val="none"/>
              </w:rPr>
              <w:t>注：该部分评分为评标委员会手动计算后导入评标系统。</w:t>
            </w:r>
          </w:p>
        </w:tc>
      </w:tr>
      <w:tr w14:paraId="5F9819D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2272" w:type="dxa"/>
            <w:gridSpan w:val="4"/>
            <w:vAlign w:val="center"/>
          </w:tcPr>
          <w:p w14:paraId="250AC113">
            <w:pPr>
              <w:spacing w:line="400" w:lineRule="exact"/>
              <w:ind w:firstLine="18" w:firstLineChars="9"/>
              <w:jc w:val="center"/>
              <w:rPr>
                <w:rFonts w:ascii="宋体" w:hAnsi="宋体"/>
                <w:color w:val="auto"/>
                <w:szCs w:val="21"/>
                <w:highlight w:val="none"/>
              </w:rPr>
            </w:pPr>
            <w:r>
              <w:rPr>
                <w:rFonts w:ascii="宋体" w:hAnsi="宋体"/>
                <w:color w:val="auto"/>
                <w:szCs w:val="21"/>
                <w:highlight w:val="none"/>
              </w:rPr>
              <w:t>3.2.3</w:t>
            </w:r>
          </w:p>
        </w:tc>
        <w:tc>
          <w:tcPr>
            <w:tcW w:w="1710" w:type="dxa"/>
            <w:vAlign w:val="center"/>
          </w:tcPr>
          <w:p w14:paraId="075380A8">
            <w:pPr>
              <w:spacing w:line="400" w:lineRule="exact"/>
              <w:ind w:firstLine="18" w:firstLineChars="9"/>
              <w:jc w:val="center"/>
              <w:rPr>
                <w:rFonts w:ascii="宋体" w:hAnsi="宋体"/>
                <w:color w:val="auto"/>
                <w:szCs w:val="21"/>
                <w:highlight w:val="none"/>
              </w:rPr>
            </w:pPr>
            <w:r>
              <w:rPr>
                <w:rFonts w:ascii="宋体" w:hAnsi="宋体"/>
                <w:color w:val="auto"/>
                <w:szCs w:val="21"/>
                <w:highlight w:val="none"/>
              </w:rPr>
              <w:t>投标人得分</w:t>
            </w:r>
          </w:p>
        </w:tc>
        <w:tc>
          <w:tcPr>
            <w:tcW w:w="5493" w:type="dxa"/>
            <w:vAlign w:val="center"/>
          </w:tcPr>
          <w:p w14:paraId="6435116B">
            <w:pPr>
              <w:spacing w:line="400" w:lineRule="exact"/>
              <w:jc w:val="center"/>
              <w:rPr>
                <w:rFonts w:ascii="宋体" w:hAnsi="宋体"/>
                <w:color w:val="auto"/>
                <w:szCs w:val="21"/>
                <w:highlight w:val="none"/>
                <w:u w:val="single"/>
              </w:rPr>
            </w:pPr>
            <w:r>
              <w:rPr>
                <w:rFonts w:ascii="宋体" w:hAnsi="宋体"/>
                <w:color w:val="auto"/>
                <w:szCs w:val="21"/>
                <w:highlight w:val="none"/>
                <w:u w:val="single"/>
              </w:rPr>
              <w:t>投标人得分=A+B</w:t>
            </w:r>
          </w:p>
        </w:tc>
      </w:tr>
    </w:tbl>
    <w:p w14:paraId="4D0E96DE">
      <w:pPr>
        <w:pStyle w:val="4"/>
        <w:spacing w:before="0" w:after="0" w:line="360" w:lineRule="auto"/>
        <w:rPr>
          <w:rFonts w:ascii="宋体" w:hAnsi="宋体"/>
          <w:b w:val="0"/>
          <w:snapToGrid w:val="0"/>
          <w:color w:val="auto"/>
          <w:highlight w:val="none"/>
        </w:rPr>
      </w:pPr>
      <w:bookmarkStart w:id="510" w:name="_Toc509218776"/>
    </w:p>
    <w:p w14:paraId="46E06288">
      <w:pPr>
        <w:pStyle w:val="4"/>
        <w:spacing w:before="0" w:after="0" w:line="360" w:lineRule="auto"/>
        <w:rPr>
          <w:rFonts w:ascii="宋体" w:hAnsi="宋体"/>
          <w:b w:val="0"/>
          <w:snapToGrid w:val="0"/>
          <w:color w:val="auto"/>
          <w:highlight w:val="none"/>
        </w:rPr>
      </w:pPr>
    </w:p>
    <w:p w14:paraId="55266729">
      <w:pPr>
        <w:pStyle w:val="4"/>
        <w:spacing w:before="0" w:after="0" w:line="360" w:lineRule="auto"/>
        <w:rPr>
          <w:rFonts w:ascii="宋体" w:hAnsi="宋体"/>
          <w:b w:val="0"/>
          <w:snapToGrid w:val="0"/>
          <w:color w:val="auto"/>
          <w:highlight w:val="none"/>
        </w:rPr>
      </w:pPr>
      <w:r>
        <w:rPr>
          <w:rFonts w:ascii="宋体" w:hAnsi="宋体"/>
          <w:b w:val="0"/>
          <w:snapToGrid w:val="0"/>
          <w:color w:val="auto"/>
          <w:highlight w:val="none"/>
        </w:rPr>
        <w:br w:type="page"/>
      </w:r>
      <w:bookmarkStart w:id="511" w:name="_Toc117005234"/>
      <w:r>
        <w:rPr>
          <w:rFonts w:ascii="宋体" w:hAnsi="宋体"/>
          <w:b w:val="0"/>
          <w:snapToGrid w:val="0"/>
          <w:color w:val="auto"/>
          <w:highlight w:val="none"/>
        </w:rPr>
        <w:t>1.  评标方法</w:t>
      </w:r>
      <w:bookmarkEnd w:id="495"/>
      <w:bookmarkEnd w:id="496"/>
      <w:bookmarkEnd w:id="497"/>
      <w:bookmarkEnd w:id="498"/>
      <w:bookmarkEnd w:id="499"/>
      <w:bookmarkEnd w:id="500"/>
      <w:bookmarkEnd w:id="510"/>
      <w:bookmarkEnd w:id="511"/>
    </w:p>
    <w:p w14:paraId="38205107">
      <w:pPr>
        <w:autoSpaceDE w:val="0"/>
        <w:autoSpaceDN w:val="0"/>
        <w:adjustRightInd w:val="0"/>
        <w:snapToGrid w:val="0"/>
        <w:spacing w:line="360" w:lineRule="auto"/>
        <w:ind w:firstLine="420"/>
        <w:rPr>
          <w:rFonts w:ascii="宋体" w:hAnsi="宋体"/>
          <w:color w:val="auto"/>
          <w:kern w:val="0"/>
          <w:szCs w:val="21"/>
          <w:highlight w:val="none"/>
        </w:rPr>
      </w:pPr>
      <w:r>
        <w:rPr>
          <w:rFonts w:ascii="宋体" w:hAnsi="宋体"/>
          <w:color w:val="auto"/>
          <w:kern w:val="0"/>
          <w:szCs w:val="21"/>
          <w:highlight w:val="none"/>
        </w:rPr>
        <w:t>本次评标采用综合评估法</w:t>
      </w:r>
      <w:r>
        <w:rPr>
          <w:rFonts w:ascii="宋体" w:hAnsi="宋体"/>
          <w:color w:val="auto"/>
          <w:spacing w:val="-47"/>
          <w:kern w:val="0"/>
          <w:szCs w:val="21"/>
          <w:highlight w:val="none"/>
        </w:rPr>
        <w:t>。</w:t>
      </w:r>
      <w:r>
        <w:rPr>
          <w:rFonts w:ascii="宋体" w:hAnsi="宋体"/>
          <w:color w:val="auto"/>
          <w:kern w:val="0"/>
          <w:szCs w:val="21"/>
          <w:highlight w:val="none"/>
        </w:rPr>
        <w:t xml:space="preserve">评标委员会按照本章第 </w:t>
      </w:r>
      <w:r>
        <w:rPr>
          <w:rFonts w:ascii="宋体" w:hAnsi="宋体"/>
          <w:color w:val="auto"/>
          <w:spacing w:val="1"/>
          <w:kern w:val="0"/>
          <w:szCs w:val="21"/>
          <w:highlight w:val="none"/>
        </w:rPr>
        <w:t>2</w:t>
      </w:r>
      <w:r>
        <w:rPr>
          <w:rFonts w:ascii="宋体" w:hAnsi="宋体"/>
          <w:color w:val="auto"/>
          <w:spacing w:val="-1"/>
          <w:kern w:val="0"/>
          <w:szCs w:val="21"/>
          <w:highlight w:val="none"/>
        </w:rPr>
        <w:t>.</w:t>
      </w:r>
      <w:r>
        <w:rPr>
          <w:rFonts w:ascii="宋体" w:hAnsi="宋体"/>
          <w:color w:val="auto"/>
          <w:kern w:val="0"/>
          <w:szCs w:val="21"/>
          <w:highlight w:val="none"/>
        </w:rPr>
        <w:t>2</w:t>
      </w:r>
      <w:r>
        <w:rPr>
          <w:rFonts w:ascii="宋体" w:hAnsi="宋体"/>
          <w:color w:val="auto"/>
          <w:spacing w:val="1"/>
          <w:kern w:val="0"/>
          <w:szCs w:val="21"/>
          <w:highlight w:val="none"/>
        </w:rPr>
        <w:t xml:space="preserve"> </w:t>
      </w:r>
      <w:r>
        <w:rPr>
          <w:rFonts w:ascii="宋体" w:hAnsi="宋体"/>
          <w:color w:val="auto"/>
          <w:kern w:val="0"/>
          <w:szCs w:val="21"/>
          <w:highlight w:val="none"/>
        </w:rPr>
        <w:t>款</w:t>
      </w:r>
      <w:r>
        <w:rPr>
          <w:rFonts w:ascii="宋体" w:hAnsi="宋体"/>
          <w:color w:val="auto"/>
          <w:spacing w:val="-1"/>
          <w:kern w:val="0"/>
          <w:szCs w:val="21"/>
          <w:highlight w:val="none"/>
        </w:rPr>
        <w:t>规</w:t>
      </w:r>
      <w:r>
        <w:rPr>
          <w:rFonts w:ascii="宋体" w:hAnsi="宋体"/>
          <w:color w:val="auto"/>
          <w:kern w:val="0"/>
          <w:szCs w:val="21"/>
          <w:highlight w:val="none"/>
        </w:rPr>
        <w:t>定的评分标准进行</w:t>
      </w:r>
      <w:r>
        <w:rPr>
          <w:rFonts w:hint="eastAsia" w:ascii="宋体" w:hAnsi="宋体"/>
          <w:color w:val="auto"/>
          <w:kern w:val="0"/>
          <w:szCs w:val="21"/>
          <w:highlight w:val="none"/>
        </w:rPr>
        <w:t>评分</w:t>
      </w:r>
      <w:r>
        <w:rPr>
          <w:rFonts w:ascii="宋体" w:hAnsi="宋体"/>
          <w:color w:val="auto"/>
          <w:kern w:val="0"/>
          <w:szCs w:val="21"/>
          <w:highlight w:val="none"/>
        </w:rPr>
        <w:t>，按得分由高到低顺序推荐中标候选人</w:t>
      </w:r>
      <w:r>
        <w:rPr>
          <w:rFonts w:ascii="宋体" w:hAnsi="宋体"/>
          <w:color w:val="auto"/>
          <w:spacing w:val="-20"/>
          <w:kern w:val="0"/>
          <w:szCs w:val="21"/>
          <w:highlight w:val="none"/>
        </w:rPr>
        <w:t>，</w:t>
      </w:r>
      <w:r>
        <w:rPr>
          <w:rFonts w:ascii="宋体" w:hAnsi="宋体"/>
          <w:color w:val="auto"/>
          <w:kern w:val="0"/>
          <w:szCs w:val="21"/>
          <w:highlight w:val="none"/>
        </w:rPr>
        <w:t>或根据招标人授权直接确定中标人</w:t>
      </w:r>
      <w:r>
        <w:rPr>
          <w:rFonts w:hint="eastAsia" w:ascii="宋体" w:hAnsi="宋体"/>
          <w:color w:val="auto"/>
          <w:kern w:val="0"/>
          <w:szCs w:val="21"/>
          <w:highlight w:val="none"/>
        </w:rPr>
        <w:t>，若出现投标人投标报价相同的，以评标办法前附表约定的原则确定排序</w:t>
      </w:r>
      <w:r>
        <w:rPr>
          <w:rFonts w:ascii="宋体" w:hAnsi="宋体"/>
          <w:color w:val="auto"/>
          <w:spacing w:val="-31"/>
          <w:kern w:val="0"/>
          <w:szCs w:val="21"/>
          <w:highlight w:val="none"/>
        </w:rPr>
        <w:t>。</w:t>
      </w:r>
    </w:p>
    <w:p w14:paraId="1CD01FA1">
      <w:pPr>
        <w:pStyle w:val="4"/>
        <w:spacing w:before="0" w:after="0" w:line="360" w:lineRule="auto"/>
        <w:rPr>
          <w:rFonts w:ascii="宋体" w:hAnsi="宋体"/>
          <w:b w:val="0"/>
          <w:snapToGrid w:val="0"/>
          <w:color w:val="auto"/>
          <w:highlight w:val="none"/>
        </w:rPr>
      </w:pPr>
      <w:bookmarkStart w:id="512" w:name="_Toc117005235"/>
      <w:bookmarkStart w:id="513" w:name="_Toc430530501"/>
      <w:bookmarkStart w:id="514" w:name="_Toc277082619"/>
      <w:bookmarkStart w:id="515" w:name="_Toc200513199"/>
      <w:bookmarkStart w:id="516" w:name="_Toc224103385"/>
      <w:bookmarkStart w:id="517" w:name="_Toc509218777"/>
      <w:bookmarkStart w:id="518" w:name="_Toc287607813"/>
      <w:bookmarkStart w:id="519" w:name="_Toc287620752"/>
      <w:r>
        <w:rPr>
          <w:rFonts w:ascii="宋体" w:hAnsi="宋体"/>
          <w:b w:val="0"/>
          <w:snapToGrid w:val="0"/>
          <w:color w:val="auto"/>
          <w:highlight w:val="none"/>
        </w:rPr>
        <w:t>2.  评审标准</w:t>
      </w:r>
      <w:bookmarkEnd w:id="512"/>
      <w:bookmarkEnd w:id="513"/>
      <w:bookmarkEnd w:id="514"/>
      <w:bookmarkEnd w:id="515"/>
      <w:bookmarkEnd w:id="516"/>
      <w:bookmarkEnd w:id="517"/>
      <w:bookmarkEnd w:id="518"/>
      <w:bookmarkEnd w:id="519"/>
    </w:p>
    <w:p w14:paraId="3318C0F0">
      <w:pPr>
        <w:pStyle w:val="5"/>
        <w:snapToGrid w:val="0"/>
        <w:spacing w:before="0" w:after="0" w:line="360" w:lineRule="auto"/>
        <w:rPr>
          <w:rFonts w:ascii="宋体" w:hAnsi="宋体"/>
          <w:b w:val="0"/>
          <w:snapToGrid w:val="0"/>
          <w:color w:val="auto"/>
          <w:sz w:val="24"/>
          <w:szCs w:val="24"/>
          <w:highlight w:val="none"/>
        </w:rPr>
      </w:pPr>
      <w:bookmarkStart w:id="520" w:name="_Toc200513200"/>
      <w:bookmarkStart w:id="521" w:name="_Toc509218778"/>
      <w:bookmarkStart w:id="522" w:name="_Toc287620753"/>
      <w:bookmarkStart w:id="523" w:name="_Toc430530502"/>
      <w:bookmarkStart w:id="524" w:name="_Toc277082620"/>
      <w:bookmarkStart w:id="525" w:name="_Toc117005236"/>
      <w:bookmarkStart w:id="526" w:name="_Toc287607814"/>
      <w:bookmarkStart w:id="527" w:name="_Toc224103386"/>
      <w:r>
        <w:rPr>
          <w:rFonts w:ascii="宋体" w:hAnsi="宋体"/>
          <w:b w:val="0"/>
          <w:snapToGrid w:val="0"/>
          <w:color w:val="auto"/>
          <w:sz w:val="24"/>
          <w:szCs w:val="24"/>
          <w:highlight w:val="none"/>
        </w:rPr>
        <w:t>2.1  初步评审标准</w:t>
      </w:r>
      <w:bookmarkEnd w:id="520"/>
      <w:bookmarkEnd w:id="521"/>
      <w:bookmarkEnd w:id="522"/>
      <w:bookmarkEnd w:id="523"/>
      <w:bookmarkEnd w:id="524"/>
      <w:bookmarkEnd w:id="525"/>
      <w:bookmarkEnd w:id="526"/>
      <w:bookmarkEnd w:id="527"/>
    </w:p>
    <w:p w14:paraId="6D5BB900">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ascii="宋体" w:hAnsi="宋体"/>
          <w:color w:val="auto"/>
          <w:kern w:val="0"/>
          <w:szCs w:val="21"/>
          <w:highlight w:val="none"/>
        </w:rPr>
        <w:t>2.1.</w:t>
      </w:r>
      <w:r>
        <w:rPr>
          <w:rFonts w:hint="eastAsia" w:ascii="宋体" w:hAnsi="宋体"/>
          <w:color w:val="auto"/>
          <w:kern w:val="0"/>
          <w:szCs w:val="21"/>
          <w:highlight w:val="none"/>
        </w:rPr>
        <w:t>1A</w:t>
      </w:r>
      <w:r>
        <w:rPr>
          <w:rFonts w:ascii="宋体" w:hAnsi="宋体"/>
          <w:color w:val="auto"/>
          <w:kern w:val="0"/>
          <w:szCs w:val="21"/>
          <w:highlight w:val="none"/>
        </w:rPr>
        <w:t xml:space="preserve">  资格评审标准：见评标办法前附表（适用于未进行资格预审的）。</w:t>
      </w:r>
    </w:p>
    <w:p w14:paraId="3778CB17">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ascii="宋体" w:hAnsi="宋体"/>
          <w:color w:val="auto"/>
          <w:kern w:val="0"/>
          <w:szCs w:val="21"/>
          <w:highlight w:val="none"/>
        </w:rPr>
        <w:t>2.1.</w:t>
      </w:r>
      <w:r>
        <w:rPr>
          <w:rFonts w:hint="eastAsia" w:ascii="宋体" w:hAnsi="宋体"/>
          <w:color w:val="auto"/>
          <w:kern w:val="0"/>
          <w:szCs w:val="21"/>
          <w:highlight w:val="none"/>
        </w:rPr>
        <w:t>2</w:t>
      </w:r>
      <w:r>
        <w:rPr>
          <w:rFonts w:ascii="宋体" w:hAnsi="宋体"/>
          <w:color w:val="auto"/>
          <w:kern w:val="0"/>
          <w:szCs w:val="21"/>
          <w:highlight w:val="none"/>
        </w:rPr>
        <w:t xml:space="preserve">  形式评审标准：见评标办法前附表。</w:t>
      </w:r>
    </w:p>
    <w:p w14:paraId="2FD43CDB">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ascii="宋体" w:hAnsi="宋体"/>
          <w:color w:val="auto"/>
          <w:kern w:val="0"/>
          <w:szCs w:val="21"/>
          <w:highlight w:val="none"/>
        </w:rPr>
        <w:t>2.1.3  响应性评审标准：见评标办法前附表。</w:t>
      </w:r>
    </w:p>
    <w:p w14:paraId="6A2DDBD0">
      <w:pPr>
        <w:pStyle w:val="5"/>
        <w:snapToGrid w:val="0"/>
        <w:spacing w:before="0" w:after="0" w:line="360" w:lineRule="auto"/>
        <w:rPr>
          <w:rFonts w:ascii="宋体" w:hAnsi="宋体"/>
          <w:b w:val="0"/>
          <w:snapToGrid w:val="0"/>
          <w:color w:val="auto"/>
          <w:sz w:val="24"/>
          <w:szCs w:val="24"/>
          <w:highlight w:val="none"/>
        </w:rPr>
      </w:pPr>
      <w:bookmarkStart w:id="528" w:name="_Toc277082621"/>
      <w:bookmarkStart w:id="529" w:name="_Toc200513201"/>
      <w:bookmarkStart w:id="530" w:name="_Toc287620754"/>
      <w:bookmarkStart w:id="531" w:name="_Toc224103387"/>
      <w:bookmarkStart w:id="532" w:name="_Toc117005237"/>
      <w:bookmarkStart w:id="533" w:name="_Toc287607815"/>
      <w:bookmarkStart w:id="534" w:name="_Toc509218779"/>
      <w:bookmarkStart w:id="535" w:name="_Toc430530503"/>
      <w:r>
        <w:rPr>
          <w:rFonts w:ascii="宋体" w:hAnsi="宋体"/>
          <w:b w:val="0"/>
          <w:snapToGrid w:val="0"/>
          <w:color w:val="auto"/>
          <w:sz w:val="24"/>
          <w:szCs w:val="24"/>
          <w:highlight w:val="none"/>
        </w:rPr>
        <w:t>2.2  分值构成与评分标准</w:t>
      </w:r>
      <w:bookmarkEnd w:id="528"/>
      <w:bookmarkEnd w:id="529"/>
      <w:bookmarkEnd w:id="530"/>
      <w:bookmarkEnd w:id="531"/>
      <w:bookmarkEnd w:id="532"/>
      <w:bookmarkEnd w:id="533"/>
      <w:bookmarkEnd w:id="534"/>
      <w:bookmarkEnd w:id="535"/>
    </w:p>
    <w:p w14:paraId="1419C249">
      <w:pPr>
        <w:autoSpaceDE w:val="0"/>
        <w:autoSpaceDN w:val="0"/>
        <w:adjustRightInd w:val="0"/>
        <w:snapToGrid w:val="0"/>
        <w:spacing w:line="360" w:lineRule="auto"/>
        <w:ind w:firstLine="525" w:firstLineChars="250"/>
        <w:rPr>
          <w:rFonts w:ascii="宋体" w:hAnsi="宋体"/>
          <w:color w:val="auto"/>
          <w:kern w:val="0"/>
          <w:szCs w:val="21"/>
          <w:highlight w:val="none"/>
        </w:rPr>
      </w:pPr>
      <w:r>
        <w:rPr>
          <w:rFonts w:ascii="宋体" w:hAnsi="宋体"/>
          <w:color w:val="auto"/>
          <w:kern w:val="0"/>
          <w:szCs w:val="21"/>
          <w:highlight w:val="none"/>
        </w:rPr>
        <w:t>2.2.1  分值构成</w:t>
      </w:r>
    </w:p>
    <w:p w14:paraId="4C43214A">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w:t>
      </w:r>
      <w:r>
        <w:rPr>
          <w:rFonts w:hint="eastAsia" w:ascii="宋体" w:hAnsi="宋体"/>
          <w:color w:val="auto"/>
          <w:spacing w:val="1"/>
          <w:kern w:val="0"/>
          <w:szCs w:val="21"/>
          <w:highlight w:val="none"/>
        </w:rPr>
        <w:t>1</w:t>
      </w:r>
      <w:r>
        <w:rPr>
          <w:rFonts w:ascii="宋体" w:hAnsi="宋体"/>
          <w:color w:val="auto"/>
          <w:kern w:val="0"/>
          <w:szCs w:val="21"/>
          <w:highlight w:val="none"/>
        </w:rPr>
        <w:t>）技术</w:t>
      </w:r>
      <w:r>
        <w:rPr>
          <w:rFonts w:hint="eastAsia" w:ascii="宋体" w:hAnsi="宋体"/>
          <w:color w:val="auto"/>
          <w:kern w:val="0"/>
          <w:szCs w:val="21"/>
          <w:highlight w:val="none"/>
        </w:rPr>
        <w:t>部分</w:t>
      </w:r>
      <w:r>
        <w:rPr>
          <w:rFonts w:ascii="宋体" w:hAnsi="宋体"/>
          <w:color w:val="auto"/>
          <w:kern w:val="0"/>
          <w:szCs w:val="21"/>
          <w:highlight w:val="none"/>
        </w:rPr>
        <w:t>：见评标办法前附表</w:t>
      </w:r>
      <w:r>
        <w:rPr>
          <w:rFonts w:hint="eastAsia" w:ascii="宋体" w:hAnsi="宋体"/>
          <w:color w:val="auto"/>
          <w:kern w:val="0"/>
          <w:szCs w:val="21"/>
          <w:highlight w:val="none"/>
        </w:rPr>
        <w:t>；</w:t>
      </w:r>
    </w:p>
    <w:p w14:paraId="2D566305">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w:t>
      </w:r>
      <w:r>
        <w:rPr>
          <w:rFonts w:hint="eastAsia" w:ascii="宋体" w:hAnsi="宋体"/>
          <w:color w:val="auto"/>
          <w:spacing w:val="1"/>
          <w:kern w:val="0"/>
          <w:szCs w:val="21"/>
          <w:highlight w:val="none"/>
        </w:rPr>
        <w:t>2</w:t>
      </w:r>
      <w:r>
        <w:rPr>
          <w:rFonts w:ascii="宋体" w:hAnsi="宋体"/>
          <w:color w:val="auto"/>
          <w:kern w:val="0"/>
          <w:szCs w:val="21"/>
          <w:highlight w:val="none"/>
        </w:rPr>
        <w:t>）投标</w:t>
      </w:r>
      <w:r>
        <w:rPr>
          <w:rFonts w:hint="eastAsia" w:ascii="宋体" w:hAnsi="宋体"/>
          <w:color w:val="auto"/>
          <w:kern w:val="0"/>
          <w:szCs w:val="21"/>
          <w:highlight w:val="none"/>
        </w:rPr>
        <w:t>总</w:t>
      </w:r>
      <w:r>
        <w:rPr>
          <w:rFonts w:ascii="宋体" w:hAnsi="宋体"/>
          <w:color w:val="auto"/>
          <w:spacing w:val="-1"/>
          <w:kern w:val="0"/>
          <w:szCs w:val="21"/>
          <w:highlight w:val="none"/>
        </w:rPr>
        <w:t>报</w:t>
      </w:r>
      <w:r>
        <w:rPr>
          <w:rFonts w:ascii="宋体" w:hAnsi="宋体"/>
          <w:color w:val="auto"/>
          <w:kern w:val="0"/>
          <w:szCs w:val="21"/>
          <w:highlight w:val="none"/>
        </w:rPr>
        <w:t>价：见评标办法前附表</w:t>
      </w:r>
      <w:r>
        <w:rPr>
          <w:rFonts w:hint="eastAsia" w:ascii="宋体" w:hAnsi="宋体"/>
          <w:color w:val="auto"/>
          <w:kern w:val="0"/>
          <w:szCs w:val="21"/>
          <w:highlight w:val="none"/>
        </w:rPr>
        <w:t>。</w:t>
      </w:r>
    </w:p>
    <w:p w14:paraId="170C700E">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ascii="宋体" w:hAnsi="宋体"/>
          <w:color w:val="auto"/>
          <w:kern w:val="0"/>
          <w:szCs w:val="21"/>
          <w:highlight w:val="none"/>
        </w:rPr>
        <w:t>2.2.</w:t>
      </w:r>
      <w:r>
        <w:rPr>
          <w:rFonts w:hint="eastAsia" w:ascii="宋体" w:hAnsi="宋体"/>
          <w:color w:val="auto"/>
          <w:kern w:val="0"/>
          <w:szCs w:val="21"/>
          <w:highlight w:val="none"/>
        </w:rPr>
        <w:t>2  评审标准</w:t>
      </w:r>
    </w:p>
    <w:p w14:paraId="10B3B8ED">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hint="eastAsia" w:ascii="宋体" w:hAnsi="宋体"/>
          <w:color w:val="auto"/>
          <w:kern w:val="0"/>
          <w:szCs w:val="21"/>
          <w:highlight w:val="none"/>
        </w:rPr>
        <w:t>（1）</w:t>
      </w:r>
      <w:r>
        <w:rPr>
          <w:rFonts w:ascii="宋体" w:hAnsi="宋体"/>
          <w:color w:val="auto"/>
          <w:kern w:val="0"/>
          <w:szCs w:val="21"/>
          <w:highlight w:val="none"/>
        </w:rPr>
        <w:t>技术</w:t>
      </w:r>
      <w:r>
        <w:rPr>
          <w:rFonts w:hint="eastAsia" w:ascii="宋体" w:hAnsi="宋体"/>
          <w:color w:val="auto"/>
          <w:kern w:val="0"/>
          <w:szCs w:val="21"/>
          <w:highlight w:val="none"/>
        </w:rPr>
        <w:t>部分</w:t>
      </w:r>
      <w:r>
        <w:rPr>
          <w:rFonts w:ascii="宋体" w:hAnsi="宋体"/>
          <w:color w:val="auto"/>
          <w:kern w:val="0"/>
          <w:szCs w:val="21"/>
          <w:highlight w:val="none"/>
        </w:rPr>
        <w:t>评分标准：见评标办法前附表</w:t>
      </w:r>
      <w:r>
        <w:rPr>
          <w:rFonts w:hint="eastAsia" w:ascii="宋体" w:hAnsi="宋体"/>
          <w:color w:val="auto"/>
          <w:kern w:val="0"/>
          <w:szCs w:val="21"/>
          <w:highlight w:val="none"/>
        </w:rPr>
        <w:t>；</w:t>
      </w:r>
    </w:p>
    <w:p w14:paraId="1B7599C3">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hint="eastAsia" w:ascii="宋体" w:hAnsi="宋体"/>
          <w:color w:val="auto"/>
          <w:kern w:val="0"/>
          <w:szCs w:val="21"/>
          <w:highlight w:val="none"/>
        </w:rPr>
        <w:t>（2）投标函部分及经济部分评审标准：见评标办法前附表；</w:t>
      </w:r>
    </w:p>
    <w:p w14:paraId="3F4F67BD">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ascii="宋体" w:hAnsi="宋体"/>
          <w:color w:val="auto"/>
          <w:kern w:val="0"/>
          <w:szCs w:val="21"/>
          <w:highlight w:val="none"/>
        </w:rPr>
        <w:t>2.2.</w:t>
      </w:r>
      <w:r>
        <w:rPr>
          <w:rFonts w:hint="eastAsia" w:ascii="宋体" w:hAnsi="宋体"/>
          <w:color w:val="auto"/>
          <w:kern w:val="0"/>
          <w:szCs w:val="21"/>
          <w:highlight w:val="none"/>
        </w:rPr>
        <w:t>3</w:t>
      </w:r>
      <w:r>
        <w:rPr>
          <w:rFonts w:ascii="宋体" w:hAnsi="宋体"/>
          <w:color w:val="auto"/>
          <w:kern w:val="0"/>
          <w:szCs w:val="21"/>
          <w:highlight w:val="none"/>
        </w:rPr>
        <w:t xml:space="preserve">  评标基准价计算</w:t>
      </w:r>
    </w:p>
    <w:p w14:paraId="29DB90CC">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ascii="宋体" w:hAnsi="宋体"/>
          <w:color w:val="auto"/>
          <w:kern w:val="0"/>
          <w:szCs w:val="21"/>
          <w:highlight w:val="none"/>
        </w:rPr>
        <w:t>评标基准价计算方法：见评标办法前附表。</w:t>
      </w:r>
    </w:p>
    <w:p w14:paraId="01B34A66">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ascii="宋体" w:hAnsi="宋体"/>
          <w:color w:val="auto"/>
          <w:kern w:val="0"/>
          <w:szCs w:val="21"/>
          <w:highlight w:val="none"/>
        </w:rPr>
        <w:t>2.2.</w:t>
      </w:r>
      <w:r>
        <w:rPr>
          <w:rFonts w:hint="eastAsia" w:ascii="宋体" w:hAnsi="宋体"/>
          <w:color w:val="auto"/>
          <w:kern w:val="0"/>
          <w:szCs w:val="21"/>
          <w:highlight w:val="none"/>
        </w:rPr>
        <w:t>4</w:t>
      </w:r>
      <w:r>
        <w:rPr>
          <w:rFonts w:ascii="宋体" w:hAnsi="宋体"/>
          <w:color w:val="auto"/>
          <w:kern w:val="0"/>
          <w:szCs w:val="21"/>
          <w:highlight w:val="none"/>
        </w:rPr>
        <w:t xml:space="preserve"> </w:t>
      </w:r>
      <w:r>
        <w:rPr>
          <w:rFonts w:hint="eastAsia" w:ascii="宋体" w:hAnsi="宋体"/>
          <w:color w:val="auto"/>
          <w:kern w:val="0"/>
          <w:szCs w:val="21"/>
          <w:highlight w:val="none"/>
        </w:rPr>
        <w:t xml:space="preserve"> </w:t>
      </w:r>
      <w:r>
        <w:rPr>
          <w:rFonts w:ascii="宋体" w:hAnsi="宋体"/>
          <w:color w:val="auto"/>
          <w:kern w:val="0"/>
          <w:szCs w:val="21"/>
          <w:highlight w:val="none"/>
        </w:rPr>
        <w:t>投标报价的偏差率计算</w:t>
      </w:r>
      <w:r>
        <w:rPr>
          <w:rFonts w:hint="eastAsia" w:ascii="宋体" w:hAnsi="宋体"/>
          <w:color w:val="auto"/>
          <w:kern w:val="0"/>
          <w:szCs w:val="21"/>
          <w:highlight w:val="none"/>
        </w:rPr>
        <w:t>和允许偏差范围</w:t>
      </w:r>
    </w:p>
    <w:p w14:paraId="35E4D04B">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（1）</w:t>
      </w:r>
      <w:r>
        <w:rPr>
          <w:rFonts w:ascii="宋体" w:hAnsi="宋体"/>
          <w:color w:val="auto"/>
          <w:kern w:val="0"/>
          <w:szCs w:val="21"/>
          <w:highlight w:val="none"/>
        </w:rPr>
        <w:t>投标报价的偏差率计算公式：见评标办法前附表</w:t>
      </w:r>
      <w:r>
        <w:rPr>
          <w:rFonts w:hint="eastAsia" w:ascii="宋体" w:hAnsi="宋体"/>
          <w:color w:val="auto"/>
          <w:kern w:val="0"/>
          <w:szCs w:val="21"/>
          <w:highlight w:val="none"/>
        </w:rPr>
        <w:t>；</w:t>
      </w:r>
    </w:p>
    <w:p w14:paraId="51E0F974">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hint="eastAsia" w:ascii="宋体" w:hAnsi="宋体"/>
          <w:color w:val="auto"/>
          <w:kern w:val="0"/>
          <w:szCs w:val="21"/>
          <w:highlight w:val="none"/>
        </w:rPr>
        <w:t>（2）投标报价的允许偏差范围</w:t>
      </w:r>
      <w:r>
        <w:rPr>
          <w:rFonts w:ascii="宋体" w:hAnsi="宋体"/>
          <w:color w:val="auto"/>
          <w:kern w:val="0"/>
          <w:szCs w:val="21"/>
          <w:highlight w:val="none"/>
        </w:rPr>
        <w:t>：见评标办法前附表</w:t>
      </w:r>
      <w:r>
        <w:rPr>
          <w:rFonts w:hint="eastAsia" w:ascii="宋体" w:hAnsi="宋体"/>
          <w:color w:val="auto"/>
          <w:kern w:val="0"/>
          <w:szCs w:val="21"/>
          <w:highlight w:val="none"/>
        </w:rPr>
        <w:t>。</w:t>
      </w:r>
    </w:p>
    <w:p w14:paraId="18B38B30">
      <w:pPr>
        <w:pStyle w:val="4"/>
        <w:spacing w:before="0" w:after="0" w:line="360" w:lineRule="auto"/>
        <w:rPr>
          <w:rFonts w:ascii="宋体" w:hAnsi="宋体"/>
          <w:b w:val="0"/>
          <w:snapToGrid w:val="0"/>
          <w:color w:val="auto"/>
          <w:highlight w:val="none"/>
        </w:rPr>
      </w:pPr>
      <w:bookmarkStart w:id="536" w:name="_Toc287607816"/>
      <w:bookmarkStart w:id="537" w:name="_Toc509218780"/>
      <w:bookmarkStart w:id="538" w:name="_Toc200513202"/>
      <w:bookmarkStart w:id="539" w:name="_Toc224103388"/>
      <w:bookmarkStart w:id="540" w:name="_Toc430530504"/>
      <w:bookmarkStart w:id="541" w:name="_Toc287620755"/>
      <w:bookmarkStart w:id="542" w:name="_Toc277082622"/>
      <w:bookmarkStart w:id="543" w:name="_Toc117005238"/>
      <w:r>
        <w:rPr>
          <w:rFonts w:ascii="宋体" w:hAnsi="宋体"/>
          <w:b w:val="0"/>
          <w:snapToGrid w:val="0"/>
          <w:color w:val="auto"/>
          <w:highlight w:val="none"/>
        </w:rPr>
        <w:t>3.  评标程序</w:t>
      </w:r>
      <w:bookmarkEnd w:id="536"/>
      <w:bookmarkEnd w:id="537"/>
      <w:bookmarkEnd w:id="538"/>
      <w:bookmarkEnd w:id="539"/>
      <w:bookmarkEnd w:id="540"/>
      <w:bookmarkEnd w:id="541"/>
      <w:bookmarkEnd w:id="542"/>
      <w:bookmarkEnd w:id="543"/>
    </w:p>
    <w:p w14:paraId="10496CCB">
      <w:pPr>
        <w:pStyle w:val="5"/>
        <w:snapToGrid w:val="0"/>
        <w:spacing w:before="0" w:after="0" w:line="360" w:lineRule="auto"/>
        <w:rPr>
          <w:rFonts w:ascii="宋体" w:hAnsi="宋体"/>
          <w:b w:val="0"/>
          <w:snapToGrid w:val="0"/>
          <w:color w:val="auto"/>
          <w:sz w:val="24"/>
          <w:szCs w:val="24"/>
          <w:highlight w:val="none"/>
        </w:rPr>
      </w:pPr>
      <w:bookmarkStart w:id="544" w:name="_Toc287607817"/>
      <w:bookmarkStart w:id="545" w:name="_Toc117005239"/>
      <w:bookmarkStart w:id="546" w:name="_Toc509218781"/>
      <w:bookmarkStart w:id="547" w:name="_Toc277082623"/>
      <w:bookmarkStart w:id="548" w:name="_Toc224103389"/>
      <w:bookmarkStart w:id="549" w:name="_Toc430530505"/>
      <w:bookmarkStart w:id="550" w:name="_Toc287620756"/>
      <w:bookmarkStart w:id="551" w:name="_Toc200513203"/>
      <w:r>
        <w:rPr>
          <w:rFonts w:ascii="宋体" w:hAnsi="宋体"/>
          <w:b w:val="0"/>
          <w:snapToGrid w:val="0"/>
          <w:color w:val="auto"/>
          <w:sz w:val="24"/>
          <w:szCs w:val="24"/>
          <w:highlight w:val="none"/>
        </w:rPr>
        <w:t>3.1  初步评审</w:t>
      </w:r>
      <w:bookmarkEnd w:id="544"/>
      <w:bookmarkEnd w:id="545"/>
      <w:bookmarkEnd w:id="546"/>
      <w:bookmarkEnd w:id="547"/>
      <w:bookmarkEnd w:id="548"/>
      <w:bookmarkEnd w:id="549"/>
      <w:bookmarkEnd w:id="550"/>
      <w:bookmarkEnd w:id="551"/>
    </w:p>
    <w:p w14:paraId="0BC918C1">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3.1.1  评标委员会依据本章第 2.1 款规定的标准对投标文件进行初步评审。有一项不符合评审标准的，作否决投标处理。</w:t>
      </w:r>
    </w:p>
    <w:p w14:paraId="69DBF99F">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3.1.2  投标人有以下情形之一的，其投标作否决投标处理：</w:t>
      </w:r>
    </w:p>
    <w:p w14:paraId="71DBF925">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w:t>
      </w:r>
      <w:r>
        <w:rPr>
          <w:rFonts w:ascii="宋体" w:hAnsi="宋体"/>
          <w:color w:val="auto"/>
          <w:spacing w:val="1"/>
          <w:kern w:val="0"/>
          <w:szCs w:val="21"/>
          <w:highlight w:val="none"/>
        </w:rPr>
        <w:t>1</w:t>
      </w:r>
      <w:r>
        <w:rPr>
          <w:rFonts w:ascii="宋体" w:hAnsi="宋体"/>
          <w:color w:val="auto"/>
          <w:kern w:val="0"/>
          <w:szCs w:val="21"/>
          <w:highlight w:val="none"/>
        </w:rPr>
        <w:t>）第二</w:t>
      </w:r>
      <w:r>
        <w:rPr>
          <w:rFonts w:ascii="宋体" w:hAnsi="宋体"/>
          <w:color w:val="auto"/>
          <w:spacing w:val="-1"/>
          <w:kern w:val="0"/>
          <w:szCs w:val="21"/>
          <w:highlight w:val="none"/>
        </w:rPr>
        <w:t>章</w:t>
      </w:r>
      <w:r>
        <w:rPr>
          <w:rFonts w:ascii="宋体" w:hAnsi="宋体"/>
          <w:color w:val="auto"/>
          <w:kern w:val="0"/>
          <w:szCs w:val="21"/>
          <w:highlight w:val="none"/>
        </w:rPr>
        <w:t>“投标人须知”第</w:t>
      </w:r>
      <w:r>
        <w:rPr>
          <w:rFonts w:ascii="宋体" w:hAnsi="宋体"/>
          <w:color w:val="auto"/>
          <w:spacing w:val="1"/>
          <w:kern w:val="0"/>
          <w:szCs w:val="21"/>
          <w:highlight w:val="none"/>
        </w:rPr>
        <w:t>1</w:t>
      </w:r>
      <w:r>
        <w:rPr>
          <w:rFonts w:ascii="宋体" w:hAnsi="宋体"/>
          <w:color w:val="auto"/>
          <w:spacing w:val="-1"/>
          <w:kern w:val="0"/>
          <w:szCs w:val="21"/>
          <w:highlight w:val="none"/>
        </w:rPr>
        <w:t>.</w:t>
      </w:r>
      <w:r>
        <w:rPr>
          <w:rFonts w:ascii="宋体" w:hAnsi="宋体"/>
          <w:color w:val="auto"/>
          <w:spacing w:val="1"/>
          <w:kern w:val="0"/>
          <w:szCs w:val="21"/>
          <w:highlight w:val="none"/>
        </w:rPr>
        <w:t>4</w:t>
      </w:r>
      <w:r>
        <w:rPr>
          <w:rFonts w:ascii="宋体" w:hAnsi="宋体"/>
          <w:color w:val="auto"/>
          <w:spacing w:val="-1"/>
          <w:kern w:val="0"/>
          <w:szCs w:val="21"/>
          <w:highlight w:val="none"/>
        </w:rPr>
        <w:t>.</w:t>
      </w:r>
      <w:r>
        <w:rPr>
          <w:rFonts w:ascii="宋体" w:hAnsi="宋体"/>
          <w:color w:val="auto"/>
          <w:kern w:val="0"/>
          <w:szCs w:val="21"/>
          <w:highlight w:val="none"/>
        </w:rPr>
        <w:t>3项规定的任何一种情形的；</w:t>
      </w:r>
    </w:p>
    <w:p w14:paraId="35C788A1">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w:t>
      </w:r>
      <w:r>
        <w:rPr>
          <w:rFonts w:ascii="宋体" w:hAnsi="宋体"/>
          <w:color w:val="auto"/>
          <w:spacing w:val="1"/>
          <w:kern w:val="0"/>
          <w:szCs w:val="21"/>
          <w:highlight w:val="none"/>
        </w:rPr>
        <w:t>2</w:t>
      </w:r>
      <w:r>
        <w:rPr>
          <w:rFonts w:ascii="宋体" w:hAnsi="宋体"/>
          <w:color w:val="auto"/>
          <w:kern w:val="0"/>
          <w:szCs w:val="21"/>
          <w:highlight w:val="none"/>
        </w:rPr>
        <w:t>）</w:t>
      </w:r>
      <w:r>
        <w:rPr>
          <w:rFonts w:hint="eastAsia" w:ascii="宋体" w:hAnsi="宋体" w:cs="宋体"/>
          <w:color w:val="auto"/>
          <w:szCs w:val="21"/>
          <w:highlight w:val="none"/>
        </w:rPr>
        <w:t>本次投标有串通投标、弄虚作假等其他违反招投标相关法律、法规行为的</w:t>
      </w:r>
      <w:r>
        <w:rPr>
          <w:rFonts w:ascii="宋体" w:hAnsi="宋体"/>
          <w:color w:val="auto"/>
          <w:kern w:val="0"/>
          <w:szCs w:val="21"/>
          <w:highlight w:val="none"/>
        </w:rPr>
        <w:t>；</w:t>
      </w:r>
    </w:p>
    <w:p w14:paraId="76DBDD52">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w:t>
      </w:r>
      <w:r>
        <w:rPr>
          <w:rFonts w:ascii="宋体" w:hAnsi="宋体"/>
          <w:color w:val="auto"/>
          <w:spacing w:val="1"/>
          <w:kern w:val="0"/>
          <w:szCs w:val="21"/>
          <w:highlight w:val="none"/>
        </w:rPr>
        <w:t>3</w:t>
      </w:r>
      <w:r>
        <w:rPr>
          <w:rFonts w:ascii="宋体" w:hAnsi="宋体"/>
          <w:color w:val="auto"/>
          <w:kern w:val="0"/>
          <w:szCs w:val="21"/>
          <w:highlight w:val="none"/>
        </w:rPr>
        <w:t>）</w:t>
      </w:r>
      <w:r>
        <w:rPr>
          <w:rFonts w:hint="eastAsia" w:ascii="宋体" w:hAnsi="宋体"/>
          <w:color w:val="auto"/>
          <w:kern w:val="0"/>
          <w:szCs w:val="21"/>
          <w:highlight w:val="none"/>
        </w:rPr>
        <w:t>拒绝</w:t>
      </w:r>
      <w:r>
        <w:rPr>
          <w:rFonts w:ascii="宋体" w:hAnsi="宋体"/>
          <w:color w:val="auto"/>
          <w:kern w:val="0"/>
          <w:szCs w:val="21"/>
          <w:highlight w:val="none"/>
        </w:rPr>
        <w:t>按</w:t>
      </w:r>
      <w:r>
        <w:rPr>
          <w:rFonts w:ascii="宋体" w:hAnsi="宋体"/>
          <w:color w:val="auto"/>
          <w:spacing w:val="-1"/>
          <w:kern w:val="0"/>
          <w:szCs w:val="21"/>
          <w:highlight w:val="none"/>
        </w:rPr>
        <w:t>评</w:t>
      </w:r>
      <w:r>
        <w:rPr>
          <w:rFonts w:ascii="宋体" w:hAnsi="宋体"/>
          <w:color w:val="auto"/>
          <w:kern w:val="0"/>
          <w:szCs w:val="21"/>
          <w:highlight w:val="none"/>
        </w:rPr>
        <w:t>标委员会要求澄清、说明或补正的</w:t>
      </w:r>
      <w:r>
        <w:rPr>
          <w:rFonts w:hint="eastAsia" w:ascii="宋体" w:hAnsi="宋体"/>
          <w:color w:val="auto"/>
          <w:kern w:val="0"/>
          <w:szCs w:val="21"/>
          <w:highlight w:val="none"/>
        </w:rPr>
        <w:t>。</w:t>
      </w:r>
    </w:p>
    <w:p w14:paraId="7CF0A7F8">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3.1.3  投标报价有算术错误的，评标委员会按以下原则对投标报价进行修正，修正的价格经投标人书面确认后具有约束力</w:t>
      </w:r>
      <w:r>
        <w:rPr>
          <w:rFonts w:hint="eastAsia" w:ascii="宋体" w:hAnsi="宋体"/>
          <w:color w:val="auto"/>
          <w:kern w:val="0"/>
          <w:szCs w:val="21"/>
          <w:highlight w:val="none"/>
        </w:rPr>
        <w:t>，修正原则如下：</w:t>
      </w:r>
    </w:p>
    <w:p w14:paraId="64E037D7">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（1）投标文件中的大写金额与小写金额不一致的，以大写金额为准；</w:t>
      </w:r>
    </w:p>
    <w:p w14:paraId="33B32CB2">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（2）</w:t>
      </w:r>
      <w:r>
        <w:rPr>
          <w:rFonts w:hint="eastAsia" w:ascii="宋体" w:hAnsi="宋体"/>
          <w:color w:val="auto"/>
          <w:kern w:val="0"/>
          <w:szCs w:val="21"/>
          <w:highlight w:val="none"/>
        </w:rPr>
        <w:t>投标函中的总报价与已标价工程量清单总报价不一致，或工程量清单总报价与依据单价、工程数量、分部分项工程合价计算出的结果</w:t>
      </w:r>
      <w:r>
        <w:rPr>
          <w:rFonts w:ascii="宋体" w:hAnsi="宋体"/>
          <w:color w:val="auto"/>
          <w:kern w:val="0"/>
          <w:szCs w:val="21"/>
          <w:highlight w:val="none"/>
        </w:rPr>
        <w:t>不一致的，</w:t>
      </w:r>
      <w:r>
        <w:rPr>
          <w:rFonts w:hint="eastAsia" w:ascii="宋体" w:hAnsi="宋体"/>
          <w:color w:val="auto"/>
          <w:kern w:val="0"/>
          <w:szCs w:val="21"/>
          <w:highlight w:val="none"/>
        </w:rPr>
        <w:t>由评标委员会作否决投标处理</w:t>
      </w:r>
      <w:r>
        <w:rPr>
          <w:rFonts w:ascii="宋体" w:hAnsi="宋体"/>
          <w:color w:val="auto"/>
          <w:kern w:val="0"/>
          <w:szCs w:val="21"/>
          <w:highlight w:val="none"/>
        </w:rPr>
        <w:t>。</w:t>
      </w:r>
    </w:p>
    <w:p w14:paraId="5B590EBB">
      <w:pPr>
        <w:pStyle w:val="5"/>
        <w:snapToGrid w:val="0"/>
        <w:spacing w:before="0" w:after="0" w:line="360" w:lineRule="auto"/>
        <w:rPr>
          <w:rFonts w:ascii="宋体" w:hAnsi="宋体"/>
          <w:b w:val="0"/>
          <w:snapToGrid w:val="0"/>
          <w:color w:val="auto"/>
          <w:sz w:val="24"/>
          <w:szCs w:val="24"/>
          <w:highlight w:val="none"/>
        </w:rPr>
      </w:pPr>
      <w:bookmarkStart w:id="552" w:name="_Toc277082624"/>
      <w:bookmarkStart w:id="553" w:name="_Toc200513204"/>
      <w:bookmarkStart w:id="554" w:name="_Toc430530506"/>
      <w:bookmarkStart w:id="555" w:name="_Toc287607818"/>
      <w:bookmarkStart w:id="556" w:name="_Toc287620757"/>
      <w:bookmarkStart w:id="557" w:name="_Toc117005240"/>
      <w:bookmarkStart w:id="558" w:name="_Toc509218782"/>
      <w:bookmarkStart w:id="559" w:name="_Toc224103390"/>
      <w:r>
        <w:rPr>
          <w:rFonts w:ascii="宋体" w:hAnsi="宋体"/>
          <w:b w:val="0"/>
          <w:snapToGrid w:val="0"/>
          <w:color w:val="auto"/>
          <w:sz w:val="24"/>
          <w:szCs w:val="24"/>
          <w:highlight w:val="none"/>
        </w:rPr>
        <w:t>3.2  详细评审</w:t>
      </w:r>
      <w:bookmarkEnd w:id="552"/>
      <w:bookmarkEnd w:id="553"/>
      <w:bookmarkEnd w:id="554"/>
      <w:bookmarkEnd w:id="555"/>
      <w:bookmarkEnd w:id="556"/>
      <w:bookmarkEnd w:id="557"/>
      <w:bookmarkEnd w:id="558"/>
      <w:bookmarkEnd w:id="559"/>
    </w:p>
    <w:p w14:paraId="19FA2CF2">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3.2.1  评标委员会按本章第2.2款规定的量化因素和分值进行</w:t>
      </w:r>
      <w:r>
        <w:rPr>
          <w:rFonts w:hint="eastAsia" w:ascii="宋体" w:hAnsi="宋体"/>
          <w:color w:val="auto"/>
          <w:kern w:val="0"/>
          <w:szCs w:val="21"/>
          <w:highlight w:val="none"/>
        </w:rPr>
        <w:t>评分</w:t>
      </w:r>
      <w:r>
        <w:rPr>
          <w:rFonts w:ascii="宋体" w:hAnsi="宋体"/>
          <w:color w:val="auto"/>
          <w:kern w:val="0"/>
          <w:szCs w:val="21"/>
          <w:highlight w:val="none"/>
        </w:rPr>
        <w:t>，并计算出综合评估得分。</w:t>
      </w:r>
    </w:p>
    <w:p w14:paraId="5164BA90">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w:t>
      </w:r>
      <w:r>
        <w:rPr>
          <w:rFonts w:hint="eastAsia" w:ascii="宋体" w:hAnsi="宋体"/>
          <w:color w:val="auto"/>
          <w:kern w:val="0"/>
          <w:szCs w:val="21"/>
          <w:highlight w:val="none"/>
        </w:rPr>
        <w:t>1</w:t>
      </w:r>
      <w:r>
        <w:rPr>
          <w:rFonts w:ascii="宋体" w:hAnsi="宋体"/>
          <w:color w:val="auto"/>
          <w:kern w:val="0"/>
          <w:szCs w:val="21"/>
          <w:highlight w:val="none"/>
        </w:rPr>
        <w:t>）按本章第3.2.1（</w:t>
      </w:r>
      <w:r>
        <w:rPr>
          <w:rFonts w:hint="eastAsia" w:ascii="宋体" w:hAnsi="宋体"/>
          <w:color w:val="auto"/>
          <w:kern w:val="0"/>
          <w:szCs w:val="21"/>
          <w:highlight w:val="none"/>
        </w:rPr>
        <w:t>1</w:t>
      </w:r>
      <w:r>
        <w:rPr>
          <w:rFonts w:ascii="宋体" w:hAnsi="宋体"/>
          <w:color w:val="auto"/>
          <w:kern w:val="0"/>
          <w:szCs w:val="21"/>
          <w:highlight w:val="none"/>
        </w:rPr>
        <w:t>）目规定的评审因素和分值对技术</w:t>
      </w:r>
      <w:r>
        <w:rPr>
          <w:rFonts w:hint="eastAsia" w:ascii="宋体" w:hAnsi="宋体"/>
          <w:color w:val="auto"/>
          <w:kern w:val="0"/>
          <w:szCs w:val="21"/>
          <w:highlight w:val="none"/>
        </w:rPr>
        <w:t>部分</w:t>
      </w:r>
      <w:r>
        <w:rPr>
          <w:rFonts w:ascii="宋体" w:hAnsi="宋体"/>
          <w:color w:val="auto"/>
          <w:kern w:val="0"/>
          <w:szCs w:val="21"/>
          <w:highlight w:val="none"/>
        </w:rPr>
        <w:t>计算出得分</w:t>
      </w:r>
      <w:r>
        <w:rPr>
          <w:rFonts w:hint="eastAsia" w:ascii="宋体" w:hAnsi="宋体"/>
          <w:color w:val="auto"/>
          <w:kern w:val="0"/>
          <w:szCs w:val="21"/>
          <w:highlight w:val="none"/>
        </w:rPr>
        <w:t>A（</w:t>
      </w:r>
      <w:r>
        <w:rPr>
          <w:rFonts w:ascii="宋体" w:hAnsi="宋体"/>
          <w:snapToGrid w:val="0"/>
          <w:color w:val="auto"/>
          <w:kern w:val="0"/>
          <w:szCs w:val="21"/>
          <w:highlight w:val="none"/>
        </w:rPr>
        <w:t>所有评委</w:t>
      </w:r>
      <w:r>
        <w:rPr>
          <w:rFonts w:hint="eastAsia" w:ascii="宋体" w:hAnsi="宋体"/>
          <w:snapToGrid w:val="0"/>
          <w:color w:val="auto"/>
          <w:kern w:val="0"/>
          <w:szCs w:val="21"/>
          <w:highlight w:val="none"/>
        </w:rPr>
        <w:t>评分</w:t>
      </w:r>
      <w:r>
        <w:rPr>
          <w:rFonts w:ascii="宋体" w:hAnsi="宋体"/>
          <w:snapToGrid w:val="0"/>
          <w:color w:val="auto"/>
          <w:kern w:val="0"/>
          <w:szCs w:val="21"/>
          <w:highlight w:val="none"/>
        </w:rPr>
        <w:t>中去掉一个最高和一个最低分，余下评委</w:t>
      </w:r>
      <w:r>
        <w:rPr>
          <w:rFonts w:hint="eastAsia" w:ascii="宋体" w:hAnsi="宋体"/>
          <w:snapToGrid w:val="0"/>
          <w:color w:val="auto"/>
          <w:kern w:val="0"/>
          <w:szCs w:val="21"/>
          <w:highlight w:val="none"/>
        </w:rPr>
        <w:t>评分</w:t>
      </w:r>
      <w:r>
        <w:rPr>
          <w:rFonts w:ascii="宋体" w:hAnsi="宋体"/>
          <w:snapToGrid w:val="0"/>
          <w:color w:val="auto"/>
          <w:kern w:val="0"/>
          <w:szCs w:val="21"/>
          <w:highlight w:val="none"/>
        </w:rPr>
        <w:t>取算术平均值为该投标人技术</w:t>
      </w:r>
      <w:r>
        <w:rPr>
          <w:rFonts w:hint="eastAsia" w:ascii="宋体" w:hAnsi="宋体"/>
          <w:snapToGrid w:val="0"/>
          <w:color w:val="auto"/>
          <w:kern w:val="0"/>
          <w:szCs w:val="21"/>
          <w:highlight w:val="none"/>
        </w:rPr>
        <w:t>部分</w:t>
      </w:r>
      <w:r>
        <w:rPr>
          <w:rFonts w:ascii="宋体" w:hAnsi="宋体"/>
          <w:snapToGrid w:val="0"/>
          <w:color w:val="auto"/>
          <w:kern w:val="0"/>
          <w:szCs w:val="21"/>
          <w:highlight w:val="none"/>
        </w:rPr>
        <w:t>得分。</w:t>
      </w:r>
      <w:r>
        <w:rPr>
          <w:rFonts w:ascii="宋体" w:hAnsi="宋体"/>
          <w:color w:val="auto"/>
          <w:kern w:val="0"/>
          <w:szCs w:val="21"/>
          <w:highlight w:val="none"/>
        </w:rPr>
        <w:t>）</w:t>
      </w:r>
    </w:p>
    <w:p w14:paraId="507624E7">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w:t>
      </w:r>
      <w:r>
        <w:rPr>
          <w:rFonts w:hint="eastAsia" w:ascii="宋体" w:hAnsi="宋体"/>
          <w:color w:val="auto"/>
          <w:kern w:val="0"/>
          <w:szCs w:val="21"/>
          <w:highlight w:val="none"/>
        </w:rPr>
        <w:t>2</w:t>
      </w:r>
      <w:r>
        <w:rPr>
          <w:rFonts w:ascii="宋体" w:hAnsi="宋体"/>
          <w:color w:val="auto"/>
          <w:kern w:val="0"/>
          <w:szCs w:val="21"/>
          <w:highlight w:val="none"/>
        </w:rPr>
        <w:t>）按本章第3.2.1（</w:t>
      </w:r>
      <w:r>
        <w:rPr>
          <w:rFonts w:hint="eastAsia" w:ascii="宋体" w:hAnsi="宋体"/>
          <w:color w:val="auto"/>
          <w:kern w:val="0"/>
          <w:szCs w:val="21"/>
          <w:highlight w:val="none"/>
        </w:rPr>
        <w:t>2</w:t>
      </w:r>
      <w:r>
        <w:rPr>
          <w:rFonts w:ascii="宋体" w:hAnsi="宋体"/>
          <w:color w:val="auto"/>
          <w:kern w:val="0"/>
          <w:szCs w:val="21"/>
          <w:highlight w:val="none"/>
        </w:rPr>
        <w:t>）目规定的评审因素和分值对投标总报价计算出得分</w:t>
      </w:r>
      <w:r>
        <w:rPr>
          <w:rFonts w:hint="eastAsia" w:ascii="宋体" w:hAnsi="宋体"/>
          <w:color w:val="auto"/>
          <w:kern w:val="0"/>
          <w:szCs w:val="21"/>
          <w:highlight w:val="none"/>
        </w:rPr>
        <w:t>B。</w:t>
      </w:r>
    </w:p>
    <w:p w14:paraId="3A33E497">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3.2.2  各类评分分值的最终计算结果保留小数点后两位，小数点后第三位“四舍五入”。</w:t>
      </w:r>
    </w:p>
    <w:p w14:paraId="5511B1FA">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3.2.3  投标人得分=A+B</w:t>
      </w:r>
      <w:r>
        <w:rPr>
          <w:rFonts w:hint="eastAsia" w:ascii="宋体" w:hAnsi="宋体"/>
          <w:color w:val="auto"/>
          <w:kern w:val="0"/>
          <w:szCs w:val="21"/>
          <w:highlight w:val="none"/>
        </w:rPr>
        <w:t>。</w:t>
      </w:r>
    </w:p>
    <w:p w14:paraId="62F5AC18">
      <w:pPr>
        <w:pStyle w:val="5"/>
        <w:snapToGrid w:val="0"/>
        <w:spacing w:before="0" w:after="0" w:line="360" w:lineRule="auto"/>
        <w:rPr>
          <w:rFonts w:ascii="宋体" w:hAnsi="宋体"/>
          <w:b w:val="0"/>
          <w:snapToGrid w:val="0"/>
          <w:color w:val="auto"/>
          <w:sz w:val="24"/>
          <w:szCs w:val="24"/>
          <w:highlight w:val="none"/>
        </w:rPr>
      </w:pPr>
      <w:bookmarkStart w:id="560" w:name="_Toc224103391"/>
      <w:bookmarkStart w:id="561" w:name="_Toc287607819"/>
      <w:bookmarkStart w:id="562" w:name="_Toc200513205"/>
      <w:bookmarkStart w:id="563" w:name="_Toc430530507"/>
      <w:bookmarkStart w:id="564" w:name="_Toc287620758"/>
      <w:bookmarkStart w:id="565" w:name="_Toc277082625"/>
      <w:bookmarkStart w:id="566" w:name="_Toc117005241"/>
      <w:bookmarkStart w:id="567" w:name="_Toc509218783"/>
      <w:r>
        <w:rPr>
          <w:rFonts w:ascii="宋体" w:hAnsi="宋体"/>
          <w:b w:val="0"/>
          <w:snapToGrid w:val="0"/>
          <w:color w:val="auto"/>
          <w:sz w:val="24"/>
          <w:szCs w:val="24"/>
          <w:highlight w:val="none"/>
        </w:rPr>
        <w:t>3.3  投标文件的澄清和补正</w:t>
      </w:r>
      <w:bookmarkEnd w:id="560"/>
      <w:bookmarkEnd w:id="561"/>
      <w:bookmarkEnd w:id="562"/>
      <w:bookmarkEnd w:id="563"/>
      <w:bookmarkEnd w:id="564"/>
      <w:bookmarkEnd w:id="565"/>
      <w:bookmarkEnd w:id="566"/>
      <w:bookmarkEnd w:id="567"/>
    </w:p>
    <w:p w14:paraId="47672C8A">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3.3.1  在评标过程中，评标委员会可以书面形式要求投标人对所提交投标文件中不明确的内容进行书面澄清或说明，或者对细微偏差进行补正。评标委员会不接受投标人主动提出的澄清、说明或补正。</w:t>
      </w:r>
    </w:p>
    <w:p w14:paraId="7C23E7D6">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3.3.2  澄清、说明和补正不得改变投标文件的实质性内容（算术性错误修正的除外）。投标人的书面澄清、说明和补正属于投标文件的组成部分。</w:t>
      </w:r>
    </w:p>
    <w:p w14:paraId="3B77AB54">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3.3.3  评标委员会对投标人提交的澄清、说明或补正有疑问的，可以要求投标人进一步澄清、说明或补正，直至满足评标委员会的要求。</w:t>
      </w:r>
    </w:p>
    <w:p w14:paraId="3B86067E">
      <w:pPr>
        <w:pStyle w:val="5"/>
        <w:snapToGrid w:val="0"/>
        <w:spacing w:before="0" w:after="0" w:line="360" w:lineRule="auto"/>
        <w:rPr>
          <w:rFonts w:ascii="宋体" w:hAnsi="宋体"/>
          <w:b w:val="0"/>
          <w:snapToGrid w:val="0"/>
          <w:color w:val="auto"/>
          <w:sz w:val="24"/>
          <w:szCs w:val="24"/>
          <w:highlight w:val="none"/>
        </w:rPr>
      </w:pPr>
      <w:bookmarkStart w:id="568" w:name="_Toc287607820"/>
      <w:bookmarkStart w:id="569" w:name="_Toc277082626"/>
      <w:bookmarkStart w:id="570" w:name="_Toc430530508"/>
      <w:bookmarkStart w:id="571" w:name="_Toc509218784"/>
      <w:bookmarkStart w:id="572" w:name="_Toc287620759"/>
      <w:bookmarkStart w:id="573" w:name="_Toc117005242"/>
      <w:bookmarkStart w:id="574" w:name="_Toc200513206"/>
      <w:bookmarkStart w:id="575" w:name="_Toc224103392"/>
      <w:r>
        <w:rPr>
          <w:rFonts w:ascii="宋体" w:hAnsi="宋体"/>
          <w:b w:val="0"/>
          <w:snapToGrid w:val="0"/>
          <w:color w:val="auto"/>
          <w:sz w:val="24"/>
          <w:szCs w:val="24"/>
          <w:highlight w:val="none"/>
        </w:rPr>
        <w:t>3.4  评标结果</w:t>
      </w:r>
      <w:bookmarkEnd w:id="568"/>
      <w:bookmarkEnd w:id="569"/>
      <w:bookmarkEnd w:id="570"/>
      <w:bookmarkEnd w:id="571"/>
      <w:bookmarkEnd w:id="572"/>
      <w:bookmarkEnd w:id="573"/>
      <w:bookmarkEnd w:id="574"/>
      <w:bookmarkEnd w:id="575"/>
    </w:p>
    <w:p w14:paraId="67311D38">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w:t>
      </w:r>
      <w:r>
        <w:rPr>
          <w:rFonts w:ascii="宋体" w:hAnsi="宋体"/>
          <w:color w:val="auto"/>
          <w:spacing w:val="-1"/>
          <w:kern w:val="0"/>
          <w:szCs w:val="21"/>
          <w:highlight w:val="none"/>
        </w:rPr>
        <w:t>4</w:t>
      </w:r>
      <w:r>
        <w:rPr>
          <w:rFonts w:ascii="宋体" w:hAnsi="宋体"/>
          <w:color w:val="auto"/>
          <w:kern w:val="0"/>
          <w:szCs w:val="21"/>
          <w:highlight w:val="none"/>
        </w:rPr>
        <w:t xml:space="preserve">.1 </w:t>
      </w:r>
      <w:r>
        <w:rPr>
          <w:rFonts w:ascii="宋体" w:hAnsi="宋体"/>
          <w:color w:val="auto"/>
          <w:spacing w:val="1"/>
          <w:kern w:val="0"/>
          <w:szCs w:val="21"/>
          <w:highlight w:val="none"/>
        </w:rPr>
        <w:t xml:space="preserve"> </w:t>
      </w:r>
      <w:r>
        <w:rPr>
          <w:rFonts w:ascii="宋体" w:hAnsi="宋体"/>
          <w:color w:val="auto"/>
          <w:kern w:val="0"/>
          <w:szCs w:val="21"/>
          <w:highlight w:val="none"/>
        </w:rPr>
        <w:t>除第二章“投标</w:t>
      </w:r>
      <w:r>
        <w:rPr>
          <w:rFonts w:ascii="宋体" w:hAnsi="宋体"/>
          <w:color w:val="auto"/>
          <w:spacing w:val="1"/>
          <w:kern w:val="0"/>
          <w:szCs w:val="21"/>
          <w:highlight w:val="none"/>
        </w:rPr>
        <w:t>人</w:t>
      </w:r>
      <w:r>
        <w:rPr>
          <w:rFonts w:ascii="宋体" w:hAnsi="宋体"/>
          <w:color w:val="auto"/>
          <w:kern w:val="0"/>
          <w:szCs w:val="21"/>
          <w:highlight w:val="none"/>
        </w:rPr>
        <w:t>须知”前</w:t>
      </w:r>
      <w:r>
        <w:rPr>
          <w:rFonts w:ascii="宋体" w:hAnsi="宋体"/>
          <w:color w:val="auto"/>
          <w:spacing w:val="1"/>
          <w:kern w:val="0"/>
          <w:szCs w:val="21"/>
          <w:highlight w:val="none"/>
        </w:rPr>
        <w:t>附</w:t>
      </w:r>
      <w:r>
        <w:rPr>
          <w:rFonts w:ascii="宋体" w:hAnsi="宋体"/>
          <w:color w:val="auto"/>
          <w:kern w:val="0"/>
          <w:szCs w:val="21"/>
          <w:highlight w:val="none"/>
        </w:rPr>
        <w:t>表授权直</w:t>
      </w:r>
      <w:r>
        <w:rPr>
          <w:rFonts w:ascii="宋体" w:hAnsi="宋体"/>
          <w:color w:val="auto"/>
          <w:spacing w:val="1"/>
          <w:kern w:val="0"/>
          <w:szCs w:val="21"/>
          <w:highlight w:val="none"/>
        </w:rPr>
        <w:t>接</w:t>
      </w:r>
      <w:r>
        <w:rPr>
          <w:rFonts w:ascii="宋体" w:hAnsi="宋体"/>
          <w:color w:val="auto"/>
          <w:kern w:val="0"/>
          <w:szCs w:val="21"/>
          <w:highlight w:val="none"/>
        </w:rPr>
        <w:t>确定中标</w:t>
      </w:r>
      <w:r>
        <w:rPr>
          <w:rFonts w:ascii="宋体" w:hAnsi="宋体"/>
          <w:color w:val="auto"/>
          <w:spacing w:val="1"/>
          <w:kern w:val="0"/>
          <w:szCs w:val="21"/>
          <w:highlight w:val="none"/>
        </w:rPr>
        <w:t>人</w:t>
      </w:r>
      <w:r>
        <w:rPr>
          <w:rFonts w:ascii="宋体" w:hAnsi="宋体"/>
          <w:color w:val="auto"/>
          <w:kern w:val="0"/>
          <w:szCs w:val="21"/>
          <w:highlight w:val="none"/>
        </w:rPr>
        <w:t>外，评标</w:t>
      </w:r>
      <w:r>
        <w:rPr>
          <w:rFonts w:ascii="宋体" w:hAnsi="宋体"/>
          <w:color w:val="auto"/>
          <w:spacing w:val="1"/>
          <w:kern w:val="0"/>
          <w:szCs w:val="21"/>
          <w:highlight w:val="none"/>
        </w:rPr>
        <w:t>委</w:t>
      </w:r>
      <w:r>
        <w:rPr>
          <w:rFonts w:ascii="宋体" w:hAnsi="宋体"/>
          <w:color w:val="auto"/>
          <w:kern w:val="0"/>
          <w:szCs w:val="21"/>
          <w:highlight w:val="none"/>
        </w:rPr>
        <w:t>员会按照</w:t>
      </w:r>
      <w:r>
        <w:rPr>
          <w:rFonts w:ascii="宋体" w:hAnsi="宋体"/>
          <w:color w:val="auto"/>
          <w:spacing w:val="1"/>
          <w:kern w:val="0"/>
          <w:szCs w:val="21"/>
          <w:highlight w:val="none"/>
        </w:rPr>
        <w:t>得分</w:t>
      </w:r>
      <w:r>
        <w:rPr>
          <w:rFonts w:ascii="宋体" w:hAnsi="宋体"/>
          <w:color w:val="auto"/>
          <w:kern w:val="0"/>
          <w:szCs w:val="21"/>
          <w:highlight w:val="none"/>
        </w:rPr>
        <w:t>由高到低的顺序推荐中标候选人。</w:t>
      </w:r>
    </w:p>
    <w:p w14:paraId="2C6DA360">
      <w:pPr>
        <w:autoSpaceDE w:val="0"/>
        <w:autoSpaceDN w:val="0"/>
        <w:adjustRightInd w:val="0"/>
        <w:snapToGrid w:val="0"/>
        <w:spacing w:line="360" w:lineRule="auto"/>
        <w:ind w:firstLine="424" w:firstLineChars="200"/>
        <w:rPr>
          <w:rFonts w:ascii="宋体" w:hAnsi="宋体"/>
          <w:color w:val="auto"/>
          <w:kern w:val="0"/>
          <w:sz w:val="20"/>
          <w:szCs w:val="20"/>
          <w:highlight w:val="none"/>
        </w:rPr>
      </w:pPr>
      <w:r>
        <w:rPr>
          <w:rFonts w:ascii="宋体" w:hAnsi="宋体"/>
          <w:color w:val="auto"/>
          <w:spacing w:val="1"/>
          <w:kern w:val="0"/>
          <w:szCs w:val="21"/>
          <w:highlight w:val="none"/>
        </w:rPr>
        <w:t>3</w:t>
      </w:r>
      <w:r>
        <w:rPr>
          <w:rFonts w:ascii="宋体" w:hAnsi="宋体"/>
          <w:color w:val="auto"/>
          <w:kern w:val="0"/>
          <w:szCs w:val="21"/>
          <w:highlight w:val="none"/>
        </w:rPr>
        <w:t>.4.2  评标</w:t>
      </w:r>
      <w:r>
        <w:rPr>
          <w:rFonts w:ascii="宋体" w:hAnsi="宋体"/>
          <w:color w:val="auto"/>
          <w:spacing w:val="-1"/>
          <w:kern w:val="0"/>
          <w:szCs w:val="21"/>
          <w:highlight w:val="none"/>
        </w:rPr>
        <w:t>委</w:t>
      </w:r>
      <w:r>
        <w:rPr>
          <w:rFonts w:ascii="宋体" w:hAnsi="宋体"/>
          <w:color w:val="auto"/>
          <w:kern w:val="0"/>
          <w:szCs w:val="21"/>
          <w:highlight w:val="none"/>
        </w:rPr>
        <w:t>员会完成评标后，应当向招标人提交书面评标报告。</w:t>
      </w:r>
    </w:p>
    <w:p w14:paraId="0F80A539">
      <w:pPr>
        <w:spacing w:line="360" w:lineRule="auto"/>
        <w:rPr>
          <w:rFonts w:ascii="宋体" w:hAnsi="宋体"/>
          <w:b/>
          <w:color w:val="auto"/>
          <w:szCs w:val="20"/>
          <w:highlight w:val="none"/>
        </w:rPr>
      </w:pPr>
      <w:r>
        <w:rPr>
          <w:rFonts w:ascii="宋体" w:hAnsi="宋体"/>
          <w:color w:val="auto"/>
          <w:kern w:val="0"/>
          <w:sz w:val="20"/>
          <w:szCs w:val="20"/>
          <w:highlight w:val="none"/>
        </w:rPr>
        <w:br w:type="page"/>
      </w:r>
    </w:p>
    <w:p w14:paraId="6C6786DB">
      <w:pPr>
        <w:pStyle w:val="33"/>
        <w:spacing w:line="360" w:lineRule="auto"/>
        <w:rPr>
          <w:rFonts w:ascii="宋体" w:hAnsi="宋体"/>
          <w:b/>
          <w:color w:val="auto"/>
          <w:sz w:val="28"/>
          <w:szCs w:val="28"/>
          <w:highlight w:val="none"/>
          <w:u w:val="none"/>
          <w:lang w:eastAsia="zh-CN"/>
        </w:rPr>
      </w:pPr>
      <w:bookmarkStart w:id="576" w:name="招标文件04章合同条款及格式"/>
      <w:bookmarkEnd w:id="576"/>
      <w:bookmarkStart w:id="577" w:name="招标文件03章02评标办法综合评估法02附件02"/>
      <w:bookmarkEnd w:id="577"/>
      <w:bookmarkStart w:id="578" w:name="_Toc230410480"/>
      <w:bookmarkStart w:id="579" w:name="_Toc277082627"/>
      <w:r>
        <w:rPr>
          <w:rFonts w:ascii="宋体" w:hAnsi="宋体"/>
          <w:b/>
          <w:color w:val="auto"/>
          <w:sz w:val="28"/>
          <w:szCs w:val="28"/>
          <w:highlight w:val="none"/>
          <w:u w:val="none"/>
          <w:lang w:eastAsia="zh-CN"/>
        </w:rPr>
        <w:t>附件A：综合评估法否决投标情况一览表</w:t>
      </w:r>
      <w:bookmarkEnd w:id="578"/>
    </w:p>
    <w:bookmarkEnd w:id="579"/>
    <w:p w14:paraId="1750A0C5">
      <w:pPr>
        <w:pStyle w:val="33"/>
        <w:spacing w:line="360" w:lineRule="auto"/>
        <w:ind w:firstLine="420" w:firstLineChars="200"/>
        <w:jc w:val="both"/>
        <w:rPr>
          <w:rFonts w:ascii="宋体" w:hAnsi="宋体"/>
          <w:color w:val="auto"/>
          <w:sz w:val="21"/>
          <w:szCs w:val="21"/>
          <w:highlight w:val="none"/>
          <w:u w:val="none"/>
          <w:lang w:eastAsia="zh-CN"/>
        </w:rPr>
      </w:pPr>
      <w:r>
        <w:rPr>
          <w:rFonts w:hint="eastAsia" w:ascii="宋体" w:hAnsi="宋体"/>
          <w:color w:val="auto"/>
          <w:sz w:val="21"/>
          <w:szCs w:val="21"/>
          <w:highlight w:val="none"/>
          <w:u w:val="none"/>
          <w:lang w:eastAsia="zh-CN"/>
        </w:rPr>
        <w:t>投标文件存在本一览表下列情形之一的，投标文件视为重大偏差并作否决投标处理，否则，评标委员会不得视为重大偏差而否决投标人的投标文件</w:t>
      </w:r>
      <w:r>
        <w:rPr>
          <w:rFonts w:ascii="宋体" w:hAnsi="宋体"/>
          <w:color w:val="auto"/>
          <w:sz w:val="21"/>
          <w:szCs w:val="21"/>
          <w:highlight w:val="none"/>
          <w:u w:val="none"/>
          <w:lang w:eastAsia="zh-CN"/>
        </w:rPr>
        <w:t>。</w:t>
      </w:r>
    </w:p>
    <w:tbl>
      <w:tblPr>
        <w:tblStyle w:val="46"/>
        <w:tblW w:w="946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1237"/>
        <w:gridCol w:w="1899"/>
        <w:gridCol w:w="6333"/>
      </w:tblGrid>
      <w:tr w14:paraId="1AB7CFC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Align w:val="center"/>
          </w:tcPr>
          <w:p w14:paraId="787AF8FE">
            <w:pPr>
              <w:spacing w:line="400" w:lineRule="exact"/>
              <w:jc w:val="center"/>
              <w:rPr>
                <w:rFonts w:ascii="宋体" w:hAnsi="宋体"/>
                <w:b/>
                <w:color w:val="auto"/>
                <w:szCs w:val="21"/>
                <w:highlight w:val="none"/>
              </w:rPr>
            </w:pPr>
            <w:r>
              <w:rPr>
                <w:rFonts w:ascii="宋体" w:hAnsi="宋体"/>
                <w:b/>
                <w:color w:val="auto"/>
                <w:szCs w:val="21"/>
                <w:highlight w:val="none"/>
              </w:rPr>
              <w:t>章节号</w:t>
            </w:r>
          </w:p>
        </w:tc>
        <w:tc>
          <w:tcPr>
            <w:tcW w:w="1899" w:type="dxa"/>
            <w:vAlign w:val="center"/>
          </w:tcPr>
          <w:p w14:paraId="6FAFC1A1">
            <w:pPr>
              <w:spacing w:line="400" w:lineRule="exact"/>
              <w:jc w:val="center"/>
              <w:rPr>
                <w:rFonts w:ascii="宋体" w:hAnsi="宋体"/>
                <w:b/>
                <w:color w:val="auto"/>
                <w:szCs w:val="21"/>
                <w:highlight w:val="none"/>
              </w:rPr>
            </w:pPr>
            <w:r>
              <w:rPr>
                <w:rFonts w:ascii="宋体" w:hAnsi="宋体"/>
                <w:b/>
                <w:color w:val="auto"/>
                <w:szCs w:val="21"/>
                <w:highlight w:val="none"/>
              </w:rPr>
              <w:t>条款名称</w:t>
            </w:r>
          </w:p>
        </w:tc>
        <w:tc>
          <w:tcPr>
            <w:tcW w:w="6333" w:type="dxa"/>
            <w:vAlign w:val="center"/>
          </w:tcPr>
          <w:p w14:paraId="0649C648">
            <w:pPr>
              <w:spacing w:line="400" w:lineRule="exact"/>
              <w:jc w:val="center"/>
              <w:rPr>
                <w:rFonts w:ascii="宋体" w:hAnsi="宋体"/>
                <w:b/>
                <w:color w:val="auto"/>
                <w:szCs w:val="21"/>
                <w:highlight w:val="none"/>
              </w:rPr>
            </w:pPr>
            <w:r>
              <w:rPr>
                <w:rFonts w:ascii="宋体" w:hAnsi="宋体"/>
                <w:b/>
                <w:color w:val="auto"/>
                <w:szCs w:val="21"/>
                <w:highlight w:val="none"/>
              </w:rPr>
              <w:t>否决投标条件</w:t>
            </w:r>
          </w:p>
        </w:tc>
      </w:tr>
      <w:tr w14:paraId="3B1B7DF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restart"/>
            <w:vAlign w:val="center"/>
          </w:tcPr>
          <w:p w14:paraId="16530C6C">
            <w:pPr>
              <w:spacing w:line="400" w:lineRule="exact"/>
              <w:jc w:val="center"/>
              <w:rPr>
                <w:rFonts w:ascii="宋体" w:hAnsi="宋体"/>
                <w:color w:val="auto"/>
                <w:szCs w:val="21"/>
                <w:highlight w:val="none"/>
              </w:rPr>
            </w:pPr>
            <w:r>
              <w:rPr>
                <w:rFonts w:hint="eastAsia" w:ascii="宋体" w:hAnsi="宋体"/>
                <w:color w:val="auto"/>
                <w:szCs w:val="21"/>
                <w:highlight w:val="none"/>
              </w:rPr>
              <w:t>第三章</w:t>
            </w:r>
          </w:p>
        </w:tc>
        <w:tc>
          <w:tcPr>
            <w:tcW w:w="1899" w:type="dxa"/>
            <w:vMerge w:val="restart"/>
            <w:vAlign w:val="center"/>
          </w:tcPr>
          <w:p w14:paraId="27A073B5">
            <w:pPr>
              <w:spacing w:line="400" w:lineRule="exact"/>
              <w:jc w:val="center"/>
              <w:rPr>
                <w:rFonts w:ascii="宋体" w:hAnsi="宋体"/>
                <w:color w:val="auto"/>
                <w:szCs w:val="21"/>
                <w:highlight w:val="none"/>
              </w:rPr>
            </w:pPr>
            <w:r>
              <w:rPr>
                <w:rFonts w:hint="eastAsia" w:ascii="宋体" w:hAnsi="宋体"/>
                <w:color w:val="auto"/>
                <w:szCs w:val="21"/>
                <w:highlight w:val="none"/>
              </w:rPr>
              <w:t>资格评审</w:t>
            </w:r>
          </w:p>
        </w:tc>
        <w:tc>
          <w:tcPr>
            <w:tcW w:w="6333" w:type="dxa"/>
            <w:vAlign w:val="center"/>
          </w:tcPr>
          <w:p w14:paraId="6BD8309A">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A-1投标人的资质条件、营业执照及安全生产条件须满足投标人须知前附表1.4.1项的要求，否则由评标委员会作否决投标处理。</w:t>
            </w:r>
          </w:p>
        </w:tc>
      </w:tr>
      <w:tr w14:paraId="7217CE8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14:paraId="6F32B0BA">
            <w:pPr>
              <w:spacing w:line="400" w:lineRule="exact"/>
              <w:jc w:val="center"/>
              <w:rPr>
                <w:rFonts w:ascii="宋体" w:hAnsi="宋体"/>
                <w:color w:val="auto"/>
                <w:szCs w:val="21"/>
                <w:highlight w:val="none"/>
              </w:rPr>
            </w:pPr>
          </w:p>
        </w:tc>
        <w:tc>
          <w:tcPr>
            <w:tcW w:w="1899" w:type="dxa"/>
            <w:vMerge w:val="continue"/>
            <w:vAlign w:val="center"/>
          </w:tcPr>
          <w:p w14:paraId="70181876">
            <w:pPr>
              <w:spacing w:line="400" w:lineRule="exact"/>
              <w:jc w:val="center"/>
              <w:rPr>
                <w:rFonts w:ascii="宋体" w:hAnsi="宋体"/>
                <w:color w:val="auto"/>
                <w:szCs w:val="21"/>
                <w:highlight w:val="none"/>
              </w:rPr>
            </w:pPr>
          </w:p>
        </w:tc>
        <w:tc>
          <w:tcPr>
            <w:tcW w:w="6333" w:type="dxa"/>
            <w:vAlign w:val="center"/>
          </w:tcPr>
          <w:p w14:paraId="2405E7D1">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A-2投标人的财务须满足投标人须知前附表第1.4.1项的要求，否则由评标委员会作否决投标处理（如有）。</w:t>
            </w:r>
          </w:p>
        </w:tc>
      </w:tr>
      <w:tr w14:paraId="7919EB0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14:paraId="3CA906CE">
            <w:pPr>
              <w:spacing w:line="400" w:lineRule="exact"/>
              <w:jc w:val="center"/>
              <w:rPr>
                <w:rFonts w:ascii="宋体" w:hAnsi="宋体"/>
                <w:color w:val="auto"/>
                <w:szCs w:val="21"/>
                <w:highlight w:val="none"/>
              </w:rPr>
            </w:pPr>
          </w:p>
        </w:tc>
        <w:tc>
          <w:tcPr>
            <w:tcW w:w="1899" w:type="dxa"/>
            <w:vMerge w:val="continue"/>
            <w:vAlign w:val="center"/>
          </w:tcPr>
          <w:p w14:paraId="65F5E5F0">
            <w:pPr>
              <w:spacing w:line="400" w:lineRule="exact"/>
              <w:jc w:val="center"/>
              <w:rPr>
                <w:rFonts w:ascii="宋体" w:hAnsi="宋体"/>
                <w:color w:val="auto"/>
                <w:szCs w:val="21"/>
                <w:highlight w:val="none"/>
              </w:rPr>
            </w:pPr>
          </w:p>
        </w:tc>
        <w:tc>
          <w:tcPr>
            <w:tcW w:w="6333" w:type="dxa"/>
            <w:vAlign w:val="center"/>
          </w:tcPr>
          <w:p w14:paraId="74A3A243">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A-3投标人的业绩须满足投标人须知前附表第1.4.1项的要求，否则由评标委员会作否决投标处理（如有）。</w:t>
            </w:r>
          </w:p>
        </w:tc>
      </w:tr>
      <w:tr w14:paraId="3F18FC8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14:paraId="5BA04C1D">
            <w:pPr>
              <w:spacing w:line="400" w:lineRule="exact"/>
              <w:jc w:val="center"/>
              <w:rPr>
                <w:rFonts w:ascii="宋体" w:hAnsi="宋体"/>
                <w:color w:val="auto"/>
                <w:szCs w:val="21"/>
                <w:highlight w:val="none"/>
              </w:rPr>
            </w:pPr>
          </w:p>
        </w:tc>
        <w:tc>
          <w:tcPr>
            <w:tcW w:w="1899" w:type="dxa"/>
            <w:vMerge w:val="continue"/>
            <w:vAlign w:val="center"/>
          </w:tcPr>
          <w:p w14:paraId="7B7032A6">
            <w:pPr>
              <w:spacing w:line="400" w:lineRule="exact"/>
              <w:jc w:val="center"/>
              <w:rPr>
                <w:rFonts w:ascii="宋体" w:hAnsi="宋体"/>
                <w:color w:val="auto"/>
                <w:szCs w:val="21"/>
                <w:highlight w:val="none"/>
              </w:rPr>
            </w:pPr>
          </w:p>
        </w:tc>
        <w:tc>
          <w:tcPr>
            <w:tcW w:w="6333" w:type="dxa"/>
            <w:vAlign w:val="center"/>
          </w:tcPr>
          <w:p w14:paraId="79B54B16">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A-4投标人的投标截止日投标资格情况须满足投标人须知前附表第1.4.1项的要求，否则由评标委员会作否决投标处理。</w:t>
            </w:r>
          </w:p>
        </w:tc>
      </w:tr>
      <w:tr w14:paraId="1E5A766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14:paraId="6232F148">
            <w:pPr>
              <w:spacing w:line="400" w:lineRule="exact"/>
              <w:jc w:val="center"/>
              <w:rPr>
                <w:rFonts w:ascii="宋体" w:hAnsi="宋体"/>
                <w:color w:val="auto"/>
                <w:szCs w:val="21"/>
                <w:highlight w:val="none"/>
              </w:rPr>
            </w:pPr>
          </w:p>
        </w:tc>
        <w:tc>
          <w:tcPr>
            <w:tcW w:w="1899" w:type="dxa"/>
            <w:vMerge w:val="continue"/>
            <w:vAlign w:val="center"/>
          </w:tcPr>
          <w:p w14:paraId="5A354A4A">
            <w:pPr>
              <w:spacing w:line="400" w:lineRule="exact"/>
              <w:jc w:val="center"/>
              <w:rPr>
                <w:rFonts w:ascii="宋体" w:hAnsi="宋体"/>
                <w:color w:val="auto"/>
                <w:szCs w:val="21"/>
                <w:highlight w:val="none"/>
              </w:rPr>
            </w:pPr>
          </w:p>
        </w:tc>
        <w:tc>
          <w:tcPr>
            <w:tcW w:w="6333" w:type="dxa"/>
            <w:vAlign w:val="center"/>
          </w:tcPr>
          <w:p w14:paraId="4B16376C">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A-5投标人的项目经理资格须满足投标人须知前附表第1.4.1项的要求，否则由评标委员会作否决投标处理。</w:t>
            </w:r>
          </w:p>
        </w:tc>
      </w:tr>
      <w:tr w14:paraId="41ED989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14:paraId="0E5386BC">
            <w:pPr>
              <w:spacing w:line="400" w:lineRule="exact"/>
              <w:jc w:val="center"/>
              <w:rPr>
                <w:rFonts w:ascii="宋体" w:hAnsi="宋体"/>
                <w:color w:val="auto"/>
                <w:szCs w:val="21"/>
                <w:highlight w:val="none"/>
              </w:rPr>
            </w:pPr>
          </w:p>
        </w:tc>
        <w:tc>
          <w:tcPr>
            <w:tcW w:w="1899" w:type="dxa"/>
            <w:vMerge w:val="continue"/>
            <w:vAlign w:val="center"/>
          </w:tcPr>
          <w:p w14:paraId="6174893F">
            <w:pPr>
              <w:spacing w:line="400" w:lineRule="exact"/>
              <w:jc w:val="center"/>
              <w:rPr>
                <w:rFonts w:ascii="宋体" w:hAnsi="宋体"/>
                <w:color w:val="auto"/>
                <w:szCs w:val="21"/>
                <w:highlight w:val="none"/>
              </w:rPr>
            </w:pPr>
          </w:p>
        </w:tc>
        <w:tc>
          <w:tcPr>
            <w:tcW w:w="6333" w:type="dxa"/>
            <w:vAlign w:val="center"/>
          </w:tcPr>
          <w:p w14:paraId="52815ACF">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A-6投标人的其他要求须满足投标人须知前附表1.4.1项的要求，否则由评标委员会作否决投标处理。</w:t>
            </w:r>
          </w:p>
        </w:tc>
      </w:tr>
      <w:tr w14:paraId="43B7DE4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14:paraId="6868E21E">
            <w:pPr>
              <w:spacing w:line="400" w:lineRule="exact"/>
              <w:jc w:val="center"/>
              <w:rPr>
                <w:rFonts w:ascii="宋体" w:hAnsi="宋体"/>
                <w:color w:val="auto"/>
                <w:szCs w:val="21"/>
                <w:highlight w:val="none"/>
              </w:rPr>
            </w:pPr>
          </w:p>
        </w:tc>
        <w:tc>
          <w:tcPr>
            <w:tcW w:w="1899" w:type="dxa"/>
            <w:vMerge w:val="continue"/>
            <w:vAlign w:val="center"/>
          </w:tcPr>
          <w:p w14:paraId="2E8983FB">
            <w:pPr>
              <w:spacing w:line="400" w:lineRule="exact"/>
              <w:jc w:val="center"/>
              <w:rPr>
                <w:rFonts w:ascii="宋体" w:hAnsi="宋体"/>
                <w:color w:val="auto"/>
                <w:szCs w:val="21"/>
                <w:highlight w:val="none"/>
              </w:rPr>
            </w:pPr>
          </w:p>
        </w:tc>
        <w:tc>
          <w:tcPr>
            <w:tcW w:w="6333" w:type="dxa"/>
            <w:vAlign w:val="center"/>
          </w:tcPr>
          <w:p w14:paraId="19CC4C94">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A-7：/。</w:t>
            </w:r>
          </w:p>
        </w:tc>
      </w:tr>
      <w:tr w14:paraId="3263B49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5DBD74BB">
            <w:pPr>
              <w:spacing w:line="400" w:lineRule="exact"/>
              <w:jc w:val="center"/>
              <w:rPr>
                <w:rFonts w:ascii="宋体" w:hAnsi="宋体"/>
                <w:color w:val="auto"/>
                <w:szCs w:val="21"/>
                <w:highlight w:val="none"/>
              </w:rPr>
            </w:pPr>
          </w:p>
        </w:tc>
        <w:tc>
          <w:tcPr>
            <w:tcW w:w="1899" w:type="dxa"/>
            <w:vMerge w:val="restart"/>
            <w:vAlign w:val="center"/>
          </w:tcPr>
          <w:p w14:paraId="773C2CD1">
            <w:pPr>
              <w:spacing w:line="400" w:lineRule="exact"/>
              <w:jc w:val="center"/>
              <w:rPr>
                <w:rFonts w:ascii="宋体" w:hAnsi="宋体"/>
                <w:color w:val="auto"/>
                <w:szCs w:val="21"/>
                <w:highlight w:val="none"/>
              </w:rPr>
            </w:pPr>
            <w:r>
              <w:rPr>
                <w:rFonts w:hint="eastAsia" w:ascii="宋体" w:hAnsi="宋体"/>
                <w:color w:val="auto"/>
                <w:szCs w:val="21"/>
                <w:highlight w:val="none"/>
              </w:rPr>
              <w:t>形式评审</w:t>
            </w:r>
          </w:p>
        </w:tc>
        <w:tc>
          <w:tcPr>
            <w:tcW w:w="6333" w:type="dxa"/>
          </w:tcPr>
          <w:p w14:paraId="43BA7CD5">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A-8投标人名称必须与营业执照、资质证书、安全生产许可证一致，依法变更名称的应提交相应证明材料，</w:t>
            </w:r>
            <w:r>
              <w:rPr>
                <w:rFonts w:ascii="宋体" w:hAnsi="宋体"/>
                <w:color w:val="auto"/>
                <w:szCs w:val="21"/>
                <w:highlight w:val="none"/>
              </w:rPr>
              <w:t>否则</w:t>
            </w:r>
            <w:r>
              <w:rPr>
                <w:rFonts w:hint="eastAsia" w:ascii="宋体" w:hAnsi="宋体"/>
                <w:color w:val="auto"/>
                <w:szCs w:val="21"/>
                <w:highlight w:val="none"/>
              </w:rPr>
              <w:t>由评标委员会</w:t>
            </w:r>
            <w:r>
              <w:rPr>
                <w:rFonts w:ascii="宋体" w:hAnsi="宋体"/>
                <w:color w:val="auto"/>
                <w:szCs w:val="21"/>
                <w:highlight w:val="none"/>
              </w:rPr>
              <w:t>作否决投标处理。</w:t>
            </w:r>
          </w:p>
        </w:tc>
      </w:tr>
      <w:tr w14:paraId="3E55DFF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6B868C96">
            <w:pPr>
              <w:spacing w:line="400" w:lineRule="exact"/>
              <w:jc w:val="center"/>
              <w:rPr>
                <w:rFonts w:ascii="宋体" w:hAnsi="宋体"/>
                <w:color w:val="auto"/>
                <w:szCs w:val="21"/>
                <w:highlight w:val="none"/>
              </w:rPr>
            </w:pPr>
          </w:p>
        </w:tc>
        <w:tc>
          <w:tcPr>
            <w:tcW w:w="1899" w:type="dxa"/>
            <w:vMerge w:val="continue"/>
            <w:vAlign w:val="center"/>
          </w:tcPr>
          <w:p w14:paraId="494097B9">
            <w:pPr>
              <w:spacing w:line="400" w:lineRule="exact"/>
              <w:jc w:val="center"/>
              <w:rPr>
                <w:rFonts w:ascii="宋体" w:hAnsi="宋体"/>
                <w:color w:val="auto"/>
                <w:szCs w:val="21"/>
                <w:highlight w:val="none"/>
              </w:rPr>
            </w:pPr>
          </w:p>
        </w:tc>
        <w:tc>
          <w:tcPr>
            <w:tcW w:w="6333" w:type="dxa"/>
          </w:tcPr>
          <w:p w14:paraId="0D97F73A">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A-9投标文件格式（不含投标函部分）符合第二章“投标人须知”第3.7款的要求，否则由评标委员会作否决投标处理。</w:t>
            </w:r>
          </w:p>
          <w:p w14:paraId="0DAB86A9">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编制投标文件时不得对第八章“投标文件格式”的相应要素作实质性修改，否则视为重大偏差，由评标委员会作否决投标处理。</w:t>
            </w:r>
          </w:p>
        </w:tc>
      </w:tr>
      <w:tr w14:paraId="08073AD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440878AC">
            <w:pPr>
              <w:spacing w:line="400" w:lineRule="exact"/>
              <w:jc w:val="center"/>
              <w:rPr>
                <w:rFonts w:ascii="宋体" w:hAnsi="宋体"/>
                <w:color w:val="auto"/>
                <w:szCs w:val="21"/>
                <w:highlight w:val="none"/>
              </w:rPr>
            </w:pPr>
          </w:p>
        </w:tc>
        <w:tc>
          <w:tcPr>
            <w:tcW w:w="1899" w:type="dxa"/>
            <w:vMerge w:val="continue"/>
            <w:vAlign w:val="center"/>
          </w:tcPr>
          <w:p w14:paraId="089A04ED">
            <w:pPr>
              <w:spacing w:line="400" w:lineRule="exact"/>
              <w:jc w:val="center"/>
              <w:rPr>
                <w:rFonts w:ascii="宋体" w:hAnsi="宋体"/>
                <w:color w:val="auto"/>
                <w:szCs w:val="21"/>
                <w:highlight w:val="none"/>
              </w:rPr>
            </w:pPr>
          </w:p>
        </w:tc>
        <w:tc>
          <w:tcPr>
            <w:tcW w:w="6333" w:type="dxa"/>
          </w:tcPr>
          <w:p w14:paraId="1D18B021">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A-10：/。</w:t>
            </w:r>
          </w:p>
        </w:tc>
      </w:tr>
      <w:tr w14:paraId="60475ED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7A3296B9">
            <w:pPr>
              <w:spacing w:line="400" w:lineRule="exact"/>
              <w:jc w:val="center"/>
              <w:rPr>
                <w:rFonts w:ascii="宋体" w:hAnsi="宋体"/>
                <w:color w:val="auto"/>
                <w:szCs w:val="21"/>
                <w:highlight w:val="none"/>
              </w:rPr>
            </w:pPr>
          </w:p>
        </w:tc>
        <w:tc>
          <w:tcPr>
            <w:tcW w:w="1899" w:type="dxa"/>
            <w:vMerge w:val="continue"/>
            <w:vAlign w:val="center"/>
          </w:tcPr>
          <w:p w14:paraId="5344A95F">
            <w:pPr>
              <w:spacing w:line="400" w:lineRule="exact"/>
              <w:jc w:val="center"/>
              <w:rPr>
                <w:rFonts w:ascii="宋体" w:hAnsi="宋体"/>
                <w:color w:val="auto"/>
                <w:szCs w:val="21"/>
                <w:highlight w:val="none"/>
              </w:rPr>
            </w:pPr>
          </w:p>
        </w:tc>
        <w:tc>
          <w:tcPr>
            <w:tcW w:w="6333" w:type="dxa"/>
          </w:tcPr>
          <w:p w14:paraId="2D2BC6AA">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A-11第八章 投标文件格式（不含投标函部分）要求法定代表人或其委托代理人签名（或盖章）的须齐全，要求签名的，</w:t>
            </w:r>
            <w:r>
              <w:rPr>
                <w:rFonts w:hint="eastAsia" w:ascii="宋体" w:hAnsi="宋体"/>
                <w:color w:val="auto"/>
                <w:kern w:val="0"/>
                <w:highlight w:val="none"/>
              </w:rPr>
              <w:t>签名采用手写签名或签章或加盖CA数字证书均可，</w:t>
            </w:r>
            <w:r>
              <w:rPr>
                <w:rFonts w:hint="eastAsia" w:ascii="宋体" w:hAnsi="宋体"/>
                <w:color w:val="auto"/>
                <w:szCs w:val="21"/>
                <w:highlight w:val="none"/>
              </w:rPr>
              <w:t>否则由评标委员会作否决投标处理。</w:t>
            </w:r>
          </w:p>
          <w:p w14:paraId="5F1DC212">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第八章 投标文件格式（不含投标函部分）要求加盖单位法人章的，应使用 CA 数字证书加盖投标人的单位电子印章，否则由评标委员会作否决投标处理。</w:t>
            </w:r>
          </w:p>
        </w:tc>
      </w:tr>
      <w:tr w14:paraId="5F2A717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6F62D69A">
            <w:pPr>
              <w:spacing w:line="400" w:lineRule="exact"/>
              <w:jc w:val="center"/>
              <w:rPr>
                <w:rFonts w:ascii="宋体" w:hAnsi="宋体"/>
                <w:color w:val="auto"/>
                <w:szCs w:val="21"/>
                <w:highlight w:val="none"/>
              </w:rPr>
            </w:pPr>
          </w:p>
        </w:tc>
        <w:tc>
          <w:tcPr>
            <w:tcW w:w="1899" w:type="dxa"/>
            <w:vMerge w:val="continue"/>
            <w:vAlign w:val="center"/>
          </w:tcPr>
          <w:p w14:paraId="0685480B">
            <w:pPr>
              <w:spacing w:line="400" w:lineRule="exact"/>
              <w:jc w:val="center"/>
              <w:rPr>
                <w:rFonts w:ascii="宋体" w:hAnsi="宋体"/>
                <w:color w:val="auto"/>
                <w:szCs w:val="21"/>
                <w:highlight w:val="none"/>
              </w:rPr>
            </w:pPr>
          </w:p>
        </w:tc>
        <w:tc>
          <w:tcPr>
            <w:tcW w:w="6333" w:type="dxa"/>
          </w:tcPr>
          <w:p w14:paraId="1E15565B">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A-12投标人法定代表人的委托代理人有法定代表人签署的授权委托书和投标人为其缴纳的养老保险证明材料，否则由评标委员会作否决投标处理。</w:t>
            </w:r>
          </w:p>
        </w:tc>
      </w:tr>
      <w:tr w14:paraId="0586A41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2530B352">
            <w:pPr>
              <w:spacing w:line="400" w:lineRule="exact"/>
              <w:jc w:val="center"/>
              <w:rPr>
                <w:rFonts w:ascii="宋体" w:hAnsi="宋体"/>
                <w:color w:val="auto"/>
                <w:szCs w:val="21"/>
                <w:highlight w:val="none"/>
              </w:rPr>
            </w:pPr>
          </w:p>
        </w:tc>
        <w:tc>
          <w:tcPr>
            <w:tcW w:w="1899" w:type="dxa"/>
            <w:vMerge w:val="restart"/>
            <w:vAlign w:val="center"/>
          </w:tcPr>
          <w:p w14:paraId="2703E507">
            <w:pPr>
              <w:spacing w:line="400" w:lineRule="exact"/>
              <w:jc w:val="center"/>
              <w:rPr>
                <w:rFonts w:ascii="宋体" w:hAnsi="宋体"/>
                <w:color w:val="auto"/>
                <w:szCs w:val="21"/>
                <w:highlight w:val="none"/>
              </w:rPr>
            </w:pPr>
            <w:r>
              <w:rPr>
                <w:rFonts w:hint="eastAsia" w:ascii="宋体" w:hAnsi="宋体"/>
                <w:color w:val="auto"/>
                <w:szCs w:val="21"/>
                <w:highlight w:val="none"/>
              </w:rPr>
              <w:t>响应性评审</w:t>
            </w:r>
          </w:p>
        </w:tc>
        <w:tc>
          <w:tcPr>
            <w:tcW w:w="6333" w:type="dxa"/>
            <w:vAlign w:val="center"/>
          </w:tcPr>
          <w:p w14:paraId="1E35591D">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A-13投标内容符合第二章“投标人须知”第1.3.1项规定，否则由评标委员会作否决投标处理。</w:t>
            </w:r>
          </w:p>
        </w:tc>
      </w:tr>
      <w:tr w14:paraId="4B01D89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7DFB9BA8">
            <w:pPr>
              <w:spacing w:line="400" w:lineRule="exact"/>
              <w:jc w:val="center"/>
              <w:rPr>
                <w:rFonts w:ascii="宋体" w:hAnsi="宋体"/>
                <w:color w:val="auto"/>
                <w:szCs w:val="21"/>
                <w:highlight w:val="none"/>
              </w:rPr>
            </w:pPr>
          </w:p>
        </w:tc>
        <w:tc>
          <w:tcPr>
            <w:tcW w:w="1899" w:type="dxa"/>
            <w:vMerge w:val="continue"/>
            <w:vAlign w:val="center"/>
          </w:tcPr>
          <w:p w14:paraId="2434B8A7">
            <w:pPr>
              <w:spacing w:line="400" w:lineRule="exact"/>
              <w:jc w:val="center"/>
              <w:rPr>
                <w:rFonts w:ascii="宋体" w:hAnsi="宋体"/>
                <w:color w:val="auto"/>
                <w:szCs w:val="21"/>
                <w:highlight w:val="none"/>
              </w:rPr>
            </w:pPr>
          </w:p>
        </w:tc>
        <w:tc>
          <w:tcPr>
            <w:tcW w:w="6333" w:type="dxa"/>
            <w:vAlign w:val="center"/>
          </w:tcPr>
          <w:p w14:paraId="10812AFD">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A-14投标人应按投标人须知前附表第3.4款规定递交投标保证金，并作为其投标文件的组成部分，否则由评标委员会作否决投标处理。</w:t>
            </w:r>
          </w:p>
        </w:tc>
      </w:tr>
      <w:tr w14:paraId="48DAC32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2C251370">
            <w:pPr>
              <w:spacing w:line="400" w:lineRule="exact"/>
              <w:jc w:val="center"/>
              <w:rPr>
                <w:rFonts w:ascii="宋体" w:hAnsi="宋体"/>
                <w:color w:val="auto"/>
                <w:szCs w:val="21"/>
                <w:highlight w:val="none"/>
              </w:rPr>
            </w:pPr>
          </w:p>
        </w:tc>
        <w:tc>
          <w:tcPr>
            <w:tcW w:w="1899" w:type="dxa"/>
            <w:vMerge w:val="continue"/>
            <w:vAlign w:val="center"/>
          </w:tcPr>
          <w:p w14:paraId="7513822D">
            <w:pPr>
              <w:spacing w:line="400" w:lineRule="exact"/>
              <w:jc w:val="center"/>
              <w:rPr>
                <w:rFonts w:ascii="宋体" w:hAnsi="宋体"/>
                <w:color w:val="auto"/>
                <w:szCs w:val="21"/>
                <w:highlight w:val="none"/>
              </w:rPr>
            </w:pPr>
          </w:p>
        </w:tc>
        <w:tc>
          <w:tcPr>
            <w:tcW w:w="6333" w:type="dxa"/>
            <w:vAlign w:val="center"/>
          </w:tcPr>
          <w:p w14:paraId="663446A3">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A-15符合第四章“合同条款及格式”规定，投标文件不应附有招标人不能接受的条件。否则由评标委员会作否决投标处理。（由投标人承诺，承诺书格式详见第八章投标文件格式。）</w:t>
            </w:r>
          </w:p>
        </w:tc>
      </w:tr>
      <w:tr w14:paraId="18AE672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05F27C93">
            <w:pPr>
              <w:spacing w:line="400" w:lineRule="exact"/>
              <w:jc w:val="center"/>
              <w:rPr>
                <w:rFonts w:ascii="宋体" w:hAnsi="宋体"/>
                <w:color w:val="auto"/>
                <w:szCs w:val="21"/>
                <w:highlight w:val="none"/>
              </w:rPr>
            </w:pPr>
          </w:p>
        </w:tc>
        <w:tc>
          <w:tcPr>
            <w:tcW w:w="1899" w:type="dxa"/>
            <w:vMerge w:val="continue"/>
            <w:vAlign w:val="center"/>
          </w:tcPr>
          <w:p w14:paraId="42BF8968">
            <w:pPr>
              <w:spacing w:line="400" w:lineRule="exact"/>
              <w:jc w:val="center"/>
              <w:rPr>
                <w:rFonts w:ascii="宋体" w:hAnsi="宋体"/>
                <w:color w:val="auto"/>
                <w:szCs w:val="21"/>
                <w:highlight w:val="none"/>
              </w:rPr>
            </w:pPr>
          </w:p>
        </w:tc>
        <w:tc>
          <w:tcPr>
            <w:tcW w:w="6333" w:type="dxa"/>
            <w:vAlign w:val="center"/>
          </w:tcPr>
          <w:p w14:paraId="0AEA57D7">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A-16符合第七章“技术标准和要求”规定。否则由评标委员会作否决投标处理（如有）。（由投标人承诺，承诺书格式详见第八章投标文件格式。）</w:t>
            </w:r>
          </w:p>
        </w:tc>
      </w:tr>
      <w:tr w14:paraId="1A6D8F5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3B6B29CA">
            <w:pPr>
              <w:spacing w:line="400" w:lineRule="exact"/>
              <w:jc w:val="center"/>
              <w:rPr>
                <w:rFonts w:ascii="宋体" w:hAnsi="宋体"/>
                <w:color w:val="auto"/>
                <w:szCs w:val="21"/>
                <w:highlight w:val="none"/>
              </w:rPr>
            </w:pPr>
          </w:p>
        </w:tc>
        <w:tc>
          <w:tcPr>
            <w:tcW w:w="1899" w:type="dxa"/>
            <w:vMerge w:val="continue"/>
            <w:vAlign w:val="center"/>
          </w:tcPr>
          <w:p w14:paraId="2167A52B">
            <w:pPr>
              <w:spacing w:line="400" w:lineRule="exact"/>
              <w:jc w:val="center"/>
              <w:rPr>
                <w:rFonts w:ascii="宋体" w:hAnsi="宋体"/>
                <w:color w:val="auto"/>
                <w:szCs w:val="21"/>
                <w:highlight w:val="none"/>
              </w:rPr>
            </w:pPr>
          </w:p>
        </w:tc>
        <w:tc>
          <w:tcPr>
            <w:tcW w:w="6333" w:type="dxa"/>
            <w:vAlign w:val="center"/>
          </w:tcPr>
          <w:p w14:paraId="05B56BFE">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A-17投标人有以下情形之一的，其投标文件由评标委员会</w:t>
            </w:r>
            <w:r>
              <w:rPr>
                <w:rFonts w:ascii="宋体" w:hAnsi="宋体"/>
                <w:color w:val="auto"/>
                <w:szCs w:val="21"/>
                <w:highlight w:val="none"/>
              </w:rPr>
              <w:t>作否决投标处理</w:t>
            </w:r>
            <w:r>
              <w:rPr>
                <w:rFonts w:hint="eastAsia" w:ascii="宋体" w:hAnsi="宋体"/>
                <w:color w:val="auto"/>
                <w:szCs w:val="21"/>
                <w:highlight w:val="none"/>
              </w:rPr>
              <w:t>：</w:t>
            </w:r>
          </w:p>
          <w:p w14:paraId="66C26372">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1.第二章“投标人须知”第1.4.3项规定的任何一种情形的；</w:t>
            </w:r>
          </w:p>
          <w:p w14:paraId="271C246F">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2.本次投标有串通投标、弄虚作假等违反招投标相关法律、法规的行为的；</w:t>
            </w:r>
          </w:p>
          <w:p w14:paraId="1F03D995">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3.拒绝按评标委员会要求澄清、说明或补正的。</w:t>
            </w:r>
          </w:p>
        </w:tc>
      </w:tr>
      <w:tr w14:paraId="08B25C8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0E807645">
            <w:pPr>
              <w:spacing w:line="400" w:lineRule="exact"/>
              <w:jc w:val="center"/>
              <w:rPr>
                <w:rFonts w:ascii="宋体" w:hAnsi="宋体"/>
                <w:color w:val="auto"/>
                <w:szCs w:val="21"/>
                <w:highlight w:val="none"/>
              </w:rPr>
            </w:pPr>
          </w:p>
        </w:tc>
        <w:tc>
          <w:tcPr>
            <w:tcW w:w="1899" w:type="dxa"/>
            <w:vMerge w:val="restart"/>
            <w:vAlign w:val="center"/>
          </w:tcPr>
          <w:p w14:paraId="5D5274F1">
            <w:pPr>
              <w:spacing w:line="400" w:lineRule="exact"/>
              <w:jc w:val="center"/>
              <w:rPr>
                <w:rFonts w:ascii="宋体" w:hAnsi="宋体"/>
                <w:color w:val="auto"/>
                <w:szCs w:val="21"/>
                <w:highlight w:val="none"/>
              </w:rPr>
            </w:pPr>
            <w:r>
              <w:rPr>
                <w:rFonts w:hint="eastAsia" w:ascii="宋体" w:hAnsi="宋体"/>
                <w:color w:val="auto"/>
                <w:szCs w:val="21"/>
                <w:highlight w:val="none"/>
              </w:rPr>
              <w:t>投标函部分及经济部分评审</w:t>
            </w:r>
          </w:p>
        </w:tc>
        <w:tc>
          <w:tcPr>
            <w:tcW w:w="6333" w:type="dxa"/>
          </w:tcPr>
          <w:p w14:paraId="42FA80DB">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A-18</w:t>
            </w:r>
            <w:r>
              <w:rPr>
                <w:rFonts w:hint="eastAsia" w:ascii="宋体" w:hAnsi="宋体" w:cs="宋体"/>
                <w:color w:val="auto"/>
                <w:kern w:val="0"/>
                <w:highlight w:val="none"/>
              </w:rPr>
              <w:t>投标函部分的格式要求法定代表人或其委托代理人签名（或盖章）的须齐全，</w:t>
            </w:r>
            <w:r>
              <w:rPr>
                <w:rFonts w:hint="eastAsia" w:ascii="宋体" w:hAnsi="宋体"/>
                <w:color w:val="auto"/>
                <w:szCs w:val="21"/>
                <w:highlight w:val="none"/>
              </w:rPr>
              <w:t>要求签名的，</w:t>
            </w:r>
            <w:r>
              <w:rPr>
                <w:rFonts w:hint="eastAsia" w:ascii="宋体" w:hAnsi="宋体"/>
                <w:color w:val="auto"/>
                <w:kern w:val="0"/>
                <w:highlight w:val="none"/>
              </w:rPr>
              <w:t>签名采用手写签名或签章或加盖CA数字证书均可，</w:t>
            </w:r>
            <w:r>
              <w:rPr>
                <w:rFonts w:hint="eastAsia" w:ascii="宋体" w:hAnsi="宋体" w:cs="宋体"/>
                <w:color w:val="auto"/>
                <w:kern w:val="0"/>
                <w:highlight w:val="none"/>
              </w:rPr>
              <w:t>要求加盖单位法人章的，应使用 CA 数字证书加盖投标人的单位电子印章</w:t>
            </w:r>
            <w:r>
              <w:rPr>
                <w:rFonts w:hint="eastAsia" w:ascii="宋体" w:hAnsi="宋体"/>
                <w:color w:val="auto"/>
                <w:szCs w:val="21"/>
                <w:highlight w:val="none"/>
              </w:rPr>
              <w:t>，否则由评标委员会作否决投标处理。</w:t>
            </w:r>
          </w:p>
        </w:tc>
      </w:tr>
      <w:tr w14:paraId="24EFDD3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401F8605">
            <w:pPr>
              <w:spacing w:line="400" w:lineRule="exact"/>
              <w:jc w:val="center"/>
              <w:rPr>
                <w:rFonts w:ascii="宋体" w:hAnsi="宋体"/>
                <w:color w:val="auto"/>
                <w:szCs w:val="21"/>
                <w:highlight w:val="none"/>
              </w:rPr>
            </w:pPr>
          </w:p>
        </w:tc>
        <w:tc>
          <w:tcPr>
            <w:tcW w:w="1899" w:type="dxa"/>
            <w:vMerge w:val="continue"/>
            <w:vAlign w:val="center"/>
          </w:tcPr>
          <w:p w14:paraId="36FB4573">
            <w:pPr>
              <w:spacing w:line="400" w:lineRule="exact"/>
              <w:jc w:val="center"/>
              <w:rPr>
                <w:rFonts w:ascii="宋体" w:hAnsi="宋体"/>
                <w:color w:val="auto"/>
                <w:szCs w:val="21"/>
                <w:highlight w:val="none"/>
              </w:rPr>
            </w:pPr>
          </w:p>
        </w:tc>
        <w:tc>
          <w:tcPr>
            <w:tcW w:w="6333" w:type="dxa"/>
          </w:tcPr>
          <w:p w14:paraId="4DEDF414">
            <w:pPr>
              <w:spacing w:line="400" w:lineRule="exact"/>
              <w:ind w:firstLine="420" w:firstLineChars="200"/>
              <w:rPr>
                <w:rFonts w:ascii="宋体" w:hAnsi="宋体"/>
                <w:i/>
                <w:color w:val="auto"/>
                <w:szCs w:val="21"/>
                <w:highlight w:val="none"/>
              </w:rPr>
            </w:pPr>
            <w:r>
              <w:rPr>
                <w:rFonts w:hint="eastAsia" w:ascii="宋体" w:hAnsi="宋体"/>
                <w:color w:val="auto"/>
                <w:szCs w:val="21"/>
                <w:highlight w:val="none"/>
              </w:rPr>
              <w:t>A-19工期符合第二章“投标人须知”第1.3.2项规定，否则由评标委员会作否决投标处理。</w:t>
            </w:r>
          </w:p>
        </w:tc>
      </w:tr>
      <w:tr w14:paraId="65E32D8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1009BCE9">
            <w:pPr>
              <w:spacing w:line="400" w:lineRule="exact"/>
              <w:jc w:val="center"/>
              <w:rPr>
                <w:rFonts w:ascii="宋体" w:hAnsi="宋体"/>
                <w:color w:val="auto"/>
                <w:szCs w:val="21"/>
                <w:highlight w:val="none"/>
              </w:rPr>
            </w:pPr>
          </w:p>
        </w:tc>
        <w:tc>
          <w:tcPr>
            <w:tcW w:w="1899" w:type="dxa"/>
            <w:vMerge w:val="continue"/>
            <w:vAlign w:val="center"/>
          </w:tcPr>
          <w:p w14:paraId="70228CBE">
            <w:pPr>
              <w:spacing w:line="400" w:lineRule="exact"/>
              <w:jc w:val="center"/>
              <w:rPr>
                <w:rFonts w:ascii="宋体" w:hAnsi="宋体"/>
                <w:color w:val="auto"/>
                <w:szCs w:val="21"/>
                <w:highlight w:val="none"/>
              </w:rPr>
            </w:pPr>
          </w:p>
        </w:tc>
        <w:tc>
          <w:tcPr>
            <w:tcW w:w="6333" w:type="dxa"/>
          </w:tcPr>
          <w:p w14:paraId="66122896">
            <w:pPr>
              <w:spacing w:line="400" w:lineRule="exact"/>
              <w:ind w:firstLine="420" w:firstLineChars="200"/>
              <w:rPr>
                <w:rFonts w:ascii="宋体" w:hAnsi="宋体"/>
                <w:i/>
                <w:color w:val="auto"/>
                <w:szCs w:val="21"/>
                <w:highlight w:val="none"/>
              </w:rPr>
            </w:pPr>
            <w:r>
              <w:rPr>
                <w:rFonts w:hint="eastAsia" w:ascii="宋体" w:hAnsi="宋体"/>
                <w:color w:val="auto"/>
                <w:szCs w:val="21"/>
                <w:highlight w:val="none"/>
              </w:rPr>
              <w:t>A-20工程质量符合第二章“投标人须知”第1.3.3项规定，否则由评标委员会作否决投标处理。</w:t>
            </w:r>
          </w:p>
        </w:tc>
      </w:tr>
      <w:tr w14:paraId="16EF029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590C8E37">
            <w:pPr>
              <w:spacing w:line="400" w:lineRule="exact"/>
              <w:jc w:val="center"/>
              <w:rPr>
                <w:rFonts w:ascii="宋体" w:hAnsi="宋体"/>
                <w:color w:val="auto"/>
                <w:szCs w:val="21"/>
                <w:highlight w:val="none"/>
              </w:rPr>
            </w:pPr>
          </w:p>
        </w:tc>
        <w:tc>
          <w:tcPr>
            <w:tcW w:w="1899" w:type="dxa"/>
            <w:vMerge w:val="continue"/>
            <w:vAlign w:val="center"/>
          </w:tcPr>
          <w:p w14:paraId="690B29A2">
            <w:pPr>
              <w:spacing w:line="400" w:lineRule="exact"/>
              <w:jc w:val="center"/>
              <w:rPr>
                <w:rFonts w:ascii="宋体" w:hAnsi="宋体"/>
                <w:color w:val="auto"/>
                <w:szCs w:val="21"/>
                <w:highlight w:val="none"/>
              </w:rPr>
            </w:pPr>
          </w:p>
        </w:tc>
        <w:tc>
          <w:tcPr>
            <w:tcW w:w="6333" w:type="dxa"/>
          </w:tcPr>
          <w:p w14:paraId="7395A05E">
            <w:pPr>
              <w:spacing w:line="400" w:lineRule="exact"/>
              <w:ind w:firstLine="420" w:firstLineChars="200"/>
              <w:rPr>
                <w:rFonts w:ascii="宋体" w:hAnsi="宋体"/>
                <w:i/>
                <w:color w:val="auto"/>
                <w:szCs w:val="21"/>
                <w:highlight w:val="none"/>
              </w:rPr>
            </w:pPr>
            <w:r>
              <w:rPr>
                <w:rFonts w:hint="eastAsia" w:ascii="宋体" w:hAnsi="宋体"/>
                <w:color w:val="auto"/>
                <w:szCs w:val="21"/>
                <w:highlight w:val="none"/>
              </w:rPr>
              <w:t>A-21投标有效期符合第二章“投标人须知”第3.3.1项规定，否则由评标委员会作否决投标处理。</w:t>
            </w:r>
          </w:p>
        </w:tc>
      </w:tr>
      <w:tr w14:paraId="5718443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0742CBEF">
            <w:pPr>
              <w:spacing w:line="400" w:lineRule="exact"/>
              <w:jc w:val="center"/>
              <w:rPr>
                <w:rFonts w:ascii="宋体" w:hAnsi="宋体"/>
                <w:color w:val="auto"/>
                <w:szCs w:val="21"/>
                <w:highlight w:val="none"/>
              </w:rPr>
            </w:pPr>
          </w:p>
        </w:tc>
        <w:tc>
          <w:tcPr>
            <w:tcW w:w="1899" w:type="dxa"/>
            <w:vMerge w:val="continue"/>
            <w:vAlign w:val="center"/>
          </w:tcPr>
          <w:p w14:paraId="3A1F2B67">
            <w:pPr>
              <w:spacing w:line="400" w:lineRule="exact"/>
              <w:jc w:val="center"/>
              <w:rPr>
                <w:rFonts w:ascii="宋体" w:hAnsi="宋体"/>
                <w:color w:val="auto"/>
                <w:szCs w:val="21"/>
                <w:highlight w:val="none"/>
              </w:rPr>
            </w:pPr>
          </w:p>
        </w:tc>
        <w:tc>
          <w:tcPr>
            <w:tcW w:w="6333" w:type="dxa"/>
            <w:vAlign w:val="center"/>
          </w:tcPr>
          <w:p w14:paraId="00253AC3">
            <w:pPr>
              <w:spacing w:line="400" w:lineRule="exact"/>
              <w:ind w:firstLine="420" w:firstLineChars="200"/>
              <w:rPr>
                <w:rFonts w:ascii="宋体" w:hAnsi="宋体"/>
                <w:i/>
                <w:color w:val="auto"/>
                <w:szCs w:val="21"/>
                <w:highlight w:val="none"/>
              </w:rPr>
            </w:pPr>
            <w:r>
              <w:rPr>
                <w:rFonts w:hint="eastAsia" w:ascii="宋体" w:hAnsi="宋体"/>
                <w:color w:val="auto"/>
                <w:szCs w:val="21"/>
                <w:highlight w:val="none"/>
              </w:rPr>
              <w:t>A-22投标函中的总报价与已标价工程量清单总报价不一致，或工程量清单总报价与依据单价、工程数量、分部分项工程合价计算出的结果不一致，由评标委员会作否决投标处理。</w:t>
            </w:r>
          </w:p>
        </w:tc>
      </w:tr>
      <w:tr w14:paraId="6ABDDAC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78133370">
            <w:pPr>
              <w:spacing w:line="400" w:lineRule="exact"/>
              <w:jc w:val="center"/>
              <w:rPr>
                <w:rFonts w:ascii="宋体" w:hAnsi="宋体"/>
                <w:color w:val="auto"/>
                <w:szCs w:val="21"/>
                <w:highlight w:val="none"/>
              </w:rPr>
            </w:pPr>
          </w:p>
        </w:tc>
        <w:tc>
          <w:tcPr>
            <w:tcW w:w="1899" w:type="dxa"/>
            <w:vMerge w:val="continue"/>
            <w:vAlign w:val="center"/>
          </w:tcPr>
          <w:p w14:paraId="467896DD">
            <w:pPr>
              <w:spacing w:line="400" w:lineRule="exact"/>
              <w:jc w:val="center"/>
              <w:rPr>
                <w:rFonts w:ascii="宋体" w:hAnsi="宋体"/>
                <w:color w:val="auto"/>
                <w:szCs w:val="21"/>
                <w:highlight w:val="none"/>
              </w:rPr>
            </w:pPr>
          </w:p>
        </w:tc>
        <w:tc>
          <w:tcPr>
            <w:tcW w:w="6333" w:type="dxa"/>
            <w:vAlign w:val="center"/>
          </w:tcPr>
          <w:p w14:paraId="240DA101">
            <w:pPr>
              <w:spacing w:line="400" w:lineRule="exact"/>
              <w:ind w:firstLine="420" w:firstLineChars="200"/>
              <w:rPr>
                <w:rFonts w:ascii="宋体" w:hAnsi="宋体"/>
                <w:i/>
                <w:color w:val="auto"/>
                <w:szCs w:val="21"/>
                <w:highlight w:val="none"/>
              </w:rPr>
            </w:pPr>
            <w:r>
              <w:rPr>
                <w:rFonts w:hint="eastAsia" w:ascii="宋体" w:hAnsi="宋体"/>
                <w:color w:val="auto"/>
                <w:szCs w:val="21"/>
                <w:highlight w:val="none"/>
              </w:rPr>
              <w:t>A-23投标人的投标总报价不得超过投标总报价最高限价，否则由评标委员会作否决投标处理。</w:t>
            </w:r>
          </w:p>
        </w:tc>
      </w:tr>
      <w:tr w14:paraId="3C29D35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0B1479D4">
            <w:pPr>
              <w:spacing w:line="400" w:lineRule="exact"/>
              <w:jc w:val="center"/>
              <w:rPr>
                <w:rFonts w:ascii="宋体" w:hAnsi="宋体"/>
                <w:color w:val="auto"/>
                <w:szCs w:val="21"/>
                <w:highlight w:val="none"/>
              </w:rPr>
            </w:pPr>
          </w:p>
        </w:tc>
        <w:tc>
          <w:tcPr>
            <w:tcW w:w="1899" w:type="dxa"/>
            <w:vMerge w:val="continue"/>
            <w:vAlign w:val="center"/>
          </w:tcPr>
          <w:p w14:paraId="25A9A5D4">
            <w:pPr>
              <w:spacing w:line="400" w:lineRule="exact"/>
              <w:jc w:val="center"/>
              <w:rPr>
                <w:rFonts w:ascii="宋体" w:hAnsi="宋体"/>
                <w:color w:val="auto"/>
                <w:szCs w:val="21"/>
                <w:highlight w:val="none"/>
              </w:rPr>
            </w:pPr>
          </w:p>
        </w:tc>
        <w:tc>
          <w:tcPr>
            <w:tcW w:w="6333" w:type="dxa"/>
            <w:vAlign w:val="center"/>
          </w:tcPr>
          <w:p w14:paraId="64732CB0">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A-24投标函中的安全文明施工费金额或</w:t>
            </w:r>
            <w:r>
              <w:rPr>
                <w:rFonts w:hint="eastAsia" w:ascii="宋体" w:hAnsi="宋体" w:cs="宋体"/>
                <w:color w:val="auto"/>
                <w:kern w:val="0"/>
                <w:highlight w:val="none"/>
              </w:rPr>
              <w:t>已标价工程量清单</w:t>
            </w:r>
            <w:r>
              <w:rPr>
                <w:rFonts w:hint="eastAsia" w:ascii="宋体" w:hAnsi="宋体"/>
                <w:color w:val="auto"/>
                <w:szCs w:val="21"/>
                <w:highlight w:val="none"/>
              </w:rPr>
              <w:t>中安全文明施工费的汇总金额未按照招标人给出的暂定金额填报的，由评标委员会作否决投标处理。暂列金额、暂估价等暂定金额未按照招标人给出的暂定金额填报的，由评标委员会作否决投标处理。</w:t>
            </w:r>
          </w:p>
        </w:tc>
      </w:tr>
      <w:tr w14:paraId="3A9A1F4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06026C5B">
            <w:pPr>
              <w:spacing w:line="400" w:lineRule="exact"/>
              <w:jc w:val="center"/>
              <w:rPr>
                <w:rFonts w:ascii="宋体" w:hAnsi="宋体"/>
                <w:color w:val="auto"/>
                <w:szCs w:val="21"/>
                <w:highlight w:val="none"/>
              </w:rPr>
            </w:pPr>
          </w:p>
        </w:tc>
        <w:tc>
          <w:tcPr>
            <w:tcW w:w="1899" w:type="dxa"/>
            <w:vMerge w:val="continue"/>
            <w:vAlign w:val="center"/>
          </w:tcPr>
          <w:p w14:paraId="641E7D08">
            <w:pPr>
              <w:spacing w:line="400" w:lineRule="exact"/>
              <w:jc w:val="center"/>
              <w:rPr>
                <w:rFonts w:ascii="宋体" w:hAnsi="宋体"/>
                <w:color w:val="auto"/>
                <w:szCs w:val="21"/>
                <w:highlight w:val="none"/>
              </w:rPr>
            </w:pPr>
          </w:p>
        </w:tc>
        <w:tc>
          <w:tcPr>
            <w:tcW w:w="6333" w:type="dxa"/>
            <w:vAlign w:val="center"/>
          </w:tcPr>
          <w:p w14:paraId="1E18380F">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A-25只能有一个有效报价。在招标文件没有规定的情况下，不得提交选择性报价，否则由评标委员会作否决投标处理。</w:t>
            </w:r>
          </w:p>
        </w:tc>
      </w:tr>
      <w:tr w14:paraId="37C64C2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4FD92985">
            <w:pPr>
              <w:spacing w:line="400" w:lineRule="exact"/>
              <w:jc w:val="center"/>
              <w:rPr>
                <w:rFonts w:ascii="宋体" w:hAnsi="宋体"/>
                <w:color w:val="auto"/>
                <w:szCs w:val="21"/>
                <w:highlight w:val="none"/>
              </w:rPr>
            </w:pPr>
          </w:p>
        </w:tc>
        <w:tc>
          <w:tcPr>
            <w:tcW w:w="1899" w:type="dxa"/>
            <w:vMerge w:val="continue"/>
            <w:vAlign w:val="center"/>
          </w:tcPr>
          <w:p w14:paraId="6FEFE818">
            <w:pPr>
              <w:spacing w:line="400" w:lineRule="exact"/>
              <w:jc w:val="center"/>
              <w:rPr>
                <w:rFonts w:ascii="宋体" w:hAnsi="宋体"/>
                <w:color w:val="auto"/>
                <w:szCs w:val="21"/>
                <w:highlight w:val="none"/>
              </w:rPr>
            </w:pPr>
          </w:p>
        </w:tc>
        <w:tc>
          <w:tcPr>
            <w:tcW w:w="6333" w:type="dxa"/>
            <w:vAlign w:val="center"/>
          </w:tcPr>
          <w:p w14:paraId="62B8925E">
            <w:pPr>
              <w:spacing w:line="400" w:lineRule="exact"/>
              <w:ind w:firstLine="420" w:firstLineChars="200"/>
              <w:rPr>
                <w:rFonts w:ascii="宋体" w:hAnsi="宋体"/>
                <w:i/>
                <w:color w:val="auto"/>
                <w:szCs w:val="21"/>
                <w:highlight w:val="none"/>
              </w:rPr>
            </w:pPr>
            <w:r>
              <w:rPr>
                <w:rFonts w:hint="eastAsia" w:ascii="宋体" w:hAnsi="宋体"/>
                <w:color w:val="auto"/>
                <w:szCs w:val="21"/>
                <w:highlight w:val="none"/>
              </w:rPr>
              <w:t>A-26投标人必须按招标工程量清单填报价格。项目编码、项目名称、项目特征、计量单位、工程量必须与招标工程量清单一致。否则交由评标委员会作否决投标处理。</w:t>
            </w:r>
          </w:p>
        </w:tc>
      </w:tr>
      <w:tr w14:paraId="48AE335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5A5C2307">
            <w:pPr>
              <w:spacing w:line="400" w:lineRule="exact"/>
              <w:jc w:val="center"/>
              <w:rPr>
                <w:rFonts w:ascii="宋体" w:hAnsi="宋体"/>
                <w:color w:val="auto"/>
                <w:szCs w:val="21"/>
                <w:highlight w:val="none"/>
              </w:rPr>
            </w:pPr>
          </w:p>
        </w:tc>
        <w:tc>
          <w:tcPr>
            <w:tcW w:w="1899" w:type="dxa"/>
            <w:vMerge w:val="continue"/>
            <w:vAlign w:val="center"/>
          </w:tcPr>
          <w:p w14:paraId="386526CA">
            <w:pPr>
              <w:spacing w:line="400" w:lineRule="exact"/>
              <w:jc w:val="center"/>
              <w:rPr>
                <w:rFonts w:ascii="宋体" w:hAnsi="宋体"/>
                <w:color w:val="auto"/>
                <w:szCs w:val="21"/>
                <w:highlight w:val="none"/>
              </w:rPr>
            </w:pPr>
          </w:p>
        </w:tc>
        <w:tc>
          <w:tcPr>
            <w:tcW w:w="6333" w:type="dxa"/>
            <w:vAlign w:val="center"/>
          </w:tcPr>
          <w:p w14:paraId="5C836AF5">
            <w:pPr>
              <w:spacing w:line="400" w:lineRule="exact"/>
              <w:ind w:firstLine="420" w:firstLineChars="200"/>
              <w:rPr>
                <w:rFonts w:ascii="宋体" w:hAnsi="宋体"/>
                <w:i/>
                <w:color w:val="auto"/>
                <w:szCs w:val="21"/>
                <w:highlight w:val="none"/>
              </w:rPr>
            </w:pPr>
            <w:r>
              <w:rPr>
                <w:rFonts w:hint="eastAsia" w:ascii="宋体" w:hAnsi="宋体"/>
                <w:color w:val="auto"/>
                <w:szCs w:val="21"/>
                <w:highlight w:val="none"/>
              </w:rPr>
              <w:t>A-27投标人的每项清单综合单价报价不得超过每项清单综合单价最高限价，否则由评标委员会作否决投标处理。</w:t>
            </w:r>
          </w:p>
        </w:tc>
      </w:tr>
      <w:tr w14:paraId="17E937B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14:paraId="7828A8E3">
            <w:pPr>
              <w:spacing w:line="400" w:lineRule="exact"/>
              <w:jc w:val="center"/>
              <w:rPr>
                <w:rFonts w:ascii="宋体" w:hAnsi="宋体"/>
                <w:color w:val="auto"/>
                <w:szCs w:val="21"/>
                <w:highlight w:val="none"/>
              </w:rPr>
            </w:pPr>
          </w:p>
        </w:tc>
        <w:tc>
          <w:tcPr>
            <w:tcW w:w="1899" w:type="dxa"/>
            <w:vMerge w:val="continue"/>
            <w:vAlign w:val="center"/>
          </w:tcPr>
          <w:p w14:paraId="6D114558">
            <w:pPr>
              <w:spacing w:line="400" w:lineRule="exact"/>
              <w:jc w:val="center"/>
              <w:rPr>
                <w:rFonts w:ascii="宋体" w:hAnsi="宋体"/>
                <w:color w:val="auto"/>
                <w:szCs w:val="21"/>
                <w:highlight w:val="none"/>
              </w:rPr>
            </w:pPr>
          </w:p>
        </w:tc>
        <w:tc>
          <w:tcPr>
            <w:tcW w:w="6333" w:type="dxa"/>
          </w:tcPr>
          <w:p w14:paraId="207E4B3B">
            <w:pPr>
              <w:spacing w:line="400" w:lineRule="exact"/>
              <w:ind w:firstLine="420" w:firstLineChars="200"/>
              <w:rPr>
                <w:rFonts w:ascii="宋体" w:hAnsi="宋体"/>
                <w:i/>
                <w:color w:val="auto"/>
                <w:szCs w:val="21"/>
                <w:highlight w:val="none"/>
              </w:rPr>
            </w:pPr>
            <w:r>
              <w:rPr>
                <w:rFonts w:hint="eastAsia" w:ascii="宋体" w:hAnsi="宋体"/>
                <w:color w:val="auto"/>
                <w:szCs w:val="21"/>
                <w:highlight w:val="none"/>
              </w:rPr>
              <w:t>A-28投标报价有算术错误的，按照第三章3.评标程序第3.1.3项规定执行，否则由评标委员会作否决投标处理。</w:t>
            </w:r>
          </w:p>
        </w:tc>
      </w:tr>
      <w:tr w14:paraId="33F0947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Align w:val="center"/>
          </w:tcPr>
          <w:p w14:paraId="79319489">
            <w:pPr>
              <w:spacing w:line="400" w:lineRule="exact"/>
              <w:jc w:val="center"/>
              <w:rPr>
                <w:rFonts w:ascii="宋体" w:hAnsi="宋体"/>
                <w:color w:val="auto"/>
                <w:szCs w:val="21"/>
                <w:highlight w:val="none"/>
              </w:rPr>
            </w:pPr>
            <w:r>
              <w:rPr>
                <w:rFonts w:ascii="宋体" w:hAnsi="宋体"/>
                <w:color w:val="auto"/>
                <w:szCs w:val="21"/>
                <w:highlight w:val="none"/>
              </w:rPr>
              <w:t>其他</w:t>
            </w:r>
          </w:p>
        </w:tc>
        <w:tc>
          <w:tcPr>
            <w:tcW w:w="1899" w:type="dxa"/>
            <w:vAlign w:val="center"/>
          </w:tcPr>
          <w:p w14:paraId="23BA958A">
            <w:pPr>
              <w:spacing w:line="400" w:lineRule="exact"/>
              <w:jc w:val="center"/>
              <w:rPr>
                <w:rFonts w:ascii="宋体" w:hAnsi="宋体"/>
                <w:color w:val="auto"/>
                <w:szCs w:val="21"/>
                <w:highlight w:val="none"/>
              </w:rPr>
            </w:pPr>
            <w:r>
              <w:rPr>
                <w:rFonts w:hint="eastAsia" w:ascii="宋体" w:hAnsi="宋体"/>
                <w:color w:val="auto"/>
                <w:szCs w:val="21"/>
                <w:highlight w:val="none"/>
              </w:rPr>
              <w:t>/</w:t>
            </w:r>
          </w:p>
        </w:tc>
        <w:tc>
          <w:tcPr>
            <w:tcW w:w="6333" w:type="dxa"/>
          </w:tcPr>
          <w:p w14:paraId="1CE9CC36">
            <w:pPr>
              <w:spacing w:line="400" w:lineRule="exact"/>
              <w:ind w:firstLine="422" w:firstLineChars="200"/>
              <w:rPr>
                <w:rFonts w:ascii="宋体" w:hAnsi="宋体"/>
                <w:b/>
                <w:color w:val="auto"/>
                <w:szCs w:val="21"/>
                <w:highlight w:val="none"/>
              </w:rPr>
            </w:pPr>
            <w:r>
              <w:rPr>
                <w:rFonts w:ascii="宋体" w:hAnsi="宋体"/>
                <w:b/>
                <w:color w:val="auto"/>
                <w:szCs w:val="21"/>
                <w:highlight w:val="none"/>
              </w:rPr>
              <w:t>/</w:t>
            </w:r>
          </w:p>
        </w:tc>
      </w:tr>
    </w:tbl>
    <w:p w14:paraId="39D7F130">
      <w:pPr>
        <w:autoSpaceDE w:val="0"/>
        <w:autoSpaceDN w:val="0"/>
        <w:adjustRightInd w:val="0"/>
        <w:snapToGrid w:val="0"/>
        <w:spacing w:line="360" w:lineRule="auto"/>
        <w:jc w:val="left"/>
        <w:rPr>
          <w:rFonts w:ascii="宋体" w:hAnsi="宋体"/>
          <w:b/>
          <w:color w:val="auto"/>
          <w:kern w:val="0"/>
          <w:sz w:val="20"/>
          <w:szCs w:val="20"/>
          <w:highlight w:val="none"/>
        </w:rPr>
      </w:pPr>
    </w:p>
    <w:p w14:paraId="0C5C52B6">
      <w:pPr>
        <w:autoSpaceDE w:val="0"/>
        <w:autoSpaceDN w:val="0"/>
        <w:adjustRightInd w:val="0"/>
        <w:snapToGrid w:val="0"/>
        <w:spacing w:before="340" w:after="330" w:line="360" w:lineRule="auto"/>
        <w:jc w:val="left"/>
        <w:rPr>
          <w:rFonts w:ascii="宋体" w:hAnsi="宋体"/>
          <w:color w:val="auto"/>
          <w:kern w:val="0"/>
          <w:sz w:val="52"/>
          <w:szCs w:val="52"/>
          <w:highlight w:val="none"/>
        </w:rPr>
      </w:pPr>
      <w:r>
        <w:rPr>
          <w:rFonts w:ascii="宋体" w:hAnsi="宋体"/>
          <w:color w:val="auto"/>
          <w:kern w:val="0"/>
          <w:highlight w:val="none"/>
        </w:rPr>
        <w:br w:type="page"/>
      </w:r>
    </w:p>
    <w:p w14:paraId="3585011D">
      <w:pPr>
        <w:pStyle w:val="3"/>
        <w:spacing w:line="360" w:lineRule="auto"/>
        <w:jc w:val="center"/>
        <w:rPr>
          <w:rFonts w:ascii="宋体" w:hAnsi="宋体"/>
          <w:color w:val="auto"/>
          <w:kern w:val="0"/>
          <w:highlight w:val="none"/>
        </w:rPr>
      </w:pPr>
      <w:bookmarkStart w:id="580" w:name="_Toc509218785"/>
      <w:bookmarkStart w:id="581" w:name="_Toc117005243"/>
      <w:bookmarkStart w:id="582" w:name="_Toc430530509"/>
      <w:r>
        <w:rPr>
          <w:rFonts w:hint="eastAsia" w:ascii="宋体" w:hAnsi="宋体"/>
          <w:color w:val="auto"/>
          <w:kern w:val="0"/>
          <w:highlight w:val="none"/>
        </w:rPr>
        <w:t>第四章  合同条款及格式</w:t>
      </w:r>
      <w:bookmarkEnd w:id="580"/>
      <w:bookmarkEnd w:id="581"/>
      <w:bookmarkEnd w:id="582"/>
    </w:p>
    <w:p w14:paraId="2837F4B5">
      <w:pPr>
        <w:rPr>
          <w:rFonts w:ascii="宋体" w:hAnsi="宋体"/>
          <w:color w:val="auto"/>
          <w:sz w:val="44"/>
          <w:szCs w:val="44"/>
          <w:highlight w:val="none"/>
        </w:rPr>
      </w:pPr>
      <w:r>
        <w:rPr>
          <w:rFonts w:ascii="宋体" w:hAnsi="宋体"/>
          <w:color w:val="auto"/>
          <w:highlight w:val="none"/>
        </w:rPr>
        <w:br w:type="page"/>
      </w:r>
      <w:bookmarkStart w:id="583" w:name="_Toc351203480"/>
      <w:bookmarkStart w:id="584" w:name="_Toc296503025"/>
      <w:bookmarkStart w:id="585" w:name="_Toc296890982"/>
    </w:p>
    <w:p w14:paraId="59ADC4EE">
      <w:pPr>
        <w:spacing w:line="360" w:lineRule="auto"/>
        <w:jc w:val="center"/>
        <w:rPr>
          <w:rFonts w:ascii="宋体" w:hAnsi="宋体"/>
          <w:color w:val="auto"/>
          <w:sz w:val="44"/>
          <w:szCs w:val="44"/>
          <w:highlight w:val="none"/>
        </w:rPr>
      </w:pPr>
      <w:r>
        <w:rPr>
          <w:rFonts w:hint="eastAsia" w:ascii="宋体" w:hAnsi="宋体"/>
          <w:color w:val="auto"/>
          <w:sz w:val="44"/>
          <w:szCs w:val="44"/>
          <w:highlight w:val="none"/>
        </w:rPr>
        <w:t>第一部分 合同协议书</w:t>
      </w:r>
    </w:p>
    <w:p w14:paraId="4D5D10B6">
      <w:pPr>
        <w:pStyle w:val="124"/>
        <w:snapToGrid w:val="0"/>
        <w:spacing w:before="0" w:line="360" w:lineRule="auto"/>
        <w:ind w:firstLine="562" w:firstLineChars="200"/>
        <w:rPr>
          <w:rFonts w:ascii="宋体" w:hAnsi="宋体"/>
          <w:color w:val="auto"/>
          <w:highlight w:val="none"/>
        </w:rPr>
      </w:pPr>
    </w:p>
    <w:p w14:paraId="72556FCD">
      <w:pPr>
        <w:spacing w:line="360" w:lineRule="auto"/>
        <w:ind w:firstLine="420" w:firstLineChars="200"/>
        <w:rPr>
          <w:rFonts w:ascii="宋体" w:hAnsi="宋体"/>
          <w:bCs/>
          <w:i/>
          <w:color w:val="auto"/>
          <w:szCs w:val="21"/>
          <w:highlight w:val="none"/>
        </w:rPr>
      </w:pPr>
      <w:r>
        <w:rPr>
          <w:rFonts w:hint="eastAsia" w:ascii="宋体" w:hAnsi="宋体"/>
          <w:bCs/>
          <w:i/>
          <w:color w:val="auto"/>
          <w:szCs w:val="21"/>
          <w:highlight w:val="none"/>
        </w:rPr>
        <w:t>[提示：合同协议书为示范性内容，招标人在编制招标文件时不必填写，供中标后签订合同时填写。]</w:t>
      </w:r>
    </w:p>
    <w:p w14:paraId="34FC8560">
      <w:pPr>
        <w:rPr>
          <w:rFonts w:ascii="宋体" w:hAnsi="宋体"/>
          <w:b/>
          <w:color w:val="auto"/>
          <w:highlight w:val="none"/>
        </w:rPr>
      </w:pPr>
      <w:r>
        <w:rPr>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2691130</wp:posOffset>
                </wp:positionH>
                <wp:positionV relativeFrom="paragraph">
                  <wp:posOffset>8717280</wp:posOffset>
                </wp:positionV>
                <wp:extent cx="807720" cy="693420"/>
                <wp:effectExtent l="0" t="0" r="11430" b="11430"/>
                <wp:wrapNone/>
                <wp:docPr id="1" name="矩形 130"/>
                <wp:cNvGraphicFramePr/>
                <a:graphic xmlns:a="http://schemas.openxmlformats.org/drawingml/2006/main">
                  <a:graphicData uri="http://schemas.microsoft.com/office/word/2010/wordprocessingShape">
                    <wps:wsp>
                      <wps:cNvSpPr/>
                      <wps:spPr>
                        <a:xfrm>
                          <a:off x="0" y="0"/>
                          <a:ext cx="807720" cy="693420"/>
                        </a:xfrm>
                        <a:prstGeom prst="rect">
                          <a:avLst/>
                        </a:prstGeom>
                        <a:solidFill>
                          <a:srgbClr val="FFFFFF"/>
                        </a:solidFill>
                        <a:ln>
                          <a:noFill/>
                        </a:ln>
                      </wps:spPr>
                      <wps:txbx>
                        <w:txbxContent>
                          <w:p w14:paraId="7D8F9A4F"/>
                        </w:txbxContent>
                      </wps:txbx>
                      <wps:bodyPr wrap="square" upright="1"/>
                    </wps:wsp>
                  </a:graphicData>
                </a:graphic>
              </wp:anchor>
            </w:drawing>
          </mc:Choice>
          <mc:Fallback>
            <w:pict>
              <v:rect id="矩形 130" o:spid="_x0000_s1026" o:spt="1" style="position:absolute;left:0pt;margin-left:211.9pt;margin-top:686.4pt;height:54.6pt;width:63.6pt;z-index:251659264;mso-width-relative:page;mso-height-relative:page;" fillcolor="#FFFFFF" filled="t" stroked="f" coordsize="21600,21600" o:gfxdata="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A89ed32QAAAA0BAAAPAAAAAAAAAAEAIAAAACIAAABkcnMvZG93bnJldi54&#10;bWxQSwECFAAUAAAACACHTuJA4Lr+1MABAAB5AwAADgAAAAAAAAABACAAAAAoAQAAZHJzL2Uyb0Rv&#10;Yy54bWxQSwUGAAAAAAYABgBZAQAAWgUAAAAA&#10;">
                <v:fill on="t" focussize="0,0"/>
                <v:stroke on="f"/>
                <v:imagedata o:title=""/>
                <o:lock v:ext="edit" aspectratio="f"/>
                <v:textbox>
                  <w:txbxContent>
                    <w:p w14:paraId="7D8F9A4F"/>
                  </w:txbxContent>
                </v:textbox>
              </v:rect>
            </w:pict>
          </mc:Fallback>
        </mc:AlternateContent>
      </w:r>
      <w:r>
        <w:rPr>
          <w:rFonts w:ascii="宋体" w:hAnsi="宋体"/>
          <w:color w:val="auto"/>
          <w:highlight w:val="none"/>
        </w:rPr>
        <w:br w:type="page"/>
      </w:r>
    </w:p>
    <w:p w14:paraId="66C0A927">
      <w:pPr>
        <w:pStyle w:val="5"/>
        <w:jc w:val="center"/>
        <w:rPr>
          <w:rFonts w:ascii="宋体" w:hAnsi="宋体"/>
          <w:b w:val="0"/>
          <w:color w:val="auto"/>
          <w:sz w:val="44"/>
          <w:szCs w:val="44"/>
          <w:highlight w:val="none"/>
        </w:rPr>
      </w:pPr>
      <w:bookmarkStart w:id="586" w:name="_Toc534185765"/>
      <w:bookmarkStart w:id="587" w:name="_Toc509218786"/>
      <w:bookmarkStart w:id="588" w:name="_Toc117005244"/>
      <w:bookmarkStart w:id="589" w:name="_Toc351203494"/>
      <w:r>
        <w:rPr>
          <w:rFonts w:ascii="宋体" w:hAnsi="宋体"/>
          <w:color w:val="auto"/>
          <w:sz w:val="44"/>
          <w:szCs w:val="44"/>
          <w:highlight w:val="none"/>
        </w:rPr>
        <w:t>第一部分 合同协议书</w:t>
      </w:r>
      <w:bookmarkEnd w:id="586"/>
      <w:bookmarkEnd w:id="587"/>
      <w:bookmarkEnd w:id="588"/>
    </w:p>
    <w:bookmarkEnd w:id="589"/>
    <w:p w14:paraId="47054E88">
      <w:pPr>
        <w:snapToGrid w:val="0"/>
        <w:spacing w:line="600" w:lineRule="exact"/>
        <w:ind w:firstLine="480" w:firstLineChars="200"/>
        <w:rPr>
          <w:rFonts w:ascii="宋体" w:hAnsi="宋体"/>
          <w:color w:val="auto"/>
          <w:sz w:val="24"/>
          <w:highlight w:val="none"/>
        </w:rPr>
      </w:pPr>
      <w:bookmarkStart w:id="590" w:name="_Toc351203632"/>
    </w:p>
    <w:p w14:paraId="19A99677">
      <w:pPr>
        <w:snapToGrid w:val="0"/>
        <w:spacing w:line="360" w:lineRule="auto"/>
        <w:ind w:firstLine="422" w:firstLineChars="200"/>
        <w:rPr>
          <w:rFonts w:ascii="宋体" w:hAnsi="宋体"/>
          <w:b/>
          <w:color w:val="auto"/>
          <w:szCs w:val="21"/>
          <w:highlight w:val="none"/>
          <w:u w:val="single"/>
        </w:rPr>
      </w:pPr>
      <w:r>
        <w:rPr>
          <w:rFonts w:hint="eastAsia" w:ascii="宋体" w:hAnsi="宋体"/>
          <w:b/>
          <w:color w:val="auto"/>
          <w:szCs w:val="21"/>
          <w:highlight w:val="none"/>
        </w:rPr>
        <w:t>发包人（全称）：</w:t>
      </w:r>
      <w:r>
        <w:rPr>
          <w:rFonts w:hint="eastAsia" w:ascii="宋体" w:hAnsi="宋体"/>
          <w:color w:val="auto"/>
          <w:szCs w:val="21"/>
          <w:highlight w:val="none"/>
          <w:u w:val="single"/>
        </w:rPr>
        <w:t xml:space="preserve">                             </w:t>
      </w:r>
    </w:p>
    <w:p w14:paraId="1617927C">
      <w:pPr>
        <w:snapToGrid w:val="0"/>
        <w:spacing w:line="360" w:lineRule="auto"/>
        <w:ind w:firstLine="422" w:firstLineChars="200"/>
        <w:rPr>
          <w:rFonts w:ascii="宋体" w:hAnsi="宋体"/>
          <w:b/>
          <w:color w:val="auto"/>
          <w:szCs w:val="21"/>
          <w:highlight w:val="none"/>
          <w:u w:val="single"/>
        </w:rPr>
      </w:pPr>
      <w:r>
        <w:rPr>
          <w:rFonts w:hint="eastAsia" w:ascii="宋体" w:hAnsi="宋体"/>
          <w:b/>
          <w:color w:val="auto"/>
          <w:szCs w:val="21"/>
          <w:highlight w:val="none"/>
        </w:rPr>
        <w:t>承包人（全称）：</w:t>
      </w:r>
      <w:r>
        <w:rPr>
          <w:rFonts w:hint="eastAsia" w:ascii="宋体" w:hAnsi="宋体"/>
          <w:color w:val="auto"/>
          <w:szCs w:val="21"/>
          <w:highlight w:val="none"/>
          <w:u w:val="single"/>
        </w:rPr>
        <w:t xml:space="preserve">                                 </w:t>
      </w:r>
    </w:p>
    <w:p w14:paraId="4F3D50D4">
      <w:pPr>
        <w:spacing w:line="360" w:lineRule="auto"/>
        <w:ind w:firstLine="420" w:firstLineChars="200"/>
        <w:rPr>
          <w:rFonts w:ascii="宋体" w:hAnsi="宋体"/>
          <w:b/>
          <w:color w:val="auto"/>
          <w:szCs w:val="21"/>
          <w:highlight w:val="none"/>
          <w:u w:val="single"/>
        </w:rPr>
      </w:pPr>
      <w:r>
        <w:rPr>
          <w:rFonts w:hint="eastAsia" w:ascii="宋体" w:hAnsi="宋体"/>
          <w:color w:val="auto"/>
          <w:szCs w:val="21"/>
          <w:highlight w:val="none"/>
        </w:rPr>
        <w:t>根据《中华人民共和国民法典》、《中华人民共和国建筑法》及有关法律、法规规定，遵循平等、自愿、公平和诚实信用的原则，双方就</w:t>
      </w:r>
      <w:r>
        <w:rPr>
          <w:rFonts w:hint="eastAsia" w:ascii="宋体" w:hAnsi="宋体"/>
          <w:color w:val="auto"/>
          <w:szCs w:val="21"/>
          <w:highlight w:val="none"/>
          <w:u w:val="single"/>
        </w:rPr>
        <w:t xml:space="preserve">                           </w:t>
      </w:r>
      <w:r>
        <w:rPr>
          <w:rFonts w:hint="eastAsia" w:ascii="宋体" w:hAnsi="宋体"/>
          <w:color w:val="auto"/>
          <w:szCs w:val="21"/>
          <w:highlight w:val="none"/>
        </w:rPr>
        <w:t>工程施工及有关事项协商一致，共同达成如下协议：</w:t>
      </w:r>
    </w:p>
    <w:p w14:paraId="1CC1B066">
      <w:pPr>
        <w:pStyle w:val="6"/>
        <w:keepNext/>
        <w:keepLines/>
        <w:spacing w:before="120" w:after="120" w:line="360" w:lineRule="auto"/>
        <w:ind w:firstLine="422" w:firstLineChars="200"/>
        <w:jc w:val="both"/>
        <w:rPr>
          <w:color w:val="auto"/>
          <w:kern w:val="2"/>
          <w:sz w:val="21"/>
          <w:szCs w:val="21"/>
          <w:highlight w:val="none"/>
        </w:rPr>
      </w:pPr>
      <w:bookmarkStart w:id="591" w:name="_Toc532377166"/>
      <w:bookmarkStart w:id="592" w:name="_Toc532375573"/>
      <w:bookmarkStart w:id="593" w:name="_Toc351203481"/>
      <w:r>
        <w:rPr>
          <w:rFonts w:hint="eastAsia"/>
          <w:color w:val="auto"/>
          <w:kern w:val="2"/>
          <w:sz w:val="21"/>
          <w:szCs w:val="21"/>
          <w:highlight w:val="none"/>
        </w:rPr>
        <w:t>一、工程概况</w:t>
      </w:r>
      <w:bookmarkEnd w:id="591"/>
      <w:bookmarkEnd w:id="592"/>
      <w:bookmarkEnd w:id="593"/>
    </w:p>
    <w:p w14:paraId="5C2DF70C">
      <w:pPr>
        <w:snapToGrid w:val="0"/>
        <w:spacing w:line="360" w:lineRule="auto"/>
        <w:ind w:firstLine="420" w:firstLineChars="200"/>
        <w:rPr>
          <w:rFonts w:ascii="宋体" w:hAnsi="宋体"/>
          <w:color w:val="auto"/>
          <w:szCs w:val="21"/>
          <w:highlight w:val="none"/>
          <w:u w:val="single"/>
        </w:rPr>
      </w:pPr>
      <w:r>
        <w:rPr>
          <w:rFonts w:hint="eastAsia" w:ascii="宋体" w:hAnsi="宋体"/>
          <w:bCs/>
          <w:color w:val="auto"/>
          <w:szCs w:val="21"/>
          <w:highlight w:val="none"/>
        </w:rPr>
        <w:t>1.工程名称</w:t>
      </w:r>
      <w:r>
        <w:rPr>
          <w:rFonts w:hint="eastAsia" w:ascii="宋体" w:hAnsi="宋体"/>
          <w:color w:val="auto"/>
          <w:szCs w:val="21"/>
          <w:highlight w:val="none"/>
        </w:rPr>
        <w:t>：</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14:paraId="26276AC9">
      <w:pPr>
        <w:snapToGrid w:val="0"/>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2.工程地点：</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14:paraId="2C84151B">
      <w:pPr>
        <w:snapToGrid w:val="0"/>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3.工程立项批准文号：</w:t>
      </w:r>
      <w:r>
        <w:rPr>
          <w:rFonts w:hint="eastAsia" w:ascii="宋体" w:hAnsi="宋体"/>
          <w:color w:val="auto"/>
          <w:szCs w:val="21"/>
          <w:highlight w:val="none"/>
          <w:u w:val="single"/>
        </w:rPr>
        <w:t xml:space="preserve">                        </w:t>
      </w:r>
      <w:r>
        <w:rPr>
          <w:rFonts w:hint="eastAsia" w:ascii="宋体" w:hAnsi="宋体"/>
          <w:bCs/>
          <w:color w:val="auto"/>
          <w:szCs w:val="21"/>
          <w:highlight w:val="none"/>
        </w:rPr>
        <w:t>。</w:t>
      </w:r>
    </w:p>
    <w:p w14:paraId="18BA5CF8">
      <w:pPr>
        <w:snapToGrid w:val="0"/>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4.资金来源：</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14:paraId="79EF965F">
      <w:pPr>
        <w:snapToGrid w:val="0"/>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5.工程内容：</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14:paraId="1B2DD35C">
      <w:pPr>
        <w:snapToGrid w:val="0"/>
        <w:spacing w:line="360" w:lineRule="auto"/>
        <w:ind w:firstLine="420" w:firstLineChars="200"/>
        <w:jc w:val="left"/>
        <w:rPr>
          <w:rFonts w:ascii="宋体" w:hAnsi="宋体"/>
          <w:bCs/>
          <w:color w:val="auto"/>
          <w:szCs w:val="21"/>
          <w:highlight w:val="none"/>
        </w:rPr>
      </w:pPr>
      <w:r>
        <w:rPr>
          <w:rFonts w:hint="eastAsia" w:ascii="宋体" w:hAnsi="宋体"/>
          <w:bCs/>
          <w:color w:val="auto"/>
          <w:szCs w:val="21"/>
          <w:highlight w:val="none"/>
        </w:rPr>
        <w:t>6.工程承包范围：</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14:paraId="6DE92D85">
      <w:pPr>
        <w:pStyle w:val="6"/>
        <w:keepNext/>
        <w:keepLines/>
        <w:spacing w:before="120" w:after="120" w:line="360" w:lineRule="auto"/>
        <w:ind w:firstLine="422" w:firstLineChars="200"/>
        <w:jc w:val="both"/>
        <w:rPr>
          <w:color w:val="auto"/>
          <w:kern w:val="2"/>
          <w:sz w:val="21"/>
          <w:szCs w:val="21"/>
          <w:highlight w:val="none"/>
        </w:rPr>
      </w:pPr>
      <w:bookmarkStart w:id="594" w:name="_Toc532375574"/>
      <w:bookmarkStart w:id="595" w:name="_Toc351203482"/>
      <w:bookmarkStart w:id="596" w:name="_Toc532377167"/>
      <w:r>
        <w:rPr>
          <w:rFonts w:hint="eastAsia"/>
          <w:color w:val="auto"/>
          <w:kern w:val="2"/>
          <w:sz w:val="21"/>
          <w:szCs w:val="21"/>
          <w:highlight w:val="none"/>
        </w:rPr>
        <w:t>二、合同工期</w:t>
      </w:r>
      <w:bookmarkEnd w:id="594"/>
      <w:bookmarkEnd w:id="595"/>
      <w:bookmarkEnd w:id="596"/>
    </w:p>
    <w:p w14:paraId="56D4DECD">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承包人投标函中承诺的工期：</w:t>
      </w:r>
      <w:r>
        <w:rPr>
          <w:rFonts w:hint="eastAsia" w:ascii="宋体" w:hAnsi="宋体"/>
          <w:bCs/>
          <w:color w:val="auto"/>
          <w:szCs w:val="21"/>
          <w:highlight w:val="none"/>
          <w:u w:val="single"/>
        </w:rPr>
        <w:t>日历天</w:t>
      </w:r>
      <w:r>
        <w:rPr>
          <w:rFonts w:hint="eastAsia" w:ascii="宋体" w:hAnsi="宋体"/>
          <w:bCs/>
          <w:color w:val="auto"/>
          <w:szCs w:val="21"/>
          <w:highlight w:val="none"/>
        </w:rPr>
        <w:t>。</w:t>
      </w:r>
    </w:p>
    <w:p w14:paraId="49FAF831">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计划开工日期：</w:t>
      </w:r>
      <w:r>
        <w:rPr>
          <w:rFonts w:hint="eastAsia" w:ascii="宋体" w:hAnsi="宋体"/>
          <w:bCs/>
          <w:color w:val="auto"/>
          <w:szCs w:val="21"/>
          <w:highlight w:val="none"/>
          <w:u w:val="single"/>
        </w:rPr>
        <w:t></w:t>
      </w:r>
      <w:r>
        <w:rPr>
          <w:rFonts w:hint="eastAsia" w:ascii="宋体" w:hAnsi="宋体"/>
          <w:bCs/>
          <w:color w:val="auto"/>
          <w:szCs w:val="21"/>
          <w:highlight w:val="none"/>
        </w:rPr>
        <w:t>年</w:t>
      </w:r>
      <w:r>
        <w:rPr>
          <w:rFonts w:hint="eastAsia" w:ascii="宋体" w:hAnsi="宋体"/>
          <w:bCs/>
          <w:color w:val="auto"/>
          <w:szCs w:val="21"/>
          <w:highlight w:val="none"/>
          <w:u w:val="single"/>
        </w:rPr>
        <w:t></w:t>
      </w:r>
      <w:r>
        <w:rPr>
          <w:rFonts w:hint="eastAsia" w:ascii="宋体" w:hAnsi="宋体"/>
          <w:bCs/>
          <w:color w:val="auto"/>
          <w:szCs w:val="21"/>
          <w:highlight w:val="none"/>
        </w:rPr>
        <w:t>月</w:t>
      </w:r>
      <w:r>
        <w:rPr>
          <w:rFonts w:hint="eastAsia" w:ascii="宋体" w:hAnsi="宋体"/>
          <w:bCs/>
          <w:color w:val="auto"/>
          <w:szCs w:val="21"/>
          <w:highlight w:val="none"/>
          <w:u w:val="single"/>
        </w:rPr>
        <w:t></w:t>
      </w:r>
      <w:r>
        <w:rPr>
          <w:rFonts w:hint="eastAsia" w:ascii="宋体" w:hAnsi="宋体"/>
          <w:bCs/>
          <w:color w:val="auto"/>
          <w:szCs w:val="21"/>
          <w:highlight w:val="none"/>
        </w:rPr>
        <w:t>日，实际开工日期以监理工程师签发的工程开工通知明确的开工日期为准。</w:t>
      </w:r>
    </w:p>
    <w:p w14:paraId="1E313709">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计划竣工日期：</w:t>
      </w:r>
      <w:r>
        <w:rPr>
          <w:rFonts w:hint="eastAsia" w:ascii="宋体" w:hAnsi="宋体"/>
          <w:bCs/>
          <w:color w:val="auto"/>
          <w:szCs w:val="21"/>
          <w:highlight w:val="none"/>
          <w:u w:val="single"/>
        </w:rPr>
        <w:t></w:t>
      </w:r>
      <w:r>
        <w:rPr>
          <w:rFonts w:hint="eastAsia" w:ascii="宋体" w:hAnsi="宋体"/>
          <w:bCs/>
          <w:color w:val="auto"/>
          <w:szCs w:val="21"/>
          <w:highlight w:val="none"/>
        </w:rPr>
        <w:t>年</w:t>
      </w:r>
      <w:r>
        <w:rPr>
          <w:rFonts w:hint="eastAsia" w:ascii="宋体" w:hAnsi="宋体"/>
          <w:bCs/>
          <w:color w:val="auto"/>
          <w:szCs w:val="21"/>
          <w:highlight w:val="none"/>
          <w:u w:val="single"/>
        </w:rPr>
        <w:t></w:t>
      </w:r>
      <w:r>
        <w:rPr>
          <w:rFonts w:hint="eastAsia" w:ascii="宋体" w:hAnsi="宋体"/>
          <w:bCs/>
          <w:color w:val="auto"/>
          <w:szCs w:val="21"/>
          <w:highlight w:val="none"/>
        </w:rPr>
        <w:t>月</w:t>
      </w:r>
      <w:r>
        <w:rPr>
          <w:rFonts w:hint="eastAsia" w:ascii="宋体" w:hAnsi="宋体"/>
          <w:bCs/>
          <w:color w:val="auto"/>
          <w:szCs w:val="21"/>
          <w:highlight w:val="none"/>
          <w:u w:val="single"/>
        </w:rPr>
        <w:t></w:t>
      </w:r>
      <w:r>
        <w:rPr>
          <w:rFonts w:hint="eastAsia" w:ascii="宋体" w:hAnsi="宋体"/>
          <w:bCs/>
          <w:color w:val="auto"/>
          <w:szCs w:val="21"/>
          <w:highlight w:val="none"/>
        </w:rPr>
        <w:t>日，实际竣工日期以工程竣工验收合格之日为准。</w:t>
      </w:r>
    </w:p>
    <w:p w14:paraId="7DE0EFB4">
      <w:pPr>
        <w:spacing w:line="360" w:lineRule="auto"/>
        <w:ind w:firstLine="420" w:firstLineChars="200"/>
        <w:rPr>
          <w:rFonts w:ascii="宋体" w:hAnsi="宋体"/>
          <w:color w:val="auto"/>
          <w:szCs w:val="21"/>
          <w:highlight w:val="none"/>
        </w:rPr>
      </w:pPr>
      <w:r>
        <w:rPr>
          <w:rFonts w:hint="eastAsia" w:ascii="宋体" w:hAnsi="宋体"/>
          <w:bCs/>
          <w:color w:val="auto"/>
          <w:szCs w:val="21"/>
          <w:highlight w:val="none"/>
        </w:rPr>
        <w:t>工期总日历天数</w:t>
      </w:r>
      <w:r>
        <w:rPr>
          <w:rFonts w:hint="eastAsia" w:ascii="宋体" w:hAnsi="宋体"/>
          <w:bCs/>
          <w:color w:val="auto"/>
          <w:szCs w:val="21"/>
          <w:highlight w:val="none"/>
          <w:u w:val="single"/>
        </w:rPr>
        <w:t></w:t>
      </w:r>
      <w:r>
        <w:rPr>
          <w:rFonts w:hint="eastAsia" w:ascii="宋体" w:hAnsi="宋体"/>
          <w:bCs/>
          <w:color w:val="auto"/>
          <w:szCs w:val="21"/>
          <w:highlight w:val="none"/>
        </w:rPr>
        <w:t>天。工期总日历天数与根据前述计划开竣工日期计算的工期天数不一</w:t>
      </w:r>
      <w:r>
        <w:rPr>
          <w:rFonts w:hint="eastAsia" w:ascii="宋体" w:hAnsi="宋体"/>
          <w:color w:val="auto"/>
          <w:szCs w:val="21"/>
          <w:highlight w:val="none"/>
        </w:rPr>
        <w:t>致的，以工期总日历天数为准。</w:t>
      </w:r>
    </w:p>
    <w:p w14:paraId="13156140">
      <w:pPr>
        <w:snapToGrid w:val="0"/>
        <w:spacing w:line="360" w:lineRule="auto"/>
        <w:ind w:firstLine="420" w:firstLineChars="200"/>
        <w:textAlignment w:val="baseline"/>
        <w:rPr>
          <w:color w:val="auto"/>
          <w:highlight w:val="none"/>
        </w:rPr>
      </w:pPr>
      <w:r>
        <w:rPr>
          <w:rFonts w:hint="eastAsia" w:ascii="宋体" w:cs="宋体"/>
          <w:color w:val="auto"/>
          <w:szCs w:val="22"/>
          <w:highlight w:val="none"/>
        </w:rPr>
        <w:t>注：项目应先对电梯区域进行更换和施工，后序将电梯作为物料运输通道。</w:t>
      </w:r>
    </w:p>
    <w:p w14:paraId="03A8A27A">
      <w:pPr>
        <w:pStyle w:val="6"/>
        <w:keepNext/>
        <w:keepLines/>
        <w:spacing w:before="120" w:after="120" w:line="360" w:lineRule="auto"/>
        <w:ind w:firstLine="422" w:firstLineChars="200"/>
        <w:jc w:val="both"/>
        <w:rPr>
          <w:color w:val="auto"/>
          <w:kern w:val="2"/>
          <w:sz w:val="21"/>
          <w:szCs w:val="21"/>
          <w:highlight w:val="none"/>
        </w:rPr>
      </w:pPr>
      <w:bookmarkStart w:id="597" w:name="_Toc532375575"/>
      <w:bookmarkStart w:id="598" w:name="_Toc351203483"/>
      <w:bookmarkStart w:id="599" w:name="_Toc532377168"/>
      <w:r>
        <w:rPr>
          <w:rFonts w:hint="eastAsia"/>
          <w:color w:val="auto"/>
          <w:kern w:val="2"/>
          <w:sz w:val="21"/>
          <w:szCs w:val="21"/>
          <w:highlight w:val="none"/>
        </w:rPr>
        <w:t>三、质量标准</w:t>
      </w:r>
      <w:bookmarkEnd w:id="597"/>
      <w:bookmarkEnd w:id="598"/>
      <w:bookmarkEnd w:id="599"/>
    </w:p>
    <w:p w14:paraId="6DCE64B9">
      <w:pPr>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工程质量符合强制性质量标准，</w:t>
      </w:r>
      <w:r>
        <w:rPr>
          <w:rFonts w:hint="eastAsia" w:ascii="宋体" w:hAnsi="宋体"/>
          <w:color w:val="auto"/>
          <w:szCs w:val="21"/>
          <w:highlight w:val="none"/>
          <w:u w:val="single"/>
        </w:rPr>
        <w:t>符合国家</w:t>
      </w:r>
      <w:r>
        <w:rPr>
          <w:rFonts w:ascii="宋体" w:hAnsi="宋体"/>
          <w:color w:val="auto"/>
          <w:szCs w:val="21"/>
          <w:highlight w:val="none"/>
          <w:u w:val="single"/>
        </w:rPr>
        <w:t>和重庆市现行</w:t>
      </w:r>
      <w:r>
        <w:rPr>
          <w:rFonts w:hint="eastAsia" w:ascii="宋体" w:hAnsi="宋体"/>
          <w:color w:val="auto"/>
          <w:szCs w:val="21"/>
          <w:highlight w:val="none"/>
          <w:u w:val="single"/>
        </w:rPr>
        <w:t>有关施工质量验收规范要求，并达到合格</w:t>
      </w:r>
      <w:r>
        <w:rPr>
          <w:rFonts w:hint="eastAsia" w:ascii="宋体" w:hAnsi="宋体"/>
          <w:color w:val="auto"/>
          <w:szCs w:val="21"/>
          <w:highlight w:val="none"/>
        </w:rPr>
        <w:t>标准。</w:t>
      </w:r>
    </w:p>
    <w:p w14:paraId="7DCDB257">
      <w:pPr>
        <w:pStyle w:val="6"/>
        <w:keepNext/>
        <w:keepLines/>
        <w:spacing w:before="120" w:after="120" w:line="360" w:lineRule="auto"/>
        <w:ind w:firstLine="422" w:firstLineChars="200"/>
        <w:jc w:val="both"/>
        <w:rPr>
          <w:color w:val="auto"/>
          <w:kern w:val="2"/>
          <w:sz w:val="21"/>
          <w:szCs w:val="21"/>
          <w:highlight w:val="none"/>
        </w:rPr>
      </w:pPr>
      <w:bookmarkStart w:id="600" w:name="_Toc532375576"/>
      <w:bookmarkStart w:id="601" w:name="_Toc532377169"/>
      <w:bookmarkStart w:id="602" w:name="_Toc351203484"/>
      <w:r>
        <w:rPr>
          <w:rFonts w:hint="eastAsia"/>
          <w:color w:val="auto"/>
          <w:kern w:val="2"/>
          <w:sz w:val="21"/>
          <w:szCs w:val="21"/>
          <w:highlight w:val="none"/>
        </w:rPr>
        <w:t>四、签约合同价与合同价格形式</w:t>
      </w:r>
      <w:bookmarkEnd w:id="600"/>
      <w:bookmarkEnd w:id="601"/>
      <w:bookmarkEnd w:id="602"/>
      <w:r>
        <w:rPr>
          <w:rFonts w:hint="eastAsia"/>
          <w:color w:val="auto"/>
          <w:kern w:val="2"/>
          <w:sz w:val="21"/>
          <w:szCs w:val="21"/>
          <w:highlight w:val="none"/>
        </w:rPr>
        <w:tab/>
      </w:r>
    </w:p>
    <w:p w14:paraId="440EDF7B">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1.承包人投标函中承诺的中标价为：</w:t>
      </w:r>
    </w:p>
    <w:p w14:paraId="706BA403">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人民币（大写）</w:t>
      </w:r>
      <w:r>
        <w:rPr>
          <w:rFonts w:hint="eastAsia" w:ascii="宋体" w:hAnsi="宋体"/>
          <w:color w:val="auto"/>
          <w:szCs w:val="21"/>
          <w:highlight w:val="none"/>
          <w:u w:val="single"/>
        </w:rPr>
        <w:t xml:space="preserve">                  </w:t>
      </w:r>
      <w:r>
        <w:rPr>
          <w:rFonts w:hint="eastAsia" w:ascii="宋体" w:hAnsi="宋体"/>
          <w:color w:val="auto"/>
          <w:szCs w:val="21"/>
          <w:highlight w:val="none"/>
        </w:rPr>
        <w:t>（¥</w:t>
      </w:r>
      <w:r>
        <w:rPr>
          <w:rFonts w:hint="eastAsia" w:ascii="宋体" w:hAnsi="宋体"/>
          <w:color w:val="auto"/>
          <w:szCs w:val="21"/>
          <w:highlight w:val="none"/>
          <w:u w:val="single"/>
        </w:rPr>
        <w:t xml:space="preserve">            </w:t>
      </w:r>
      <w:r>
        <w:rPr>
          <w:rFonts w:hint="eastAsia" w:ascii="宋体" w:hAnsi="宋体"/>
          <w:color w:val="auto"/>
          <w:szCs w:val="21"/>
          <w:highlight w:val="none"/>
        </w:rPr>
        <w:t>元）；</w:t>
      </w:r>
    </w:p>
    <w:p w14:paraId="36DFC43C">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2.签约合同价为：</w:t>
      </w:r>
    </w:p>
    <w:p w14:paraId="45A5812B">
      <w:pPr>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人民币（大写）</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r>
        <w:rPr>
          <w:rFonts w:ascii="宋体" w:hAnsi="宋体"/>
          <w:color w:val="auto"/>
          <w:szCs w:val="21"/>
          <w:highlight w:val="none"/>
          <w:u w:val="single"/>
        </w:rPr>
        <w:t xml:space="preserve">            </w:t>
      </w:r>
      <w:r>
        <w:rPr>
          <w:rFonts w:ascii="宋体" w:hAnsi="宋体"/>
          <w:color w:val="auto"/>
          <w:szCs w:val="21"/>
          <w:highlight w:val="none"/>
        </w:rPr>
        <w:t>元）</w:t>
      </w:r>
      <w:r>
        <w:rPr>
          <w:rFonts w:hint="eastAsia" w:ascii="宋体" w:hAnsi="宋体"/>
          <w:color w:val="auto"/>
          <w:szCs w:val="21"/>
          <w:highlight w:val="none"/>
        </w:rPr>
        <w:t>；</w:t>
      </w:r>
    </w:p>
    <w:p w14:paraId="09EFFB0A">
      <w:pPr>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其中：</w:t>
      </w:r>
    </w:p>
    <w:p w14:paraId="40BF33E0">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（1）安全文明施工费：</w:t>
      </w:r>
    </w:p>
    <w:p w14:paraId="4B3C7B67">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人民币（大写）</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r>
        <w:rPr>
          <w:rFonts w:ascii="宋体" w:hAnsi="宋体"/>
          <w:color w:val="auto"/>
          <w:szCs w:val="21"/>
          <w:highlight w:val="none"/>
          <w:u w:val="single"/>
        </w:rPr>
        <w:t xml:space="preserve">            </w:t>
      </w:r>
      <w:r>
        <w:rPr>
          <w:rFonts w:ascii="宋体" w:hAnsi="宋体"/>
          <w:color w:val="auto"/>
          <w:szCs w:val="21"/>
          <w:highlight w:val="none"/>
        </w:rPr>
        <w:t>元）</w:t>
      </w:r>
      <w:r>
        <w:rPr>
          <w:rFonts w:hint="eastAsia" w:ascii="宋体" w:hAnsi="宋体"/>
          <w:color w:val="auto"/>
          <w:szCs w:val="21"/>
          <w:highlight w:val="none"/>
        </w:rPr>
        <w:t>；</w:t>
      </w:r>
    </w:p>
    <w:p w14:paraId="1A9949AA">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（2）材料和工程设备暂估价金额：</w:t>
      </w:r>
    </w:p>
    <w:p w14:paraId="3A9626DA">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人民币（大写）</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r>
        <w:rPr>
          <w:rFonts w:ascii="宋体" w:hAnsi="宋体"/>
          <w:color w:val="auto"/>
          <w:szCs w:val="21"/>
          <w:highlight w:val="none"/>
          <w:u w:val="single"/>
        </w:rPr>
        <w:t xml:space="preserve">            </w:t>
      </w:r>
      <w:r>
        <w:rPr>
          <w:rFonts w:ascii="宋体" w:hAnsi="宋体"/>
          <w:color w:val="auto"/>
          <w:szCs w:val="21"/>
          <w:highlight w:val="none"/>
        </w:rPr>
        <w:t>元）</w:t>
      </w:r>
      <w:r>
        <w:rPr>
          <w:rFonts w:hint="eastAsia" w:ascii="宋体" w:hAnsi="宋体"/>
          <w:color w:val="auto"/>
          <w:szCs w:val="21"/>
          <w:highlight w:val="none"/>
        </w:rPr>
        <w:t>；</w:t>
      </w:r>
    </w:p>
    <w:p w14:paraId="6B9026B3">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（3）专业工程暂估价金额：</w:t>
      </w:r>
    </w:p>
    <w:p w14:paraId="6DCAB06C">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人民币（大写）</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r>
        <w:rPr>
          <w:rFonts w:ascii="宋体" w:hAnsi="宋体"/>
          <w:color w:val="auto"/>
          <w:szCs w:val="21"/>
          <w:highlight w:val="none"/>
          <w:u w:val="single"/>
        </w:rPr>
        <w:t xml:space="preserve">            </w:t>
      </w:r>
      <w:r>
        <w:rPr>
          <w:rFonts w:ascii="宋体" w:hAnsi="宋体"/>
          <w:color w:val="auto"/>
          <w:szCs w:val="21"/>
          <w:highlight w:val="none"/>
        </w:rPr>
        <w:t>元）</w:t>
      </w:r>
      <w:r>
        <w:rPr>
          <w:rFonts w:hint="eastAsia" w:ascii="宋体" w:hAnsi="宋体"/>
          <w:color w:val="auto"/>
          <w:szCs w:val="21"/>
          <w:highlight w:val="none"/>
        </w:rPr>
        <w:t>；</w:t>
      </w:r>
    </w:p>
    <w:p w14:paraId="1D9ECA36">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（4）暂列金额：</w:t>
      </w:r>
    </w:p>
    <w:p w14:paraId="6B7481E5">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人民币（大写）</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w:t>
      </w:r>
      <w:r>
        <w:rPr>
          <w:rFonts w:ascii="宋体" w:hAnsi="宋体"/>
          <w:color w:val="auto"/>
          <w:szCs w:val="21"/>
          <w:highlight w:val="none"/>
          <w:u w:val="single"/>
        </w:rPr>
        <w:t xml:space="preserve">            </w:t>
      </w:r>
      <w:r>
        <w:rPr>
          <w:rFonts w:ascii="宋体" w:hAnsi="宋体"/>
          <w:color w:val="auto"/>
          <w:szCs w:val="21"/>
          <w:highlight w:val="none"/>
        </w:rPr>
        <w:t>元）</w:t>
      </w:r>
      <w:r>
        <w:rPr>
          <w:rFonts w:hint="eastAsia" w:ascii="宋体" w:hAnsi="宋体"/>
          <w:color w:val="auto"/>
          <w:szCs w:val="21"/>
          <w:highlight w:val="none"/>
        </w:rPr>
        <w:t>。</w:t>
      </w:r>
    </w:p>
    <w:p w14:paraId="7671D010">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（5）人工费（工资款）</w:t>
      </w:r>
    </w:p>
    <w:p w14:paraId="25F05270">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该项目实行人工费（工资款）与其他工程款分账管理，发包人将应付工程款中的人工费（工资款），以不低于已完成合同价款的</w:t>
      </w:r>
      <w:r>
        <w:rPr>
          <w:rFonts w:hint="eastAsia" w:ascii="宋体" w:hAnsi="宋体"/>
          <w:color w:val="auto"/>
          <w:szCs w:val="21"/>
          <w:highlight w:val="none"/>
          <w:u w:val="single"/>
        </w:rPr>
        <w:t xml:space="preserve">    </w:t>
      </w:r>
      <w:r>
        <w:rPr>
          <w:rFonts w:hint="eastAsia" w:ascii="宋体" w:hAnsi="宋体"/>
          <w:color w:val="auto"/>
          <w:szCs w:val="21"/>
          <w:highlight w:val="none"/>
        </w:rPr>
        <w:t>，农民工工资单独支付至承包人设立的农民工工资专用账户。</w:t>
      </w:r>
    </w:p>
    <w:p w14:paraId="69FC482E">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3.合同价格形式：</w:t>
      </w:r>
      <w:r>
        <w:rPr>
          <w:rFonts w:ascii="宋体" w:hAnsi="宋体"/>
          <w:color w:val="auto"/>
          <w:szCs w:val="21"/>
          <w:highlight w:val="none"/>
          <w:u w:val="single"/>
        </w:rPr>
        <w:t xml:space="preserve">              </w:t>
      </w:r>
      <w:r>
        <w:rPr>
          <w:rFonts w:hint="eastAsia" w:ascii="宋体" w:hAnsi="宋体"/>
          <w:color w:val="auto"/>
          <w:szCs w:val="21"/>
          <w:highlight w:val="none"/>
        </w:rPr>
        <w:t>。</w:t>
      </w:r>
    </w:p>
    <w:p w14:paraId="150D6688">
      <w:pPr>
        <w:pStyle w:val="6"/>
        <w:keepNext/>
        <w:keepLines/>
        <w:spacing w:before="120" w:after="120" w:line="360" w:lineRule="auto"/>
        <w:ind w:firstLine="422" w:firstLineChars="200"/>
        <w:jc w:val="both"/>
        <w:rPr>
          <w:color w:val="auto"/>
          <w:kern w:val="2"/>
          <w:sz w:val="21"/>
          <w:szCs w:val="21"/>
          <w:highlight w:val="none"/>
        </w:rPr>
      </w:pPr>
      <w:bookmarkStart w:id="603" w:name="_Toc351203485"/>
      <w:bookmarkStart w:id="604" w:name="_Toc532377170"/>
      <w:bookmarkStart w:id="605" w:name="_Toc532375577"/>
      <w:r>
        <w:rPr>
          <w:rFonts w:hint="eastAsia"/>
          <w:color w:val="auto"/>
          <w:kern w:val="2"/>
          <w:sz w:val="21"/>
          <w:szCs w:val="21"/>
          <w:highlight w:val="none"/>
        </w:rPr>
        <w:t>五、</w:t>
      </w:r>
      <w:bookmarkEnd w:id="603"/>
      <w:r>
        <w:rPr>
          <w:rFonts w:hint="eastAsia"/>
          <w:color w:val="auto"/>
          <w:kern w:val="2"/>
          <w:sz w:val="21"/>
          <w:szCs w:val="21"/>
          <w:highlight w:val="none"/>
        </w:rPr>
        <w:t>项目经理及技术负责人</w:t>
      </w:r>
      <w:bookmarkEnd w:id="604"/>
      <w:bookmarkEnd w:id="605"/>
    </w:p>
    <w:p w14:paraId="56901BE2">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承包人投标文件中承诺的项目经理：</w:t>
      </w:r>
    </w:p>
    <w:p w14:paraId="6C0891D0">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姓名：</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14:paraId="15784974">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身份证号码：</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14:paraId="0A2AA835">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建造师</w:t>
      </w:r>
      <w:r>
        <w:rPr>
          <w:rFonts w:ascii="宋体" w:hAnsi="宋体"/>
          <w:color w:val="auto"/>
          <w:szCs w:val="21"/>
          <w:highlight w:val="none"/>
        </w:rPr>
        <w:t>注册证书号</w:t>
      </w:r>
      <w:r>
        <w:rPr>
          <w:rFonts w:hint="eastAsia" w:ascii="宋体" w:hAnsi="宋体"/>
          <w:color w:val="auto"/>
          <w:szCs w:val="21"/>
          <w:highlight w:val="none"/>
        </w:rPr>
        <w:t>：</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14:paraId="2D45A6CA">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承包人投标文件中承诺的技术负责人：</w:t>
      </w:r>
    </w:p>
    <w:p w14:paraId="02423387">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姓名：</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14:paraId="7D49FD7D">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身份证号码：</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14:paraId="3767FDC1">
      <w:pPr>
        <w:pStyle w:val="2"/>
        <w:spacing w:line="360" w:lineRule="auto"/>
        <w:rPr>
          <w:rFonts w:ascii="宋体" w:hAnsi="宋体"/>
          <w:color w:val="auto"/>
          <w:szCs w:val="21"/>
          <w:highlight w:val="none"/>
        </w:rPr>
      </w:pPr>
      <w:r>
        <w:rPr>
          <w:rFonts w:hint="eastAsia" w:ascii="宋体" w:hAnsi="宋体"/>
          <w:color w:val="auto"/>
          <w:szCs w:val="21"/>
          <w:highlight w:val="none"/>
        </w:rPr>
        <w:t xml:space="preserve">    证书名称</w:t>
      </w:r>
      <w:r>
        <w:rPr>
          <w:rFonts w:ascii="宋体" w:hAnsi="宋体"/>
          <w:color w:val="auto"/>
          <w:szCs w:val="21"/>
          <w:highlight w:val="none"/>
        </w:rPr>
        <w:t>及号码：</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14:paraId="16009650">
      <w:pPr>
        <w:pStyle w:val="6"/>
        <w:keepNext/>
        <w:keepLines/>
        <w:spacing w:before="120" w:after="120" w:line="360" w:lineRule="auto"/>
        <w:ind w:firstLine="422" w:firstLineChars="200"/>
        <w:jc w:val="both"/>
        <w:rPr>
          <w:color w:val="auto"/>
          <w:kern w:val="2"/>
          <w:sz w:val="21"/>
          <w:szCs w:val="21"/>
          <w:highlight w:val="none"/>
        </w:rPr>
      </w:pPr>
      <w:bookmarkStart w:id="606" w:name="_Toc532375578"/>
      <w:bookmarkStart w:id="607" w:name="_Toc351203486"/>
      <w:bookmarkStart w:id="608" w:name="_Toc532377171"/>
      <w:r>
        <w:rPr>
          <w:rFonts w:hint="eastAsia"/>
          <w:color w:val="auto"/>
          <w:kern w:val="2"/>
          <w:sz w:val="21"/>
          <w:szCs w:val="21"/>
          <w:highlight w:val="none"/>
        </w:rPr>
        <w:t>六、合同文件构成</w:t>
      </w:r>
      <w:bookmarkEnd w:id="606"/>
      <w:bookmarkEnd w:id="607"/>
      <w:bookmarkEnd w:id="608"/>
    </w:p>
    <w:p w14:paraId="23DA54BE">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合同由以下文件构成：</w:t>
      </w:r>
    </w:p>
    <w:p w14:paraId="177CA38E">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（1）合同协议书；</w:t>
      </w:r>
    </w:p>
    <w:p w14:paraId="17294907">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（2）中标通知书；</w:t>
      </w:r>
    </w:p>
    <w:p w14:paraId="7808FC80">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（3）投标函及投标函附录；</w:t>
      </w:r>
    </w:p>
    <w:p w14:paraId="39BB481E">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（4）专用合同条款及其附件；</w:t>
      </w:r>
    </w:p>
    <w:p w14:paraId="3AD5089B">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（5）通用合同条款；</w:t>
      </w:r>
    </w:p>
    <w:p w14:paraId="28DB194D">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（6）投标文件（投标函及投标函附录除外）；</w:t>
      </w:r>
    </w:p>
    <w:p w14:paraId="0F4F7D14">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（7）招标文件及修改文件；</w:t>
      </w:r>
    </w:p>
    <w:p w14:paraId="5CCC1AB2">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（8）技术标准和要求；</w:t>
      </w:r>
    </w:p>
    <w:p w14:paraId="632CDD76">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（9）图纸；</w:t>
      </w:r>
    </w:p>
    <w:p w14:paraId="02611B94">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（10）其他合同文件。</w:t>
      </w:r>
    </w:p>
    <w:p w14:paraId="49F1D42E">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在合同订立、履行过程中形成的与合同有关的书面形式的文件均构成合同文件组成部分。</w:t>
      </w:r>
    </w:p>
    <w:p w14:paraId="52FB8F30">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上述各项合同文件包括合同当事人就该项合同文件所作出的补充和修改，属于同一类内容的文件，应以最新签署的为准。专用合同条款及其附件须经合同当事人签名或盖章。</w:t>
      </w:r>
    </w:p>
    <w:p w14:paraId="4947859C">
      <w:pPr>
        <w:pStyle w:val="6"/>
        <w:keepNext/>
        <w:keepLines/>
        <w:spacing w:before="120" w:after="120" w:line="360" w:lineRule="auto"/>
        <w:ind w:firstLine="422" w:firstLineChars="200"/>
        <w:jc w:val="both"/>
        <w:rPr>
          <w:color w:val="auto"/>
          <w:kern w:val="2"/>
          <w:sz w:val="21"/>
          <w:szCs w:val="21"/>
          <w:highlight w:val="none"/>
        </w:rPr>
      </w:pPr>
      <w:bookmarkStart w:id="609" w:name="_Toc351203487"/>
      <w:bookmarkStart w:id="610" w:name="_Toc532375579"/>
      <w:bookmarkStart w:id="611" w:name="_Toc532377172"/>
      <w:r>
        <w:rPr>
          <w:rFonts w:hint="eastAsia"/>
          <w:color w:val="auto"/>
          <w:kern w:val="2"/>
          <w:sz w:val="21"/>
          <w:szCs w:val="21"/>
          <w:highlight w:val="none"/>
        </w:rPr>
        <w:t>七、承诺</w:t>
      </w:r>
      <w:bookmarkEnd w:id="609"/>
      <w:bookmarkEnd w:id="610"/>
      <w:bookmarkEnd w:id="611"/>
    </w:p>
    <w:p w14:paraId="4B655550">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1.发包人承诺按照法律规定履行项目审批手续、筹集工程建设资金并按照合同约定的期限和方式支付合同价款。</w:t>
      </w:r>
    </w:p>
    <w:p w14:paraId="381CD7FB">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2.</w:t>
      </w:r>
      <w:r>
        <w:rPr>
          <w:rFonts w:hint="eastAsia" w:ascii="宋体" w:hAnsi="宋体"/>
          <w:color w:val="auto"/>
          <w:szCs w:val="21"/>
          <w:highlight w:val="none"/>
        </w:rPr>
        <w:t>承包人承诺按照法律规定及合同约定组织完成工程施工，确保工程质量和安全，不进行转包及违法分包，并在缺陷责任期及保修期内承担相应的工程维修责任</w:t>
      </w:r>
      <w:r>
        <w:rPr>
          <w:rFonts w:hint="eastAsia" w:ascii="宋体" w:hAnsi="宋体"/>
          <w:bCs/>
          <w:color w:val="auto"/>
          <w:szCs w:val="21"/>
          <w:highlight w:val="none"/>
        </w:rPr>
        <w:t>。</w:t>
      </w:r>
    </w:p>
    <w:p w14:paraId="368FAE8F">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3.发包人和承包人通过招投标形式签订合同的，双方理解并承诺不再就同一工程另行签订与合同实质性内容相背离的协议。</w:t>
      </w:r>
    </w:p>
    <w:p w14:paraId="3BF989AA">
      <w:pPr>
        <w:pStyle w:val="6"/>
        <w:keepNext/>
        <w:keepLines/>
        <w:spacing w:before="120" w:after="120" w:line="360" w:lineRule="auto"/>
        <w:ind w:firstLine="422" w:firstLineChars="200"/>
        <w:jc w:val="both"/>
        <w:rPr>
          <w:color w:val="auto"/>
          <w:kern w:val="2"/>
          <w:sz w:val="21"/>
          <w:szCs w:val="21"/>
          <w:highlight w:val="none"/>
        </w:rPr>
      </w:pPr>
      <w:bookmarkStart w:id="612" w:name="_Toc351203488"/>
      <w:bookmarkStart w:id="613" w:name="_Toc532377173"/>
      <w:bookmarkStart w:id="614" w:name="_Toc532375580"/>
      <w:r>
        <w:rPr>
          <w:rFonts w:hint="eastAsia"/>
          <w:color w:val="auto"/>
          <w:kern w:val="2"/>
          <w:sz w:val="21"/>
          <w:szCs w:val="21"/>
          <w:highlight w:val="none"/>
        </w:rPr>
        <w:t>八、词语含义</w:t>
      </w:r>
      <w:bookmarkEnd w:id="612"/>
      <w:bookmarkEnd w:id="613"/>
      <w:bookmarkEnd w:id="614"/>
    </w:p>
    <w:p w14:paraId="308C9AB4">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本协议书中词语含义与专用合同条款及通用合同条款中赋予的含义相同。</w:t>
      </w:r>
    </w:p>
    <w:p w14:paraId="7E297244">
      <w:pPr>
        <w:pStyle w:val="6"/>
        <w:keepNext/>
        <w:keepLines/>
        <w:spacing w:before="120" w:after="120" w:line="360" w:lineRule="auto"/>
        <w:ind w:firstLine="422" w:firstLineChars="200"/>
        <w:jc w:val="both"/>
        <w:rPr>
          <w:color w:val="auto"/>
          <w:kern w:val="2"/>
          <w:sz w:val="21"/>
          <w:szCs w:val="21"/>
          <w:highlight w:val="none"/>
        </w:rPr>
      </w:pPr>
      <w:bookmarkStart w:id="615" w:name="_Toc532377174"/>
      <w:bookmarkStart w:id="616" w:name="_Toc532375581"/>
      <w:r>
        <w:rPr>
          <w:rFonts w:hint="eastAsia"/>
          <w:color w:val="auto"/>
          <w:kern w:val="2"/>
          <w:sz w:val="21"/>
          <w:szCs w:val="21"/>
          <w:highlight w:val="none"/>
        </w:rPr>
        <w:t>九、签订时间</w:t>
      </w:r>
      <w:bookmarkEnd w:id="615"/>
      <w:bookmarkEnd w:id="616"/>
    </w:p>
    <w:p w14:paraId="5E4D99CC">
      <w:pPr>
        <w:spacing w:line="360" w:lineRule="auto"/>
        <w:ind w:firstLine="420" w:firstLineChars="200"/>
        <w:rPr>
          <w:rFonts w:ascii="宋体" w:hAnsi="宋体"/>
          <w:color w:val="auto"/>
          <w:szCs w:val="21"/>
          <w:highlight w:val="none"/>
        </w:rPr>
      </w:pPr>
      <w:r>
        <w:rPr>
          <w:rFonts w:hint="eastAsia" w:ascii="宋体" w:hAnsi="宋体"/>
          <w:bCs/>
          <w:color w:val="auto"/>
          <w:szCs w:val="21"/>
          <w:highlight w:val="none"/>
        </w:rPr>
        <w:t>合同于</w:t>
      </w:r>
      <w:r>
        <w:rPr>
          <w:rFonts w:hint="eastAsia" w:ascii="宋体" w:hAnsi="宋体"/>
          <w:bCs/>
          <w:color w:val="auto"/>
          <w:szCs w:val="21"/>
          <w:highlight w:val="none"/>
          <w:u w:val="single"/>
        </w:rPr>
        <w:t xml:space="preserve">    </w:t>
      </w:r>
      <w:r>
        <w:rPr>
          <w:rFonts w:hint="eastAsia" w:ascii="宋体" w:hAnsi="宋体"/>
          <w:bCs/>
          <w:color w:val="auto"/>
          <w:szCs w:val="21"/>
          <w:highlight w:val="none"/>
        </w:rPr>
        <w:t>年</w:t>
      </w:r>
      <w:r>
        <w:rPr>
          <w:rFonts w:hint="eastAsia" w:ascii="宋体" w:hAnsi="宋体"/>
          <w:bCs/>
          <w:color w:val="auto"/>
          <w:szCs w:val="21"/>
          <w:highlight w:val="none"/>
          <w:u w:val="single"/>
        </w:rPr>
        <w:t xml:space="preserve">    </w:t>
      </w:r>
      <w:r>
        <w:rPr>
          <w:rFonts w:hint="eastAsia" w:ascii="宋体" w:hAnsi="宋体"/>
          <w:bCs/>
          <w:color w:val="auto"/>
          <w:szCs w:val="21"/>
          <w:highlight w:val="none"/>
        </w:rPr>
        <w:t>月</w:t>
      </w:r>
      <w:r>
        <w:rPr>
          <w:rFonts w:hint="eastAsia" w:ascii="宋体" w:hAnsi="宋体"/>
          <w:bCs/>
          <w:color w:val="auto"/>
          <w:szCs w:val="21"/>
          <w:highlight w:val="none"/>
          <w:u w:val="single"/>
        </w:rPr>
        <w:t xml:space="preserve">    </w:t>
      </w:r>
      <w:r>
        <w:rPr>
          <w:rFonts w:hint="eastAsia" w:ascii="宋体" w:hAnsi="宋体"/>
          <w:bCs/>
          <w:color w:val="auto"/>
          <w:szCs w:val="21"/>
          <w:highlight w:val="none"/>
        </w:rPr>
        <w:t>日签订</w:t>
      </w:r>
    </w:p>
    <w:p w14:paraId="1B26C2C5">
      <w:pPr>
        <w:pStyle w:val="6"/>
        <w:keepNext/>
        <w:keepLines/>
        <w:spacing w:before="120" w:after="120" w:line="360" w:lineRule="auto"/>
        <w:ind w:firstLine="422" w:firstLineChars="200"/>
        <w:jc w:val="both"/>
        <w:rPr>
          <w:color w:val="auto"/>
          <w:kern w:val="2"/>
          <w:sz w:val="21"/>
          <w:szCs w:val="21"/>
          <w:highlight w:val="none"/>
        </w:rPr>
      </w:pPr>
      <w:bookmarkStart w:id="617" w:name="_Toc351203489"/>
      <w:bookmarkStart w:id="618" w:name="_Toc532377175"/>
      <w:bookmarkStart w:id="619" w:name="_Toc532375582"/>
      <w:r>
        <w:rPr>
          <w:rFonts w:hint="eastAsia"/>
          <w:color w:val="auto"/>
          <w:kern w:val="2"/>
          <w:sz w:val="21"/>
          <w:szCs w:val="21"/>
          <w:highlight w:val="none"/>
        </w:rPr>
        <w:t>十、</w:t>
      </w:r>
      <w:bookmarkEnd w:id="617"/>
      <w:bookmarkStart w:id="620" w:name="_Toc351203490"/>
      <w:r>
        <w:rPr>
          <w:rFonts w:hint="eastAsia"/>
          <w:color w:val="auto"/>
          <w:kern w:val="2"/>
          <w:sz w:val="21"/>
          <w:szCs w:val="21"/>
          <w:highlight w:val="none"/>
        </w:rPr>
        <w:t>签订地点</w:t>
      </w:r>
      <w:bookmarkEnd w:id="618"/>
      <w:bookmarkEnd w:id="619"/>
      <w:bookmarkEnd w:id="620"/>
    </w:p>
    <w:p w14:paraId="57AD3AC5">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合同在</w:t>
      </w:r>
      <w:r>
        <w:rPr>
          <w:rFonts w:hint="eastAsia" w:ascii="宋体" w:hAnsi="宋体"/>
          <w:bCs/>
          <w:color w:val="auto"/>
          <w:szCs w:val="21"/>
          <w:highlight w:val="none"/>
          <w:u w:val="single"/>
        </w:rPr>
        <w:t xml:space="preserve">            </w:t>
      </w:r>
      <w:r>
        <w:rPr>
          <w:rFonts w:hint="eastAsia" w:ascii="宋体" w:hAnsi="宋体"/>
          <w:bCs/>
          <w:color w:val="auto"/>
          <w:szCs w:val="21"/>
          <w:highlight w:val="none"/>
        </w:rPr>
        <w:t>签订。</w:t>
      </w:r>
    </w:p>
    <w:p w14:paraId="63C61D54">
      <w:pPr>
        <w:pStyle w:val="6"/>
        <w:keepNext/>
        <w:keepLines/>
        <w:spacing w:before="120" w:after="120" w:line="360" w:lineRule="auto"/>
        <w:ind w:firstLine="422" w:firstLineChars="200"/>
        <w:jc w:val="both"/>
        <w:rPr>
          <w:color w:val="auto"/>
          <w:kern w:val="2"/>
          <w:sz w:val="21"/>
          <w:szCs w:val="21"/>
          <w:highlight w:val="none"/>
        </w:rPr>
      </w:pPr>
      <w:bookmarkStart w:id="621" w:name="_Toc532377176"/>
      <w:bookmarkStart w:id="622" w:name="_Toc351203491"/>
      <w:bookmarkStart w:id="623" w:name="_Toc532375583"/>
      <w:r>
        <w:rPr>
          <w:rFonts w:hint="eastAsia"/>
          <w:color w:val="auto"/>
          <w:kern w:val="2"/>
          <w:sz w:val="21"/>
          <w:szCs w:val="21"/>
          <w:highlight w:val="none"/>
        </w:rPr>
        <w:t>十一、补充协议</w:t>
      </w:r>
      <w:bookmarkEnd w:id="621"/>
      <w:bookmarkEnd w:id="622"/>
      <w:bookmarkEnd w:id="623"/>
    </w:p>
    <w:p w14:paraId="3647CA68">
      <w:pPr>
        <w:spacing w:line="360" w:lineRule="auto"/>
        <w:ind w:firstLine="420" w:firstLineChars="200"/>
        <w:rPr>
          <w:rFonts w:ascii="宋体" w:hAnsi="宋体"/>
          <w:b/>
          <w:bCs/>
          <w:color w:val="auto"/>
          <w:szCs w:val="21"/>
          <w:highlight w:val="none"/>
        </w:rPr>
      </w:pPr>
      <w:r>
        <w:rPr>
          <w:rFonts w:hint="eastAsia" w:ascii="宋体" w:hAnsi="宋体"/>
          <w:bCs/>
          <w:color w:val="auto"/>
          <w:szCs w:val="21"/>
          <w:highlight w:val="none"/>
        </w:rPr>
        <w:t>合同未尽事宜，合同当事人另行签订补充协议，补充协议是合同的组成部分。</w:t>
      </w:r>
    </w:p>
    <w:p w14:paraId="535E1010">
      <w:pPr>
        <w:pStyle w:val="6"/>
        <w:keepNext/>
        <w:keepLines/>
        <w:spacing w:before="120" w:after="120" w:line="360" w:lineRule="auto"/>
        <w:ind w:firstLine="422" w:firstLineChars="200"/>
        <w:jc w:val="both"/>
        <w:rPr>
          <w:color w:val="auto"/>
          <w:kern w:val="2"/>
          <w:sz w:val="21"/>
          <w:szCs w:val="21"/>
          <w:highlight w:val="none"/>
        </w:rPr>
      </w:pPr>
      <w:bookmarkStart w:id="624" w:name="_Toc532377177"/>
      <w:bookmarkStart w:id="625" w:name="_Toc532375584"/>
      <w:bookmarkStart w:id="626" w:name="_Toc351203492"/>
      <w:r>
        <w:rPr>
          <w:rFonts w:hint="eastAsia"/>
          <w:color w:val="auto"/>
          <w:kern w:val="2"/>
          <w:sz w:val="21"/>
          <w:szCs w:val="21"/>
          <w:highlight w:val="none"/>
        </w:rPr>
        <w:t>十二、合同生效</w:t>
      </w:r>
      <w:bookmarkEnd w:id="624"/>
      <w:bookmarkEnd w:id="625"/>
      <w:bookmarkEnd w:id="626"/>
    </w:p>
    <w:p w14:paraId="7F66F992">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合同在以下条件全部满足之后生效：</w:t>
      </w:r>
    </w:p>
    <w:p w14:paraId="54AF3FCE">
      <w:pPr>
        <w:spacing w:line="360" w:lineRule="auto"/>
        <w:ind w:firstLine="420" w:firstLineChars="200"/>
        <w:rPr>
          <w:rFonts w:ascii="宋体" w:hAnsi="宋体"/>
          <w:color w:val="auto"/>
          <w:szCs w:val="21"/>
          <w:highlight w:val="none"/>
        </w:rPr>
      </w:pPr>
      <w:r>
        <w:rPr>
          <w:rFonts w:hint="eastAsia" w:ascii="宋体" w:hAnsi="宋体"/>
          <w:bCs/>
          <w:color w:val="auto"/>
          <w:szCs w:val="21"/>
          <w:highlight w:val="none"/>
        </w:rPr>
        <w:t>1.合同</w:t>
      </w:r>
      <w:r>
        <w:rPr>
          <w:rFonts w:hint="eastAsia" w:ascii="宋体" w:hAnsi="宋体"/>
          <w:color w:val="auto"/>
          <w:szCs w:val="21"/>
          <w:highlight w:val="none"/>
        </w:rPr>
        <w:t>经双方法定代表人或其委托代理人签名并加盖单位</w:t>
      </w:r>
      <w:r>
        <w:rPr>
          <w:rFonts w:hint="eastAsia" w:ascii="宋体" w:hAnsi="宋体"/>
          <w:snapToGrid w:val="0"/>
          <w:color w:val="auto"/>
          <w:kern w:val="0"/>
          <w:szCs w:val="21"/>
          <w:highlight w:val="none"/>
        </w:rPr>
        <w:t>公章或合同专用章</w:t>
      </w:r>
      <w:r>
        <w:rPr>
          <w:rFonts w:hint="eastAsia" w:ascii="宋体" w:hAnsi="宋体"/>
          <w:color w:val="auto"/>
          <w:szCs w:val="21"/>
          <w:highlight w:val="none"/>
        </w:rPr>
        <w:t>；</w:t>
      </w:r>
    </w:p>
    <w:p w14:paraId="06547141">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2.采用保函形式递交履约担保的，承包人按合同约定向发包人提交履约担保后；</w:t>
      </w:r>
    </w:p>
    <w:p w14:paraId="6BC532BB">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3.</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14:paraId="18F306DB">
      <w:pPr>
        <w:pStyle w:val="6"/>
        <w:keepNext/>
        <w:keepLines/>
        <w:spacing w:before="120" w:after="120" w:line="360" w:lineRule="auto"/>
        <w:ind w:firstLine="422" w:firstLineChars="200"/>
        <w:jc w:val="both"/>
        <w:rPr>
          <w:color w:val="auto"/>
          <w:kern w:val="2"/>
          <w:sz w:val="21"/>
          <w:szCs w:val="21"/>
          <w:highlight w:val="none"/>
        </w:rPr>
      </w:pPr>
      <w:bookmarkStart w:id="627" w:name="_Toc351203493"/>
      <w:bookmarkStart w:id="628" w:name="_Toc532377178"/>
      <w:bookmarkStart w:id="629" w:name="_Toc532375585"/>
      <w:r>
        <w:rPr>
          <w:rFonts w:hint="eastAsia"/>
          <w:color w:val="auto"/>
          <w:kern w:val="2"/>
          <w:sz w:val="21"/>
          <w:szCs w:val="21"/>
          <w:highlight w:val="none"/>
        </w:rPr>
        <w:t>十三、合同份数</w:t>
      </w:r>
      <w:bookmarkEnd w:id="627"/>
      <w:bookmarkEnd w:id="628"/>
      <w:bookmarkEnd w:id="629"/>
    </w:p>
    <w:p w14:paraId="1677C09B">
      <w:pPr>
        <w:spacing w:line="360" w:lineRule="auto"/>
        <w:ind w:firstLine="420" w:firstLineChars="200"/>
        <w:rPr>
          <w:rFonts w:ascii="宋体" w:hAnsi="宋体"/>
          <w:bCs/>
          <w:color w:val="auto"/>
          <w:szCs w:val="21"/>
          <w:highlight w:val="none"/>
        </w:rPr>
      </w:pPr>
      <w:r>
        <w:rPr>
          <w:rFonts w:hint="eastAsia" w:ascii="宋体" w:hAnsi="宋体" w:cs="Microsoft Sans Serif"/>
          <w:bCs/>
          <w:color w:val="auto"/>
          <w:szCs w:val="21"/>
          <w:highlight w:val="none"/>
        </w:rPr>
        <w:t>合同一式</w:t>
      </w:r>
      <w:r>
        <w:rPr>
          <w:rFonts w:hint="eastAsia" w:ascii="宋体" w:hAnsi="宋体" w:cs="Microsoft Sans Serif"/>
          <w:bCs/>
          <w:color w:val="auto"/>
          <w:szCs w:val="21"/>
          <w:highlight w:val="none"/>
          <w:u w:val="single"/>
        </w:rPr>
        <w:t xml:space="preserve">     </w:t>
      </w:r>
      <w:r>
        <w:rPr>
          <w:rFonts w:hint="eastAsia" w:ascii="宋体" w:hAnsi="宋体" w:cs="Microsoft Sans Serif"/>
          <w:bCs/>
          <w:color w:val="auto"/>
          <w:szCs w:val="21"/>
          <w:highlight w:val="none"/>
        </w:rPr>
        <w:t>份，其中正本</w:t>
      </w:r>
      <w:r>
        <w:rPr>
          <w:rFonts w:hint="eastAsia" w:ascii="宋体" w:hAnsi="宋体" w:cs="Microsoft Sans Serif"/>
          <w:bCs/>
          <w:color w:val="auto"/>
          <w:szCs w:val="21"/>
          <w:highlight w:val="none"/>
          <w:u w:val="single"/>
        </w:rPr>
        <w:t xml:space="preserve">    </w:t>
      </w:r>
      <w:r>
        <w:rPr>
          <w:rFonts w:hint="eastAsia" w:ascii="宋体" w:hAnsi="宋体" w:cs="Microsoft Sans Serif"/>
          <w:bCs/>
          <w:color w:val="auto"/>
          <w:szCs w:val="21"/>
          <w:highlight w:val="none"/>
        </w:rPr>
        <w:t>份，双方各持</w:t>
      </w:r>
      <w:r>
        <w:rPr>
          <w:rFonts w:hint="eastAsia" w:ascii="宋体" w:hAnsi="宋体" w:cs="Microsoft Sans Serif"/>
          <w:bCs/>
          <w:color w:val="auto"/>
          <w:szCs w:val="21"/>
          <w:highlight w:val="none"/>
          <w:u w:val="single"/>
        </w:rPr>
        <w:t xml:space="preserve">    </w:t>
      </w:r>
      <w:r>
        <w:rPr>
          <w:rFonts w:hint="eastAsia" w:ascii="宋体" w:hAnsi="宋体" w:cs="Microsoft Sans Serif"/>
          <w:bCs/>
          <w:color w:val="auto"/>
          <w:szCs w:val="21"/>
          <w:highlight w:val="none"/>
        </w:rPr>
        <w:t>份，副本</w:t>
      </w:r>
      <w:r>
        <w:rPr>
          <w:rFonts w:hint="eastAsia" w:ascii="宋体" w:hAnsi="宋体" w:cs="Microsoft Sans Serif"/>
          <w:bCs/>
          <w:color w:val="auto"/>
          <w:szCs w:val="21"/>
          <w:highlight w:val="none"/>
          <w:u w:val="single"/>
        </w:rPr>
        <w:t xml:space="preserve">    </w:t>
      </w:r>
      <w:r>
        <w:rPr>
          <w:rFonts w:hint="eastAsia" w:ascii="宋体" w:hAnsi="宋体" w:cs="Microsoft Sans Serif"/>
          <w:bCs/>
          <w:color w:val="auto"/>
          <w:szCs w:val="21"/>
          <w:highlight w:val="none"/>
        </w:rPr>
        <w:t>份，双方各执</w:t>
      </w:r>
      <w:r>
        <w:rPr>
          <w:rFonts w:hint="eastAsia" w:ascii="宋体" w:hAnsi="宋体" w:cs="Microsoft Sans Serif"/>
          <w:bCs/>
          <w:color w:val="auto"/>
          <w:szCs w:val="21"/>
          <w:highlight w:val="none"/>
          <w:u w:val="single"/>
        </w:rPr>
        <w:t xml:space="preserve">    </w:t>
      </w:r>
      <w:r>
        <w:rPr>
          <w:rFonts w:hint="eastAsia" w:ascii="宋体" w:hAnsi="宋体" w:cs="Microsoft Sans Serif"/>
          <w:bCs/>
          <w:color w:val="auto"/>
          <w:szCs w:val="21"/>
          <w:highlight w:val="none"/>
        </w:rPr>
        <w:t>份。副本与正本不一致时，以正本为准</w:t>
      </w:r>
      <w:r>
        <w:rPr>
          <w:rFonts w:hint="eastAsia" w:ascii="宋体" w:hAnsi="宋体"/>
          <w:bCs/>
          <w:color w:val="auto"/>
          <w:szCs w:val="21"/>
          <w:highlight w:val="none"/>
        </w:rPr>
        <w:t>。</w:t>
      </w:r>
    </w:p>
    <w:p w14:paraId="02B8EAF2">
      <w:pPr>
        <w:spacing w:line="360" w:lineRule="auto"/>
        <w:ind w:firstLine="420" w:firstLineChars="200"/>
        <w:rPr>
          <w:rFonts w:ascii="宋体" w:hAnsi="宋体"/>
          <w:bCs/>
          <w:color w:val="auto"/>
          <w:szCs w:val="21"/>
          <w:highlight w:val="none"/>
        </w:rPr>
      </w:pPr>
    </w:p>
    <w:p w14:paraId="6AE63AC4">
      <w:pPr>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（以下为签名盖章页）。</w:t>
      </w:r>
    </w:p>
    <w:p w14:paraId="51C296E9">
      <w:pPr>
        <w:pStyle w:val="2"/>
        <w:spacing w:line="360" w:lineRule="auto"/>
        <w:ind w:firstLine="420" w:firstLineChars="200"/>
        <w:rPr>
          <w:rFonts w:ascii="宋体" w:hAnsi="宋体"/>
          <w:color w:val="auto"/>
          <w:szCs w:val="21"/>
          <w:highlight w:val="none"/>
        </w:rPr>
      </w:pPr>
    </w:p>
    <w:p w14:paraId="348B7BAD">
      <w:pPr>
        <w:pStyle w:val="2"/>
        <w:spacing w:line="360" w:lineRule="auto"/>
        <w:ind w:firstLine="420" w:firstLineChars="200"/>
        <w:rPr>
          <w:rFonts w:ascii="宋体" w:hAnsi="宋体"/>
          <w:color w:val="auto"/>
          <w:szCs w:val="21"/>
          <w:highlight w:val="none"/>
        </w:rPr>
      </w:pPr>
    </w:p>
    <w:p w14:paraId="4C2F0405">
      <w:pPr>
        <w:adjustRightInd w:val="0"/>
        <w:spacing w:line="360" w:lineRule="auto"/>
        <w:ind w:firstLine="420" w:firstLineChars="200"/>
        <w:rPr>
          <w:rFonts w:ascii="宋体" w:hAnsi="宋体"/>
          <w:snapToGrid w:val="0"/>
          <w:color w:val="auto"/>
          <w:kern w:val="0"/>
          <w:szCs w:val="21"/>
          <w:highlight w:val="none"/>
        </w:rPr>
      </w:pPr>
      <w:bookmarkStart w:id="630" w:name="_Toc467689623"/>
      <w:r>
        <w:rPr>
          <w:rFonts w:ascii="宋体" w:hAnsi="宋体"/>
          <w:snapToGrid w:val="0"/>
          <w:color w:val="auto"/>
          <w:kern w:val="0"/>
          <w:szCs w:val="21"/>
          <w:highlight w:val="none"/>
        </w:rPr>
        <w:t>发包人：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盖单位</w:t>
      </w:r>
      <w:r>
        <w:rPr>
          <w:rFonts w:ascii="宋体" w:hAnsi="宋体"/>
          <w:snapToGrid w:val="0"/>
          <w:color w:val="auto"/>
          <w:kern w:val="0"/>
          <w:szCs w:val="21"/>
          <w:highlight w:val="none"/>
        </w:rPr>
        <w:t>公章</w:t>
      </w:r>
      <w:r>
        <w:rPr>
          <w:rFonts w:hint="eastAsia" w:ascii="宋体" w:hAnsi="宋体"/>
          <w:snapToGrid w:val="0"/>
          <w:color w:val="auto"/>
          <w:kern w:val="0"/>
          <w:szCs w:val="21"/>
          <w:highlight w:val="none"/>
        </w:rPr>
        <w:t>或合同专用章</w:t>
      </w:r>
      <w:r>
        <w:rPr>
          <w:rFonts w:ascii="宋体" w:hAnsi="宋体"/>
          <w:snapToGrid w:val="0"/>
          <w:color w:val="auto"/>
          <w:kern w:val="0"/>
          <w:szCs w:val="21"/>
          <w:highlight w:val="none"/>
        </w:rPr>
        <w:t>）</w:t>
      </w:r>
    </w:p>
    <w:p w14:paraId="57AB7AB5">
      <w:pPr>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法定代表人或其委托代理人：</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签名</w:t>
      </w:r>
      <w:r>
        <w:rPr>
          <w:rFonts w:ascii="宋体" w:hAnsi="宋体"/>
          <w:snapToGrid w:val="0"/>
          <w:color w:val="auto"/>
          <w:kern w:val="0"/>
          <w:szCs w:val="21"/>
          <w:highlight w:val="none"/>
        </w:rPr>
        <w:t>）</w:t>
      </w:r>
    </w:p>
    <w:p w14:paraId="08A4A796">
      <w:pPr>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统一社会信用代码：</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14:paraId="276B7928">
      <w:pPr>
        <w:spacing w:line="360" w:lineRule="auto"/>
        <w:ind w:firstLine="420" w:firstLineChars="200"/>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纳税人识别号：</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14:paraId="3FA3F693">
      <w:pPr>
        <w:spacing w:line="360" w:lineRule="auto"/>
        <w:ind w:firstLine="420" w:firstLineChars="200"/>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地    址：</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14:paraId="1D7277F7">
      <w:pPr>
        <w:spacing w:line="360" w:lineRule="auto"/>
        <w:ind w:firstLine="420" w:firstLineChars="200"/>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电    话：</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14:paraId="7A8825EC">
      <w:pPr>
        <w:spacing w:line="360" w:lineRule="auto"/>
        <w:ind w:firstLine="420" w:firstLineChars="200"/>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开户银行：</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14:paraId="322A3950">
      <w:pPr>
        <w:spacing w:line="360" w:lineRule="auto"/>
        <w:ind w:firstLine="420" w:firstLineChars="200"/>
        <w:rPr>
          <w:rFonts w:ascii="宋体" w:hAnsi="宋体"/>
          <w:color w:val="auto"/>
          <w:szCs w:val="21"/>
          <w:highlight w:val="none"/>
        </w:rPr>
      </w:pPr>
      <w:r>
        <w:rPr>
          <w:rFonts w:hint="eastAsia" w:ascii="宋体" w:hAnsi="宋体"/>
          <w:snapToGrid w:val="0"/>
          <w:color w:val="auto"/>
          <w:kern w:val="0"/>
          <w:szCs w:val="21"/>
          <w:highlight w:val="none"/>
        </w:rPr>
        <w:t>账    号：</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14:paraId="47676EAA">
      <w:pPr>
        <w:spacing w:line="360" w:lineRule="auto"/>
        <w:rPr>
          <w:rFonts w:ascii="宋体" w:hAnsi="宋体"/>
          <w:snapToGrid w:val="0"/>
          <w:color w:val="auto"/>
          <w:kern w:val="0"/>
          <w:szCs w:val="21"/>
          <w:highlight w:val="none"/>
        </w:rPr>
      </w:pPr>
    </w:p>
    <w:p w14:paraId="7CBF4EA1">
      <w:pPr>
        <w:spacing w:line="360" w:lineRule="auto"/>
        <w:ind w:firstLine="420" w:firstLineChars="200"/>
        <w:rPr>
          <w:rFonts w:ascii="宋体" w:hAnsi="宋体"/>
          <w:color w:val="auto"/>
          <w:szCs w:val="21"/>
          <w:highlight w:val="none"/>
        </w:rPr>
      </w:pPr>
      <w:r>
        <w:rPr>
          <w:rFonts w:ascii="宋体" w:hAnsi="宋体"/>
          <w:snapToGrid w:val="0"/>
          <w:color w:val="auto"/>
          <w:kern w:val="0"/>
          <w:szCs w:val="21"/>
          <w:highlight w:val="none"/>
        </w:rPr>
        <w:t>承包人：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盖单位</w:t>
      </w:r>
      <w:r>
        <w:rPr>
          <w:rFonts w:ascii="宋体" w:hAnsi="宋体"/>
          <w:snapToGrid w:val="0"/>
          <w:color w:val="auto"/>
          <w:kern w:val="0"/>
          <w:szCs w:val="21"/>
          <w:highlight w:val="none"/>
        </w:rPr>
        <w:t>公章</w:t>
      </w:r>
      <w:r>
        <w:rPr>
          <w:rFonts w:hint="eastAsia" w:ascii="宋体" w:hAnsi="宋体"/>
          <w:snapToGrid w:val="0"/>
          <w:color w:val="auto"/>
          <w:kern w:val="0"/>
          <w:szCs w:val="21"/>
          <w:highlight w:val="none"/>
        </w:rPr>
        <w:t>或合同专用章</w:t>
      </w:r>
      <w:r>
        <w:rPr>
          <w:rFonts w:ascii="宋体" w:hAnsi="宋体"/>
          <w:snapToGrid w:val="0"/>
          <w:color w:val="auto"/>
          <w:kern w:val="0"/>
          <w:szCs w:val="21"/>
          <w:highlight w:val="none"/>
        </w:rPr>
        <w:t>）</w:t>
      </w:r>
    </w:p>
    <w:p w14:paraId="68358558">
      <w:pPr>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法定代表人或其委托代理人：</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签名</w:t>
      </w:r>
      <w:r>
        <w:rPr>
          <w:rFonts w:ascii="宋体" w:hAnsi="宋体"/>
          <w:snapToGrid w:val="0"/>
          <w:color w:val="auto"/>
          <w:kern w:val="0"/>
          <w:szCs w:val="21"/>
          <w:highlight w:val="none"/>
        </w:rPr>
        <w:t>）</w:t>
      </w:r>
    </w:p>
    <w:p w14:paraId="290B509C">
      <w:pPr>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统一社会信用代码：</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14:paraId="18B5E72B">
      <w:pPr>
        <w:spacing w:line="360" w:lineRule="auto"/>
        <w:ind w:firstLine="420" w:firstLineChars="200"/>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纳税人识别号：</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14:paraId="236F2C32">
      <w:pPr>
        <w:spacing w:line="360" w:lineRule="auto"/>
        <w:ind w:firstLine="420" w:firstLineChars="200"/>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地    址：</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14:paraId="7E77790E">
      <w:pPr>
        <w:spacing w:line="360" w:lineRule="auto"/>
        <w:ind w:firstLine="420" w:firstLineChars="200"/>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电    话：</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14:paraId="568F3EA6">
      <w:pPr>
        <w:spacing w:line="360" w:lineRule="auto"/>
        <w:ind w:firstLine="420" w:firstLineChars="200"/>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开户银行：</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14:paraId="7A81DD11">
      <w:pPr>
        <w:spacing w:line="360" w:lineRule="auto"/>
        <w:ind w:firstLine="420" w:firstLineChars="200"/>
        <w:rPr>
          <w:rFonts w:ascii="宋体" w:hAnsi="宋体"/>
          <w:snapToGrid w:val="0"/>
          <w:color w:val="auto"/>
          <w:kern w:val="0"/>
          <w:szCs w:val="21"/>
          <w:highlight w:val="none"/>
          <w:u w:val="single"/>
        </w:rPr>
      </w:pPr>
      <w:r>
        <w:rPr>
          <w:rFonts w:hint="eastAsia" w:ascii="宋体" w:hAnsi="宋体"/>
          <w:snapToGrid w:val="0"/>
          <w:color w:val="auto"/>
          <w:kern w:val="0"/>
          <w:szCs w:val="21"/>
          <w:highlight w:val="none"/>
        </w:rPr>
        <w:t>账    号：</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14:paraId="06407D90">
      <w:pPr>
        <w:pStyle w:val="2"/>
        <w:spacing w:line="360" w:lineRule="auto"/>
        <w:rPr>
          <w:rFonts w:ascii="宋体" w:hAnsi="宋体"/>
          <w:color w:val="auto"/>
          <w:szCs w:val="21"/>
          <w:highlight w:val="none"/>
        </w:rPr>
      </w:pPr>
    </w:p>
    <w:p w14:paraId="19A12729">
      <w:pPr>
        <w:spacing w:line="360" w:lineRule="auto"/>
        <w:jc w:val="right"/>
        <w:rPr>
          <w:rFonts w:ascii="宋体" w:hAnsi="宋体"/>
          <w:snapToGrid w:val="0"/>
          <w:color w:val="auto"/>
          <w:kern w:val="0"/>
          <w:szCs w:val="21"/>
          <w:highlight w:val="none"/>
        </w:rPr>
      </w:pPr>
    </w:p>
    <w:p w14:paraId="52217D64">
      <w:pPr>
        <w:spacing w:line="360" w:lineRule="auto"/>
        <w:jc w:val="right"/>
        <w:rPr>
          <w:rFonts w:ascii="宋体" w:hAnsi="宋体"/>
          <w:snapToGrid w:val="0"/>
          <w:color w:val="auto"/>
          <w:kern w:val="0"/>
          <w:szCs w:val="21"/>
          <w:highlight w:val="none"/>
        </w:rPr>
      </w:pPr>
    </w:p>
    <w:p w14:paraId="36A43383">
      <w:pPr>
        <w:spacing w:line="360" w:lineRule="auto"/>
        <w:jc w:val="right"/>
        <w:rPr>
          <w:rFonts w:ascii="宋体" w:hAnsi="宋体"/>
          <w:snapToGrid w:val="0"/>
          <w:color w:val="auto"/>
          <w:kern w:val="0"/>
          <w:szCs w:val="21"/>
          <w:highlight w:val="none"/>
        </w:rPr>
      </w:pPr>
      <w:r>
        <w:rPr>
          <w:rFonts w:hint="eastAsia" w:ascii="宋体" w:hAnsi="宋体"/>
          <w:snapToGrid w:val="0"/>
          <w:color w:val="auto"/>
          <w:kern w:val="0"/>
          <w:szCs w:val="21"/>
          <w:highlight w:val="none"/>
        </w:rPr>
        <w:t>签约时间：</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月</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日</w:t>
      </w:r>
      <w:bookmarkEnd w:id="630"/>
    </w:p>
    <w:p w14:paraId="27715231">
      <w:pPr>
        <w:pStyle w:val="5"/>
        <w:jc w:val="center"/>
        <w:rPr>
          <w:rFonts w:ascii="宋体" w:hAnsi="宋体"/>
          <w:bCs w:val="0"/>
          <w:color w:val="auto"/>
          <w:sz w:val="21"/>
          <w:szCs w:val="21"/>
          <w:highlight w:val="none"/>
        </w:rPr>
      </w:pPr>
      <w:r>
        <w:rPr>
          <w:rFonts w:hint="eastAsia" w:ascii="宋体" w:hAnsi="宋体"/>
          <w:b w:val="0"/>
          <w:snapToGrid w:val="0"/>
          <w:color w:val="auto"/>
          <w:sz w:val="21"/>
          <w:szCs w:val="21"/>
          <w:highlight w:val="none"/>
          <w:lang w:val="zh-CN"/>
        </w:rPr>
        <w:br w:type="page"/>
      </w:r>
      <w:bookmarkStart w:id="631" w:name="_Toc529388289"/>
      <w:bookmarkStart w:id="632" w:name="_Toc532375586"/>
      <w:bookmarkStart w:id="633" w:name="_Toc532377179"/>
      <w:bookmarkStart w:id="634" w:name="_Toc117005245"/>
      <w:r>
        <w:rPr>
          <w:rFonts w:hint="eastAsia" w:ascii="宋体" w:hAnsi="宋体"/>
          <w:color w:val="auto"/>
          <w:sz w:val="44"/>
          <w:szCs w:val="44"/>
          <w:highlight w:val="none"/>
        </w:rPr>
        <w:t>第二部分 通用合同条款</w:t>
      </w:r>
      <w:bookmarkEnd w:id="631"/>
      <w:bookmarkEnd w:id="632"/>
      <w:bookmarkEnd w:id="633"/>
      <w:bookmarkEnd w:id="634"/>
    </w:p>
    <w:p w14:paraId="78A321B3">
      <w:pPr>
        <w:pStyle w:val="6"/>
        <w:keepNext/>
        <w:keepLines/>
        <w:spacing w:before="156" w:beforeLines="50" w:beforeAutospacing="0" w:after="156" w:afterLines="50" w:afterAutospacing="0" w:line="360" w:lineRule="auto"/>
        <w:jc w:val="both"/>
        <w:rPr>
          <w:color w:val="auto"/>
          <w:kern w:val="2"/>
          <w:sz w:val="21"/>
          <w:szCs w:val="21"/>
          <w:highlight w:val="none"/>
        </w:rPr>
      </w:pPr>
      <w:bookmarkStart w:id="635" w:name="_Toc532377180"/>
      <w:bookmarkStart w:id="636" w:name="_Toc351203495"/>
      <w:bookmarkStart w:id="637" w:name="_Toc532375587"/>
      <w:r>
        <w:rPr>
          <w:rFonts w:hint="eastAsia"/>
          <w:color w:val="auto"/>
          <w:kern w:val="2"/>
          <w:sz w:val="21"/>
          <w:szCs w:val="21"/>
          <w:highlight w:val="none"/>
        </w:rPr>
        <w:t>1.</w:t>
      </w:r>
      <w:bookmarkStart w:id="638" w:name="_Toc303538974"/>
      <w:bookmarkEnd w:id="638"/>
      <w:bookmarkStart w:id="639" w:name="_Toc303538975"/>
      <w:bookmarkEnd w:id="639"/>
      <w:bookmarkStart w:id="640" w:name="_Toc303538976"/>
      <w:bookmarkEnd w:id="640"/>
      <w:bookmarkStart w:id="641" w:name="_Toc303538973"/>
      <w:bookmarkEnd w:id="641"/>
      <w:bookmarkStart w:id="642" w:name="_Toc303538972"/>
      <w:bookmarkEnd w:id="642"/>
      <w:bookmarkStart w:id="643" w:name="_Toc296503027"/>
      <w:bookmarkStart w:id="644" w:name="_Toc296346528"/>
      <w:r>
        <w:rPr>
          <w:rFonts w:hint="eastAsia"/>
          <w:color w:val="auto"/>
          <w:kern w:val="2"/>
          <w:sz w:val="21"/>
          <w:szCs w:val="21"/>
          <w:highlight w:val="none"/>
        </w:rPr>
        <w:t>一般约定</w:t>
      </w:r>
      <w:bookmarkEnd w:id="635"/>
      <w:bookmarkEnd w:id="636"/>
      <w:bookmarkEnd w:id="637"/>
      <w:bookmarkEnd w:id="643"/>
      <w:bookmarkEnd w:id="644"/>
    </w:p>
    <w:p w14:paraId="336A5D8A">
      <w:pPr>
        <w:pStyle w:val="7"/>
        <w:spacing w:before="0" w:beforeAutospacing="0" w:after="0" w:afterAutospacing="0" w:line="360" w:lineRule="auto"/>
        <w:ind w:firstLine="422" w:firstLineChars="200"/>
        <w:rPr>
          <w:color w:val="auto"/>
          <w:sz w:val="21"/>
          <w:szCs w:val="21"/>
          <w:highlight w:val="none"/>
        </w:rPr>
      </w:pPr>
      <w:bookmarkStart w:id="645" w:name="_Toc337558728"/>
      <w:bookmarkStart w:id="646" w:name="_Toc296503028"/>
      <w:bookmarkStart w:id="647" w:name="_Toc296346529"/>
      <w:bookmarkStart w:id="648" w:name="_Toc351203496"/>
      <w:bookmarkStart w:id="649" w:name="_Toc532377181"/>
      <w:r>
        <w:rPr>
          <w:rFonts w:hint="eastAsia"/>
          <w:color w:val="auto"/>
          <w:sz w:val="21"/>
          <w:szCs w:val="21"/>
          <w:highlight w:val="none"/>
        </w:rPr>
        <w:t>1.1词语定义</w:t>
      </w:r>
      <w:bookmarkEnd w:id="645"/>
      <w:bookmarkEnd w:id="646"/>
      <w:bookmarkEnd w:id="647"/>
      <w:r>
        <w:rPr>
          <w:rFonts w:hint="eastAsia"/>
          <w:color w:val="auto"/>
          <w:sz w:val="21"/>
          <w:szCs w:val="21"/>
          <w:highlight w:val="none"/>
        </w:rPr>
        <w:t>与解释</w:t>
      </w:r>
      <w:bookmarkEnd w:id="648"/>
      <w:bookmarkEnd w:id="649"/>
    </w:p>
    <w:p w14:paraId="5DF65518">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合同协议书、通用合同条款、专用合同条款中的下列词语具有本款所赋予的含义：</w:t>
      </w:r>
    </w:p>
    <w:p w14:paraId="0DCAC7AD">
      <w:pPr>
        <w:pStyle w:val="7"/>
        <w:spacing w:before="0" w:beforeAutospacing="0" w:after="0" w:afterAutospacing="0" w:line="360" w:lineRule="auto"/>
        <w:ind w:firstLine="420" w:firstLineChars="200"/>
        <w:rPr>
          <w:b w:val="0"/>
          <w:bCs w:val="0"/>
          <w:color w:val="auto"/>
          <w:sz w:val="21"/>
          <w:szCs w:val="21"/>
          <w:highlight w:val="none"/>
        </w:rPr>
      </w:pPr>
      <w:bookmarkStart w:id="650" w:name="_Toc532377182"/>
      <w:r>
        <w:rPr>
          <w:rFonts w:hint="eastAsia"/>
          <w:b w:val="0"/>
          <w:bCs w:val="0"/>
          <w:color w:val="auto"/>
          <w:sz w:val="21"/>
          <w:szCs w:val="21"/>
          <w:highlight w:val="none"/>
        </w:rPr>
        <w:t>1.1.1 合同</w:t>
      </w:r>
      <w:bookmarkEnd w:id="650"/>
    </w:p>
    <w:p w14:paraId="3B8A3C67">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1.1.1.1 合同：是指根据法律规定和合同当事人约定具有约束力的文件，构成合同的文件包括合同协议书、中标通知书（如有）、投标函及其附录（如有）、专用合同条款</w:t>
      </w:r>
      <w:r>
        <w:rPr>
          <w:rFonts w:hint="eastAsia" w:ascii="宋体" w:hAnsi="宋体"/>
          <w:color w:val="auto"/>
          <w:szCs w:val="21"/>
          <w:highlight w:val="none"/>
        </w:rPr>
        <w:t>及其附件</w:t>
      </w:r>
      <w:r>
        <w:rPr>
          <w:rFonts w:hint="eastAsia" w:ascii="宋体" w:hAnsi="宋体"/>
          <w:color w:val="auto"/>
          <w:kern w:val="0"/>
          <w:szCs w:val="21"/>
          <w:highlight w:val="none"/>
        </w:rPr>
        <w:t>、通用合同条款、技术标准和要求、图纸、已标价工程量清单或预算书以及其他合同文件。</w:t>
      </w:r>
    </w:p>
    <w:p w14:paraId="27CFE61D">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1.1.1.2 合同协议书：是指构成合同的由发包人和承包人共同签署的称为“合同协议书”的书面文件。</w:t>
      </w:r>
    </w:p>
    <w:p w14:paraId="2C10BBBA">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1.1.1.3 中标通知书：是指构成合同的由发包人通知承包人中标的书面文件。</w:t>
      </w:r>
    </w:p>
    <w:p w14:paraId="4265D7EA">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1.1.1.4 投标函：是指构成合同的由承包人填写并签署的用于投标的称为“投标函”的文件。</w:t>
      </w:r>
    </w:p>
    <w:p w14:paraId="09F0DEE2">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1.1.1.5 投标函附录：是指构成合同的附在投标函后的称为“投标函附录”的文件。</w:t>
      </w:r>
    </w:p>
    <w:p w14:paraId="06EE8B2F">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1.1.1.6 技术标准和要求：是指构成合同的施工应当遵守的或指导施工的国家、行业或地方的技术标准和要求，以及合同约定的技术标准和要求。</w:t>
      </w:r>
    </w:p>
    <w:p w14:paraId="3A273D3E">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1.1.1.7 图纸：是指构成合同的图纸，包括由发包人按照合同约定提供或经发包人批准的设计文件、施工图、鸟瞰图及模型等，以及在合同履行过程中形成的图纸文件。图纸应当按照法律规定审查合格。</w:t>
      </w:r>
    </w:p>
    <w:p w14:paraId="1EE1C8A7">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1.1.1.8 已标价工程量清单：是指构成合同的由承包人按照规定的格式和要求填写并标明价格的工程量清单，包括说明和表格。</w:t>
      </w:r>
    </w:p>
    <w:p w14:paraId="1324B35B">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1.1.1.9 预算书：是指构成合同的由承包人按照发包人规定的格式和要求编制的工程预算文件。</w:t>
      </w:r>
    </w:p>
    <w:p w14:paraId="76312FBF">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1.1.1.10 其他合同文件：是指经合同当事人约定的与工程施工有关的具有合同约束力的文件或书面协议。合同当事人可以在专用合同条款中进行约定。</w:t>
      </w:r>
    </w:p>
    <w:p w14:paraId="174B5E13">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1.1.2 合同当事人及其他相关方</w:t>
      </w:r>
    </w:p>
    <w:p w14:paraId="2396CA2A">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1.1.2.1 合同当事人：是指发包人和（或）承包人。</w:t>
      </w:r>
    </w:p>
    <w:p w14:paraId="7CD1D8CB">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1.1.2.2 发包人：是指与承包人签订合同协议书的当事人及取得该当事人资格的合法继承人。</w:t>
      </w:r>
    </w:p>
    <w:p w14:paraId="49C92E7A">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1.1.2.3 承包人：是指与发包人签订合同协议书的，具有相应工程施工承包资质的当事人及取得该当事人资格的合法继承人。</w:t>
      </w:r>
    </w:p>
    <w:p w14:paraId="1B429DBC">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1.1.2.4 监理人：是指在专用合同条款中指明的，受发包人委托按照法律规定进行工程监督管理的法人或其他组织。</w:t>
      </w:r>
    </w:p>
    <w:p w14:paraId="3F0E513A">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1.1.2.5 设计人：是指在专用合同条款中指明的，受发包人委托负责工程设计并具备相应工程设计资质的法人或其他组织。</w:t>
      </w:r>
    </w:p>
    <w:p w14:paraId="032FBAF6">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1.1.2.6 分包人：</w:t>
      </w:r>
      <w:bookmarkStart w:id="651" w:name="#go5"/>
      <w:bookmarkEnd w:id="651"/>
      <w:r>
        <w:rPr>
          <w:rFonts w:hint="eastAsia" w:ascii="宋体" w:hAnsi="宋体"/>
          <w:color w:val="auto"/>
          <w:kern w:val="0"/>
          <w:szCs w:val="21"/>
          <w:highlight w:val="none"/>
        </w:rPr>
        <w:t>是指按照法律规定和合同约定，分包部分工程或工作，并与承包人签订分包合同的具有相应资质的法人。</w:t>
      </w:r>
    </w:p>
    <w:p w14:paraId="3030E8D6">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1.1.2.7 发包人代表：是指由发包人任命并派驻施工现场在发包人授权范围内行使发包人权利的人。</w:t>
      </w:r>
    </w:p>
    <w:p w14:paraId="4A6F99A0">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1.1.2.8 项目经理：是指由承包人任命并派驻施工现场，在承包人授权范围内负责合同履行，且按照法律规定具有相应资格的项目负责人。</w:t>
      </w:r>
    </w:p>
    <w:p w14:paraId="35127D6E">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1.1.2.9 总监理工程师：是指由监理人任命并派驻施工现场进行工程监理的总负责人。</w:t>
      </w:r>
    </w:p>
    <w:p w14:paraId="6AA89957">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1.1.3 工程和设备</w:t>
      </w:r>
    </w:p>
    <w:p w14:paraId="7BC0545C">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1.1.3.1 工程：是指与合同协议书中工程承包范围对应的永久工程和（或）临时工程。</w:t>
      </w:r>
    </w:p>
    <w:p w14:paraId="19285529">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1.1.3.2 永久工程：是指按合同约定建造并移交给发包人的工程，包括工程设备。</w:t>
      </w:r>
    </w:p>
    <w:p w14:paraId="3A7ED885">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1.1.3.3 临时工程：是指为完成合同约定的永久工程所修建的各类临时性工程，不包括施工设备。</w:t>
      </w:r>
    </w:p>
    <w:p w14:paraId="763A18C1">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1.1.3.4 单位工程：是指在合同协议书中指明的，具备独立施工条件并能形成独立使用功能的永久工程。</w:t>
      </w:r>
    </w:p>
    <w:p w14:paraId="73BBCBA1">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1.1.3.5 工程设备：是指构成永久工程的机电设备、金属结构设备、仪器及其他类似的设备和装置。</w:t>
      </w:r>
    </w:p>
    <w:p w14:paraId="2A60AD48">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1.1.3.6 施工设备：是指为完成合同约定的各项工作所需的设备、器具和其他物品，但不包括工程设备、临时工程和材料。</w:t>
      </w:r>
    </w:p>
    <w:p w14:paraId="44DCDAE7">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1.1.3.7 施工现场：是指用于工程施工的场所，以及在专用合同条款中指明作为施工场所组成部分的其他场所，包括永久占地和临时占地。</w:t>
      </w:r>
    </w:p>
    <w:p w14:paraId="4A373779">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1.1.3.8临时设施：是指为完成合同约定的各项工作所服务的临时性生产和生活设施。</w:t>
      </w:r>
    </w:p>
    <w:p w14:paraId="3B75DD3C">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1.1.3.9 永久占地：是指专用合同条款中指明为实施工程需永久占用的土地。</w:t>
      </w:r>
    </w:p>
    <w:p w14:paraId="3A28E7F6">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1.1.3.10 临时占地：是指专用合同条款中指明为实施工程需要临时占用的土地。</w:t>
      </w:r>
    </w:p>
    <w:p w14:paraId="6272B170">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1.1.4 日期和期限</w:t>
      </w:r>
    </w:p>
    <w:p w14:paraId="6C9FCAF2">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244A490A">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 xml:space="preserve">1.1.4.2 竣工日期：包括计划竣工日期和实际竣工日期。计划竣工日期是指合同协议书约定的竣工日期；实际竣工日期按照第13.2.3项〔竣工日期〕的约定确定。 </w:t>
      </w:r>
    </w:p>
    <w:p w14:paraId="127BEB91">
      <w:pPr>
        <w:spacing w:line="360" w:lineRule="auto"/>
        <w:ind w:firstLine="420" w:firstLineChars="200"/>
        <w:jc w:val="left"/>
        <w:rPr>
          <w:rFonts w:ascii="宋体" w:hAnsi="宋体"/>
          <w:color w:val="auto"/>
          <w:szCs w:val="21"/>
          <w:highlight w:val="none"/>
        </w:rPr>
      </w:pPr>
      <w:r>
        <w:rPr>
          <w:rFonts w:hint="eastAsia" w:ascii="宋体" w:hAnsi="宋体"/>
          <w:color w:val="auto"/>
          <w:kern w:val="0"/>
          <w:szCs w:val="21"/>
          <w:highlight w:val="none"/>
        </w:rPr>
        <w:t>1.1.4.3 工期：是指在合同协议书约定的承包人完成工程所需的期限，包括按照合同约定所作的期限变更。</w:t>
      </w:r>
    </w:p>
    <w:p w14:paraId="09F1BA47">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1.1.4.4 缺陷责任期：是指承包人按照合同约定承担缺陷修复义务，且发包人预留质量保证金（已缴纳履约保证金的除外）的期限，自工程实际竣工日期起计算。</w:t>
      </w:r>
    </w:p>
    <w:p w14:paraId="179885AE">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1.1.4.5 保修期：是指承包人按照合同约定对工程承担保修责任的期限，从工程竣工验收合格之日起计算。</w:t>
      </w:r>
    </w:p>
    <w:p w14:paraId="7D935E07">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1.1.4.6 基准日期：招标发包的工程以投标截止日前28天的日期为基准日期，直接发包的工程以合同签订日前28天的日期为基准日期。</w:t>
      </w:r>
    </w:p>
    <w:p w14:paraId="7460871B">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1.1.4.7 天：除特别指明外，均指日历天。合同中按天计算时间的，开始当天不计入，从次日开始计算，期限最后一天的截止时间为当天24：00时。</w:t>
      </w:r>
    </w:p>
    <w:p w14:paraId="1A22162E">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1.1.5 合同价格和费用</w:t>
      </w:r>
    </w:p>
    <w:p w14:paraId="7F679B8E">
      <w:pPr>
        <w:spacing w:line="360" w:lineRule="auto"/>
        <w:ind w:firstLine="420" w:firstLineChars="200"/>
        <w:jc w:val="left"/>
        <w:rPr>
          <w:rFonts w:ascii="宋体" w:hAnsi="宋体"/>
          <w:color w:val="auto"/>
          <w:szCs w:val="21"/>
          <w:highlight w:val="none"/>
        </w:rPr>
      </w:pPr>
      <w:r>
        <w:rPr>
          <w:rFonts w:hint="eastAsia" w:ascii="宋体" w:hAnsi="宋体"/>
          <w:color w:val="auto"/>
          <w:kern w:val="0"/>
          <w:szCs w:val="21"/>
          <w:highlight w:val="none"/>
        </w:rPr>
        <w:t>1.1.5.1 签约合同价：是指</w:t>
      </w:r>
      <w:r>
        <w:rPr>
          <w:rFonts w:hint="eastAsia" w:ascii="宋体" w:hAnsi="宋体"/>
          <w:color w:val="auto"/>
          <w:szCs w:val="21"/>
          <w:highlight w:val="none"/>
        </w:rPr>
        <w:t>发包人和承包人在合同协议书中确定的总金额，包括安全文明施工费、暂估价及暂列金额等。</w:t>
      </w:r>
    </w:p>
    <w:p w14:paraId="2CA07AD5">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1.1.5.2 合同价格：是指发包人用于支付承包人按照合同约定完成承包范围内全部工作的金额，包括合同履行过程中按合同约定发生的价格变化。</w:t>
      </w:r>
    </w:p>
    <w:p w14:paraId="14682931">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1.1.5.3 费用：是指为履行合同所发生的或将要发生的所有必需的开支，包括管理费和应分摊的其他费用，但不包括利润。</w:t>
      </w:r>
    </w:p>
    <w:p w14:paraId="19A607CF">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1.1.5.4 暂估价：是指发包人在工程量清单或预算书中提供的用于支付必然发生但暂时不能确定价格的材料、工程设备的单价、专业工程以及服务工作的金额。</w:t>
      </w:r>
    </w:p>
    <w:p w14:paraId="7CB57D01">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45721988">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1.1.5.6 计日工：是指合同履行过程中，承包人完成发包人提出的零星工作或需要采用计日工计价的变更工作时，按合同中约定的单价计价的一种方式。</w:t>
      </w:r>
    </w:p>
    <w:p w14:paraId="00C4D184">
      <w:pPr>
        <w:spacing w:line="360" w:lineRule="auto"/>
        <w:ind w:firstLine="420" w:firstLineChars="200"/>
        <w:jc w:val="left"/>
        <w:rPr>
          <w:rFonts w:ascii="宋体" w:hAnsi="宋体"/>
          <w:color w:val="auto"/>
          <w:szCs w:val="21"/>
          <w:highlight w:val="none"/>
        </w:rPr>
      </w:pPr>
      <w:r>
        <w:rPr>
          <w:rFonts w:hint="eastAsia" w:ascii="宋体" w:hAnsi="宋体"/>
          <w:color w:val="auto"/>
          <w:kern w:val="0"/>
          <w:szCs w:val="21"/>
          <w:highlight w:val="none"/>
        </w:rPr>
        <w:t>1.1.5.7 质量保证金</w:t>
      </w:r>
      <w:bookmarkStart w:id="652" w:name="#go2"/>
      <w:bookmarkEnd w:id="652"/>
      <w:r>
        <w:rPr>
          <w:rFonts w:hint="eastAsia" w:ascii="宋体" w:hAnsi="宋体"/>
          <w:color w:val="auto"/>
          <w:kern w:val="0"/>
          <w:szCs w:val="21"/>
          <w:highlight w:val="none"/>
        </w:rPr>
        <w:t>：是指按照第15.3款〔质量保证金〕约定承包人用于保证其在缺陷责任期内履行缺陷修补义务的担保</w:t>
      </w:r>
      <w:r>
        <w:rPr>
          <w:rFonts w:hint="eastAsia" w:ascii="宋体" w:hAnsi="宋体"/>
          <w:color w:val="auto"/>
          <w:szCs w:val="21"/>
          <w:highlight w:val="none"/>
        </w:rPr>
        <w:t>。</w:t>
      </w:r>
    </w:p>
    <w:p w14:paraId="03A2D3C5">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1.1.5.8 总价项目：是指在现行国家、行业以及地方的计量规则中无工程量计算规则，在已标价工程量清单或预算书中以总价或以费率形式计算的项目。</w:t>
      </w:r>
    </w:p>
    <w:p w14:paraId="4160ABD2">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1.1.6 其他</w:t>
      </w:r>
    </w:p>
    <w:p w14:paraId="64E1E922">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1.1.6.1 书面形式：是指合同文件、信函、电报、传真等可以有形地表现所载内容的形式。</w:t>
      </w:r>
    </w:p>
    <w:p w14:paraId="5CEFD2D3">
      <w:pPr>
        <w:pStyle w:val="7"/>
        <w:spacing w:before="0" w:beforeAutospacing="0" w:after="0" w:afterAutospacing="0" w:line="360" w:lineRule="auto"/>
        <w:ind w:firstLine="422" w:firstLineChars="200"/>
        <w:rPr>
          <w:color w:val="auto"/>
          <w:sz w:val="21"/>
          <w:szCs w:val="21"/>
          <w:highlight w:val="none"/>
        </w:rPr>
      </w:pPr>
      <w:bookmarkStart w:id="653" w:name="_Toc532377183"/>
      <w:r>
        <w:rPr>
          <w:rFonts w:hint="eastAsia"/>
          <w:color w:val="auto"/>
          <w:sz w:val="21"/>
          <w:szCs w:val="21"/>
          <w:highlight w:val="none"/>
        </w:rPr>
        <w:t>1.2 语言文字</w:t>
      </w:r>
      <w:bookmarkEnd w:id="653"/>
    </w:p>
    <w:p w14:paraId="3DD3DC5E">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合同以中国的汉语简体文字编写、解释和说明。合同当事人在专用合同条款中约定使用两种以上语言时，汉语为优先解释和说明合同的语言。</w:t>
      </w:r>
    </w:p>
    <w:p w14:paraId="6B4B499B">
      <w:pPr>
        <w:pStyle w:val="7"/>
        <w:spacing w:before="0" w:beforeAutospacing="0" w:after="0" w:afterAutospacing="0" w:line="360" w:lineRule="auto"/>
        <w:ind w:firstLine="422" w:firstLineChars="200"/>
        <w:rPr>
          <w:color w:val="auto"/>
          <w:sz w:val="21"/>
          <w:szCs w:val="21"/>
          <w:highlight w:val="none"/>
        </w:rPr>
      </w:pPr>
      <w:bookmarkStart w:id="654" w:name="_Toc351203498"/>
      <w:bookmarkStart w:id="655" w:name="_Toc532377184"/>
      <w:bookmarkStart w:id="656" w:name="_Toc296346531"/>
      <w:bookmarkStart w:id="657" w:name="_Toc337558730"/>
      <w:bookmarkStart w:id="658" w:name="_Toc296503030"/>
      <w:r>
        <w:rPr>
          <w:rFonts w:hint="eastAsia"/>
          <w:color w:val="auto"/>
          <w:sz w:val="21"/>
          <w:szCs w:val="21"/>
          <w:highlight w:val="none"/>
        </w:rPr>
        <w:t>1.3法律</w:t>
      </w:r>
      <w:bookmarkEnd w:id="654"/>
      <w:bookmarkEnd w:id="655"/>
      <w:bookmarkEnd w:id="656"/>
      <w:bookmarkEnd w:id="657"/>
      <w:bookmarkEnd w:id="658"/>
    </w:p>
    <w:p w14:paraId="5F4ADDE0">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合同所称法律是指中华人民共和国法律、行政法规、部门规章，以及工程所在地的地方性法规、自治条例、单行条例和地方政府规章等。</w:t>
      </w:r>
    </w:p>
    <w:p w14:paraId="341609E3">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合同当事人可以在专用合同条款中约定合同适用的其他规范性文件。</w:t>
      </w:r>
    </w:p>
    <w:p w14:paraId="74061092">
      <w:pPr>
        <w:pStyle w:val="7"/>
        <w:spacing w:before="0" w:beforeAutospacing="0" w:after="0" w:afterAutospacing="0" w:line="360" w:lineRule="auto"/>
        <w:ind w:firstLine="422" w:firstLineChars="200"/>
        <w:rPr>
          <w:color w:val="auto"/>
          <w:sz w:val="21"/>
          <w:szCs w:val="21"/>
          <w:highlight w:val="none"/>
        </w:rPr>
      </w:pPr>
      <w:bookmarkStart w:id="659" w:name="_Toc532377185"/>
      <w:bookmarkStart w:id="660" w:name="_Toc351203499"/>
      <w:r>
        <w:rPr>
          <w:rFonts w:hint="eastAsia"/>
          <w:color w:val="auto"/>
          <w:sz w:val="21"/>
          <w:szCs w:val="21"/>
          <w:highlight w:val="none"/>
        </w:rPr>
        <w:t>1.4 标准和规范</w:t>
      </w:r>
      <w:bookmarkEnd w:id="659"/>
      <w:bookmarkEnd w:id="660"/>
    </w:p>
    <w:p w14:paraId="08D25C74">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1.4.1 适用于工程的国家标准、行业标准、工程所在地的地方性标准，以及相应的规范、规程等，合同当事人有特别要求的，应在专用合同条款中约定。</w:t>
      </w:r>
    </w:p>
    <w:p w14:paraId="14AF042D">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1.4.2 发包人要求使用国外标准、规范的，发包人负责提供原文版本和中文译本，并在专用合同条款中约定提供标准规范的名称、份数和时间。</w:t>
      </w:r>
    </w:p>
    <w:p w14:paraId="69B80E1F">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57D2CE24">
      <w:pPr>
        <w:pStyle w:val="7"/>
        <w:spacing w:before="0" w:beforeAutospacing="0" w:after="0" w:afterAutospacing="0" w:line="360" w:lineRule="auto"/>
        <w:ind w:firstLine="422" w:firstLineChars="200"/>
        <w:rPr>
          <w:color w:val="auto"/>
          <w:sz w:val="21"/>
          <w:szCs w:val="21"/>
          <w:highlight w:val="none"/>
        </w:rPr>
      </w:pPr>
      <w:bookmarkStart w:id="661" w:name="_Toc351203500"/>
      <w:bookmarkStart w:id="662" w:name="_Toc532377186"/>
      <w:r>
        <w:rPr>
          <w:rFonts w:hint="eastAsia"/>
          <w:color w:val="auto"/>
          <w:sz w:val="21"/>
          <w:szCs w:val="21"/>
          <w:highlight w:val="none"/>
        </w:rPr>
        <w:t>1</w:t>
      </w:r>
      <w:bookmarkStart w:id="663" w:name="_Toc296346532"/>
      <w:bookmarkStart w:id="664" w:name="_Toc296503031"/>
      <w:bookmarkStart w:id="665" w:name="_Toc337558731"/>
      <w:r>
        <w:rPr>
          <w:rFonts w:hint="eastAsia"/>
          <w:color w:val="auto"/>
          <w:sz w:val="21"/>
          <w:szCs w:val="21"/>
          <w:highlight w:val="none"/>
        </w:rPr>
        <w:t>.5 合同文件的优先顺序</w:t>
      </w:r>
      <w:bookmarkEnd w:id="661"/>
      <w:bookmarkEnd w:id="662"/>
    </w:p>
    <w:bookmarkEnd w:id="663"/>
    <w:bookmarkEnd w:id="664"/>
    <w:bookmarkEnd w:id="665"/>
    <w:p w14:paraId="4EBB63D0">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组成合同的各项文件应互相解释，互为说明。除专用合同条款另有约定外，解释合同文件的优先顺序如下：</w:t>
      </w:r>
    </w:p>
    <w:p w14:paraId="7673CE6F">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（1）合同协议书；</w:t>
      </w:r>
    </w:p>
    <w:p w14:paraId="59F5FD85">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（2）中标通知书（如有）；</w:t>
      </w:r>
    </w:p>
    <w:p w14:paraId="4A608F77">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（3）投标函及其附录（如有）；</w:t>
      </w:r>
    </w:p>
    <w:p w14:paraId="628B0122">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（4）专用合同条款及其附件；</w:t>
      </w:r>
    </w:p>
    <w:p w14:paraId="0BD73717">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（5）通用合同条款；</w:t>
      </w:r>
    </w:p>
    <w:p w14:paraId="071C40B5">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（6）技术标准和要求；</w:t>
      </w:r>
    </w:p>
    <w:p w14:paraId="603BD29A">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（7）图纸；</w:t>
      </w:r>
    </w:p>
    <w:p w14:paraId="151B870A">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（8）已标价工程量清单或预算书；</w:t>
      </w:r>
    </w:p>
    <w:p w14:paraId="7C363789">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（9）其他合同文件。</w:t>
      </w:r>
    </w:p>
    <w:p w14:paraId="0031CEA3">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上述各项合同文件包括合同当事人就该项合同文件所作出的补充和修改，属于同一类内容的文件，应以最新签署的为准。</w:t>
      </w:r>
    </w:p>
    <w:p w14:paraId="528ED4D0">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在合同订立及履行过程中形成的与合同有关的文件均构成合同文件组成部分，并根据其性质确定优先解释顺序。</w:t>
      </w:r>
    </w:p>
    <w:p w14:paraId="457F0603">
      <w:pPr>
        <w:pStyle w:val="7"/>
        <w:spacing w:before="0" w:beforeAutospacing="0" w:after="0" w:afterAutospacing="0" w:line="360" w:lineRule="auto"/>
        <w:ind w:firstLine="422" w:firstLineChars="200"/>
        <w:rPr>
          <w:color w:val="auto"/>
          <w:sz w:val="21"/>
          <w:szCs w:val="21"/>
          <w:highlight w:val="none"/>
        </w:rPr>
      </w:pPr>
      <w:bookmarkStart w:id="666" w:name="_Toc532377187"/>
      <w:bookmarkStart w:id="667" w:name="_Toc351203501"/>
      <w:r>
        <w:rPr>
          <w:rFonts w:hint="eastAsia"/>
          <w:color w:val="auto"/>
          <w:sz w:val="21"/>
          <w:szCs w:val="21"/>
          <w:highlight w:val="none"/>
        </w:rPr>
        <w:t>1</w:t>
      </w:r>
      <w:bookmarkStart w:id="668" w:name="_Toc296503032"/>
      <w:bookmarkStart w:id="669" w:name="_Toc337558732"/>
      <w:bookmarkStart w:id="670" w:name="_Toc296346533"/>
      <w:r>
        <w:rPr>
          <w:rFonts w:hint="eastAsia"/>
          <w:color w:val="auto"/>
          <w:sz w:val="21"/>
          <w:szCs w:val="21"/>
          <w:highlight w:val="none"/>
        </w:rPr>
        <w:t>.6图纸和承包人文件</w:t>
      </w:r>
      <w:bookmarkEnd w:id="666"/>
      <w:bookmarkEnd w:id="667"/>
    </w:p>
    <w:bookmarkEnd w:id="668"/>
    <w:bookmarkEnd w:id="669"/>
    <w:bookmarkEnd w:id="670"/>
    <w:p w14:paraId="4CDCF886">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1.6.1 图纸的提供和交底</w:t>
      </w:r>
    </w:p>
    <w:p w14:paraId="3A35E6F7">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44C9181F">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因发包人未按合同约定提供图纸导致承包人费用增加和（或）工期延误的，按照第7.5.1项〔因发包人原因导致工期延误〕约定办理。</w:t>
      </w:r>
    </w:p>
    <w:p w14:paraId="0CDF6550">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1.6.2 图纸的错误</w:t>
      </w:r>
    </w:p>
    <w:p w14:paraId="180B0259">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5C700F63">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1.6.3 图纸的修改和补充</w:t>
      </w:r>
    </w:p>
    <w:p w14:paraId="5BF4BF78">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图纸需要修改和补充的，应经图纸原设计人及审批部门同意，并由监理人在工程或工程相应部位施工前将修改后的图纸或补充图纸提交给承包人，承包人应按修改或补充后的图纸施工。</w:t>
      </w:r>
    </w:p>
    <w:p w14:paraId="73BD9279">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1.6.4 承包人文件</w:t>
      </w:r>
    </w:p>
    <w:p w14:paraId="7AC84381">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承包人应按照专用合同条款的约定提供应当由其编制的与工程施工有关的文件，并按照专用合同条款约定的期限、数量和形式提交监理人，并由监理人报送发包人。</w:t>
      </w:r>
    </w:p>
    <w:p w14:paraId="182BB284">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2D5C7A6F">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1.6.5 图纸和承包人文件的保管</w:t>
      </w:r>
    </w:p>
    <w:p w14:paraId="3E58CC00">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除专用合同条款另有约定外，承包人应在施工现场另外保存一套完整的图纸和承包人文件，供发包人、监理人及有关人员进行工程检查时使用。</w:t>
      </w:r>
    </w:p>
    <w:p w14:paraId="6D40AC5E">
      <w:pPr>
        <w:pStyle w:val="7"/>
        <w:spacing w:before="0" w:beforeAutospacing="0" w:after="0" w:afterAutospacing="0" w:line="360" w:lineRule="auto"/>
        <w:ind w:firstLine="422" w:firstLineChars="200"/>
        <w:rPr>
          <w:color w:val="auto"/>
          <w:sz w:val="21"/>
          <w:szCs w:val="21"/>
          <w:highlight w:val="none"/>
        </w:rPr>
      </w:pPr>
      <w:bookmarkStart w:id="671" w:name="_Toc351203502"/>
      <w:bookmarkStart w:id="672" w:name="_Toc532377188"/>
      <w:r>
        <w:rPr>
          <w:rFonts w:hint="eastAsia"/>
          <w:color w:val="auto"/>
          <w:sz w:val="21"/>
          <w:szCs w:val="21"/>
          <w:highlight w:val="none"/>
        </w:rPr>
        <w:t>1</w:t>
      </w:r>
      <w:bookmarkStart w:id="673" w:name="_Toc337558733"/>
      <w:bookmarkStart w:id="674" w:name="_Toc296346534"/>
      <w:bookmarkStart w:id="675" w:name="_Toc296503033"/>
      <w:r>
        <w:rPr>
          <w:rFonts w:hint="eastAsia"/>
          <w:color w:val="auto"/>
          <w:sz w:val="21"/>
          <w:szCs w:val="21"/>
          <w:highlight w:val="none"/>
        </w:rPr>
        <w:t>.7联络</w:t>
      </w:r>
      <w:bookmarkEnd w:id="671"/>
      <w:bookmarkEnd w:id="672"/>
    </w:p>
    <w:bookmarkEnd w:id="673"/>
    <w:bookmarkEnd w:id="674"/>
    <w:bookmarkEnd w:id="675"/>
    <w:p w14:paraId="402A2C30">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1.7.1 与合同有关的通知、批准、证明、证书、指示、指令、要求、请求、同意、意见、确定和决定等，均应采用书面形式，并应在合同约定的期限内送达接收人和送达地点。</w:t>
      </w:r>
    </w:p>
    <w:p w14:paraId="115725A9">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1.7.2 发包人和承包人应在专用合同条款中约定各自的送达接收人和送达地点。任何一方合同当事人指定的接收人或送达地点发生变动的，应提前3天以书面形式通知对方。</w:t>
      </w:r>
    </w:p>
    <w:p w14:paraId="337C11ED">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1.7.3 发包人和承包人应当及时签收另一方送达至送达地点和指定接收人的来往信函。拒不签收的，由此增加的费用和（或）延误的工期由拒绝接收一方承担。</w:t>
      </w:r>
    </w:p>
    <w:p w14:paraId="26E427E5">
      <w:pPr>
        <w:pStyle w:val="7"/>
        <w:spacing w:before="0" w:beforeAutospacing="0" w:after="0" w:afterAutospacing="0" w:line="360" w:lineRule="auto"/>
        <w:ind w:firstLine="422" w:firstLineChars="200"/>
        <w:rPr>
          <w:color w:val="auto"/>
          <w:sz w:val="21"/>
          <w:szCs w:val="21"/>
          <w:highlight w:val="none"/>
        </w:rPr>
      </w:pPr>
      <w:bookmarkStart w:id="676" w:name="_Toc351203503"/>
      <w:bookmarkStart w:id="677" w:name="_Toc532377189"/>
      <w:r>
        <w:rPr>
          <w:rFonts w:hint="eastAsia"/>
          <w:color w:val="auto"/>
          <w:sz w:val="21"/>
          <w:szCs w:val="21"/>
          <w:highlight w:val="none"/>
        </w:rPr>
        <w:t>1</w:t>
      </w:r>
      <w:bookmarkStart w:id="678" w:name="_Toc337558734"/>
      <w:bookmarkStart w:id="679" w:name="_Toc296346536"/>
      <w:bookmarkStart w:id="680" w:name="_Toc296503035"/>
      <w:r>
        <w:rPr>
          <w:rFonts w:hint="eastAsia"/>
          <w:color w:val="auto"/>
          <w:sz w:val="21"/>
          <w:szCs w:val="21"/>
          <w:highlight w:val="none"/>
        </w:rPr>
        <w:t>.8严禁贿赂</w:t>
      </w:r>
      <w:bookmarkEnd w:id="676"/>
      <w:bookmarkEnd w:id="677"/>
    </w:p>
    <w:bookmarkEnd w:id="678"/>
    <w:bookmarkEnd w:id="679"/>
    <w:bookmarkEnd w:id="680"/>
    <w:p w14:paraId="6F3AE282">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合同当事人不得以贿赂或变相贿赂的方式，谋取非法利益或损害对方权益。因一方合同当事人的贿赂造成对方损失的，应赔偿损失，并承担相应的法律责任。</w:t>
      </w:r>
    </w:p>
    <w:p w14:paraId="5D6FE83C">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14:paraId="49D3578E">
      <w:pPr>
        <w:pStyle w:val="7"/>
        <w:spacing w:before="0" w:beforeAutospacing="0" w:after="0" w:afterAutospacing="0" w:line="360" w:lineRule="auto"/>
        <w:ind w:firstLine="422" w:firstLineChars="200"/>
        <w:rPr>
          <w:color w:val="auto"/>
          <w:sz w:val="21"/>
          <w:szCs w:val="21"/>
          <w:highlight w:val="none"/>
        </w:rPr>
      </w:pPr>
      <w:bookmarkStart w:id="681" w:name="_Toc532377190"/>
      <w:bookmarkStart w:id="682" w:name="_Toc351203504"/>
      <w:r>
        <w:rPr>
          <w:rFonts w:hint="eastAsia"/>
          <w:color w:val="auto"/>
          <w:sz w:val="21"/>
          <w:szCs w:val="21"/>
          <w:highlight w:val="none"/>
        </w:rPr>
        <w:t>1</w:t>
      </w:r>
      <w:bookmarkStart w:id="683" w:name="_Toc296503036"/>
      <w:bookmarkStart w:id="684" w:name="_Toc337558735"/>
      <w:bookmarkStart w:id="685" w:name="_Toc296346537"/>
      <w:r>
        <w:rPr>
          <w:rFonts w:hint="eastAsia"/>
          <w:color w:val="auto"/>
          <w:sz w:val="21"/>
          <w:szCs w:val="21"/>
          <w:highlight w:val="none"/>
        </w:rPr>
        <w:t>.9化石、文物</w:t>
      </w:r>
      <w:bookmarkEnd w:id="681"/>
      <w:bookmarkEnd w:id="682"/>
    </w:p>
    <w:bookmarkEnd w:id="683"/>
    <w:bookmarkEnd w:id="684"/>
    <w:bookmarkEnd w:id="685"/>
    <w:p w14:paraId="026C7CBD">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21B2A081">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发包人、监理人和承包人应按有关政府行政管理部门要求采取妥善的保护措施，由此增加的费用和（或）延误的工期由发包人承担。</w:t>
      </w:r>
    </w:p>
    <w:p w14:paraId="466D3525">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承包人发现文物后不及时报告或隐瞒不报，致使文物丢失或损坏的，应赔偿损失，并承担相应的法律责任。</w:t>
      </w:r>
    </w:p>
    <w:p w14:paraId="6F3C07F6">
      <w:pPr>
        <w:pStyle w:val="7"/>
        <w:spacing w:before="0" w:beforeAutospacing="0" w:after="0" w:afterAutospacing="0" w:line="360" w:lineRule="auto"/>
        <w:ind w:firstLine="422" w:firstLineChars="200"/>
        <w:rPr>
          <w:color w:val="auto"/>
          <w:sz w:val="21"/>
          <w:szCs w:val="21"/>
          <w:highlight w:val="none"/>
        </w:rPr>
      </w:pPr>
      <w:bookmarkStart w:id="686" w:name="_Toc351203505"/>
      <w:bookmarkStart w:id="687" w:name="_Toc532377191"/>
      <w:r>
        <w:rPr>
          <w:rFonts w:hint="eastAsia"/>
          <w:color w:val="auto"/>
          <w:sz w:val="21"/>
          <w:szCs w:val="21"/>
          <w:highlight w:val="none"/>
        </w:rPr>
        <w:t>1</w:t>
      </w:r>
      <w:bookmarkStart w:id="688" w:name="_Toc337558736"/>
      <w:r>
        <w:rPr>
          <w:rFonts w:hint="eastAsia"/>
          <w:color w:val="auto"/>
          <w:sz w:val="21"/>
          <w:szCs w:val="21"/>
          <w:highlight w:val="none"/>
        </w:rPr>
        <w:t>.10交通运输</w:t>
      </w:r>
      <w:bookmarkEnd w:id="686"/>
      <w:bookmarkEnd w:id="687"/>
    </w:p>
    <w:bookmarkEnd w:id="688"/>
    <w:p w14:paraId="1DC62F02">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1.10.1 出入现场的权利</w:t>
      </w:r>
    </w:p>
    <w:p w14:paraId="6B504ADB">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63C1F8C3">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14:paraId="7D4FE069">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1.10.2 场外交通</w:t>
      </w:r>
    </w:p>
    <w:p w14:paraId="15F49022">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79BA4827">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1.10.3场内交通</w:t>
      </w:r>
    </w:p>
    <w:p w14:paraId="28975D03">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06DB0F3D">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40C13A2B">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场外交通和场内交通的边界由合同当事人在专用合同条款中约定。</w:t>
      </w:r>
    </w:p>
    <w:p w14:paraId="5CBA540B">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1.10.4 超大件和超重件的运输</w:t>
      </w:r>
    </w:p>
    <w:p w14:paraId="6F714854">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5EFFC3F6">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1.10.5 道路和桥梁的损坏责任</w:t>
      </w:r>
    </w:p>
    <w:p w14:paraId="146CA835">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因承包人运输造成施工场地内外公共道路和桥梁损坏的，由承包人承担修复损坏的全部费用和可能引起的赔偿。</w:t>
      </w:r>
    </w:p>
    <w:p w14:paraId="4D1CD4DB">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1.10.6 水路和航空运输</w:t>
      </w:r>
    </w:p>
    <w:p w14:paraId="00F91F38">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本款前述各项的内容适用于水路运输和航空运输，其中“道路”一词的涵义包括河道、航线、船闸、机场、码头、堤防以及水路或航空运输中其他相似结构物；“车辆”一词的涵义包括船舶和飞机等。</w:t>
      </w:r>
    </w:p>
    <w:p w14:paraId="77FB818A">
      <w:pPr>
        <w:pStyle w:val="7"/>
        <w:spacing w:before="0" w:beforeAutospacing="0" w:after="0" w:afterAutospacing="0" w:line="360" w:lineRule="auto"/>
        <w:ind w:firstLine="422" w:firstLineChars="200"/>
        <w:rPr>
          <w:color w:val="auto"/>
          <w:sz w:val="21"/>
          <w:szCs w:val="21"/>
          <w:highlight w:val="none"/>
        </w:rPr>
      </w:pPr>
      <w:bookmarkStart w:id="689" w:name="_Toc532377192"/>
      <w:bookmarkStart w:id="690" w:name="_Toc351203506"/>
      <w:r>
        <w:rPr>
          <w:rFonts w:hint="eastAsia"/>
          <w:color w:val="auto"/>
          <w:sz w:val="21"/>
          <w:szCs w:val="21"/>
          <w:highlight w:val="none"/>
        </w:rPr>
        <w:t>1</w:t>
      </w:r>
      <w:bookmarkStart w:id="691" w:name="_Toc337558737"/>
      <w:bookmarkStart w:id="692" w:name="_Toc296503037"/>
      <w:bookmarkStart w:id="693" w:name="_Toc296346538"/>
      <w:r>
        <w:rPr>
          <w:rFonts w:hint="eastAsia"/>
          <w:color w:val="auto"/>
          <w:sz w:val="21"/>
          <w:szCs w:val="21"/>
          <w:highlight w:val="none"/>
        </w:rPr>
        <w:t>.11知识产权</w:t>
      </w:r>
      <w:bookmarkEnd w:id="689"/>
      <w:bookmarkEnd w:id="690"/>
      <w:bookmarkEnd w:id="691"/>
    </w:p>
    <w:bookmarkEnd w:id="692"/>
    <w:bookmarkEnd w:id="693"/>
    <w:p w14:paraId="41AAA1B8">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7AD0868A">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2E63E0F8">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7EF75ACB">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1.11.4 除专用合同条款另有约定外，承包人在合同签订前和签订时已确定采用的专利、专有技术、技术秘密的使用费已包含在签约合同价中。</w:t>
      </w:r>
    </w:p>
    <w:p w14:paraId="558A5056">
      <w:pPr>
        <w:pStyle w:val="7"/>
        <w:spacing w:before="0" w:beforeAutospacing="0" w:after="0" w:afterAutospacing="0" w:line="360" w:lineRule="auto"/>
        <w:ind w:firstLine="422" w:firstLineChars="200"/>
        <w:rPr>
          <w:color w:val="auto"/>
          <w:sz w:val="21"/>
          <w:szCs w:val="21"/>
          <w:highlight w:val="none"/>
        </w:rPr>
      </w:pPr>
      <w:bookmarkStart w:id="694" w:name="_Toc532377193"/>
      <w:bookmarkStart w:id="695" w:name="_Toc351203507"/>
      <w:r>
        <w:rPr>
          <w:rFonts w:hint="eastAsia"/>
          <w:color w:val="auto"/>
          <w:sz w:val="21"/>
          <w:szCs w:val="21"/>
          <w:highlight w:val="none"/>
        </w:rPr>
        <w:t>1</w:t>
      </w:r>
      <w:bookmarkStart w:id="696" w:name="_Toc337558738"/>
      <w:r>
        <w:rPr>
          <w:rFonts w:hint="eastAsia"/>
          <w:color w:val="auto"/>
          <w:sz w:val="21"/>
          <w:szCs w:val="21"/>
          <w:highlight w:val="none"/>
        </w:rPr>
        <w:t>.12保密</w:t>
      </w:r>
      <w:bookmarkEnd w:id="694"/>
      <w:bookmarkEnd w:id="695"/>
    </w:p>
    <w:bookmarkEnd w:id="696"/>
    <w:p w14:paraId="0CEA9490">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除法律规定或合同另有约定外，未经发包人同意，承包人不得将发包人提供的图纸、文件以及声明需要保密的资料信息等商业秘密泄露给第三方。</w:t>
      </w:r>
    </w:p>
    <w:p w14:paraId="7696C1AC">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除法律规定或合同另有约定外，未经承包人同意，发包人不得将承包人提供的技术秘密及声明需要保密的资料信息等商业秘密泄露给第三方。</w:t>
      </w:r>
    </w:p>
    <w:p w14:paraId="1DAEB674">
      <w:pPr>
        <w:pStyle w:val="7"/>
        <w:spacing w:before="0" w:beforeAutospacing="0" w:after="0" w:afterAutospacing="0" w:line="360" w:lineRule="auto"/>
        <w:ind w:firstLine="422" w:firstLineChars="200"/>
        <w:rPr>
          <w:color w:val="auto"/>
          <w:sz w:val="21"/>
          <w:szCs w:val="21"/>
          <w:highlight w:val="none"/>
        </w:rPr>
      </w:pPr>
      <w:bookmarkStart w:id="697" w:name="_Toc532377194"/>
      <w:bookmarkStart w:id="698" w:name="_Toc351203508"/>
      <w:r>
        <w:rPr>
          <w:rFonts w:hint="eastAsia"/>
          <w:color w:val="auto"/>
          <w:sz w:val="21"/>
          <w:szCs w:val="21"/>
          <w:highlight w:val="none"/>
        </w:rPr>
        <w:t>1.13工程量清单错误的修正</w:t>
      </w:r>
      <w:bookmarkEnd w:id="697"/>
      <w:bookmarkEnd w:id="698"/>
    </w:p>
    <w:p w14:paraId="286DFB5A">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除专用合同条款另有约定外，发包人提供的工程量清单，应被认为是准确的和完整的。出现下列情形之一时，发包人应予以修正，并相应调整合同价格：</w:t>
      </w:r>
    </w:p>
    <w:p w14:paraId="188D1882">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（1）工程量清单存在缺项、漏项的；</w:t>
      </w:r>
    </w:p>
    <w:p w14:paraId="3E6FDEF8">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（2）工程量清单偏差超出专用合同条款约定的工程量偏差范围的；</w:t>
      </w:r>
    </w:p>
    <w:p w14:paraId="463EBB30">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（3）未按照国家现行计量规范强制性规定计量的。</w:t>
      </w:r>
    </w:p>
    <w:p w14:paraId="2E603871">
      <w:pPr>
        <w:pStyle w:val="6"/>
        <w:keepNext/>
        <w:keepLines/>
        <w:spacing w:before="156" w:beforeLines="50" w:beforeAutospacing="0" w:after="156" w:afterLines="50" w:afterAutospacing="0" w:line="360" w:lineRule="auto"/>
        <w:jc w:val="both"/>
        <w:rPr>
          <w:color w:val="auto"/>
          <w:kern w:val="2"/>
          <w:sz w:val="21"/>
          <w:szCs w:val="21"/>
          <w:highlight w:val="none"/>
        </w:rPr>
      </w:pPr>
      <w:bookmarkStart w:id="699" w:name="_Toc532377195"/>
      <w:bookmarkStart w:id="700" w:name="_Toc351203509"/>
      <w:bookmarkStart w:id="701" w:name="_Toc532375588"/>
      <w:r>
        <w:rPr>
          <w:rFonts w:hint="eastAsia"/>
          <w:color w:val="auto"/>
          <w:kern w:val="2"/>
          <w:sz w:val="21"/>
          <w:szCs w:val="21"/>
          <w:highlight w:val="none"/>
        </w:rPr>
        <w:t>2</w:t>
      </w:r>
      <w:bookmarkStart w:id="702" w:name="_Toc296346539"/>
      <w:bookmarkStart w:id="703" w:name="_Toc337558739"/>
      <w:bookmarkStart w:id="704" w:name="_Toc296503038"/>
      <w:bookmarkStart w:id="705" w:name="OLE_LINK2"/>
      <w:r>
        <w:rPr>
          <w:rFonts w:hint="eastAsia"/>
          <w:color w:val="auto"/>
          <w:kern w:val="2"/>
          <w:sz w:val="21"/>
          <w:szCs w:val="21"/>
          <w:highlight w:val="none"/>
        </w:rPr>
        <w:t>. 发包人</w:t>
      </w:r>
      <w:bookmarkEnd w:id="699"/>
      <w:bookmarkEnd w:id="700"/>
      <w:bookmarkEnd w:id="701"/>
    </w:p>
    <w:bookmarkEnd w:id="702"/>
    <w:bookmarkEnd w:id="703"/>
    <w:bookmarkEnd w:id="704"/>
    <w:p w14:paraId="5190313F">
      <w:pPr>
        <w:pStyle w:val="7"/>
        <w:spacing w:before="0" w:beforeAutospacing="0" w:after="0" w:afterAutospacing="0" w:line="360" w:lineRule="auto"/>
        <w:ind w:firstLine="422" w:firstLineChars="200"/>
        <w:rPr>
          <w:color w:val="auto"/>
          <w:sz w:val="21"/>
          <w:szCs w:val="21"/>
          <w:highlight w:val="none"/>
        </w:rPr>
      </w:pPr>
      <w:bookmarkStart w:id="706" w:name="_Toc532377196"/>
      <w:bookmarkStart w:id="707" w:name="_Toc351203510"/>
      <w:r>
        <w:rPr>
          <w:rFonts w:hint="eastAsia"/>
          <w:color w:val="auto"/>
          <w:sz w:val="21"/>
          <w:szCs w:val="21"/>
          <w:highlight w:val="none"/>
        </w:rPr>
        <w:t>2</w:t>
      </w:r>
      <w:bookmarkStart w:id="708" w:name="_Toc337558740"/>
      <w:bookmarkStart w:id="709" w:name="_Toc296503039"/>
      <w:bookmarkStart w:id="710" w:name="_Toc296346540"/>
      <w:r>
        <w:rPr>
          <w:rFonts w:hint="eastAsia"/>
          <w:color w:val="auto"/>
          <w:sz w:val="21"/>
          <w:szCs w:val="21"/>
          <w:highlight w:val="none"/>
        </w:rPr>
        <w:t>.1 许可或批准</w:t>
      </w:r>
      <w:bookmarkEnd w:id="706"/>
      <w:bookmarkEnd w:id="707"/>
    </w:p>
    <w:p w14:paraId="5FE888D1">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23AD0139">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因发包人原因未能及时办理完毕前述许可、批准或备案，由发包人承担由此增加的费用和（或）延误的工期，并支付承包人合理的利润。</w:t>
      </w:r>
    </w:p>
    <w:p w14:paraId="0193CD37">
      <w:pPr>
        <w:pStyle w:val="7"/>
        <w:spacing w:before="0" w:beforeAutospacing="0" w:after="0" w:afterAutospacing="0" w:line="360" w:lineRule="auto"/>
        <w:ind w:firstLine="422" w:firstLineChars="200"/>
        <w:rPr>
          <w:color w:val="auto"/>
          <w:sz w:val="21"/>
          <w:szCs w:val="21"/>
          <w:highlight w:val="none"/>
        </w:rPr>
      </w:pPr>
      <w:bookmarkStart w:id="711" w:name="_Toc351203511"/>
      <w:bookmarkStart w:id="712" w:name="_Toc532377197"/>
      <w:r>
        <w:rPr>
          <w:rFonts w:hint="eastAsia"/>
          <w:color w:val="auto"/>
          <w:sz w:val="21"/>
          <w:szCs w:val="21"/>
          <w:highlight w:val="none"/>
        </w:rPr>
        <w:t>2.2 发包人代表</w:t>
      </w:r>
      <w:bookmarkEnd w:id="711"/>
      <w:bookmarkEnd w:id="712"/>
    </w:p>
    <w:p w14:paraId="2D091CCA">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50A216C0">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发包人代表不能按照合同约定履行其职责及义务，并导致合同无法继续正常履行的，承包人可以要求发包人撤换发包人代表。</w:t>
      </w:r>
    </w:p>
    <w:p w14:paraId="3987DC84">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不属于法定必须监理的工程，监理人的职权可以由发包人代表或发包人指定的其他人员行使。</w:t>
      </w:r>
    </w:p>
    <w:p w14:paraId="430CA437">
      <w:pPr>
        <w:pStyle w:val="7"/>
        <w:spacing w:before="0" w:beforeAutospacing="0" w:after="0" w:afterAutospacing="0" w:line="360" w:lineRule="auto"/>
        <w:ind w:firstLine="422" w:firstLineChars="200"/>
        <w:rPr>
          <w:color w:val="auto"/>
          <w:sz w:val="21"/>
          <w:szCs w:val="21"/>
          <w:highlight w:val="none"/>
        </w:rPr>
      </w:pPr>
      <w:bookmarkStart w:id="713" w:name="_Toc532377198"/>
      <w:bookmarkStart w:id="714" w:name="_Toc351203512"/>
      <w:r>
        <w:rPr>
          <w:rFonts w:hint="eastAsia"/>
          <w:color w:val="auto"/>
          <w:sz w:val="21"/>
          <w:szCs w:val="21"/>
          <w:highlight w:val="none"/>
        </w:rPr>
        <w:t>2.3 发包人人员</w:t>
      </w:r>
      <w:bookmarkEnd w:id="713"/>
      <w:bookmarkEnd w:id="714"/>
    </w:p>
    <w:p w14:paraId="4E153DCA">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发包人应要求在施工现场的发包人人员遵守法律及有关安全、质量、环境保护、文明施工等规定，并保障承包人免于承受因发包人人员未遵守上述要求给承包人造成的损失和责任。</w:t>
      </w:r>
    </w:p>
    <w:p w14:paraId="407DD961">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发包人人员包括发包人代表及其他由发包人派驻施工现场的人员。</w:t>
      </w:r>
      <w:bookmarkEnd w:id="708"/>
      <w:bookmarkEnd w:id="709"/>
      <w:bookmarkEnd w:id="710"/>
    </w:p>
    <w:p w14:paraId="0B1CA92A">
      <w:pPr>
        <w:pStyle w:val="7"/>
        <w:spacing w:before="0" w:beforeAutospacing="0" w:after="0" w:afterAutospacing="0" w:line="360" w:lineRule="auto"/>
        <w:ind w:firstLine="422" w:firstLineChars="200"/>
        <w:rPr>
          <w:color w:val="auto"/>
          <w:sz w:val="21"/>
          <w:szCs w:val="21"/>
          <w:highlight w:val="none"/>
        </w:rPr>
      </w:pPr>
      <w:bookmarkStart w:id="715" w:name="_Toc351203513"/>
      <w:bookmarkStart w:id="716" w:name="_Toc532377199"/>
      <w:r>
        <w:rPr>
          <w:rFonts w:hint="eastAsia"/>
          <w:color w:val="auto"/>
          <w:sz w:val="21"/>
          <w:szCs w:val="21"/>
          <w:highlight w:val="none"/>
        </w:rPr>
        <w:t>2</w:t>
      </w:r>
      <w:bookmarkStart w:id="717" w:name="_Toc296346541"/>
      <w:bookmarkStart w:id="718" w:name="_Toc296503040"/>
      <w:bookmarkStart w:id="719" w:name="_Toc337558741"/>
      <w:r>
        <w:rPr>
          <w:rFonts w:hint="eastAsia"/>
          <w:color w:val="auto"/>
          <w:sz w:val="21"/>
          <w:szCs w:val="21"/>
          <w:highlight w:val="none"/>
        </w:rPr>
        <w:t>.4 施工现场、施工条件和基础资料的提供</w:t>
      </w:r>
      <w:bookmarkEnd w:id="715"/>
      <w:bookmarkEnd w:id="716"/>
      <w:bookmarkEnd w:id="717"/>
      <w:bookmarkEnd w:id="718"/>
      <w:bookmarkEnd w:id="719"/>
    </w:p>
    <w:p w14:paraId="23278A4F">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2.4.1 提供施工现场</w:t>
      </w:r>
    </w:p>
    <w:p w14:paraId="7A01EB72">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w:t>
      </w:r>
      <w:bookmarkEnd w:id="705"/>
      <w:r>
        <w:rPr>
          <w:rFonts w:hint="eastAsia" w:ascii="宋体" w:hAnsi="宋体"/>
          <w:color w:val="auto"/>
          <w:kern w:val="0"/>
          <w:szCs w:val="21"/>
          <w:highlight w:val="none"/>
        </w:rPr>
        <w:t>专用合同条款另有约定外，发包人应最迟于开工日期7天前向承包人移交施工现场。</w:t>
      </w:r>
    </w:p>
    <w:p w14:paraId="388CB0B6">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2.4.2 提供施工条件</w:t>
      </w:r>
    </w:p>
    <w:p w14:paraId="4C8AA4B9">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除专用合同条款另有约定外，发包人应负责提供施工所需要的条件，包括：</w:t>
      </w:r>
    </w:p>
    <w:p w14:paraId="42313594">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（1）将施工用水、电力、通讯线路等施工所必需的条件接至施工现场内；</w:t>
      </w:r>
    </w:p>
    <w:p w14:paraId="40E87E30">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（2）保证向承包人提供正常施工所需要的进入施工现场的交通条件；</w:t>
      </w:r>
    </w:p>
    <w:p w14:paraId="46EE5628">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（3）协调处理施工现场周围地下管线和邻近建筑物、构筑物、古树名木的保护工作，并承担相关费用；</w:t>
      </w:r>
    </w:p>
    <w:p w14:paraId="59FDE55A">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（4）按照专用合同条款约定应提供的其他设施和条件。</w:t>
      </w:r>
    </w:p>
    <w:p w14:paraId="64FCCAF7">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2.4.3 提供基础资料</w:t>
      </w:r>
    </w:p>
    <w:p w14:paraId="1D1918DC">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0073A4AA">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按照法律规定确需在开工后方能提供的基础资料，发包人应尽其努力及时地在相应工程施工前的合理期限内提供，合理期限应以不影响承包人的正常施工为限。</w:t>
      </w:r>
    </w:p>
    <w:p w14:paraId="55EF7128">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2.4.4 逾期提供的责任</w:t>
      </w:r>
    </w:p>
    <w:p w14:paraId="220BC66F">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因发包人原因未能按合同约定及时向承包人提供施工现场、施工条件、基础资料的，由发包人承担由此增加的费用和（或）延误的工期。</w:t>
      </w:r>
    </w:p>
    <w:p w14:paraId="373A0FDB">
      <w:pPr>
        <w:pStyle w:val="7"/>
        <w:spacing w:before="0" w:beforeAutospacing="0" w:after="0" w:afterAutospacing="0" w:line="360" w:lineRule="auto"/>
        <w:ind w:firstLine="422" w:firstLineChars="200"/>
        <w:rPr>
          <w:color w:val="auto"/>
          <w:sz w:val="21"/>
          <w:szCs w:val="21"/>
          <w:highlight w:val="none"/>
        </w:rPr>
      </w:pPr>
      <w:bookmarkStart w:id="720" w:name="_Toc532377200"/>
      <w:bookmarkStart w:id="721" w:name="_Toc351203514"/>
      <w:r>
        <w:rPr>
          <w:rFonts w:hint="eastAsia"/>
          <w:color w:val="auto"/>
          <w:sz w:val="21"/>
          <w:szCs w:val="21"/>
          <w:highlight w:val="none"/>
        </w:rPr>
        <w:t>2</w:t>
      </w:r>
      <w:bookmarkStart w:id="722" w:name="_Toc296346543"/>
      <w:bookmarkStart w:id="723" w:name="_Toc337558745"/>
      <w:bookmarkStart w:id="724" w:name="_Toc296503042"/>
      <w:r>
        <w:rPr>
          <w:rFonts w:hint="eastAsia"/>
          <w:color w:val="auto"/>
          <w:sz w:val="21"/>
          <w:szCs w:val="21"/>
          <w:highlight w:val="none"/>
        </w:rPr>
        <w:t>.5 资</w:t>
      </w:r>
      <w:bookmarkEnd w:id="722"/>
      <w:bookmarkEnd w:id="723"/>
      <w:bookmarkEnd w:id="724"/>
      <w:r>
        <w:rPr>
          <w:rFonts w:hint="eastAsia"/>
          <w:color w:val="auto"/>
          <w:sz w:val="21"/>
          <w:szCs w:val="21"/>
          <w:highlight w:val="none"/>
        </w:rPr>
        <w:t>金来源证明及支付担保</w:t>
      </w:r>
      <w:bookmarkEnd w:id="720"/>
      <w:bookmarkEnd w:id="721"/>
    </w:p>
    <w:p w14:paraId="5C982A90">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除专用合同条款另有约定外，发包人应在收到承包人要求提供资金来源证明的书面通知后28天内，向承包人提供能够按照合同约定支付合同价款的相应资金来源证明。</w:t>
      </w:r>
    </w:p>
    <w:p w14:paraId="7522C4F9">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14:paraId="774EEEC0">
      <w:pPr>
        <w:pStyle w:val="7"/>
        <w:spacing w:before="0" w:beforeAutospacing="0" w:after="0" w:afterAutospacing="0" w:line="360" w:lineRule="auto"/>
        <w:ind w:firstLine="422" w:firstLineChars="200"/>
        <w:rPr>
          <w:color w:val="auto"/>
          <w:sz w:val="21"/>
          <w:szCs w:val="21"/>
          <w:highlight w:val="none"/>
        </w:rPr>
      </w:pPr>
      <w:bookmarkStart w:id="725" w:name="_Toc351203515"/>
      <w:bookmarkStart w:id="726" w:name="_Toc532377201"/>
      <w:r>
        <w:rPr>
          <w:rFonts w:hint="eastAsia"/>
          <w:color w:val="auto"/>
          <w:sz w:val="21"/>
          <w:szCs w:val="21"/>
          <w:highlight w:val="none"/>
        </w:rPr>
        <w:t>2.6 支付合同价款</w:t>
      </w:r>
      <w:bookmarkEnd w:id="725"/>
      <w:bookmarkEnd w:id="726"/>
    </w:p>
    <w:p w14:paraId="3B3F711E">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发包人应按合同约定向承包人及时支付合同价款。</w:t>
      </w:r>
    </w:p>
    <w:p w14:paraId="503B6FC3">
      <w:pPr>
        <w:pStyle w:val="7"/>
        <w:spacing w:before="0" w:beforeAutospacing="0" w:after="0" w:afterAutospacing="0" w:line="360" w:lineRule="auto"/>
        <w:ind w:firstLine="422" w:firstLineChars="200"/>
        <w:rPr>
          <w:color w:val="auto"/>
          <w:sz w:val="21"/>
          <w:szCs w:val="21"/>
          <w:highlight w:val="none"/>
        </w:rPr>
      </w:pPr>
      <w:bookmarkStart w:id="727" w:name="_Toc351203516"/>
      <w:bookmarkStart w:id="728" w:name="_Toc532377202"/>
      <w:r>
        <w:rPr>
          <w:rFonts w:hint="eastAsia"/>
          <w:color w:val="auto"/>
          <w:sz w:val="21"/>
          <w:szCs w:val="21"/>
          <w:highlight w:val="none"/>
        </w:rPr>
        <w:t>2.7 组织竣工验收</w:t>
      </w:r>
      <w:bookmarkEnd w:id="727"/>
      <w:bookmarkEnd w:id="728"/>
    </w:p>
    <w:p w14:paraId="459BFDBE">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发包人应按合同约定及时组织竣工验收。</w:t>
      </w:r>
    </w:p>
    <w:p w14:paraId="0ACD16E2">
      <w:pPr>
        <w:pStyle w:val="7"/>
        <w:spacing w:before="0" w:beforeAutospacing="0" w:after="0" w:afterAutospacing="0" w:line="360" w:lineRule="auto"/>
        <w:ind w:firstLine="422" w:firstLineChars="200"/>
        <w:rPr>
          <w:color w:val="auto"/>
          <w:sz w:val="21"/>
          <w:szCs w:val="21"/>
          <w:highlight w:val="none"/>
        </w:rPr>
      </w:pPr>
      <w:bookmarkStart w:id="729" w:name="_Toc532377203"/>
      <w:bookmarkStart w:id="730" w:name="_Toc351203517"/>
      <w:r>
        <w:rPr>
          <w:rFonts w:hint="eastAsia"/>
          <w:color w:val="auto"/>
          <w:sz w:val="21"/>
          <w:szCs w:val="21"/>
          <w:highlight w:val="none"/>
        </w:rPr>
        <w:t>2.8 现场统一管理协议</w:t>
      </w:r>
      <w:bookmarkEnd w:id="729"/>
      <w:bookmarkEnd w:id="730"/>
    </w:p>
    <w:p w14:paraId="2305053F">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发包人应与承包人、由发包人直接发包的专业工程的承包人签订施工现场统一管理协议，明确各方的权利义务。施工现场统一管理协议作为专用合同条款的附件。</w:t>
      </w:r>
    </w:p>
    <w:p w14:paraId="4535CEFC">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731" w:name="_Toc532377204"/>
      <w:bookmarkStart w:id="732" w:name="_Toc532375589"/>
      <w:bookmarkStart w:id="733" w:name="_Toc351203518"/>
      <w:r>
        <w:rPr>
          <w:rFonts w:hint="eastAsia"/>
          <w:color w:val="auto"/>
          <w:kern w:val="2"/>
          <w:sz w:val="21"/>
          <w:szCs w:val="21"/>
          <w:highlight w:val="none"/>
        </w:rPr>
        <w:t>3</w:t>
      </w:r>
      <w:bookmarkStart w:id="734" w:name="_Toc296503045"/>
      <w:bookmarkStart w:id="735" w:name="_Toc296346546"/>
      <w:bookmarkStart w:id="736" w:name="_Toc337558746"/>
      <w:r>
        <w:rPr>
          <w:rFonts w:hint="eastAsia"/>
          <w:color w:val="auto"/>
          <w:kern w:val="2"/>
          <w:sz w:val="21"/>
          <w:szCs w:val="21"/>
          <w:highlight w:val="none"/>
        </w:rPr>
        <w:t>. 承包人</w:t>
      </w:r>
      <w:bookmarkEnd w:id="731"/>
      <w:bookmarkEnd w:id="732"/>
      <w:bookmarkEnd w:id="733"/>
    </w:p>
    <w:bookmarkEnd w:id="734"/>
    <w:bookmarkEnd w:id="735"/>
    <w:bookmarkEnd w:id="736"/>
    <w:p w14:paraId="623C88FD">
      <w:pPr>
        <w:pStyle w:val="7"/>
        <w:spacing w:before="0" w:beforeAutospacing="0" w:after="0" w:afterAutospacing="0" w:line="360" w:lineRule="auto"/>
        <w:ind w:firstLine="422" w:firstLineChars="200"/>
        <w:rPr>
          <w:color w:val="auto"/>
          <w:sz w:val="21"/>
          <w:szCs w:val="21"/>
          <w:highlight w:val="none"/>
        </w:rPr>
      </w:pPr>
      <w:bookmarkStart w:id="737" w:name="_Toc351203519"/>
      <w:bookmarkStart w:id="738" w:name="_Toc532377205"/>
      <w:r>
        <w:rPr>
          <w:rFonts w:hint="eastAsia"/>
          <w:color w:val="auto"/>
          <w:sz w:val="21"/>
          <w:szCs w:val="21"/>
          <w:highlight w:val="none"/>
        </w:rPr>
        <w:t>3</w:t>
      </w:r>
      <w:bookmarkStart w:id="739" w:name="_Toc296503046"/>
      <w:bookmarkStart w:id="740" w:name="_Toc296346547"/>
      <w:bookmarkStart w:id="741" w:name="_Toc337558747"/>
      <w:r>
        <w:rPr>
          <w:rFonts w:hint="eastAsia"/>
          <w:color w:val="auto"/>
          <w:sz w:val="21"/>
          <w:szCs w:val="21"/>
          <w:highlight w:val="none"/>
        </w:rPr>
        <w:t>.1 承包人的一般义务</w:t>
      </w:r>
      <w:bookmarkEnd w:id="737"/>
      <w:bookmarkEnd w:id="738"/>
    </w:p>
    <w:bookmarkEnd w:id="739"/>
    <w:bookmarkEnd w:id="740"/>
    <w:bookmarkEnd w:id="741"/>
    <w:p w14:paraId="14A7F5CC">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承包人在履行合同过程中应遵守法律和工程建设标准规范，并履行以下义务：</w:t>
      </w:r>
    </w:p>
    <w:p w14:paraId="66675726">
      <w:pPr>
        <w:numPr>
          <w:ilvl w:val="0"/>
          <w:numId w:val="1"/>
        </w:num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办理法律规定应由承包人办理的许可和批准，并将办理结果书面报送发包人留存；</w:t>
      </w:r>
    </w:p>
    <w:p w14:paraId="1AD56AF5">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（2）按法律规定和合同约定完成工程，并在保修期内承担保修义务；</w:t>
      </w:r>
    </w:p>
    <w:p w14:paraId="71999854">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（3）按法律规定和合同约定采取施工安全和环境保护措施，办理工伤保险，确保工程及人员、材料、设备和设施的安全；</w:t>
      </w:r>
    </w:p>
    <w:p w14:paraId="644400F3">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（4）按合同约定的工作内容和施工进度要求，编制施工组织设计和施工措施计划，并对所有施工作业和施工方法的完备性和安全可靠性负责；</w:t>
      </w:r>
    </w:p>
    <w:p w14:paraId="52C850A4">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1DA21C11">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（6）按照第6.3款〔环境保护〕约定负责施工场地及其周边环境与生态的保护工作；</w:t>
      </w:r>
    </w:p>
    <w:p w14:paraId="0FC2E9E1">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（7）按第6.1款〔安全文明施工〕约定采取施工安全措施，确保工程及其人员、材料、设备和设施的安全，防止因工程施工造成的人身伤害和财产损失；</w:t>
      </w:r>
    </w:p>
    <w:p w14:paraId="0B615C3B">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（8）将发包人按合同约定支付的各项价款专用于合同工程，且应及时支付其雇用人员工资，并及时向分包人支付合同价款；</w:t>
      </w:r>
    </w:p>
    <w:p w14:paraId="383B1A40">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（9）按照法律规定和合同约定编制竣工资料，完成竣工资料立卷及归档，并按专用合同条款约定的竣工资料的套数、内容、时间等要求移交发包人；</w:t>
      </w:r>
    </w:p>
    <w:p w14:paraId="1149714E">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（10）应履行的其他义务。</w:t>
      </w:r>
    </w:p>
    <w:p w14:paraId="171EF0C5">
      <w:pPr>
        <w:pStyle w:val="7"/>
        <w:spacing w:before="0" w:beforeAutospacing="0" w:after="0" w:afterAutospacing="0" w:line="360" w:lineRule="auto"/>
        <w:ind w:firstLine="422" w:firstLineChars="200"/>
        <w:rPr>
          <w:color w:val="auto"/>
          <w:sz w:val="21"/>
          <w:szCs w:val="21"/>
          <w:highlight w:val="none"/>
        </w:rPr>
      </w:pPr>
      <w:bookmarkStart w:id="742" w:name="_Toc351203520"/>
      <w:bookmarkStart w:id="743" w:name="_Toc532377206"/>
      <w:r>
        <w:rPr>
          <w:rFonts w:hint="eastAsia"/>
          <w:color w:val="auto"/>
          <w:sz w:val="21"/>
          <w:szCs w:val="21"/>
          <w:highlight w:val="none"/>
        </w:rPr>
        <w:t>3</w:t>
      </w:r>
      <w:bookmarkStart w:id="744" w:name="_Toc337558748"/>
      <w:bookmarkStart w:id="745" w:name="_Toc296503047"/>
      <w:bookmarkStart w:id="746" w:name="_Toc296346548"/>
      <w:r>
        <w:rPr>
          <w:rFonts w:hint="eastAsia"/>
          <w:color w:val="auto"/>
          <w:sz w:val="21"/>
          <w:szCs w:val="21"/>
          <w:highlight w:val="none"/>
        </w:rPr>
        <w:t xml:space="preserve">.2 </w:t>
      </w:r>
      <w:bookmarkEnd w:id="742"/>
      <w:r>
        <w:rPr>
          <w:rFonts w:hint="eastAsia"/>
          <w:color w:val="auto"/>
          <w:sz w:val="21"/>
          <w:szCs w:val="21"/>
          <w:highlight w:val="none"/>
        </w:rPr>
        <w:t>项目经理</w:t>
      </w:r>
      <w:bookmarkEnd w:id="743"/>
    </w:p>
    <w:bookmarkEnd w:id="744"/>
    <w:bookmarkEnd w:id="745"/>
    <w:bookmarkEnd w:id="746"/>
    <w:p w14:paraId="277D71FE">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4627678F">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4E96F5D5">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承包人违反上述约定的，应按照专用合同条款的约定，承担违约责任。</w:t>
      </w:r>
    </w:p>
    <w:p w14:paraId="3736CF6F">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4BD12446">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2599361C">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365B8E8D">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14:paraId="4BA5D9BE">
      <w:pPr>
        <w:pStyle w:val="7"/>
        <w:spacing w:before="0" w:beforeAutospacing="0" w:after="0" w:afterAutospacing="0" w:line="360" w:lineRule="auto"/>
        <w:ind w:firstLine="422" w:firstLineChars="200"/>
        <w:rPr>
          <w:color w:val="auto"/>
          <w:sz w:val="21"/>
          <w:szCs w:val="21"/>
          <w:highlight w:val="none"/>
        </w:rPr>
      </w:pPr>
      <w:bookmarkStart w:id="747" w:name="_Toc351203521"/>
      <w:bookmarkStart w:id="748" w:name="_Toc532377207"/>
      <w:r>
        <w:rPr>
          <w:rFonts w:hint="eastAsia"/>
          <w:color w:val="auto"/>
          <w:sz w:val="21"/>
          <w:szCs w:val="21"/>
          <w:highlight w:val="none"/>
        </w:rPr>
        <w:t>3</w:t>
      </w:r>
      <w:bookmarkStart w:id="749" w:name="_Toc296503048"/>
      <w:bookmarkStart w:id="750" w:name="_Toc296346549"/>
      <w:bookmarkStart w:id="751" w:name="_Toc337558749"/>
      <w:r>
        <w:rPr>
          <w:rFonts w:hint="eastAsia"/>
          <w:color w:val="auto"/>
          <w:sz w:val="21"/>
          <w:szCs w:val="21"/>
          <w:highlight w:val="none"/>
        </w:rPr>
        <w:t xml:space="preserve">.3 </w:t>
      </w:r>
      <w:bookmarkEnd w:id="749"/>
      <w:bookmarkEnd w:id="750"/>
      <w:r>
        <w:rPr>
          <w:rFonts w:hint="eastAsia"/>
          <w:color w:val="auto"/>
          <w:sz w:val="21"/>
          <w:szCs w:val="21"/>
          <w:highlight w:val="none"/>
        </w:rPr>
        <w:t>承包人人员</w:t>
      </w:r>
      <w:bookmarkEnd w:id="747"/>
      <w:bookmarkEnd w:id="748"/>
    </w:p>
    <w:bookmarkEnd w:id="751"/>
    <w:p w14:paraId="796ECB86">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56129C94">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67D5EC27">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特殊工种作业人员均应持有相应的资格证明，监理人可以随时检查。</w:t>
      </w:r>
    </w:p>
    <w:p w14:paraId="78E82B21">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1EB2EDB9">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10C2E515">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3.3.5 承包人擅自更换主要施工管理人员，或前述人员未经监理人或发包人同意擅自离开施工现场的，应按照专用合同条款约定承担违约责任。</w:t>
      </w:r>
    </w:p>
    <w:p w14:paraId="210433DC">
      <w:pPr>
        <w:pStyle w:val="7"/>
        <w:spacing w:before="0" w:beforeAutospacing="0" w:after="0" w:afterAutospacing="0" w:line="360" w:lineRule="auto"/>
        <w:ind w:firstLine="422" w:firstLineChars="200"/>
        <w:rPr>
          <w:color w:val="auto"/>
          <w:sz w:val="21"/>
          <w:szCs w:val="21"/>
          <w:highlight w:val="none"/>
        </w:rPr>
      </w:pPr>
      <w:bookmarkStart w:id="752" w:name="_Toc351203522"/>
      <w:bookmarkStart w:id="753" w:name="_Toc532377208"/>
      <w:r>
        <w:rPr>
          <w:rFonts w:hint="eastAsia"/>
          <w:color w:val="auto"/>
          <w:sz w:val="21"/>
          <w:szCs w:val="21"/>
          <w:highlight w:val="none"/>
        </w:rPr>
        <w:t>3</w:t>
      </w:r>
      <w:bookmarkStart w:id="754" w:name="_Toc337558750"/>
      <w:bookmarkStart w:id="755" w:name="_Toc296346551"/>
      <w:bookmarkStart w:id="756" w:name="_Toc296503050"/>
      <w:r>
        <w:rPr>
          <w:rFonts w:hint="eastAsia"/>
          <w:color w:val="auto"/>
          <w:sz w:val="21"/>
          <w:szCs w:val="21"/>
          <w:highlight w:val="none"/>
        </w:rPr>
        <w:t>.4 承包人现场查勘</w:t>
      </w:r>
      <w:bookmarkEnd w:id="752"/>
      <w:bookmarkEnd w:id="753"/>
    </w:p>
    <w:bookmarkEnd w:id="754"/>
    <w:bookmarkEnd w:id="755"/>
    <w:bookmarkEnd w:id="756"/>
    <w:p w14:paraId="110F2384">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承包人应对基于发包人按照第2.4.3项〔提供基础资料〕提交的基础资料所做出的解释和推断负责，但因基础资料存在错误、遗漏导致承包人解释或推断失实的，由发包人承担责任。</w:t>
      </w:r>
    </w:p>
    <w:p w14:paraId="2AAB50F3">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1DA4AFBD">
      <w:pPr>
        <w:pStyle w:val="7"/>
        <w:spacing w:before="0" w:beforeAutospacing="0" w:after="0" w:afterAutospacing="0" w:line="360" w:lineRule="auto"/>
        <w:ind w:firstLine="422" w:firstLineChars="200"/>
        <w:rPr>
          <w:color w:val="auto"/>
          <w:sz w:val="21"/>
          <w:szCs w:val="21"/>
          <w:highlight w:val="none"/>
        </w:rPr>
      </w:pPr>
      <w:bookmarkStart w:id="757" w:name="_Toc532377209"/>
      <w:bookmarkStart w:id="758" w:name="_Toc351203523"/>
      <w:r>
        <w:rPr>
          <w:rFonts w:hint="eastAsia"/>
          <w:color w:val="auto"/>
          <w:sz w:val="21"/>
          <w:szCs w:val="21"/>
          <w:highlight w:val="none"/>
        </w:rPr>
        <w:t>3</w:t>
      </w:r>
      <w:bookmarkStart w:id="759" w:name="_Toc337558751"/>
      <w:bookmarkStart w:id="760" w:name="_Toc296346552"/>
      <w:bookmarkStart w:id="761" w:name="_Toc296503051"/>
      <w:r>
        <w:rPr>
          <w:rFonts w:hint="eastAsia"/>
          <w:color w:val="auto"/>
          <w:sz w:val="21"/>
          <w:szCs w:val="21"/>
          <w:highlight w:val="none"/>
        </w:rPr>
        <w:t>.5 分包</w:t>
      </w:r>
      <w:bookmarkEnd w:id="757"/>
      <w:bookmarkEnd w:id="758"/>
    </w:p>
    <w:bookmarkEnd w:id="759"/>
    <w:bookmarkEnd w:id="760"/>
    <w:bookmarkEnd w:id="761"/>
    <w:p w14:paraId="58C441BC">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3.5.1 分包的一般约定</w:t>
      </w:r>
    </w:p>
    <w:p w14:paraId="0A89BE62">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14FEFC86">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承包人不得以劳务分包的名义转包或违法分包工程。</w:t>
      </w:r>
    </w:p>
    <w:p w14:paraId="54F2C465">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3.5.2 分包的确定</w:t>
      </w:r>
    </w:p>
    <w:p w14:paraId="379D37FE">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16EEA9DB">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3.5.3 分包管理</w:t>
      </w:r>
    </w:p>
    <w:p w14:paraId="4F6DA108">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承包人应向监理人提交分包人的主要施工管理人员表，并对分包人的施工人员进行实名制管理，包括但不限于进出场管理、登记造册以及各种证照的办理。</w:t>
      </w:r>
    </w:p>
    <w:p w14:paraId="71657078">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3.5.4 分包合同价款</w:t>
      </w:r>
    </w:p>
    <w:p w14:paraId="3CB561A7">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（1）除本项第（2）目约定的情况或专用合同条款另有约定外，分包合同价款由承包人与分包人结算，未经承包人同意，发包人不得向分包人支付分包工程价款；</w:t>
      </w:r>
    </w:p>
    <w:p w14:paraId="0555F112">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（2）生效法律文书要求发包人向分包人支付分包合同价款的，发包人有权从应付承包人工程款中扣除该部分款项。</w:t>
      </w:r>
    </w:p>
    <w:p w14:paraId="320166E8">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3.5.5 分包合同权益的转让</w:t>
      </w:r>
    </w:p>
    <w:p w14:paraId="789A453E">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762" w:name="_Toc351203524"/>
    </w:p>
    <w:p w14:paraId="64F11833">
      <w:pPr>
        <w:pStyle w:val="7"/>
        <w:spacing w:before="0" w:beforeAutospacing="0" w:after="0" w:afterAutospacing="0" w:line="360" w:lineRule="auto"/>
        <w:ind w:firstLine="422" w:firstLineChars="200"/>
        <w:rPr>
          <w:color w:val="auto"/>
          <w:sz w:val="21"/>
          <w:szCs w:val="21"/>
          <w:highlight w:val="none"/>
        </w:rPr>
      </w:pPr>
      <w:bookmarkStart w:id="763" w:name="_Toc532377210"/>
      <w:r>
        <w:rPr>
          <w:rFonts w:hint="eastAsia"/>
          <w:color w:val="auto"/>
          <w:sz w:val="21"/>
          <w:szCs w:val="21"/>
          <w:highlight w:val="none"/>
        </w:rPr>
        <w:t>3.6 工程照管与成品、半成品保护</w:t>
      </w:r>
      <w:bookmarkEnd w:id="762"/>
      <w:bookmarkEnd w:id="763"/>
    </w:p>
    <w:p w14:paraId="7D13EAD9">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（1）除专用合同条款另有约定外，自发包人向承包人移交施工现场之日起，承包人应负责照管工程及工程相关的材料、工程设备，直到颁发工程接收证书之日止。</w:t>
      </w:r>
    </w:p>
    <w:p w14:paraId="524FBD7C">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（2）在承包人负责照管期间，因承包人原因造成工程、材料、工程设备损坏的，由承包人负责修复或更换，并承担由此增加的费用和（或）延误的工期。</w:t>
      </w:r>
    </w:p>
    <w:p w14:paraId="69B0FAC9">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（3）对合同内分期完成的成品和半成品，在工程接收证书颁发前，由承包人承担保护责任。因承包人原因造成成品或半成品损坏的，由承包人负责修复或更换，并承担由此增加的费用和（或）延误的工期。</w:t>
      </w:r>
    </w:p>
    <w:p w14:paraId="15BA4456">
      <w:pPr>
        <w:pStyle w:val="7"/>
        <w:spacing w:before="0" w:beforeAutospacing="0" w:after="0" w:afterAutospacing="0" w:line="360" w:lineRule="auto"/>
        <w:ind w:firstLine="422" w:firstLineChars="200"/>
        <w:rPr>
          <w:color w:val="auto"/>
          <w:sz w:val="21"/>
          <w:szCs w:val="21"/>
          <w:highlight w:val="none"/>
        </w:rPr>
      </w:pPr>
      <w:bookmarkStart w:id="764" w:name="_Toc351203525"/>
      <w:bookmarkStart w:id="765" w:name="_Toc532377211"/>
      <w:r>
        <w:rPr>
          <w:rFonts w:hint="eastAsia"/>
          <w:color w:val="auto"/>
          <w:sz w:val="21"/>
          <w:szCs w:val="21"/>
          <w:highlight w:val="none"/>
        </w:rPr>
        <w:t>3</w:t>
      </w:r>
      <w:bookmarkStart w:id="766" w:name="_Toc296503052"/>
      <w:bookmarkStart w:id="767" w:name="_Toc337558752"/>
      <w:bookmarkStart w:id="768" w:name="_Toc296346553"/>
      <w:r>
        <w:rPr>
          <w:rFonts w:hint="eastAsia"/>
          <w:color w:val="auto"/>
          <w:sz w:val="21"/>
          <w:szCs w:val="21"/>
          <w:highlight w:val="none"/>
        </w:rPr>
        <w:t>.7 履约担保</w:t>
      </w:r>
      <w:bookmarkEnd w:id="764"/>
      <w:bookmarkEnd w:id="765"/>
    </w:p>
    <w:bookmarkEnd w:id="766"/>
    <w:bookmarkEnd w:id="767"/>
    <w:bookmarkEnd w:id="768"/>
    <w:p w14:paraId="247C45C0">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08BAA91F">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因承包人原因导致工期延长的，继续提供履约担保所增加的费用由承包人承担；非因承包人原因导致工期延长的，继续提供履约担保所增加的费用由发包人承担。</w:t>
      </w:r>
    </w:p>
    <w:p w14:paraId="4E533BDF">
      <w:pPr>
        <w:pStyle w:val="7"/>
        <w:spacing w:before="0" w:beforeAutospacing="0" w:after="0" w:afterAutospacing="0" w:line="360" w:lineRule="auto"/>
        <w:ind w:firstLine="422" w:firstLineChars="200"/>
        <w:rPr>
          <w:color w:val="auto"/>
          <w:sz w:val="21"/>
          <w:szCs w:val="21"/>
          <w:highlight w:val="none"/>
        </w:rPr>
      </w:pPr>
      <w:bookmarkStart w:id="769" w:name="_Toc532377212"/>
      <w:bookmarkStart w:id="770" w:name="_Toc351203526"/>
      <w:r>
        <w:rPr>
          <w:rFonts w:hint="eastAsia"/>
          <w:color w:val="auto"/>
          <w:sz w:val="21"/>
          <w:szCs w:val="21"/>
          <w:highlight w:val="none"/>
        </w:rPr>
        <w:t>3.8 联合体</w:t>
      </w:r>
      <w:bookmarkEnd w:id="769"/>
      <w:bookmarkEnd w:id="770"/>
    </w:p>
    <w:p w14:paraId="22CD305C">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3.8.1 联合体各方应共同与发包人签订合同协议书。联合体各方应为履行合同向发包人承担连带责任。</w:t>
      </w:r>
    </w:p>
    <w:p w14:paraId="43A0F3FA">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3.8.2 联合体协议经发包人确认后作为合同附件。在履行合同过程中，未经发包人同意，不得修改联合体协议。</w:t>
      </w:r>
    </w:p>
    <w:p w14:paraId="17252D6C">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3.8.3 联合体牵头人负责与发包人和监理人联系，并接受指示，负责组织联合体各成员全面履行合同。</w:t>
      </w:r>
    </w:p>
    <w:p w14:paraId="56F25484">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771" w:name="_Toc351203527"/>
      <w:bookmarkStart w:id="772" w:name="_Toc532375590"/>
      <w:bookmarkStart w:id="773" w:name="_Toc532377213"/>
      <w:r>
        <w:rPr>
          <w:rFonts w:hint="eastAsia"/>
          <w:color w:val="auto"/>
          <w:kern w:val="2"/>
          <w:sz w:val="21"/>
          <w:szCs w:val="21"/>
          <w:highlight w:val="none"/>
        </w:rPr>
        <w:t>4</w:t>
      </w:r>
      <w:bookmarkStart w:id="774" w:name="_Toc296503053"/>
      <w:bookmarkStart w:id="775" w:name="_Toc296346554"/>
      <w:bookmarkStart w:id="776" w:name="_Toc337558753"/>
      <w:r>
        <w:rPr>
          <w:rFonts w:hint="eastAsia"/>
          <w:color w:val="auto"/>
          <w:kern w:val="2"/>
          <w:sz w:val="21"/>
          <w:szCs w:val="21"/>
          <w:highlight w:val="none"/>
        </w:rPr>
        <w:t>. 监</w:t>
      </w:r>
      <w:bookmarkEnd w:id="774"/>
      <w:bookmarkEnd w:id="775"/>
      <w:r>
        <w:rPr>
          <w:rFonts w:hint="eastAsia"/>
          <w:color w:val="auto"/>
          <w:kern w:val="2"/>
          <w:sz w:val="21"/>
          <w:szCs w:val="21"/>
          <w:highlight w:val="none"/>
        </w:rPr>
        <w:t>理人</w:t>
      </w:r>
      <w:bookmarkEnd w:id="771"/>
      <w:bookmarkEnd w:id="772"/>
      <w:bookmarkEnd w:id="773"/>
    </w:p>
    <w:bookmarkEnd w:id="776"/>
    <w:p w14:paraId="4AE12A42">
      <w:pPr>
        <w:pStyle w:val="7"/>
        <w:spacing w:before="0" w:beforeAutospacing="0" w:after="0" w:afterAutospacing="0" w:line="360" w:lineRule="auto"/>
        <w:ind w:firstLine="422" w:firstLineChars="200"/>
        <w:rPr>
          <w:color w:val="auto"/>
          <w:sz w:val="21"/>
          <w:szCs w:val="21"/>
          <w:highlight w:val="none"/>
        </w:rPr>
      </w:pPr>
      <w:bookmarkStart w:id="777" w:name="_Toc532377214"/>
      <w:bookmarkStart w:id="778" w:name="_Toc351203528"/>
      <w:r>
        <w:rPr>
          <w:rFonts w:hint="eastAsia"/>
          <w:color w:val="auto"/>
          <w:sz w:val="21"/>
          <w:szCs w:val="21"/>
          <w:highlight w:val="none"/>
        </w:rPr>
        <w:t>4</w:t>
      </w:r>
      <w:bookmarkStart w:id="779" w:name="_Toc296346555"/>
      <w:bookmarkStart w:id="780" w:name="_Toc296503054"/>
      <w:bookmarkStart w:id="781" w:name="_Toc337558754"/>
      <w:r>
        <w:rPr>
          <w:rFonts w:hint="eastAsia"/>
          <w:color w:val="auto"/>
          <w:sz w:val="21"/>
          <w:szCs w:val="21"/>
          <w:highlight w:val="none"/>
        </w:rPr>
        <w:t>.1监理人的一般规定</w:t>
      </w:r>
      <w:bookmarkEnd w:id="777"/>
      <w:bookmarkEnd w:id="778"/>
    </w:p>
    <w:bookmarkEnd w:id="779"/>
    <w:bookmarkEnd w:id="780"/>
    <w:bookmarkEnd w:id="781"/>
    <w:p w14:paraId="21D05433">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33EBF9EA">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除专用合同条款另有约定外，监理人在施工现场的办公场所、生活场所由承包人提供，所发生的费用由发包人承担。</w:t>
      </w:r>
    </w:p>
    <w:p w14:paraId="32242DF4">
      <w:pPr>
        <w:pStyle w:val="7"/>
        <w:spacing w:before="0" w:beforeAutospacing="0" w:after="0" w:afterAutospacing="0" w:line="360" w:lineRule="auto"/>
        <w:ind w:firstLine="422" w:firstLineChars="200"/>
        <w:rPr>
          <w:color w:val="auto"/>
          <w:sz w:val="21"/>
          <w:szCs w:val="21"/>
          <w:highlight w:val="none"/>
        </w:rPr>
      </w:pPr>
      <w:bookmarkStart w:id="782" w:name="_Toc351203529"/>
      <w:bookmarkStart w:id="783" w:name="_Toc532377215"/>
      <w:r>
        <w:rPr>
          <w:rFonts w:hint="eastAsia"/>
          <w:color w:val="auto"/>
          <w:sz w:val="21"/>
          <w:szCs w:val="21"/>
          <w:highlight w:val="none"/>
        </w:rPr>
        <w:t>4</w:t>
      </w:r>
      <w:bookmarkStart w:id="784" w:name="_Toc337558755"/>
      <w:r>
        <w:rPr>
          <w:rFonts w:hint="eastAsia"/>
          <w:color w:val="auto"/>
          <w:sz w:val="21"/>
          <w:szCs w:val="21"/>
          <w:highlight w:val="none"/>
        </w:rPr>
        <w:t>.2监理人员</w:t>
      </w:r>
      <w:bookmarkEnd w:id="782"/>
      <w:bookmarkEnd w:id="783"/>
    </w:p>
    <w:bookmarkEnd w:id="784"/>
    <w:p w14:paraId="4F49348C">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14A61163">
      <w:pPr>
        <w:pStyle w:val="7"/>
        <w:spacing w:before="0" w:beforeAutospacing="0" w:after="0" w:afterAutospacing="0" w:line="360" w:lineRule="auto"/>
        <w:ind w:firstLine="422" w:firstLineChars="200"/>
        <w:rPr>
          <w:color w:val="auto"/>
          <w:sz w:val="21"/>
          <w:szCs w:val="21"/>
          <w:highlight w:val="none"/>
        </w:rPr>
      </w:pPr>
      <w:bookmarkStart w:id="785" w:name="_Toc351203530"/>
      <w:bookmarkStart w:id="786" w:name="_Toc532377216"/>
      <w:r>
        <w:rPr>
          <w:rFonts w:hint="eastAsia"/>
          <w:color w:val="auto"/>
          <w:sz w:val="21"/>
          <w:szCs w:val="21"/>
          <w:highlight w:val="none"/>
        </w:rPr>
        <w:t>4</w:t>
      </w:r>
      <w:bookmarkStart w:id="787" w:name="_Toc296503055"/>
      <w:bookmarkStart w:id="788" w:name="_Toc296346556"/>
      <w:bookmarkStart w:id="789" w:name="_Toc337558756"/>
      <w:r>
        <w:rPr>
          <w:rFonts w:hint="eastAsia"/>
          <w:color w:val="auto"/>
          <w:sz w:val="21"/>
          <w:szCs w:val="21"/>
          <w:highlight w:val="none"/>
        </w:rPr>
        <w:t>.3</w:t>
      </w:r>
      <w:bookmarkEnd w:id="787"/>
      <w:bookmarkEnd w:id="788"/>
      <w:r>
        <w:rPr>
          <w:rFonts w:hint="eastAsia"/>
          <w:color w:val="auto"/>
          <w:sz w:val="21"/>
          <w:szCs w:val="21"/>
          <w:highlight w:val="none"/>
        </w:rPr>
        <w:t>监理人的指</w:t>
      </w:r>
      <w:bookmarkEnd w:id="789"/>
      <w:r>
        <w:rPr>
          <w:rFonts w:hint="eastAsia"/>
          <w:color w:val="auto"/>
          <w:sz w:val="21"/>
          <w:szCs w:val="21"/>
          <w:highlight w:val="none"/>
        </w:rPr>
        <w:t>示</w:t>
      </w:r>
      <w:bookmarkEnd w:id="785"/>
      <w:bookmarkEnd w:id="786"/>
    </w:p>
    <w:p w14:paraId="4162E67C">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监理人应按照发包人的授权发出监理指示。监理人的指示应采用书面形式，并经其授权的监理人员签名。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412096C6">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0D7F3F3F">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承包人对监理人发出的指示有疑问的，应向监理人提出书面异议，监理人应在48小时内对该指示予以确认、更改或撤销，监理人逾期未回复的，承包人有权拒绝执行上述指示。</w:t>
      </w:r>
    </w:p>
    <w:p w14:paraId="1CFDC41A">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监理人对承包人的任何工作、工程或其采用的材料和工程设备未在约定的或合理期限内提出意见的，视为批准，但不免除或减轻承包人对该工作、工程、材料、工程设备等应承担的责任和义务。</w:t>
      </w:r>
    </w:p>
    <w:p w14:paraId="47F77DB2">
      <w:pPr>
        <w:pStyle w:val="7"/>
        <w:spacing w:before="0" w:beforeAutospacing="0" w:after="0" w:afterAutospacing="0" w:line="360" w:lineRule="auto"/>
        <w:ind w:firstLine="422" w:firstLineChars="200"/>
        <w:rPr>
          <w:color w:val="auto"/>
          <w:sz w:val="21"/>
          <w:szCs w:val="21"/>
          <w:highlight w:val="none"/>
        </w:rPr>
      </w:pPr>
      <w:bookmarkStart w:id="790" w:name="_Toc532377217"/>
      <w:bookmarkStart w:id="791" w:name="_Toc351203531"/>
      <w:r>
        <w:rPr>
          <w:rFonts w:hint="eastAsia"/>
          <w:color w:val="auto"/>
          <w:sz w:val="21"/>
          <w:szCs w:val="21"/>
          <w:highlight w:val="none"/>
        </w:rPr>
        <w:t>4</w:t>
      </w:r>
      <w:bookmarkStart w:id="792" w:name="_Toc296346558"/>
      <w:bookmarkStart w:id="793" w:name="_Toc296503057"/>
      <w:bookmarkStart w:id="794" w:name="_Toc337558757"/>
      <w:r>
        <w:rPr>
          <w:rFonts w:hint="eastAsia"/>
          <w:color w:val="auto"/>
          <w:sz w:val="21"/>
          <w:szCs w:val="21"/>
          <w:highlight w:val="none"/>
        </w:rPr>
        <w:t>.4 商定或确定</w:t>
      </w:r>
      <w:bookmarkEnd w:id="790"/>
      <w:bookmarkEnd w:id="791"/>
    </w:p>
    <w:bookmarkEnd w:id="792"/>
    <w:bookmarkEnd w:id="793"/>
    <w:bookmarkEnd w:id="794"/>
    <w:p w14:paraId="2F85A8DF">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合同当事人进行商定或确定时，总监理工程师应当会同合同当事人尽量通过协商达成一致，不能达成一致的，由总监理工程师按照合同约定审慎做出公正的确定。</w:t>
      </w:r>
    </w:p>
    <w:p w14:paraId="12F10DF5">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1FF22728">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795" w:name="_Toc351203532"/>
      <w:bookmarkStart w:id="796" w:name="_Toc532375591"/>
      <w:bookmarkStart w:id="797" w:name="_Toc532377218"/>
      <w:r>
        <w:rPr>
          <w:rFonts w:hint="eastAsia"/>
          <w:color w:val="auto"/>
          <w:kern w:val="2"/>
          <w:sz w:val="21"/>
          <w:szCs w:val="21"/>
          <w:highlight w:val="none"/>
        </w:rPr>
        <w:t>5</w:t>
      </w:r>
      <w:bookmarkStart w:id="798" w:name="_Toc337558758"/>
      <w:r>
        <w:rPr>
          <w:rFonts w:hint="eastAsia"/>
          <w:color w:val="auto"/>
          <w:kern w:val="2"/>
          <w:sz w:val="21"/>
          <w:szCs w:val="21"/>
          <w:highlight w:val="none"/>
        </w:rPr>
        <w:t>. 工程质量</w:t>
      </w:r>
      <w:bookmarkEnd w:id="795"/>
      <w:bookmarkEnd w:id="796"/>
      <w:bookmarkEnd w:id="797"/>
    </w:p>
    <w:bookmarkEnd w:id="798"/>
    <w:p w14:paraId="491C8248">
      <w:pPr>
        <w:pStyle w:val="7"/>
        <w:spacing w:before="0" w:beforeAutospacing="0" w:after="0" w:afterAutospacing="0" w:line="360" w:lineRule="auto"/>
        <w:ind w:firstLine="422" w:firstLineChars="200"/>
        <w:rPr>
          <w:color w:val="auto"/>
          <w:sz w:val="21"/>
          <w:szCs w:val="21"/>
          <w:highlight w:val="none"/>
        </w:rPr>
      </w:pPr>
      <w:bookmarkStart w:id="799" w:name="_Toc532377219"/>
      <w:bookmarkStart w:id="800" w:name="_Toc351203533"/>
      <w:r>
        <w:rPr>
          <w:rFonts w:hint="eastAsia"/>
          <w:color w:val="auto"/>
          <w:sz w:val="21"/>
          <w:szCs w:val="21"/>
          <w:highlight w:val="none"/>
        </w:rPr>
        <w:t>5</w:t>
      </w:r>
      <w:bookmarkStart w:id="801" w:name="_Toc337558759"/>
      <w:r>
        <w:rPr>
          <w:rFonts w:hint="eastAsia"/>
          <w:color w:val="auto"/>
          <w:sz w:val="21"/>
          <w:szCs w:val="21"/>
          <w:highlight w:val="none"/>
        </w:rPr>
        <w:t>.1质量要求</w:t>
      </w:r>
      <w:bookmarkEnd w:id="799"/>
      <w:bookmarkEnd w:id="800"/>
    </w:p>
    <w:bookmarkEnd w:id="801"/>
    <w:p w14:paraId="60D08BD5">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5.1.1 工程质量标准必须符合现行国家有关工程施工质量验收规范和标准的要求。有关工程质量的特殊标准或要求由合同当事人在专用合同条款中约定。</w:t>
      </w:r>
    </w:p>
    <w:p w14:paraId="2752196D">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5.1.2 因发包人原因造成工程质量未达到合同约定标准的，由发包人承担由此增加的费用和（或）延误的工期，并支付承包人合理的利润。</w:t>
      </w:r>
    </w:p>
    <w:p w14:paraId="12943613">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5.1.3 因承包人原因造成工程质量未达到合同约定标准的，发包人有权要求承包人返工直至工程质量达到合同约定的标准为止，并由承包人承担由此增加的费用和（或）延误的工期。</w:t>
      </w:r>
    </w:p>
    <w:p w14:paraId="0D809FAC">
      <w:pPr>
        <w:pStyle w:val="7"/>
        <w:spacing w:before="0" w:beforeAutospacing="0" w:after="0" w:afterAutospacing="0" w:line="360" w:lineRule="auto"/>
        <w:ind w:firstLine="422" w:firstLineChars="200"/>
        <w:rPr>
          <w:color w:val="auto"/>
          <w:sz w:val="21"/>
          <w:szCs w:val="21"/>
          <w:highlight w:val="none"/>
        </w:rPr>
      </w:pPr>
      <w:bookmarkStart w:id="802" w:name="_Toc351203534"/>
      <w:bookmarkStart w:id="803" w:name="_Toc532377220"/>
      <w:r>
        <w:rPr>
          <w:rFonts w:hint="eastAsia"/>
          <w:color w:val="auto"/>
          <w:sz w:val="21"/>
          <w:szCs w:val="21"/>
          <w:highlight w:val="none"/>
        </w:rPr>
        <w:t>5</w:t>
      </w:r>
      <w:bookmarkStart w:id="804" w:name="_Toc337558760"/>
      <w:r>
        <w:rPr>
          <w:rFonts w:hint="eastAsia"/>
          <w:color w:val="auto"/>
          <w:sz w:val="21"/>
          <w:szCs w:val="21"/>
          <w:highlight w:val="none"/>
        </w:rPr>
        <w:t>.2质量保证措施</w:t>
      </w:r>
      <w:bookmarkEnd w:id="802"/>
      <w:bookmarkEnd w:id="803"/>
    </w:p>
    <w:bookmarkEnd w:id="804"/>
    <w:p w14:paraId="02C2965A">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5.2.1 发包人的质量管理</w:t>
      </w:r>
    </w:p>
    <w:p w14:paraId="16334A7B">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发包人应按照法律规定及合同约定完成与工程质量有关的各项工作。</w:t>
      </w:r>
    </w:p>
    <w:p w14:paraId="4AA2CDBF">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5.2.2 承包人的质量管理</w:t>
      </w:r>
    </w:p>
    <w:p w14:paraId="59D54D87">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169A9451">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承包人应对施工人员进行质量教育和技术培训，定期考核施工人员的劳动技能，严格执行施工规范和操作规程。</w:t>
      </w:r>
    </w:p>
    <w:p w14:paraId="78A44659">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48D58B36">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5.2.3 监理人的质量检查和检验</w:t>
      </w:r>
    </w:p>
    <w:p w14:paraId="2BA7B9FC">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412AF36B">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16C4EBA6">
      <w:pPr>
        <w:pStyle w:val="7"/>
        <w:spacing w:before="0" w:beforeAutospacing="0" w:after="0" w:afterAutospacing="0" w:line="360" w:lineRule="auto"/>
        <w:ind w:firstLine="422" w:firstLineChars="200"/>
        <w:rPr>
          <w:color w:val="auto"/>
          <w:sz w:val="21"/>
          <w:szCs w:val="21"/>
          <w:highlight w:val="none"/>
        </w:rPr>
      </w:pPr>
      <w:bookmarkStart w:id="805" w:name="_Toc532377221"/>
      <w:bookmarkStart w:id="806" w:name="_Toc351203535"/>
      <w:r>
        <w:rPr>
          <w:rFonts w:hint="eastAsia"/>
          <w:color w:val="auto"/>
          <w:sz w:val="21"/>
          <w:szCs w:val="21"/>
          <w:highlight w:val="none"/>
        </w:rPr>
        <w:t>5</w:t>
      </w:r>
      <w:bookmarkStart w:id="807" w:name="_Toc337558761"/>
      <w:r>
        <w:rPr>
          <w:rFonts w:hint="eastAsia"/>
          <w:color w:val="auto"/>
          <w:sz w:val="21"/>
          <w:szCs w:val="21"/>
          <w:highlight w:val="none"/>
        </w:rPr>
        <w:t>.3 隐蔽工程检查</w:t>
      </w:r>
      <w:bookmarkEnd w:id="805"/>
      <w:bookmarkEnd w:id="806"/>
    </w:p>
    <w:bookmarkEnd w:id="807"/>
    <w:p w14:paraId="75E818D8">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5.3.1承包人自检</w:t>
      </w:r>
    </w:p>
    <w:p w14:paraId="0008FD1E">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承包人应当对工程隐蔽部位进行自检，并经自检确认是否具备覆盖条件。</w:t>
      </w:r>
    </w:p>
    <w:p w14:paraId="538A0CA0">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5.3.2检查程序</w:t>
      </w:r>
    </w:p>
    <w:p w14:paraId="6B316F2A">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302045AA">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监理人应按时到场并对隐蔽工程及其施工工艺、材料和工程设备进行检查。经监理人检查确认质量符合隐蔽要求，并在验收记录上签名后，承包人才能进行覆盖。经监理人检查质量不合格的，承包人应在监理人指示的时间内完成修复，并由监理人重新检查，由此增加的费用和（或）延误的工期由承包人承担。</w:t>
      </w:r>
    </w:p>
    <w:p w14:paraId="3435B7D2">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名确认。监理人事后对检查记录有疑问的，可按第5.3.3项〔重新检查〕的约定重新检查。</w:t>
      </w:r>
    </w:p>
    <w:p w14:paraId="7808E8FC">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5.3.3 重新检查</w:t>
      </w:r>
    </w:p>
    <w:p w14:paraId="41615D95">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4DB4D7AC">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5.3.4 承包人私自覆盖</w:t>
      </w:r>
    </w:p>
    <w:p w14:paraId="364E105D">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承包人未通知监理人到场检查，私自将工程隐蔽部位覆盖的，监理人有权指示承包人钻孔探测或揭开检查，无论工程隐蔽部位质量是否合格，由此增加的费用和（或）延误的工期均由承包人承担。</w:t>
      </w:r>
    </w:p>
    <w:p w14:paraId="548FF97E">
      <w:pPr>
        <w:pStyle w:val="7"/>
        <w:spacing w:before="0" w:beforeAutospacing="0" w:after="0" w:afterAutospacing="0" w:line="360" w:lineRule="auto"/>
        <w:ind w:firstLine="422" w:firstLineChars="200"/>
        <w:rPr>
          <w:color w:val="auto"/>
          <w:sz w:val="21"/>
          <w:szCs w:val="21"/>
          <w:highlight w:val="none"/>
        </w:rPr>
      </w:pPr>
      <w:bookmarkStart w:id="808" w:name="_Toc532377222"/>
      <w:r>
        <w:rPr>
          <w:rFonts w:hint="eastAsia"/>
          <w:color w:val="auto"/>
          <w:sz w:val="21"/>
          <w:szCs w:val="21"/>
          <w:highlight w:val="none"/>
        </w:rPr>
        <w:t>5.4不合格工程的处理</w:t>
      </w:r>
      <w:bookmarkEnd w:id="808"/>
    </w:p>
    <w:p w14:paraId="32964EB3">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09A562CA">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5.4.2 因发包人原因造成工程不合格的，由此增加的费用和（或）延误的工期由发包人承担，并支付承包人合理的利润。</w:t>
      </w:r>
    </w:p>
    <w:p w14:paraId="3CD6173F">
      <w:pPr>
        <w:pStyle w:val="7"/>
        <w:spacing w:before="0" w:beforeAutospacing="0" w:after="0" w:afterAutospacing="0" w:line="360" w:lineRule="auto"/>
        <w:ind w:firstLine="422" w:firstLineChars="200"/>
        <w:rPr>
          <w:color w:val="auto"/>
          <w:sz w:val="21"/>
          <w:szCs w:val="21"/>
          <w:highlight w:val="none"/>
        </w:rPr>
      </w:pPr>
      <w:bookmarkStart w:id="809" w:name="_Toc351203537"/>
      <w:bookmarkStart w:id="810" w:name="_Toc532377223"/>
      <w:r>
        <w:rPr>
          <w:rFonts w:hint="eastAsia"/>
          <w:color w:val="auto"/>
          <w:sz w:val="21"/>
          <w:szCs w:val="21"/>
          <w:highlight w:val="none"/>
        </w:rPr>
        <w:t>5.5 质量争议检测</w:t>
      </w:r>
      <w:bookmarkEnd w:id="809"/>
      <w:bookmarkEnd w:id="810"/>
    </w:p>
    <w:p w14:paraId="5ECEEB86">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合同当事人对工程质量有争议的，由双方协商确定的工程质量检测机构鉴定，由此产生的费用及因此造成的损失，由责任方承担。</w:t>
      </w:r>
    </w:p>
    <w:p w14:paraId="67BFC0A3">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合同当事人均有责任的，由双方根据其责任分别承担。合同当事人无法达成一致的，按照第4.4款〔商定或确定〕执行。</w:t>
      </w:r>
    </w:p>
    <w:p w14:paraId="44C8B8C9">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811" w:name="_Toc532377224"/>
      <w:bookmarkStart w:id="812" w:name="_Toc351203538"/>
      <w:bookmarkStart w:id="813" w:name="_Toc532375592"/>
      <w:r>
        <w:rPr>
          <w:rFonts w:hint="eastAsia"/>
          <w:color w:val="auto"/>
          <w:kern w:val="2"/>
          <w:sz w:val="21"/>
          <w:szCs w:val="21"/>
          <w:highlight w:val="none"/>
        </w:rPr>
        <w:t>6</w:t>
      </w:r>
      <w:bookmarkStart w:id="814" w:name="_Toc337558763"/>
      <w:r>
        <w:rPr>
          <w:rFonts w:hint="eastAsia"/>
          <w:color w:val="auto"/>
          <w:kern w:val="2"/>
          <w:sz w:val="21"/>
          <w:szCs w:val="21"/>
          <w:highlight w:val="none"/>
        </w:rPr>
        <w:t>. 安全文明施工与环境保护</w:t>
      </w:r>
      <w:bookmarkEnd w:id="811"/>
      <w:bookmarkEnd w:id="812"/>
      <w:bookmarkEnd w:id="813"/>
    </w:p>
    <w:bookmarkEnd w:id="814"/>
    <w:p w14:paraId="102520F8">
      <w:pPr>
        <w:pStyle w:val="7"/>
        <w:spacing w:before="0" w:beforeAutospacing="0" w:after="0" w:afterAutospacing="0" w:line="360" w:lineRule="auto"/>
        <w:ind w:firstLine="422" w:firstLineChars="200"/>
        <w:rPr>
          <w:color w:val="auto"/>
          <w:sz w:val="21"/>
          <w:szCs w:val="21"/>
          <w:highlight w:val="none"/>
        </w:rPr>
      </w:pPr>
      <w:bookmarkStart w:id="815" w:name="_Toc351203539"/>
      <w:bookmarkStart w:id="816" w:name="_Toc532377225"/>
      <w:r>
        <w:rPr>
          <w:rFonts w:hint="eastAsia"/>
          <w:color w:val="auto"/>
          <w:sz w:val="21"/>
          <w:szCs w:val="21"/>
          <w:highlight w:val="none"/>
        </w:rPr>
        <w:t>6</w:t>
      </w:r>
      <w:bookmarkStart w:id="817" w:name="_Toc337558764"/>
      <w:r>
        <w:rPr>
          <w:rFonts w:hint="eastAsia"/>
          <w:color w:val="auto"/>
          <w:sz w:val="21"/>
          <w:szCs w:val="21"/>
          <w:highlight w:val="none"/>
        </w:rPr>
        <w:t>.1安全文明施工</w:t>
      </w:r>
      <w:bookmarkEnd w:id="815"/>
      <w:bookmarkEnd w:id="816"/>
    </w:p>
    <w:bookmarkEnd w:id="817"/>
    <w:p w14:paraId="6D909428">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6.1.1安全生产要求</w:t>
      </w:r>
    </w:p>
    <w:p w14:paraId="01EB4F0F">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60CF17BF">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在施工过程中，如遇到突发的地质变动、事先未知的地下施工障碍等影响施工安全的紧急情况，承包人应及时报告监理人和发包人，发包人应当及时下令停工并报政府有关行政管理部门采取应急措施。</w:t>
      </w:r>
    </w:p>
    <w:p w14:paraId="68AD5CFF">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因安全生产需要暂停施工的，按照第7.8款〔暂停施工〕的约定执行。</w:t>
      </w:r>
    </w:p>
    <w:p w14:paraId="1DE047BF">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6.1.2 安全生产保证措施</w:t>
      </w:r>
    </w:p>
    <w:p w14:paraId="6F90862D">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监理人及政府安全监督部门的检查与监督。</w:t>
      </w:r>
    </w:p>
    <w:p w14:paraId="3454317B">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6.1.3特别安全生产事项</w:t>
      </w:r>
    </w:p>
    <w:p w14:paraId="5FD43683">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2B3317BC">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 xml:space="preserve">承包人在动力设备、输电线路、地下管道、密封防震车间、易燃易爆地段以及临街交通要道附近施工时，施工开始前应向发包人和监理人提出安全防护措施，经发包人认可后实施。 </w:t>
      </w:r>
    </w:p>
    <w:p w14:paraId="51EF058B">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14:paraId="2387AA8C">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需单独编制危险性较大分部分项专项工程施工方案的，及要求进行专家论证的超过一定规模的危险性较大的分部分项工程，承包人应及时编制和组织论证。</w:t>
      </w:r>
    </w:p>
    <w:p w14:paraId="56B137FB">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6.1.4 治安保卫</w:t>
      </w:r>
    </w:p>
    <w:p w14:paraId="40CB5A2E">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除专用合同条款另有约定外，发包人应与当地公安部门协商，在现场建立治安管理机构或联防组织，统一管理施工场地的治安保卫事项，履行合同工程的治安保卫职责。</w:t>
      </w:r>
    </w:p>
    <w:p w14:paraId="256AD40F">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发包人和承包人除应协助现场治安管理机构或联防组织维护施工场地的社会治安外，还应做好包括生活区在内的各自管辖区的治安保卫工作。</w:t>
      </w:r>
    </w:p>
    <w:p w14:paraId="29768BEB">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097FB966">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6.1.5 文明施工</w:t>
      </w:r>
    </w:p>
    <w:p w14:paraId="3B4B10A6">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07330033">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50B91A35">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6.1.6 安全文明施工费</w:t>
      </w:r>
    </w:p>
    <w:p w14:paraId="39AA76CF">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安全文明施工费由发包人承担，发包人不得以任何形式扣减该部分费用。因基准日期后合同所适用的法律或政府有关规定发生变化，增加的安全文明施工费由发包人承担。</w:t>
      </w:r>
    </w:p>
    <w:p w14:paraId="2167BA1D">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4EFACECF">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41CB1E68">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176DE3F8">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6.1.7 紧急情况处理</w:t>
      </w:r>
    </w:p>
    <w:p w14:paraId="24D0DF23">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526890BB">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6.1.8 事故处理</w:t>
      </w:r>
    </w:p>
    <w:p w14:paraId="46D7FD0E">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369ABE6F">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6.1.9 安全生产责任</w:t>
      </w:r>
    </w:p>
    <w:p w14:paraId="1A3F64C4">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6.1.9.1 发包人的安全责任</w:t>
      </w:r>
    </w:p>
    <w:p w14:paraId="4806E2F7">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发包人应负责赔偿以下各种情况造成的损失：</w:t>
      </w:r>
    </w:p>
    <w:p w14:paraId="6AE55491">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（1）工程或工程的任何部分对土地的占用所造成的第三者财产损失；</w:t>
      </w:r>
    </w:p>
    <w:p w14:paraId="1177875C">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（2）由于发包人原因在施工场地及其毗邻地带造成的第三者人身伤亡和财产损失；</w:t>
      </w:r>
    </w:p>
    <w:p w14:paraId="15F0507A">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（3）由于发包人原因对承包人、监理人造成的人员人身伤亡和财产损失；</w:t>
      </w:r>
    </w:p>
    <w:p w14:paraId="65904ACA">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（4）由于发包人原因造成的发包人自身人员的人身伤害以及财产损失。</w:t>
      </w:r>
    </w:p>
    <w:p w14:paraId="6042A05C">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6.1.9.2 承包人的安全责任</w:t>
      </w:r>
    </w:p>
    <w:p w14:paraId="728FDBBB">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由于承包人原因在施工场地内及其毗邻地带造成的发包人、监理人以及第三者人员伤亡和财产损失，由承包人负责赔偿。</w:t>
      </w:r>
    </w:p>
    <w:p w14:paraId="343B874B">
      <w:pPr>
        <w:pStyle w:val="7"/>
        <w:spacing w:before="0" w:beforeAutospacing="0" w:after="0" w:afterAutospacing="0" w:line="360" w:lineRule="auto"/>
        <w:ind w:firstLine="422" w:firstLineChars="200"/>
        <w:rPr>
          <w:color w:val="auto"/>
          <w:sz w:val="21"/>
          <w:szCs w:val="21"/>
          <w:highlight w:val="none"/>
        </w:rPr>
      </w:pPr>
      <w:bookmarkStart w:id="818" w:name="_Toc351203540"/>
      <w:bookmarkStart w:id="819" w:name="_Toc532377226"/>
      <w:r>
        <w:rPr>
          <w:rFonts w:hint="eastAsia"/>
          <w:color w:val="auto"/>
          <w:sz w:val="21"/>
          <w:szCs w:val="21"/>
          <w:highlight w:val="none"/>
        </w:rPr>
        <w:t>6</w:t>
      </w:r>
      <w:bookmarkStart w:id="820" w:name="_Toc337558765"/>
      <w:r>
        <w:rPr>
          <w:rFonts w:hint="eastAsia"/>
          <w:color w:val="auto"/>
          <w:sz w:val="21"/>
          <w:szCs w:val="21"/>
          <w:highlight w:val="none"/>
        </w:rPr>
        <w:t>.2 职业健康</w:t>
      </w:r>
      <w:bookmarkEnd w:id="818"/>
      <w:bookmarkEnd w:id="819"/>
    </w:p>
    <w:bookmarkEnd w:id="820"/>
    <w:p w14:paraId="5796504B">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6.2.1 劳动保护</w:t>
      </w:r>
    </w:p>
    <w:p w14:paraId="71949665">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3985CA5F">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26A87522">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承包人应按法律规定安排工作时间，保证其雇佣人员享有休息和休假的权利。因工程施工的特殊需要占用休假日或延长工作时间的，应不超过法律规定的限度，并按法律规定给予补休或付酬。</w:t>
      </w:r>
    </w:p>
    <w:p w14:paraId="7D07F4C8">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6.2.2 生活条件</w:t>
      </w:r>
    </w:p>
    <w:p w14:paraId="7D9BB8F7">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0B290A71">
      <w:pPr>
        <w:pStyle w:val="7"/>
        <w:spacing w:before="0" w:beforeAutospacing="0" w:after="0" w:afterAutospacing="0" w:line="360" w:lineRule="auto"/>
        <w:ind w:firstLine="422" w:firstLineChars="200"/>
        <w:rPr>
          <w:color w:val="auto"/>
          <w:sz w:val="21"/>
          <w:szCs w:val="21"/>
          <w:highlight w:val="none"/>
        </w:rPr>
      </w:pPr>
      <w:bookmarkStart w:id="821" w:name="_Toc351203541"/>
      <w:bookmarkStart w:id="822" w:name="_Toc532377227"/>
      <w:r>
        <w:rPr>
          <w:rFonts w:hint="eastAsia"/>
          <w:color w:val="auto"/>
          <w:sz w:val="21"/>
          <w:szCs w:val="21"/>
          <w:highlight w:val="none"/>
        </w:rPr>
        <w:t>6</w:t>
      </w:r>
      <w:bookmarkStart w:id="823" w:name="_Toc337558766"/>
      <w:r>
        <w:rPr>
          <w:rFonts w:hint="eastAsia"/>
          <w:color w:val="auto"/>
          <w:sz w:val="21"/>
          <w:szCs w:val="21"/>
          <w:highlight w:val="none"/>
        </w:rPr>
        <w:t>.3 环境保护</w:t>
      </w:r>
      <w:bookmarkEnd w:id="821"/>
      <w:bookmarkEnd w:id="822"/>
    </w:p>
    <w:bookmarkEnd w:id="823"/>
    <w:p w14:paraId="021D8AB7">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6394011D">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承包人应当承担因其原因引起的环境污染侵权损害赔偿责任，因上述环境污染引起纠纷而导致暂停施工的，由此增加的费用和（或）延误的工期由承包人承担。</w:t>
      </w:r>
    </w:p>
    <w:p w14:paraId="1840C542">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824" w:name="_Toc532375593"/>
      <w:bookmarkStart w:id="825" w:name="_Toc532377228"/>
      <w:bookmarkStart w:id="826" w:name="_Toc351203542"/>
      <w:r>
        <w:rPr>
          <w:rFonts w:hint="eastAsia"/>
          <w:color w:val="auto"/>
          <w:kern w:val="2"/>
          <w:sz w:val="21"/>
          <w:szCs w:val="21"/>
          <w:highlight w:val="none"/>
        </w:rPr>
        <w:t>7</w:t>
      </w:r>
      <w:bookmarkStart w:id="827" w:name="_Toc337558767"/>
      <w:r>
        <w:rPr>
          <w:rFonts w:hint="eastAsia"/>
          <w:color w:val="auto"/>
          <w:kern w:val="2"/>
          <w:sz w:val="21"/>
          <w:szCs w:val="21"/>
          <w:highlight w:val="none"/>
        </w:rPr>
        <w:t>. 工期和进度</w:t>
      </w:r>
      <w:bookmarkEnd w:id="824"/>
      <w:bookmarkEnd w:id="825"/>
      <w:bookmarkEnd w:id="826"/>
    </w:p>
    <w:bookmarkEnd w:id="827"/>
    <w:p w14:paraId="05C9B10D">
      <w:pPr>
        <w:pStyle w:val="7"/>
        <w:spacing w:before="0" w:beforeAutospacing="0" w:after="0" w:afterAutospacing="0" w:line="360" w:lineRule="auto"/>
        <w:ind w:firstLine="422" w:firstLineChars="200"/>
        <w:rPr>
          <w:color w:val="auto"/>
          <w:sz w:val="21"/>
          <w:szCs w:val="21"/>
          <w:highlight w:val="none"/>
        </w:rPr>
      </w:pPr>
      <w:bookmarkStart w:id="828" w:name="_Toc532377229"/>
      <w:bookmarkStart w:id="829" w:name="_Toc351203543"/>
      <w:r>
        <w:rPr>
          <w:rFonts w:hint="eastAsia"/>
          <w:color w:val="auto"/>
          <w:sz w:val="21"/>
          <w:szCs w:val="21"/>
          <w:highlight w:val="none"/>
        </w:rPr>
        <w:t>7</w:t>
      </w:r>
      <w:bookmarkStart w:id="830" w:name="_Toc337558768"/>
      <w:bookmarkStart w:id="831" w:name="_Toc296503066"/>
      <w:bookmarkStart w:id="832" w:name="_Toc296346567"/>
      <w:r>
        <w:rPr>
          <w:rFonts w:hint="eastAsia"/>
          <w:color w:val="auto"/>
          <w:sz w:val="21"/>
          <w:szCs w:val="21"/>
          <w:highlight w:val="none"/>
        </w:rPr>
        <w:t>.1施工组织设计</w:t>
      </w:r>
      <w:bookmarkEnd w:id="828"/>
      <w:bookmarkEnd w:id="829"/>
    </w:p>
    <w:bookmarkEnd w:id="830"/>
    <w:p w14:paraId="0551802A">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7.1.1 施工组织设计的内容</w:t>
      </w:r>
    </w:p>
    <w:p w14:paraId="3909351B">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施工组织设计应包含以下内容：</w:t>
      </w:r>
    </w:p>
    <w:p w14:paraId="4A9A50D2">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 xml:space="preserve">（1）施工方案； </w:t>
      </w:r>
    </w:p>
    <w:p w14:paraId="19B0F92B">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（2）施工现场平面布置图；</w:t>
      </w:r>
    </w:p>
    <w:p w14:paraId="0D877E10">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 xml:space="preserve">（3）施工进度计划和保证措施； </w:t>
      </w:r>
    </w:p>
    <w:p w14:paraId="0B0E2079">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（4）劳动力及材料供应计划；</w:t>
      </w:r>
    </w:p>
    <w:p w14:paraId="7944693B">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（5）施工机械设备的选用；</w:t>
      </w:r>
    </w:p>
    <w:p w14:paraId="45D3EC9C">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（6）质量保证体系及措施；</w:t>
      </w:r>
    </w:p>
    <w:p w14:paraId="7ABB5E44">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（7）安全生产、文明施工措施；</w:t>
      </w:r>
    </w:p>
    <w:p w14:paraId="7B33B6BA">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（8）环境保护、成本控制措施；</w:t>
      </w:r>
    </w:p>
    <w:p w14:paraId="7DA517B4">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（9）合同当事人约定的其他内容。</w:t>
      </w:r>
    </w:p>
    <w:p w14:paraId="3529206C">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7.1.2 施工组织设计的提交和修改</w:t>
      </w:r>
    </w:p>
    <w:p w14:paraId="7DEA9581">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6557F3A9">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施工进度计划的编制和修改按照第7.2款〔施工进度计划〕执行。</w:t>
      </w:r>
    </w:p>
    <w:p w14:paraId="7006264E">
      <w:pPr>
        <w:pStyle w:val="7"/>
        <w:spacing w:before="0" w:beforeAutospacing="0" w:after="0" w:afterAutospacing="0" w:line="360" w:lineRule="auto"/>
        <w:ind w:firstLine="422" w:firstLineChars="200"/>
        <w:rPr>
          <w:color w:val="auto"/>
          <w:sz w:val="21"/>
          <w:szCs w:val="21"/>
          <w:highlight w:val="none"/>
        </w:rPr>
      </w:pPr>
      <w:bookmarkStart w:id="833" w:name="_Toc532377230"/>
      <w:bookmarkStart w:id="834" w:name="_Toc351203544"/>
      <w:r>
        <w:rPr>
          <w:rFonts w:hint="eastAsia"/>
          <w:color w:val="auto"/>
          <w:sz w:val="21"/>
          <w:szCs w:val="21"/>
          <w:highlight w:val="none"/>
        </w:rPr>
        <w:t>7</w:t>
      </w:r>
      <w:bookmarkStart w:id="835" w:name="_Toc337558769"/>
      <w:r>
        <w:rPr>
          <w:rFonts w:hint="eastAsia"/>
          <w:color w:val="auto"/>
          <w:sz w:val="21"/>
          <w:szCs w:val="21"/>
          <w:highlight w:val="none"/>
        </w:rPr>
        <w:t>.2 施工进度计划</w:t>
      </w:r>
      <w:bookmarkEnd w:id="833"/>
      <w:bookmarkEnd w:id="834"/>
    </w:p>
    <w:bookmarkEnd w:id="835"/>
    <w:p w14:paraId="542E5C95">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7.2.1 施工进度计划的编制</w:t>
      </w:r>
    </w:p>
    <w:p w14:paraId="6623D230">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0AE80565">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7.2.2 施工进度计划的修订</w:t>
      </w:r>
    </w:p>
    <w:p w14:paraId="1069D59A">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1D8E0011">
      <w:pPr>
        <w:pStyle w:val="7"/>
        <w:spacing w:before="0" w:beforeAutospacing="0" w:after="0" w:afterAutospacing="0" w:line="360" w:lineRule="auto"/>
        <w:ind w:firstLine="422" w:firstLineChars="200"/>
        <w:rPr>
          <w:color w:val="auto"/>
          <w:sz w:val="21"/>
          <w:szCs w:val="21"/>
          <w:highlight w:val="none"/>
        </w:rPr>
      </w:pPr>
      <w:bookmarkStart w:id="836" w:name="_Toc351203545"/>
      <w:bookmarkStart w:id="837" w:name="_Toc532377231"/>
      <w:r>
        <w:rPr>
          <w:rFonts w:hint="eastAsia"/>
          <w:color w:val="auto"/>
          <w:sz w:val="21"/>
          <w:szCs w:val="21"/>
          <w:highlight w:val="none"/>
        </w:rPr>
        <w:t>7</w:t>
      </w:r>
      <w:bookmarkStart w:id="838" w:name="_Toc337558770"/>
      <w:r>
        <w:rPr>
          <w:rFonts w:hint="eastAsia"/>
          <w:color w:val="auto"/>
          <w:sz w:val="21"/>
          <w:szCs w:val="21"/>
          <w:highlight w:val="none"/>
        </w:rPr>
        <w:t>.3 开工</w:t>
      </w:r>
      <w:bookmarkEnd w:id="836"/>
      <w:bookmarkEnd w:id="837"/>
    </w:p>
    <w:p w14:paraId="3DA91CA7">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7.3.1 开工准备</w:t>
      </w:r>
    </w:p>
    <w:p w14:paraId="347C5FBA">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3CDBFF8C">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除专用合同条款另有约定外，合同当事人应按约定完成开工准备工作。</w:t>
      </w:r>
    </w:p>
    <w:p w14:paraId="01CFF251">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7.3.2 开工通知</w:t>
      </w:r>
    </w:p>
    <w:bookmarkEnd w:id="838"/>
    <w:p w14:paraId="4570D5BF">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48821064">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54D97E1F">
      <w:pPr>
        <w:pStyle w:val="7"/>
        <w:spacing w:before="0" w:beforeAutospacing="0" w:after="0" w:afterAutospacing="0" w:line="360" w:lineRule="auto"/>
        <w:ind w:firstLine="422" w:firstLineChars="200"/>
        <w:rPr>
          <w:color w:val="auto"/>
          <w:sz w:val="21"/>
          <w:szCs w:val="21"/>
          <w:highlight w:val="none"/>
        </w:rPr>
      </w:pPr>
      <w:bookmarkStart w:id="839" w:name="_Toc532377232"/>
      <w:bookmarkStart w:id="840" w:name="_Toc351203546"/>
      <w:r>
        <w:rPr>
          <w:rFonts w:hint="eastAsia"/>
          <w:color w:val="auto"/>
          <w:sz w:val="21"/>
          <w:szCs w:val="21"/>
          <w:highlight w:val="none"/>
        </w:rPr>
        <w:t>7.4测量放线</w:t>
      </w:r>
      <w:bookmarkEnd w:id="839"/>
      <w:bookmarkEnd w:id="840"/>
    </w:p>
    <w:p w14:paraId="65D3E566">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0ADCB5B7">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5FCFBA29">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7222013C">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施工过程中对施工现场内水准点等测量标志物的保护工作由承包人负责。</w:t>
      </w:r>
      <w:bookmarkStart w:id="841" w:name="_Toc351203547"/>
    </w:p>
    <w:p w14:paraId="32904852">
      <w:pPr>
        <w:pStyle w:val="7"/>
        <w:spacing w:before="0" w:beforeAutospacing="0" w:after="0" w:afterAutospacing="0" w:line="360" w:lineRule="auto"/>
        <w:ind w:firstLine="422" w:firstLineChars="200"/>
        <w:rPr>
          <w:color w:val="auto"/>
          <w:sz w:val="21"/>
          <w:szCs w:val="21"/>
          <w:highlight w:val="none"/>
        </w:rPr>
      </w:pPr>
      <w:bookmarkStart w:id="842" w:name="_Toc532377233"/>
      <w:r>
        <w:rPr>
          <w:rFonts w:hint="eastAsia"/>
          <w:color w:val="auto"/>
          <w:sz w:val="21"/>
          <w:szCs w:val="21"/>
          <w:highlight w:val="none"/>
        </w:rPr>
        <w:t>7</w:t>
      </w:r>
      <w:bookmarkEnd w:id="831"/>
      <w:bookmarkEnd w:id="832"/>
      <w:bookmarkStart w:id="843" w:name="_Toc296346574"/>
      <w:bookmarkStart w:id="844" w:name="_Toc337558772"/>
      <w:bookmarkStart w:id="845" w:name="_Toc296503073"/>
      <w:r>
        <w:rPr>
          <w:rFonts w:hint="eastAsia"/>
          <w:color w:val="auto"/>
          <w:sz w:val="21"/>
          <w:szCs w:val="21"/>
          <w:highlight w:val="none"/>
        </w:rPr>
        <w:t>.5 工期延误</w:t>
      </w:r>
      <w:bookmarkEnd w:id="841"/>
      <w:bookmarkEnd w:id="842"/>
    </w:p>
    <w:bookmarkEnd w:id="843"/>
    <w:bookmarkEnd w:id="844"/>
    <w:bookmarkEnd w:id="845"/>
    <w:p w14:paraId="6C490A38">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7.5.1 因发包人原因导致工期延误</w:t>
      </w:r>
    </w:p>
    <w:p w14:paraId="245761C5">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 xml:space="preserve">在合同履行过程中，因下列情况导致工期延误和（或）费用增加的，由发包人承担由此延误的工期和（或）增加的费用，且发包人应支付承包人合理的利润： </w:t>
      </w:r>
    </w:p>
    <w:p w14:paraId="3375EBAC">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（1）发包人未能按合同约定提供图纸或所提供图纸不符合合同约定的；</w:t>
      </w:r>
    </w:p>
    <w:p w14:paraId="4AE5A67E">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（2）发包人未能按合同约定提供施工现场、施工条件、基础资料、许可、批准等开工条件的；</w:t>
      </w:r>
    </w:p>
    <w:p w14:paraId="7E7F19C9">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（3）发包人提供的测量基准点、基准线和水准点及其书面资料存在错误或疏漏的；</w:t>
      </w:r>
    </w:p>
    <w:p w14:paraId="43752D9D">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（4）发包人未能在计划开工日期之日起7天内同意下达开工通知的；</w:t>
      </w:r>
    </w:p>
    <w:p w14:paraId="49969EC6">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（5）发包人未能按合同约定日期支付工程预付款、进度款或竣工结算款的；</w:t>
      </w:r>
    </w:p>
    <w:p w14:paraId="68E0CDC4">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（6）监理人未按合同约定发出指示、批准等文件的；</w:t>
      </w:r>
    </w:p>
    <w:p w14:paraId="625235BE">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（7）专用合同条款中约定的其他情形。</w:t>
      </w:r>
    </w:p>
    <w:p w14:paraId="777F3E0B">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06E68B7E">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7.5.2 因承包人原因导致工期延误</w:t>
      </w:r>
    </w:p>
    <w:p w14:paraId="73056936">
      <w:pPr>
        <w:autoSpaceDE w:val="0"/>
        <w:autoSpaceDN w:val="0"/>
        <w:spacing w:line="360" w:lineRule="auto"/>
        <w:ind w:firstLine="420" w:firstLineChars="200"/>
        <w:jc w:val="left"/>
        <w:rPr>
          <w:rFonts w:ascii="宋体" w:hAnsi="宋体"/>
          <w:color w:val="auto"/>
          <w:kern w:val="0"/>
          <w:szCs w:val="21"/>
          <w:highlight w:val="none"/>
        </w:rPr>
      </w:pPr>
      <w:bookmarkStart w:id="846" w:name="_Toc296346577"/>
      <w:bookmarkStart w:id="847" w:name="_Toc296503076"/>
      <w:r>
        <w:rPr>
          <w:rFonts w:hint="eastAsia" w:ascii="宋体" w:hAnsi="宋体"/>
          <w:color w:val="auto"/>
          <w:kern w:val="0"/>
          <w:szCs w:val="21"/>
          <w:highlight w:val="none"/>
        </w:rPr>
        <w:t>因</w:t>
      </w:r>
      <w:bookmarkEnd w:id="846"/>
      <w:bookmarkEnd w:id="847"/>
      <w:r>
        <w:rPr>
          <w:rFonts w:hint="eastAsia" w:ascii="宋体" w:hAnsi="宋体"/>
          <w:color w:val="auto"/>
          <w:kern w:val="0"/>
          <w:szCs w:val="21"/>
          <w:highlight w:val="none"/>
        </w:rPr>
        <w:t>承包人原因造成工期延误的，可以在专用合同条款中约定逾期竣工违约金的计算方法和逾期竣工违约金的上限。承包人支付逾期竣工违约金后，不免除承包人继续完成工程及修补缺陷的义务。</w:t>
      </w:r>
    </w:p>
    <w:p w14:paraId="0EC9D5AC">
      <w:pPr>
        <w:pStyle w:val="7"/>
        <w:spacing w:before="0" w:beforeAutospacing="0" w:after="0" w:afterAutospacing="0" w:line="360" w:lineRule="auto"/>
        <w:ind w:firstLine="422" w:firstLineChars="200"/>
        <w:rPr>
          <w:color w:val="auto"/>
          <w:sz w:val="21"/>
          <w:szCs w:val="21"/>
          <w:highlight w:val="none"/>
        </w:rPr>
      </w:pPr>
      <w:bookmarkStart w:id="848" w:name="_Toc532377234"/>
      <w:bookmarkStart w:id="849" w:name="_Toc351203548"/>
      <w:r>
        <w:rPr>
          <w:rFonts w:hint="eastAsia"/>
          <w:color w:val="auto"/>
          <w:sz w:val="21"/>
          <w:szCs w:val="21"/>
          <w:highlight w:val="none"/>
        </w:rPr>
        <w:t>7</w:t>
      </w:r>
      <w:bookmarkStart w:id="850" w:name="_Toc337558773"/>
      <w:bookmarkStart w:id="851" w:name="_Toc296503074"/>
      <w:bookmarkStart w:id="852" w:name="_Toc296346575"/>
      <w:bookmarkStart w:id="853" w:name="_Toc296346578"/>
      <w:bookmarkStart w:id="854" w:name="_Toc296503077"/>
      <w:r>
        <w:rPr>
          <w:rFonts w:hint="eastAsia"/>
          <w:color w:val="auto"/>
          <w:sz w:val="21"/>
          <w:szCs w:val="21"/>
          <w:highlight w:val="none"/>
        </w:rPr>
        <w:t>.6 不利物质条件</w:t>
      </w:r>
      <w:bookmarkEnd w:id="848"/>
      <w:bookmarkEnd w:id="849"/>
    </w:p>
    <w:bookmarkEnd w:id="850"/>
    <w:bookmarkEnd w:id="851"/>
    <w:bookmarkEnd w:id="852"/>
    <w:p w14:paraId="6B7D0906">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7687D359">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120BBC69">
      <w:pPr>
        <w:pStyle w:val="7"/>
        <w:spacing w:before="0" w:beforeAutospacing="0" w:after="0" w:afterAutospacing="0" w:line="360" w:lineRule="auto"/>
        <w:ind w:firstLine="422" w:firstLineChars="200"/>
        <w:rPr>
          <w:color w:val="auto"/>
          <w:sz w:val="21"/>
          <w:szCs w:val="21"/>
          <w:highlight w:val="none"/>
        </w:rPr>
      </w:pPr>
      <w:bookmarkStart w:id="855" w:name="_Toc351203549"/>
      <w:bookmarkStart w:id="856" w:name="_Toc532377235"/>
      <w:r>
        <w:rPr>
          <w:rFonts w:hint="eastAsia"/>
          <w:color w:val="auto"/>
          <w:sz w:val="21"/>
          <w:szCs w:val="21"/>
          <w:highlight w:val="none"/>
        </w:rPr>
        <w:t>7</w:t>
      </w:r>
      <w:bookmarkStart w:id="857" w:name="_Toc337558774"/>
      <w:bookmarkStart w:id="858" w:name="_Toc296346576"/>
      <w:bookmarkStart w:id="859" w:name="_Toc296503075"/>
      <w:r>
        <w:rPr>
          <w:rFonts w:hint="eastAsia"/>
          <w:color w:val="auto"/>
          <w:sz w:val="21"/>
          <w:szCs w:val="21"/>
          <w:highlight w:val="none"/>
        </w:rPr>
        <w:t>.7 异常恶劣的气候条件</w:t>
      </w:r>
      <w:bookmarkEnd w:id="855"/>
      <w:bookmarkEnd w:id="856"/>
    </w:p>
    <w:bookmarkEnd w:id="857"/>
    <w:bookmarkEnd w:id="858"/>
    <w:bookmarkEnd w:id="859"/>
    <w:p w14:paraId="62F08397">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0E0A4D59">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860" w:name="_Toc351203550"/>
    </w:p>
    <w:p w14:paraId="6BB95086">
      <w:pPr>
        <w:pStyle w:val="7"/>
        <w:spacing w:before="0" w:beforeAutospacing="0" w:after="0" w:afterAutospacing="0" w:line="360" w:lineRule="auto"/>
        <w:ind w:firstLine="422" w:firstLineChars="200"/>
        <w:rPr>
          <w:color w:val="auto"/>
          <w:sz w:val="21"/>
          <w:szCs w:val="21"/>
          <w:highlight w:val="none"/>
        </w:rPr>
      </w:pPr>
      <w:bookmarkStart w:id="861" w:name="_Toc532377236"/>
      <w:r>
        <w:rPr>
          <w:rFonts w:hint="eastAsia"/>
          <w:color w:val="auto"/>
          <w:sz w:val="21"/>
          <w:szCs w:val="21"/>
          <w:highlight w:val="none"/>
        </w:rPr>
        <w:t>7</w:t>
      </w:r>
      <w:bookmarkStart w:id="862" w:name="_Toc337558775"/>
      <w:r>
        <w:rPr>
          <w:rFonts w:hint="eastAsia"/>
          <w:color w:val="auto"/>
          <w:sz w:val="21"/>
          <w:szCs w:val="21"/>
          <w:highlight w:val="none"/>
        </w:rPr>
        <w:t>.8 暂停施工</w:t>
      </w:r>
      <w:bookmarkEnd w:id="860"/>
      <w:bookmarkEnd w:id="861"/>
    </w:p>
    <w:bookmarkEnd w:id="853"/>
    <w:bookmarkEnd w:id="854"/>
    <w:bookmarkEnd w:id="862"/>
    <w:p w14:paraId="4FC6594B">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7.8.1发包人原因引起的暂停施工</w:t>
      </w:r>
    </w:p>
    <w:p w14:paraId="0A65AB53">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因发包人原因引起暂停施工的，监理人经发包人同意后，应及时下达暂停施工指示。情况紧急且监理人未及时下达暂停施工指示的，按照第7.8.4项〔紧急情况下的暂停施工〕执行。</w:t>
      </w:r>
    </w:p>
    <w:p w14:paraId="40C6DC96">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因发包人原因引起的暂停施工，发包人应承担由此增加的费用和（或）延误的工期，并支付承包人合理的利润。</w:t>
      </w:r>
    </w:p>
    <w:p w14:paraId="30C875D5">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7.8.2 承包人原因引起的暂停施工</w:t>
      </w:r>
    </w:p>
    <w:p w14:paraId="3D6C144F">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44741C83">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7.8.3 指示暂停施工</w:t>
      </w:r>
    </w:p>
    <w:p w14:paraId="3E442C3F">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监理人认为有必要时，并经发包人批准后，可向承包人作出暂停施工的指示，承包人应按监理人指示暂停施工。</w:t>
      </w:r>
    </w:p>
    <w:p w14:paraId="3CD9564D">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7.8.4 紧急情况下的暂停施工</w:t>
      </w:r>
    </w:p>
    <w:p w14:paraId="584E86B0">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5B7873EE">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7.8.5 暂停施工后的复工</w:t>
      </w:r>
    </w:p>
    <w:p w14:paraId="0D16438A">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1DFEF0B6">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承包人无故拖延和拒绝复工的，承包人承担由此增加的费用和（或）延误的工期；因发包人原因无法按时复工的，按照第7.5.1项〔因发包人原因导致工期延误〕约定办理。</w:t>
      </w:r>
    </w:p>
    <w:p w14:paraId="657EBCB0">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7.8.6 暂停施工持续56天以上</w:t>
      </w:r>
    </w:p>
    <w:p w14:paraId="10D548AC">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6A41696C">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781E61E1">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7.8.7 暂停施工期间的工程照管</w:t>
      </w:r>
    </w:p>
    <w:p w14:paraId="63F7365D">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暂停施工期间，承包人应负责妥善照管工程并提供安全保障，由此增加的费用由责任方承担。</w:t>
      </w:r>
    </w:p>
    <w:p w14:paraId="051E4E2A">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7.8.8 暂停施工的措施</w:t>
      </w:r>
    </w:p>
    <w:p w14:paraId="2AB0E6EE">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暂停施工期间，发包人和承包人均应采取必要的措施确保工程质量及安全，防止因暂停施工扩大损失。</w:t>
      </w:r>
    </w:p>
    <w:p w14:paraId="230B342F">
      <w:pPr>
        <w:pStyle w:val="7"/>
        <w:spacing w:before="0" w:beforeAutospacing="0" w:after="0" w:afterAutospacing="0" w:line="360" w:lineRule="auto"/>
        <w:ind w:firstLine="422" w:firstLineChars="200"/>
        <w:rPr>
          <w:color w:val="auto"/>
          <w:sz w:val="21"/>
          <w:szCs w:val="21"/>
          <w:highlight w:val="none"/>
        </w:rPr>
      </w:pPr>
      <w:bookmarkStart w:id="863" w:name="_Toc351203551"/>
      <w:bookmarkStart w:id="864" w:name="_Toc532377237"/>
      <w:r>
        <w:rPr>
          <w:rFonts w:hint="eastAsia"/>
          <w:color w:val="auto"/>
          <w:sz w:val="21"/>
          <w:szCs w:val="21"/>
          <w:highlight w:val="none"/>
        </w:rPr>
        <w:t>7.9提前竣工</w:t>
      </w:r>
      <w:bookmarkEnd w:id="863"/>
      <w:bookmarkEnd w:id="864"/>
    </w:p>
    <w:p w14:paraId="3D106297">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3AF6BE06">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7.9.2 发包人要求承包人提前竣工，或承包人提出提前竣工的建议能够给发包人带来效益的，合同当事人可以在专用合同条款中约定提前竣工的奖励。</w:t>
      </w:r>
    </w:p>
    <w:p w14:paraId="02112EFC">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865" w:name="_Toc351203552"/>
      <w:bookmarkStart w:id="866" w:name="_Toc532375594"/>
      <w:bookmarkStart w:id="867" w:name="_Toc532377238"/>
      <w:r>
        <w:rPr>
          <w:rFonts w:hint="eastAsia"/>
          <w:color w:val="auto"/>
          <w:kern w:val="2"/>
          <w:sz w:val="21"/>
          <w:szCs w:val="21"/>
          <w:highlight w:val="none"/>
        </w:rPr>
        <w:t>8</w:t>
      </w:r>
      <w:bookmarkStart w:id="868" w:name="_Toc337558776"/>
      <w:bookmarkStart w:id="869" w:name="_Toc296346559"/>
      <w:bookmarkStart w:id="870" w:name="_Toc296503058"/>
      <w:r>
        <w:rPr>
          <w:rFonts w:hint="eastAsia"/>
          <w:color w:val="auto"/>
          <w:kern w:val="2"/>
          <w:sz w:val="21"/>
          <w:szCs w:val="21"/>
          <w:highlight w:val="none"/>
        </w:rPr>
        <w:t>. 材料与设备</w:t>
      </w:r>
      <w:bookmarkEnd w:id="865"/>
      <w:bookmarkEnd w:id="866"/>
      <w:bookmarkEnd w:id="867"/>
    </w:p>
    <w:bookmarkEnd w:id="868"/>
    <w:bookmarkEnd w:id="869"/>
    <w:bookmarkEnd w:id="870"/>
    <w:p w14:paraId="2EACB0E1">
      <w:pPr>
        <w:pStyle w:val="7"/>
        <w:spacing w:before="0" w:beforeAutospacing="0" w:after="0" w:afterAutospacing="0" w:line="360" w:lineRule="auto"/>
        <w:ind w:firstLine="422" w:firstLineChars="200"/>
        <w:rPr>
          <w:color w:val="auto"/>
          <w:sz w:val="21"/>
          <w:szCs w:val="21"/>
          <w:highlight w:val="none"/>
        </w:rPr>
      </w:pPr>
      <w:bookmarkStart w:id="871" w:name="_Toc532377239"/>
      <w:bookmarkStart w:id="872" w:name="_Toc351203553"/>
      <w:r>
        <w:rPr>
          <w:rFonts w:hint="eastAsia"/>
          <w:color w:val="auto"/>
          <w:sz w:val="21"/>
          <w:szCs w:val="21"/>
          <w:highlight w:val="none"/>
        </w:rPr>
        <w:t>8</w:t>
      </w:r>
      <w:bookmarkStart w:id="873" w:name="_Toc296503059"/>
      <w:bookmarkStart w:id="874" w:name="_Toc337558777"/>
      <w:bookmarkStart w:id="875" w:name="_Toc296346560"/>
      <w:bookmarkStart w:id="876" w:name="_Toc468936960"/>
      <w:r>
        <w:rPr>
          <w:rFonts w:hint="eastAsia"/>
          <w:color w:val="auto"/>
          <w:sz w:val="21"/>
          <w:szCs w:val="21"/>
          <w:highlight w:val="none"/>
        </w:rPr>
        <w:t>.1发包人供应材料与工程设备</w:t>
      </w:r>
      <w:bookmarkEnd w:id="871"/>
      <w:bookmarkEnd w:id="872"/>
    </w:p>
    <w:bookmarkEnd w:id="873"/>
    <w:bookmarkEnd w:id="874"/>
    <w:bookmarkEnd w:id="875"/>
    <w:p w14:paraId="28411C1B">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发包人自行供应材料、工程设备的，应在签订合同时在专用合同条款的附件《发包人供应材料设备一览表》中明确材料、工程设备的品种、规格、型号、数量、单价、质量等级和送达地点。</w:t>
      </w:r>
    </w:p>
    <w:p w14:paraId="2BF17640">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027D54D1">
      <w:pPr>
        <w:pStyle w:val="7"/>
        <w:spacing w:before="0" w:beforeAutospacing="0" w:after="0" w:afterAutospacing="0" w:line="360" w:lineRule="auto"/>
        <w:ind w:firstLine="422" w:firstLineChars="200"/>
        <w:rPr>
          <w:color w:val="auto"/>
          <w:sz w:val="21"/>
          <w:szCs w:val="21"/>
          <w:highlight w:val="none"/>
        </w:rPr>
      </w:pPr>
      <w:bookmarkStart w:id="877" w:name="_Toc532377240"/>
      <w:r>
        <w:rPr>
          <w:rFonts w:hint="eastAsia"/>
          <w:color w:val="auto"/>
          <w:sz w:val="21"/>
          <w:szCs w:val="21"/>
          <w:highlight w:val="none"/>
        </w:rPr>
        <w:t>8.2承包人采购材料与工程设备</w:t>
      </w:r>
      <w:bookmarkEnd w:id="877"/>
    </w:p>
    <w:p w14:paraId="1D3487E7">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00C28825">
      <w:pPr>
        <w:pStyle w:val="7"/>
        <w:spacing w:before="0" w:beforeAutospacing="0" w:after="0" w:afterAutospacing="0" w:line="360" w:lineRule="auto"/>
        <w:ind w:firstLine="422" w:firstLineChars="200"/>
        <w:rPr>
          <w:color w:val="auto"/>
          <w:sz w:val="21"/>
          <w:szCs w:val="21"/>
          <w:highlight w:val="none"/>
        </w:rPr>
      </w:pPr>
      <w:bookmarkStart w:id="878" w:name="_Toc351203555"/>
      <w:bookmarkStart w:id="879" w:name="_Toc532377241"/>
      <w:r>
        <w:rPr>
          <w:rFonts w:hint="eastAsia"/>
          <w:color w:val="auto"/>
          <w:sz w:val="21"/>
          <w:szCs w:val="21"/>
          <w:highlight w:val="none"/>
        </w:rPr>
        <w:t>8</w:t>
      </w:r>
      <w:bookmarkStart w:id="880" w:name="_Toc296346562"/>
      <w:bookmarkStart w:id="881" w:name="_Toc296503061"/>
      <w:bookmarkStart w:id="882" w:name="_Toc337558779"/>
      <w:r>
        <w:rPr>
          <w:rFonts w:hint="eastAsia"/>
          <w:color w:val="auto"/>
          <w:sz w:val="21"/>
          <w:szCs w:val="21"/>
          <w:highlight w:val="none"/>
        </w:rPr>
        <w:t>.3材料与工程设备的接收与拒收</w:t>
      </w:r>
      <w:bookmarkEnd w:id="878"/>
      <w:bookmarkEnd w:id="879"/>
    </w:p>
    <w:bookmarkEnd w:id="880"/>
    <w:bookmarkEnd w:id="881"/>
    <w:bookmarkEnd w:id="882"/>
    <w:p w14:paraId="6564D71B">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506E6B08">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发包人提供的材料和工程设备的规格、数量或质量不符合合同约定的，或因发包人原因导致交货日期延误或交货地点变更等情况的，按照第16.1款〔发包人违约〕约定办理。</w:t>
      </w:r>
    </w:p>
    <w:p w14:paraId="6472B6FD">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8.3.2 承包人采购的材料和工程设备，应保证产品质量合格，承包人应在材料和工程设备到货前24小时通知监理人检验。承</w:t>
      </w:r>
      <w:bookmarkStart w:id="883" w:name="_Toc250655469"/>
      <w:r>
        <w:rPr>
          <w:rFonts w:hint="eastAsia" w:ascii="宋体" w:hAnsi="宋体"/>
          <w:color w:val="auto"/>
          <w:kern w:val="0"/>
          <w:szCs w:val="21"/>
          <w:highlight w:val="none"/>
        </w:rPr>
        <w:t>包人进行永久设备、材料的制造和生产的，应符合相关质量标准，并向监理人提交材料的样本以及有关资料，并应在使用该材料或工程设备之前获得监理人同意。</w:t>
      </w:r>
    </w:p>
    <w:bookmarkEnd w:id="883"/>
    <w:p w14:paraId="325C156C">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1D52DED8">
      <w:pPr>
        <w:pStyle w:val="7"/>
        <w:spacing w:before="0" w:beforeAutospacing="0" w:after="0" w:afterAutospacing="0" w:line="360" w:lineRule="auto"/>
        <w:ind w:firstLine="422" w:firstLineChars="200"/>
        <w:rPr>
          <w:color w:val="auto"/>
          <w:sz w:val="21"/>
          <w:szCs w:val="21"/>
          <w:highlight w:val="none"/>
        </w:rPr>
      </w:pPr>
      <w:bookmarkStart w:id="884" w:name="_Toc532377242"/>
      <w:bookmarkStart w:id="885" w:name="_Toc351203556"/>
      <w:r>
        <w:rPr>
          <w:rFonts w:hint="eastAsia"/>
          <w:color w:val="auto"/>
          <w:sz w:val="21"/>
          <w:szCs w:val="21"/>
          <w:highlight w:val="none"/>
        </w:rPr>
        <w:t>8</w:t>
      </w:r>
      <w:bookmarkStart w:id="886" w:name="_Toc296346563"/>
      <w:bookmarkStart w:id="887" w:name="_Toc337558780"/>
      <w:bookmarkStart w:id="888" w:name="_Toc296503062"/>
      <w:r>
        <w:rPr>
          <w:rFonts w:hint="eastAsia"/>
          <w:color w:val="auto"/>
          <w:sz w:val="21"/>
          <w:szCs w:val="21"/>
          <w:highlight w:val="none"/>
        </w:rPr>
        <w:t>.4材料与工程设备的保管与使用</w:t>
      </w:r>
      <w:bookmarkEnd w:id="884"/>
      <w:bookmarkEnd w:id="885"/>
    </w:p>
    <w:bookmarkEnd w:id="886"/>
    <w:bookmarkEnd w:id="887"/>
    <w:bookmarkEnd w:id="888"/>
    <w:p w14:paraId="1E7F5AC7">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8.4.1 发包人供应材料与工程设备的保管与使用</w:t>
      </w:r>
    </w:p>
    <w:p w14:paraId="2BE99358">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7EC0E67B">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发包人供应的材料和工程设备使用前，由承包人负责检验，检验费用由发包人承担，不合格的不得使用。</w:t>
      </w:r>
    </w:p>
    <w:p w14:paraId="4850C904">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8.4.2 承包人采购材料与工程设备的保管与使用</w:t>
      </w:r>
    </w:p>
    <w:p w14:paraId="689CE8A1">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43877704">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发包人或监理人发现承包人使用不符合设计或有关标准要求的材料和工程设备时，有权要求承包人进行修复、拆除或重新采购，由此增加的费用和（或）延误的工期，由承包人承担。</w:t>
      </w:r>
    </w:p>
    <w:p w14:paraId="4D2485D7">
      <w:pPr>
        <w:pStyle w:val="7"/>
        <w:spacing w:before="0" w:beforeAutospacing="0" w:after="0" w:afterAutospacing="0" w:line="360" w:lineRule="auto"/>
        <w:ind w:firstLine="422" w:firstLineChars="200"/>
        <w:rPr>
          <w:color w:val="auto"/>
          <w:sz w:val="21"/>
          <w:szCs w:val="21"/>
          <w:highlight w:val="none"/>
        </w:rPr>
      </w:pPr>
      <w:bookmarkStart w:id="889" w:name="_Toc532377243"/>
      <w:bookmarkStart w:id="890" w:name="_Toc351203557"/>
      <w:r>
        <w:rPr>
          <w:rFonts w:hint="eastAsia"/>
          <w:color w:val="auto"/>
          <w:sz w:val="21"/>
          <w:szCs w:val="21"/>
          <w:highlight w:val="none"/>
        </w:rPr>
        <w:t>8.5禁止使用不合格的材料和工程设备</w:t>
      </w:r>
      <w:bookmarkEnd w:id="889"/>
      <w:bookmarkEnd w:id="890"/>
    </w:p>
    <w:p w14:paraId="5E049A95">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8.5.1 监理人有权拒绝承包人提供的不合格材料或工程设备，并要求承包人立即进行更换。监理人应在更换后再次进行检查和检验，由此增加的费用和（或）延误的工期由承包人承担。</w:t>
      </w:r>
    </w:p>
    <w:p w14:paraId="79CB06DF">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8.5.2 监理人发现承包人使用了不合格的材料和工程设备，承包人应按照监理人的指示立即改正，并禁止在工程中继续使用不合格的材料和工程设备。</w:t>
      </w:r>
    </w:p>
    <w:p w14:paraId="0EE98D03">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8.5.3 发包人提供的材料或工程设备不符合合同要求的，承包人有权拒绝，并可要求发包人更换，由此增加的费用和（或）延误的工期由发包人承担，并支付承包人合理的利润。</w:t>
      </w:r>
    </w:p>
    <w:p w14:paraId="57C5BE39">
      <w:pPr>
        <w:pStyle w:val="7"/>
        <w:spacing w:before="0" w:beforeAutospacing="0" w:after="0" w:afterAutospacing="0" w:line="360" w:lineRule="auto"/>
        <w:ind w:firstLine="422" w:firstLineChars="200"/>
        <w:rPr>
          <w:color w:val="auto"/>
          <w:sz w:val="21"/>
          <w:szCs w:val="21"/>
          <w:highlight w:val="none"/>
        </w:rPr>
      </w:pPr>
      <w:bookmarkStart w:id="891" w:name="_Toc351203558"/>
      <w:bookmarkStart w:id="892" w:name="_Toc532377244"/>
      <w:r>
        <w:rPr>
          <w:rFonts w:hint="eastAsia"/>
          <w:color w:val="auto"/>
          <w:sz w:val="21"/>
          <w:szCs w:val="21"/>
          <w:highlight w:val="none"/>
        </w:rPr>
        <w:t>8.6 样品</w:t>
      </w:r>
      <w:bookmarkEnd w:id="891"/>
      <w:bookmarkEnd w:id="892"/>
    </w:p>
    <w:p w14:paraId="0A34A155">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8.6.1</w:t>
      </w:r>
      <w:r>
        <w:rPr>
          <w:rFonts w:hint="eastAsia" w:ascii="宋体" w:hAnsi="宋体"/>
          <w:color w:val="auto"/>
          <w:kern w:val="0"/>
          <w:szCs w:val="21"/>
          <w:highlight w:val="none"/>
        </w:rPr>
        <w:tab/>
      </w:r>
      <w:r>
        <w:rPr>
          <w:rFonts w:hint="eastAsia" w:ascii="宋体" w:hAnsi="宋体"/>
          <w:color w:val="auto"/>
          <w:kern w:val="0"/>
          <w:szCs w:val="21"/>
          <w:highlight w:val="none"/>
        </w:rPr>
        <w:t>样品的报送与封存</w:t>
      </w:r>
    </w:p>
    <w:p w14:paraId="730DF953">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需要承包人报送样品的材料或工程设备，样品的种类、名称、规格、数量等要求均应在专用合同条款中约定。样品的报送程序如下：</w:t>
      </w:r>
    </w:p>
    <w:p w14:paraId="70BB706D">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6BA0A9E1">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3A4C3800">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（3）经发包人和监理人审批确认的样品应按约定的方法封样，封存的样品作为检验工程相关部分的标准之一。承包人在施工过程中不得使用与样品不符的材料或工程设备。</w:t>
      </w:r>
    </w:p>
    <w:p w14:paraId="60D354A2">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37800B7C">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8.6.2 样品的保管</w:t>
      </w:r>
    </w:p>
    <w:p w14:paraId="285EE63C">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经批准的样品应由监理人负责封存于现场，承包人应在现场为保存样品提供适当和固定的场所并保持适当和良好的存储环境条件。</w:t>
      </w:r>
    </w:p>
    <w:p w14:paraId="30CDF2C8">
      <w:pPr>
        <w:pStyle w:val="7"/>
        <w:spacing w:before="0" w:beforeAutospacing="0" w:after="0" w:afterAutospacing="0" w:line="360" w:lineRule="auto"/>
        <w:ind w:firstLine="422" w:firstLineChars="200"/>
        <w:rPr>
          <w:color w:val="auto"/>
          <w:sz w:val="21"/>
          <w:szCs w:val="21"/>
          <w:highlight w:val="none"/>
        </w:rPr>
      </w:pPr>
      <w:bookmarkStart w:id="893" w:name="_Toc351203559"/>
      <w:bookmarkStart w:id="894" w:name="_Toc532377245"/>
      <w:r>
        <w:rPr>
          <w:rFonts w:hint="eastAsia"/>
          <w:color w:val="auto"/>
          <w:sz w:val="21"/>
          <w:szCs w:val="21"/>
          <w:highlight w:val="none"/>
        </w:rPr>
        <w:t>8.7材料与工程设备的替代</w:t>
      </w:r>
      <w:bookmarkEnd w:id="893"/>
      <w:bookmarkEnd w:id="894"/>
    </w:p>
    <w:p w14:paraId="0EEAF2BE">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8.7.1 出现下列情况需要使用替代材料和工程设备的，承包人应按照第8.7.2项约定的程序执行：</w:t>
      </w:r>
    </w:p>
    <w:p w14:paraId="22BD277B">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（1）基准日期后生效的法律规定禁止使用的；</w:t>
      </w:r>
    </w:p>
    <w:p w14:paraId="421287C2">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（2）发包人要求使用替代品的；</w:t>
      </w:r>
    </w:p>
    <w:p w14:paraId="18147462">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（3）因其他原因必须使用替代品的。</w:t>
      </w:r>
    </w:p>
    <w:p w14:paraId="7B20CC0E">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8.7.2 承包人应在使用替代材料和工程设备28天前书面通知监理人，并附下列文件：</w:t>
      </w:r>
    </w:p>
    <w:p w14:paraId="3FEBE2EC">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（1）被替代的材料和工程设备的名称、数量、规格、型号、品牌、性能、价格及其他相关资料；</w:t>
      </w:r>
    </w:p>
    <w:p w14:paraId="1525462F">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（2）替代品的名称、数量、规格、型号、品牌、性能、价格及其他相关资料；</w:t>
      </w:r>
    </w:p>
    <w:p w14:paraId="34DC7F08">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（3）替代品与被替代产品之间的差异以及使用替代品可能对工程产生的影响；</w:t>
      </w:r>
    </w:p>
    <w:p w14:paraId="4BF631E4">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（4）替代品与被替代产品的价格差异；</w:t>
      </w:r>
    </w:p>
    <w:p w14:paraId="62B439E6">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（5）使用替代品的理由和原因说明；</w:t>
      </w:r>
    </w:p>
    <w:p w14:paraId="04D17D7F">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（6）监理人要求的其他文件。</w:t>
      </w:r>
    </w:p>
    <w:p w14:paraId="771C213A">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监理人应在收到通知后14天内向承包人发出经发包人签认的书面指示；监理人逾期发出书面指示的，视为发包人和监理人同意使用替代品。</w:t>
      </w:r>
    </w:p>
    <w:p w14:paraId="4CA2FC71">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60C246AF">
      <w:pPr>
        <w:pStyle w:val="7"/>
        <w:spacing w:before="0" w:beforeAutospacing="0" w:after="0" w:afterAutospacing="0" w:line="360" w:lineRule="auto"/>
        <w:ind w:firstLine="422" w:firstLineChars="200"/>
        <w:rPr>
          <w:color w:val="auto"/>
          <w:sz w:val="21"/>
          <w:szCs w:val="21"/>
          <w:highlight w:val="none"/>
        </w:rPr>
      </w:pPr>
      <w:bookmarkStart w:id="895" w:name="_Toc351203560"/>
      <w:bookmarkStart w:id="896" w:name="_Toc532377246"/>
      <w:r>
        <w:rPr>
          <w:rFonts w:hint="eastAsia"/>
          <w:color w:val="auto"/>
          <w:sz w:val="21"/>
          <w:szCs w:val="21"/>
          <w:highlight w:val="none"/>
        </w:rPr>
        <w:t>8.8施工设备和临时设施</w:t>
      </w:r>
      <w:bookmarkEnd w:id="895"/>
      <w:bookmarkEnd w:id="896"/>
    </w:p>
    <w:p w14:paraId="466B45D8">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8.8.1 承包人提供的施工设备和临时设施</w:t>
      </w:r>
    </w:p>
    <w:p w14:paraId="4CB9E10E">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64D9E9BF">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除专用合同条款另有约定外，承包人应自行承担修建临时设施的费用，需要临时占地的，应由发包人办理申请手续并承担相应费用。</w:t>
      </w:r>
    </w:p>
    <w:p w14:paraId="438AF1F6">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8.8.2发包人提供的施工设备和临时设施</w:t>
      </w:r>
    </w:p>
    <w:p w14:paraId="56AFFA91">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发包人提供的施工设备或临时设施在专用合同条款中约定。</w:t>
      </w:r>
    </w:p>
    <w:p w14:paraId="5B9EAC39">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8.8.3要求承包人增加或更换施工设备</w:t>
      </w:r>
    </w:p>
    <w:p w14:paraId="6A467FB4">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承包人使用的施工设备不能满足合同进度计划和（或）质量要求时，监理人有权要求承包人增加或更换施工设备，承包人应及时增加或更换，由此增加的费用和（或）延误的工期由承包人承担。</w:t>
      </w:r>
    </w:p>
    <w:p w14:paraId="7B829795">
      <w:pPr>
        <w:pStyle w:val="7"/>
        <w:spacing w:before="0" w:beforeAutospacing="0" w:after="0" w:afterAutospacing="0" w:line="360" w:lineRule="auto"/>
        <w:ind w:firstLine="422" w:firstLineChars="200"/>
        <w:rPr>
          <w:color w:val="auto"/>
          <w:sz w:val="21"/>
          <w:szCs w:val="21"/>
          <w:highlight w:val="none"/>
        </w:rPr>
      </w:pPr>
      <w:bookmarkStart w:id="897" w:name="_Toc351203561"/>
      <w:bookmarkStart w:id="898" w:name="_Toc532377247"/>
      <w:r>
        <w:rPr>
          <w:rFonts w:hint="eastAsia"/>
          <w:color w:val="auto"/>
          <w:sz w:val="21"/>
          <w:szCs w:val="21"/>
          <w:highlight w:val="none"/>
        </w:rPr>
        <w:t>8</w:t>
      </w:r>
      <w:bookmarkStart w:id="899" w:name="_Toc337558781"/>
      <w:bookmarkStart w:id="900" w:name="_Toc296503063"/>
      <w:bookmarkStart w:id="901" w:name="_Toc296346564"/>
      <w:r>
        <w:rPr>
          <w:rFonts w:hint="eastAsia"/>
          <w:color w:val="auto"/>
          <w:sz w:val="21"/>
          <w:szCs w:val="21"/>
          <w:highlight w:val="none"/>
        </w:rPr>
        <w:t>.9材料与设备专用</w:t>
      </w:r>
      <w:bookmarkEnd w:id="897"/>
      <w:r>
        <w:rPr>
          <w:rFonts w:hint="eastAsia"/>
          <w:color w:val="auto"/>
          <w:sz w:val="21"/>
          <w:szCs w:val="21"/>
          <w:highlight w:val="none"/>
        </w:rPr>
        <w:t>要求</w:t>
      </w:r>
      <w:bookmarkEnd w:id="898"/>
    </w:p>
    <w:bookmarkEnd w:id="899"/>
    <w:bookmarkEnd w:id="900"/>
    <w:bookmarkEnd w:id="901"/>
    <w:p w14:paraId="0C7725E3">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承包人运入施工现场的材料、工程设备、施工设备以及在施工场地建设的临时设施，包括备品备件、安装工具与资料，必须专用于工程。未经发包人批准，承包人不得运出施工现场或挪作他用；</w:t>
      </w:r>
      <w:bookmarkEnd w:id="876"/>
      <w:r>
        <w:rPr>
          <w:rFonts w:hint="eastAsia" w:ascii="宋体" w:hAnsi="宋体"/>
          <w:color w:val="auto"/>
          <w:kern w:val="0"/>
          <w:szCs w:val="21"/>
          <w:highlight w:val="none"/>
        </w:rPr>
        <w:t>经发包人批准，承包人可以根据施工进度计划撤走闲置的施工设备和其他物品。</w:t>
      </w:r>
    </w:p>
    <w:p w14:paraId="0E9A1676">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902" w:name="_Toc532375595"/>
      <w:bookmarkStart w:id="903" w:name="_Toc351203562"/>
      <w:bookmarkStart w:id="904" w:name="_Toc532377248"/>
      <w:r>
        <w:rPr>
          <w:rFonts w:hint="eastAsia"/>
          <w:color w:val="auto"/>
          <w:kern w:val="2"/>
          <w:sz w:val="21"/>
          <w:szCs w:val="21"/>
          <w:highlight w:val="none"/>
        </w:rPr>
        <w:t>9</w:t>
      </w:r>
      <w:bookmarkStart w:id="905" w:name="_Toc337558782"/>
      <w:bookmarkStart w:id="906" w:name="_Toc296503083"/>
      <w:bookmarkStart w:id="907" w:name="_Toc296346584"/>
      <w:r>
        <w:rPr>
          <w:rFonts w:hint="eastAsia"/>
          <w:color w:val="auto"/>
          <w:kern w:val="2"/>
          <w:sz w:val="21"/>
          <w:szCs w:val="21"/>
          <w:highlight w:val="none"/>
        </w:rPr>
        <w:t>. 试验与检验</w:t>
      </w:r>
      <w:bookmarkEnd w:id="902"/>
      <w:bookmarkEnd w:id="903"/>
      <w:bookmarkEnd w:id="904"/>
    </w:p>
    <w:bookmarkEnd w:id="905"/>
    <w:p w14:paraId="5EC5B267">
      <w:pPr>
        <w:pStyle w:val="7"/>
        <w:spacing w:before="0" w:beforeAutospacing="0" w:after="0" w:afterAutospacing="0" w:line="360" w:lineRule="auto"/>
        <w:ind w:firstLine="422" w:firstLineChars="200"/>
        <w:rPr>
          <w:color w:val="auto"/>
          <w:sz w:val="21"/>
          <w:szCs w:val="21"/>
          <w:highlight w:val="none"/>
        </w:rPr>
      </w:pPr>
      <w:bookmarkStart w:id="908" w:name="_Toc351203563"/>
      <w:bookmarkStart w:id="909" w:name="_Toc532377249"/>
      <w:r>
        <w:rPr>
          <w:rFonts w:hint="eastAsia"/>
          <w:color w:val="auto"/>
          <w:sz w:val="21"/>
          <w:szCs w:val="21"/>
          <w:highlight w:val="none"/>
        </w:rPr>
        <w:t>9</w:t>
      </w:r>
      <w:bookmarkStart w:id="910" w:name="_Toc337558783"/>
      <w:r>
        <w:rPr>
          <w:rFonts w:hint="eastAsia"/>
          <w:color w:val="auto"/>
          <w:sz w:val="21"/>
          <w:szCs w:val="21"/>
          <w:highlight w:val="none"/>
        </w:rPr>
        <w:t>.1试验设备与试验人员</w:t>
      </w:r>
      <w:bookmarkEnd w:id="908"/>
      <w:bookmarkEnd w:id="909"/>
    </w:p>
    <w:bookmarkEnd w:id="910"/>
    <w:p w14:paraId="6731F982">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5B30ECEE">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9.1.2 承包人应按专用合同条款的约定提供试验设备、取样装置、试验场所和试验条件，并向监理人提交相应进场计划表。</w:t>
      </w:r>
    </w:p>
    <w:p w14:paraId="257A3D22">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承包人配置的试验设备要符合相应试验规程的要求并经过具有资质的检测单位检测，且在正式使用该试验设备前，需要经过监理人与承包人共同校定。</w:t>
      </w:r>
    </w:p>
    <w:p w14:paraId="525490EE">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9.1.3 承包人应向监理人提交试验人员的名单及其岗位、资格等证明资料，试验人员必须能够熟练进行相应的检测试验，承包人对试验人员的试验程序和试验结果的正确性负责。</w:t>
      </w:r>
    </w:p>
    <w:p w14:paraId="6540E0E6">
      <w:pPr>
        <w:pStyle w:val="7"/>
        <w:spacing w:before="0" w:beforeAutospacing="0" w:after="0" w:afterAutospacing="0" w:line="360" w:lineRule="auto"/>
        <w:ind w:firstLine="422" w:firstLineChars="200"/>
        <w:rPr>
          <w:color w:val="auto"/>
          <w:sz w:val="21"/>
          <w:szCs w:val="21"/>
          <w:highlight w:val="none"/>
        </w:rPr>
      </w:pPr>
      <w:bookmarkStart w:id="911" w:name="_Toc351203564"/>
      <w:bookmarkStart w:id="912" w:name="_Toc532377250"/>
      <w:r>
        <w:rPr>
          <w:rFonts w:hint="eastAsia"/>
          <w:color w:val="auto"/>
          <w:sz w:val="21"/>
          <w:szCs w:val="21"/>
          <w:highlight w:val="none"/>
        </w:rPr>
        <w:t>9</w:t>
      </w:r>
      <w:bookmarkStart w:id="913" w:name="_Toc337558784"/>
      <w:r>
        <w:rPr>
          <w:rFonts w:hint="eastAsia"/>
          <w:color w:val="auto"/>
          <w:sz w:val="21"/>
          <w:szCs w:val="21"/>
          <w:highlight w:val="none"/>
        </w:rPr>
        <w:t>.2取样</w:t>
      </w:r>
      <w:bookmarkEnd w:id="911"/>
      <w:bookmarkEnd w:id="912"/>
    </w:p>
    <w:bookmarkEnd w:id="913"/>
    <w:p w14:paraId="1F67A1E6">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试验属于自检性质的，承包人可以单独取样。试验属于监理人抽检性质的，可由监理人取样，也可由承包人的试验人员在监理人的监督下取样。</w:t>
      </w:r>
    </w:p>
    <w:p w14:paraId="34CF3024">
      <w:pPr>
        <w:pStyle w:val="7"/>
        <w:spacing w:before="0" w:beforeAutospacing="0" w:after="0" w:afterAutospacing="0" w:line="360" w:lineRule="auto"/>
        <w:ind w:firstLine="422" w:firstLineChars="200"/>
        <w:rPr>
          <w:color w:val="auto"/>
          <w:sz w:val="21"/>
          <w:szCs w:val="21"/>
          <w:highlight w:val="none"/>
        </w:rPr>
      </w:pPr>
      <w:bookmarkStart w:id="914" w:name="_Toc532377251"/>
      <w:bookmarkStart w:id="915" w:name="_Toc351203565"/>
      <w:r>
        <w:rPr>
          <w:rFonts w:hint="eastAsia"/>
          <w:color w:val="auto"/>
          <w:sz w:val="21"/>
          <w:szCs w:val="21"/>
          <w:highlight w:val="none"/>
        </w:rPr>
        <w:t>9</w:t>
      </w:r>
      <w:bookmarkStart w:id="916" w:name="_Toc337558785"/>
      <w:r>
        <w:rPr>
          <w:rFonts w:hint="eastAsia"/>
          <w:color w:val="auto"/>
          <w:sz w:val="21"/>
          <w:szCs w:val="21"/>
          <w:highlight w:val="none"/>
        </w:rPr>
        <w:t>.3材料、工程设备和工程的试验和检验</w:t>
      </w:r>
      <w:bookmarkEnd w:id="914"/>
      <w:bookmarkEnd w:id="915"/>
    </w:p>
    <w:bookmarkEnd w:id="916"/>
    <w:p w14:paraId="2F9F2C8F">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580E6DDD">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2DC8C61C">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65A2F126">
      <w:pPr>
        <w:pStyle w:val="7"/>
        <w:spacing w:before="0" w:beforeAutospacing="0" w:after="0" w:afterAutospacing="0" w:line="360" w:lineRule="auto"/>
        <w:ind w:firstLine="422" w:firstLineChars="200"/>
        <w:rPr>
          <w:color w:val="auto"/>
          <w:sz w:val="21"/>
          <w:szCs w:val="21"/>
          <w:highlight w:val="none"/>
        </w:rPr>
      </w:pPr>
      <w:bookmarkStart w:id="917" w:name="_Toc532377252"/>
      <w:bookmarkStart w:id="918" w:name="_Toc351203566"/>
      <w:r>
        <w:rPr>
          <w:rFonts w:hint="eastAsia"/>
          <w:color w:val="auto"/>
          <w:sz w:val="21"/>
          <w:szCs w:val="21"/>
          <w:highlight w:val="none"/>
        </w:rPr>
        <w:t>9</w:t>
      </w:r>
      <w:bookmarkStart w:id="919" w:name="_Toc337558786"/>
      <w:r>
        <w:rPr>
          <w:rFonts w:hint="eastAsia"/>
          <w:color w:val="auto"/>
          <w:sz w:val="21"/>
          <w:szCs w:val="21"/>
          <w:highlight w:val="none"/>
        </w:rPr>
        <w:t>.4现场工艺试验</w:t>
      </w:r>
      <w:bookmarkEnd w:id="917"/>
      <w:bookmarkEnd w:id="918"/>
    </w:p>
    <w:bookmarkEnd w:id="919"/>
    <w:p w14:paraId="6FF6F1D4">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承包人应按合同约定或监理人指示进行现场工艺试验。对大型的现场工艺试验，监理人认为必要时，承包人应根据监理人提出的工艺试验要求，编制工艺试验措施计划，报送监理人审查。</w:t>
      </w:r>
    </w:p>
    <w:p w14:paraId="604A01D5">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920" w:name="_Toc532377253"/>
      <w:bookmarkStart w:id="921" w:name="_Toc351203567"/>
      <w:bookmarkStart w:id="922" w:name="_Toc532375596"/>
      <w:r>
        <w:rPr>
          <w:rFonts w:hint="eastAsia"/>
          <w:color w:val="auto"/>
          <w:kern w:val="2"/>
          <w:sz w:val="21"/>
          <w:szCs w:val="21"/>
          <w:highlight w:val="none"/>
        </w:rPr>
        <w:t>1</w:t>
      </w:r>
      <w:bookmarkStart w:id="923" w:name="_Toc337558787"/>
      <w:r>
        <w:rPr>
          <w:rFonts w:hint="eastAsia"/>
          <w:color w:val="auto"/>
          <w:kern w:val="2"/>
          <w:sz w:val="21"/>
          <w:szCs w:val="21"/>
          <w:highlight w:val="none"/>
        </w:rPr>
        <w:t>0. 变更</w:t>
      </w:r>
      <w:bookmarkEnd w:id="906"/>
      <w:bookmarkEnd w:id="907"/>
      <w:bookmarkEnd w:id="920"/>
      <w:bookmarkEnd w:id="921"/>
      <w:bookmarkEnd w:id="922"/>
    </w:p>
    <w:bookmarkEnd w:id="923"/>
    <w:p w14:paraId="5B41FBC2">
      <w:pPr>
        <w:pStyle w:val="7"/>
        <w:spacing w:before="0" w:beforeAutospacing="0" w:after="0" w:afterAutospacing="0" w:line="360" w:lineRule="auto"/>
        <w:ind w:firstLine="422" w:firstLineChars="200"/>
        <w:rPr>
          <w:color w:val="auto"/>
          <w:sz w:val="21"/>
          <w:szCs w:val="21"/>
          <w:highlight w:val="none"/>
        </w:rPr>
      </w:pPr>
      <w:bookmarkStart w:id="924" w:name="_Toc351203568"/>
      <w:bookmarkStart w:id="925" w:name="_Toc532377254"/>
      <w:r>
        <w:rPr>
          <w:rFonts w:hint="eastAsia"/>
          <w:color w:val="auto"/>
          <w:sz w:val="21"/>
          <w:szCs w:val="21"/>
          <w:highlight w:val="none"/>
        </w:rPr>
        <w:t>1</w:t>
      </w:r>
      <w:bookmarkStart w:id="926" w:name="_Toc296503084"/>
      <w:bookmarkStart w:id="927" w:name="_Toc337558788"/>
      <w:bookmarkStart w:id="928" w:name="_Toc296346585"/>
      <w:r>
        <w:rPr>
          <w:rFonts w:hint="eastAsia"/>
          <w:color w:val="auto"/>
          <w:sz w:val="21"/>
          <w:szCs w:val="21"/>
          <w:highlight w:val="none"/>
        </w:rPr>
        <w:t>0.1变更的范围</w:t>
      </w:r>
      <w:bookmarkEnd w:id="924"/>
      <w:bookmarkEnd w:id="925"/>
    </w:p>
    <w:bookmarkEnd w:id="926"/>
    <w:bookmarkEnd w:id="927"/>
    <w:bookmarkEnd w:id="928"/>
    <w:p w14:paraId="5E0859AC">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除专用合同条款另有约定外，合同履行过程中发生以下情形的，应按照本条约定进行变更：</w:t>
      </w:r>
    </w:p>
    <w:p w14:paraId="56217EF0">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（1）增加或减少合同中任何工作，或追加额外的工作；</w:t>
      </w:r>
    </w:p>
    <w:p w14:paraId="41650BA5">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（2）取消合同中任何工作，但转由他人实施的工作除外；</w:t>
      </w:r>
    </w:p>
    <w:p w14:paraId="4A7F318D">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（3）改变合同中任何工作的质量标准或其他特性；</w:t>
      </w:r>
    </w:p>
    <w:p w14:paraId="14FB0138">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（4）改变工程的基线、标高、位置和尺寸；</w:t>
      </w:r>
    </w:p>
    <w:p w14:paraId="3A79A0EF">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（5）改变工程的时间安排或实施顺序。</w:t>
      </w:r>
    </w:p>
    <w:p w14:paraId="45A22DB5">
      <w:pPr>
        <w:pStyle w:val="7"/>
        <w:spacing w:before="0" w:beforeAutospacing="0" w:after="0" w:afterAutospacing="0" w:line="360" w:lineRule="auto"/>
        <w:ind w:firstLine="422" w:firstLineChars="200"/>
        <w:rPr>
          <w:color w:val="auto"/>
          <w:sz w:val="21"/>
          <w:szCs w:val="21"/>
          <w:highlight w:val="none"/>
        </w:rPr>
      </w:pPr>
      <w:bookmarkStart w:id="929" w:name="_Toc532377255"/>
      <w:r>
        <w:rPr>
          <w:rFonts w:hint="eastAsia"/>
          <w:color w:val="auto"/>
          <w:sz w:val="21"/>
          <w:szCs w:val="21"/>
          <w:highlight w:val="none"/>
        </w:rPr>
        <w:t>10.2变更权</w:t>
      </w:r>
      <w:bookmarkEnd w:id="929"/>
    </w:p>
    <w:p w14:paraId="7DCE0139">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49796ED0">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涉及设计变更的，应由设计人提供变更后的图纸和说明。如变更超过原设计标准或批准的建设规模时，发包人应及时办理规划、设计变更等审批手续。</w:t>
      </w:r>
    </w:p>
    <w:p w14:paraId="15A10ADE">
      <w:pPr>
        <w:pStyle w:val="7"/>
        <w:spacing w:before="0" w:beforeAutospacing="0" w:after="0" w:afterAutospacing="0" w:line="360" w:lineRule="auto"/>
        <w:ind w:firstLine="422" w:firstLineChars="200"/>
        <w:rPr>
          <w:color w:val="auto"/>
          <w:sz w:val="21"/>
          <w:szCs w:val="21"/>
          <w:highlight w:val="none"/>
        </w:rPr>
      </w:pPr>
      <w:bookmarkStart w:id="930" w:name="_Toc532377256"/>
      <w:r>
        <w:rPr>
          <w:rFonts w:hint="eastAsia"/>
          <w:color w:val="auto"/>
          <w:sz w:val="21"/>
          <w:szCs w:val="21"/>
          <w:highlight w:val="none"/>
        </w:rPr>
        <w:t>10.3变更程序</w:t>
      </w:r>
      <w:bookmarkEnd w:id="930"/>
    </w:p>
    <w:p w14:paraId="5EC6B140">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10.3.1 发包人提出变更</w:t>
      </w:r>
    </w:p>
    <w:p w14:paraId="2F61FDA2">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发包人提出变更的，应通过监理人向承包人发出变更指示，变更指示应说明计划变更的工程范围和变更的内容。</w:t>
      </w:r>
    </w:p>
    <w:p w14:paraId="3C5EB4F2">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10.3.2 监理人提出变更建议</w:t>
      </w:r>
    </w:p>
    <w:p w14:paraId="0970BC66">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11A710B1">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10.3.3 变更执行</w:t>
      </w:r>
    </w:p>
    <w:p w14:paraId="59DCF1A3">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461F8E44">
      <w:pPr>
        <w:pStyle w:val="7"/>
        <w:spacing w:before="0" w:beforeAutospacing="0" w:after="0" w:afterAutospacing="0" w:line="360" w:lineRule="auto"/>
        <w:ind w:firstLine="422" w:firstLineChars="200"/>
        <w:rPr>
          <w:color w:val="auto"/>
          <w:sz w:val="21"/>
          <w:szCs w:val="21"/>
          <w:highlight w:val="none"/>
        </w:rPr>
      </w:pPr>
      <w:bookmarkStart w:id="931" w:name="_Toc351203571"/>
      <w:bookmarkStart w:id="932" w:name="_Toc532377257"/>
      <w:r>
        <w:rPr>
          <w:rFonts w:hint="eastAsia"/>
          <w:color w:val="auto"/>
          <w:sz w:val="21"/>
          <w:szCs w:val="21"/>
          <w:highlight w:val="none"/>
        </w:rPr>
        <w:t>1</w:t>
      </w:r>
      <w:bookmarkStart w:id="933" w:name="_Toc337558791"/>
      <w:bookmarkStart w:id="934" w:name="_Toc296503087"/>
      <w:bookmarkStart w:id="935" w:name="_Toc296346588"/>
      <w:r>
        <w:rPr>
          <w:rFonts w:hint="eastAsia"/>
          <w:color w:val="auto"/>
          <w:sz w:val="21"/>
          <w:szCs w:val="21"/>
          <w:highlight w:val="none"/>
        </w:rPr>
        <w:t>0.4变更估价</w:t>
      </w:r>
      <w:bookmarkEnd w:id="931"/>
      <w:bookmarkEnd w:id="932"/>
    </w:p>
    <w:bookmarkEnd w:id="933"/>
    <w:bookmarkEnd w:id="934"/>
    <w:bookmarkEnd w:id="935"/>
    <w:p w14:paraId="670433C5">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10.4.1 变更估价原则</w:t>
      </w:r>
    </w:p>
    <w:p w14:paraId="429E9B07">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除专用合同条款另有约定外，变更估价按照本款约定处理：</w:t>
      </w:r>
    </w:p>
    <w:p w14:paraId="6988BCC2">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（1）已标价工程量清单或预算书有相同项目的，按照相同项目单价认定；</w:t>
      </w:r>
    </w:p>
    <w:p w14:paraId="1C358D5A">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（2）已标价工程量清单或预算书中无相同项目，但有类似项目的，参照类似项目的单价认定；</w:t>
      </w:r>
    </w:p>
    <w:p w14:paraId="3E436D48">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05044986">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10.4.2 变更估价程序</w:t>
      </w:r>
    </w:p>
    <w:p w14:paraId="47742DF2">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7A2F0825">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因变更引起的价格调整应计入最近一期的进度款中支付。</w:t>
      </w:r>
    </w:p>
    <w:p w14:paraId="5696B055">
      <w:pPr>
        <w:pStyle w:val="7"/>
        <w:spacing w:before="0" w:beforeAutospacing="0" w:after="0" w:afterAutospacing="0" w:line="360" w:lineRule="auto"/>
        <w:ind w:firstLine="422" w:firstLineChars="200"/>
        <w:rPr>
          <w:color w:val="auto"/>
          <w:sz w:val="21"/>
          <w:szCs w:val="21"/>
          <w:highlight w:val="none"/>
        </w:rPr>
      </w:pPr>
      <w:bookmarkStart w:id="936" w:name="_Toc532377258"/>
      <w:bookmarkStart w:id="937" w:name="_Toc351203572"/>
      <w:r>
        <w:rPr>
          <w:rFonts w:hint="eastAsia"/>
          <w:color w:val="auto"/>
          <w:sz w:val="21"/>
          <w:szCs w:val="21"/>
          <w:highlight w:val="none"/>
        </w:rPr>
        <w:t>1</w:t>
      </w:r>
      <w:bookmarkStart w:id="938" w:name="_Toc296346595"/>
      <w:bookmarkStart w:id="939" w:name="_Toc296503094"/>
      <w:bookmarkStart w:id="940" w:name="_Toc337558792"/>
      <w:r>
        <w:rPr>
          <w:rFonts w:hint="eastAsia"/>
          <w:color w:val="auto"/>
          <w:sz w:val="21"/>
          <w:szCs w:val="21"/>
          <w:highlight w:val="none"/>
        </w:rPr>
        <w:t>0.5承包人的合理化建议</w:t>
      </w:r>
      <w:bookmarkEnd w:id="936"/>
      <w:bookmarkEnd w:id="937"/>
    </w:p>
    <w:bookmarkEnd w:id="938"/>
    <w:bookmarkEnd w:id="939"/>
    <w:bookmarkEnd w:id="940"/>
    <w:p w14:paraId="4FC39C37">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承包人提出合理化建议的，应向监理人提交合理化建议说明，说明建议的内容和理由，以及实施该建议对合同价格和工期的影响。</w:t>
      </w:r>
    </w:p>
    <w:p w14:paraId="3182140A">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215A7334">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合理化建议降低了合同价格或者提高了工程经济效益的，发包人可对承包人给予奖励，奖励的方法和金额在专用合同条款中约定。</w:t>
      </w:r>
    </w:p>
    <w:p w14:paraId="2F8DAB59">
      <w:pPr>
        <w:pStyle w:val="7"/>
        <w:spacing w:before="0" w:beforeAutospacing="0" w:after="0" w:afterAutospacing="0" w:line="360" w:lineRule="auto"/>
        <w:ind w:firstLine="422" w:firstLineChars="200"/>
        <w:rPr>
          <w:color w:val="auto"/>
          <w:sz w:val="21"/>
          <w:szCs w:val="21"/>
          <w:highlight w:val="none"/>
        </w:rPr>
      </w:pPr>
      <w:bookmarkStart w:id="941" w:name="_Toc351203573"/>
      <w:bookmarkStart w:id="942" w:name="_Toc532377259"/>
      <w:r>
        <w:rPr>
          <w:rFonts w:hint="eastAsia"/>
          <w:color w:val="auto"/>
          <w:sz w:val="21"/>
          <w:szCs w:val="21"/>
          <w:highlight w:val="none"/>
        </w:rPr>
        <w:t>1</w:t>
      </w:r>
      <w:bookmarkStart w:id="943" w:name="_Toc337558793"/>
      <w:r>
        <w:rPr>
          <w:rFonts w:hint="eastAsia"/>
          <w:color w:val="auto"/>
          <w:sz w:val="21"/>
          <w:szCs w:val="21"/>
          <w:highlight w:val="none"/>
        </w:rPr>
        <w:t>0.6变更引起的工期调整</w:t>
      </w:r>
      <w:bookmarkEnd w:id="941"/>
      <w:bookmarkEnd w:id="942"/>
      <w:bookmarkEnd w:id="943"/>
    </w:p>
    <w:p w14:paraId="1CF8FD7F">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因变更引起工期变化的，合同当事人均可要求调整合同工期，由合同当事人按照第4.4款〔商定或确定〕并参考工程所在地的工期定额标准确定增减工期天数。</w:t>
      </w:r>
    </w:p>
    <w:p w14:paraId="45E2B780">
      <w:pPr>
        <w:pStyle w:val="7"/>
        <w:spacing w:before="0" w:beforeAutospacing="0" w:after="0" w:afterAutospacing="0" w:line="360" w:lineRule="auto"/>
        <w:ind w:firstLine="422" w:firstLineChars="200"/>
        <w:rPr>
          <w:color w:val="auto"/>
          <w:sz w:val="21"/>
          <w:szCs w:val="21"/>
          <w:highlight w:val="none"/>
        </w:rPr>
      </w:pPr>
      <w:bookmarkStart w:id="944" w:name="_Toc532377260"/>
      <w:bookmarkStart w:id="945" w:name="_Toc351203574"/>
      <w:r>
        <w:rPr>
          <w:rFonts w:hint="eastAsia"/>
          <w:color w:val="auto"/>
          <w:sz w:val="21"/>
          <w:szCs w:val="21"/>
          <w:highlight w:val="none"/>
        </w:rPr>
        <w:t>10.7暂估价</w:t>
      </w:r>
      <w:bookmarkEnd w:id="944"/>
      <w:bookmarkEnd w:id="945"/>
    </w:p>
    <w:p w14:paraId="1FF4658C">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暂估价专业分包工程、服务、材料和工程设备的明细由合同当事人在专用合同条款中约定。</w:t>
      </w:r>
    </w:p>
    <w:p w14:paraId="1EB7FE1E">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10.7.1 依法必须招标的暂估价项目</w:t>
      </w:r>
    </w:p>
    <w:p w14:paraId="7D2DBFFE">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对于依法必须招标的暂估价项目，采取以下第1种方式确定。合同当事人也可以在专用合同条款中选择其他招标方式。</w:t>
      </w:r>
    </w:p>
    <w:p w14:paraId="4318D222">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第1种方式：对于依法必须招标的暂估价项目，由承包人招标，对该暂估价项目的确认和批准按照以下约定执行：</w:t>
      </w:r>
    </w:p>
    <w:p w14:paraId="3C55CBBD">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333140AC">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承包人应当根据施工进度计划，提前14天将招标文件通过监理人报送发包人审批，发包人应当在收到承包人报送的相关文件后7天内完成审批或提出修改意见；发包人有权确定最高限价并按照法律规定参加评标；</w:t>
      </w:r>
    </w:p>
    <w:p w14:paraId="229FB111">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233B99A9">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713EF2E9">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10.7.2不属于依法必须招标的暂估价项目</w:t>
      </w:r>
    </w:p>
    <w:p w14:paraId="4863FD80">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 xml:space="preserve">除专用合同条款另有约定外，对于不属于依法必须招标的暂估价项目，采取以下第1种方式确定： </w:t>
      </w:r>
    </w:p>
    <w:p w14:paraId="0163221F">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第1种方式：对于不属于依法必须招标的暂估价项目，按本项约定确认和批准：</w:t>
      </w:r>
    </w:p>
    <w:p w14:paraId="07353462">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372F035D">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（2）发包人认为承包人确定的供应商、分包人无法满足工程质量或合同要求的，发包人可以要求承包人重新确定暂估价项目的供应商、分包人;</w:t>
      </w:r>
    </w:p>
    <w:p w14:paraId="00C1A71D">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（3）承包人应当在签订暂估价合同后7天内，将暂估价合同副本报送发包人留存。</w:t>
      </w:r>
    </w:p>
    <w:p w14:paraId="009B1E67">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第2种方式：承包人按照第10.7.1项〔依法必须招标的暂估价项目〕约定的第1种方式确定暂估价项目。</w:t>
      </w:r>
    </w:p>
    <w:p w14:paraId="45877A9A">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第3种方式：承包人直接实施的暂估价项目</w:t>
      </w:r>
    </w:p>
    <w:p w14:paraId="58F40382">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承包人具备实施暂估价项目的资格和条件的，经发包人和承包人协商一致后，可由承包人自行实施暂估价项目，合同当事人可以在专用合同条款约定具体事项。</w:t>
      </w:r>
    </w:p>
    <w:p w14:paraId="56A894E5">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19987D9A">
      <w:pPr>
        <w:pStyle w:val="7"/>
        <w:spacing w:before="0" w:beforeAutospacing="0" w:after="0" w:afterAutospacing="0" w:line="360" w:lineRule="auto"/>
        <w:ind w:firstLine="422" w:firstLineChars="200"/>
        <w:rPr>
          <w:color w:val="auto"/>
          <w:sz w:val="21"/>
          <w:szCs w:val="21"/>
          <w:highlight w:val="none"/>
        </w:rPr>
      </w:pPr>
      <w:bookmarkStart w:id="946" w:name="_Toc351203575"/>
      <w:bookmarkStart w:id="947" w:name="_Toc532377261"/>
      <w:r>
        <w:rPr>
          <w:rFonts w:hint="eastAsia"/>
          <w:color w:val="auto"/>
          <w:sz w:val="21"/>
          <w:szCs w:val="21"/>
          <w:highlight w:val="none"/>
        </w:rPr>
        <w:t>1</w:t>
      </w:r>
      <w:bookmarkStart w:id="948" w:name="_Toc337558794"/>
      <w:bookmarkStart w:id="949" w:name="_Toc322522561"/>
      <w:bookmarkStart w:id="950" w:name="_Toc296346591"/>
      <w:bookmarkStart w:id="951" w:name="_Toc296503090"/>
      <w:r>
        <w:rPr>
          <w:rFonts w:hint="eastAsia"/>
          <w:color w:val="auto"/>
          <w:sz w:val="21"/>
          <w:szCs w:val="21"/>
          <w:highlight w:val="none"/>
        </w:rPr>
        <w:t>0.8暂列金额</w:t>
      </w:r>
      <w:bookmarkEnd w:id="946"/>
      <w:bookmarkEnd w:id="947"/>
    </w:p>
    <w:bookmarkEnd w:id="948"/>
    <w:p w14:paraId="58894739">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暂列金额应按照发包人的要求使用，发包人的要求应通过监理人发出。合同当事人可以在专用合同条款中协商确定有关事项。</w:t>
      </w:r>
    </w:p>
    <w:bookmarkEnd w:id="949"/>
    <w:bookmarkEnd w:id="950"/>
    <w:bookmarkEnd w:id="951"/>
    <w:p w14:paraId="0CE7B7F6">
      <w:pPr>
        <w:pStyle w:val="7"/>
        <w:spacing w:before="0" w:beforeAutospacing="0" w:after="0" w:afterAutospacing="0" w:line="360" w:lineRule="auto"/>
        <w:ind w:firstLine="422" w:firstLineChars="200"/>
        <w:rPr>
          <w:color w:val="auto"/>
          <w:sz w:val="21"/>
          <w:szCs w:val="21"/>
          <w:highlight w:val="none"/>
        </w:rPr>
      </w:pPr>
      <w:bookmarkStart w:id="952" w:name="_Toc351203576"/>
      <w:bookmarkStart w:id="953" w:name="_Toc532377262"/>
      <w:r>
        <w:rPr>
          <w:rFonts w:hint="eastAsia"/>
          <w:color w:val="auto"/>
          <w:sz w:val="21"/>
          <w:szCs w:val="21"/>
          <w:highlight w:val="none"/>
        </w:rPr>
        <w:t>1</w:t>
      </w:r>
      <w:bookmarkStart w:id="954" w:name="_Toc296503091"/>
      <w:bookmarkStart w:id="955" w:name="_Toc337558796"/>
      <w:bookmarkStart w:id="956" w:name="_Toc296346592"/>
      <w:r>
        <w:rPr>
          <w:rFonts w:hint="eastAsia"/>
          <w:color w:val="auto"/>
          <w:sz w:val="21"/>
          <w:szCs w:val="21"/>
          <w:highlight w:val="none"/>
        </w:rPr>
        <w:t>0.9计日工</w:t>
      </w:r>
      <w:bookmarkEnd w:id="952"/>
      <w:bookmarkEnd w:id="953"/>
      <w:bookmarkEnd w:id="954"/>
      <w:bookmarkEnd w:id="955"/>
      <w:bookmarkEnd w:id="956"/>
    </w:p>
    <w:p w14:paraId="1E83E68F">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3A90C537">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采用计日工计价的任何一项工作，承包人应在该项工作实施过程中，每天提交以下报表和有关凭证报送监理人审查：</w:t>
      </w:r>
    </w:p>
    <w:p w14:paraId="3568D93A">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（1）工作名称、内容和数量；</w:t>
      </w:r>
    </w:p>
    <w:p w14:paraId="743E4C28">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（2）投入该工作的所有人员的姓名、专业、工种、级别和耗用工时；</w:t>
      </w:r>
    </w:p>
    <w:p w14:paraId="44EF8922">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（3）投入该工作的材料类别和数量；</w:t>
      </w:r>
    </w:p>
    <w:p w14:paraId="388A14EE">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（4）投入该工作的施工设备型号、台数和耗用台时；</w:t>
      </w:r>
    </w:p>
    <w:p w14:paraId="61A49E59">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（5）其他有关资料和凭证。</w:t>
      </w:r>
    </w:p>
    <w:p w14:paraId="74069478">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 xml:space="preserve"> 计日工由承包人汇总后，列入最近一期进度付款申请单，由监理人审查并经发包人批准后列入进度付款。</w:t>
      </w:r>
    </w:p>
    <w:p w14:paraId="49FB2A66">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957" w:name="_Toc351203577"/>
      <w:bookmarkStart w:id="958" w:name="_Toc532377263"/>
      <w:bookmarkStart w:id="959" w:name="_Toc532375597"/>
      <w:r>
        <w:rPr>
          <w:rFonts w:hint="eastAsia"/>
          <w:color w:val="auto"/>
          <w:kern w:val="2"/>
          <w:sz w:val="21"/>
          <w:szCs w:val="21"/>
          <w:highlight w:val="none"/>
        </w:rPr>
        <w:t>11. 价格调整</w:t>
      </w:r>
      <w:bookmarkEnd w:id="957"/>
      <w:bookmarkEnd w:id="958"/>
      <w:bookmarkEnd w:id="959"/>
    </w:p>
    <w:p w14:paraId="73870A96">
      <w:pPr>
        <w:pStyle w:val="7"/>
        <w:spacing w:before="0" w:beforeAutospacing="0" w:after="0" w:afterAutospacing="0" w:line="360" w:lineRule="auto"/>
        <w:ind w:firstLine="422" w:firstLineChars="200"/>
        <w:rPr>
          <w:color w:val="auto"/>
          <w:sz w:val="21"/>
          <w:szCs w:val="21"/>
          <w:highlight w:val="none"/>
        </w:rPr>
      </w:pPr>
      <w:bookmarkStart w:id="960" w:name="_Toc351203578"/>
      <w:bookmarkStart w:id="961" w:name="_Toc532377264"/>
      <w:bookmarkStart w:id="962" w:name="_Toc296346593"/>
      <w:bookmarkStart w:id="963" w:name="_Toc296503092"/>
      <w:bookmarkStart w:id="964" w:name="_Toc337558797"/>
      <w:r>
        <w:rPr>
          <w:rFonts w:hint="eastAsia"/>
          <w:color w:val="auto"/>
          <w:sz w:val="21"/>
          <w:szCs w:val="21"/>
          <w:highlight w:val="none"/>
        </w:rPr>
        <w:t>11.1市场价格波动引起的调整</w:t>
      </w:r>
      <w:bookmarkEnd w:id="960"/>
      <w:bookmarkEnd w:id="961"/>
    </w:p>
    <w:bookmarkEnd w:id="962"/>
    <w:bookmarkEnd w:id="963"/>
    <w:bookmarkEnd w:id="964"/>
    <w:p w14:paraId="548AA640">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除专用合同条款另有约定外，市场价格波动超过合同当事人约定的范围，合同价格应当调整。合同当事人可以在专用合同条款中约定选择以下一种方式对合同价格进行调整：</w:t>
      </w:r>
    </w:p>
    <w:p w14:paraId="6A7CC8D0">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第1种方式：采用价格指数进行价格调整。</w:t>
      </w:r>
    </w:p>
    <w:p w14:paraId="4F63F1C1">
      <w:pPr>
        <w:tabs>
          <w:tab w:val="left" w:pos="0"/>
          <w:tab w:val="left" w:pos="360"/>
          <w:tab w:val="left" w:pos="540"/>
        </w:tabs>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（1）价格调整公式</w:t>
      </w:r>
    </w:p>
    <w:p w14:paraId="4CF736F2">
      <w:pPr>
        <w:tabs>
          <w:tab w:val="left" w:pos="0"/>
          <w:tab w:val="left" w:pos="360"/>
          <w:tab w:val="left" w:pos="540"/>
        </w:tabs>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因人工、材料和设备等价格波动影响合同价格时，根据专用合同条款中约定的数据，按以下公式计算差额并调整合同价格：</w:t>
      </w:r>
    </w:p>
    <w:p w14:paraId="1EC7E5EC">
      <w:pPr>
        <w:tabs>
          <w:tab w:val="left" w:pos="0"/>
          <w:tab w:val="left" w:pos="360"/>
          <w:tab w:val="left" w:pos="540"/>
        </w:tabs>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object>
          <v:shape id="_x0000_i1025" o:spt="75" type="#_x0000_t75" style="height:42.6pt;width:360pt;" o:ole="t" filled="f" o:preferrelative="t" stroked="f" coordsize="21600,21600">
            <v:path/>
            <v:fill on="f" focussize="0,0"/>
            <v:stroke on="f" joinstyle="miter"/>
            <v:imagedata r:id="rId9" o:title=""/>
            <o:lock v:ext="edit" aspectratio="t"/>
            <w10:wrap type="none"/>
            <w10:anchorlock/>
          </v:shape>
          <o:OLEObject Type="Embed" ProgID="Equation.3" ShapeID="_x0000_i1025" DrawAspect="Content" ObjectID="_1468075725" r:id="rId8">
            <o:LockedField>false</o:LockedField>
          </o:OLEObject>
        </w:object>
      </w:r>
    </w:p>
    <w:p w14:paraId="25C1AF43">
      <w:pPr>
        <w:tabs>
          <w:tab w:val="left" w:pos="0"/>
          <w:tab w:val="left" w:pos="360"/>
          <w:tab w:val="left" w:pos="540"/>
        </w:tabs>
        <w:spacing w:line="360" w:lineRule="auto"/>
        <w:ind w:firstLine="200"/>
        <w:jc w:val="left"/>
        <w:rPr>
          <w:rFonts w:ascii="宋体" w:hAnsi="宋体"/>
          <w:color w:val="auto"/>
          <w:kern w:val="0"/>
          <w:szCs w:val="21"/>
          <w:highlight w:val="none"/>
        </w:rPr>
      </w:pPr>
      <w:r>
        <w:rPr>
          <w:rFonts w:hint="eastAsia" w:ascii="宋体" w:hAnsi="宋体"/>
          <w:color w:val="auto"/>
          <w:kern w:val="0"/>
          <w:szCs w:val="21"/>
          <w:highlight w:val="none"/>
        </w:rPr>
        <w:t>公式中：ΔP——需调整的价格差额；</w:t>
      </w:r>
    </w:p>
    <w:p w14:paraId="24CCD3FA">
      <w:pPr>
        <w:tabs>
          <w:tab w:val="left" w:pos="0"/>
          <w:tab w:val="left" w:pos="360"/>
          <w:tab w:val="left" w:pos="540"/>
        </w:tabs>
        <w:spacing w:line="360" w:lineRule="auto"/>
        <w:ind w:firstLine="1260" w:firstLineChars="600"/>
        <w:jc w:val="left"/>
        <w:rPr>
          <w:rFonts w:ascii="宋体" w:hAnsi="宋体"/>
          <w:color w:val="auto"/>
          <w:kern w:val="0"/>
          <w:szCs w:val="21"/>
          <w:highlight w:val="none"/>
        </w:rPr>
      </w:pPr>
      <w:r>
        <w:rPr>
          <w:rFonts w:hint="eastAsia" w:ascii="宋体" w:hAnsi="宋体"/>
          <w:color w:val="auto"/>
          <w:kern w:val="0"/>
          <w:szCs w:val="21"/>
          <w:highlight w:val="none"/>
        </w:rPr>
        <w:object>
          <v:shape id="_x0000_i1026" o:spt="75" type="#_x0000_t75" style="height:18pt;width:18pt;" o:ole="t" filled="f" o:preferrelative="t" stroked="f" coordsize="21600,21600">
            <v:path/>
            <v:fill on="f" focussize="0,0"/>
            <v:stroke on="f" joinstyle="miter"/>
            <v:imagedata r:id="rId11" o:title=""/>
            <o:lock v:ext="edit" aspectratio="t"/>
            <w10:wrap type="none"/>
            <w10:anchorlock/>
          </v:shape>
          <o:OLEObject Type="Embed" ProgID="Equation.3" ShapeID="_x0000_i1026" DrawAspect="Content" ObjectID="_1468075726" r:id="rId10">
            <o:LockedField>false</o:LockedField>
          </o:OLEObject>
        </w:object>
      </w:r>
      <w:r>
        <w:rPr>
          <w:rFonts w:hint="eastAsia" w:ascii="宋体" w:hAnsi="宋体"/>
          <w:color w:val="auto"/>
          <w:kern w:val="0"/>
          <w:szCs w:val="21"/>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14:paraId="4FFDB31F">
      <w:pPr>
        <w:tabs>
          <w:tab w:val="left" w:pos="0"/>
          <w:tab w:val="left" w:pos="360"/>
          <w:tab w:val="left" w:pos="540"/>
        </w:tabs>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A——定值权重（即不调部分的权重）；</w:t>
      </w:r>
    </w:p>
    <w:p w14:paraId="02912D4C">
      <w:pPr>
        <w:tabs>
          <w:tab w:val="left" w:pos="0"/>
          <w:tab w:val="left" w:pos="360"/>
          <w:tab w:val="left" w:pos="540"/>
        </w:tabs>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object>
          <v:shape id="_x0000_i1027" o:spt="75" type="#_x0000_t75" style="height:21.6pt;width:100.2pt;" o:ole="t" filled="f" o:preferrelative="t" stroked="f" coordsize="21600,21600">
            <v:path/>
            <v:fill on="f" focussize="0,0"/>
            <v:stroke on="f" joinstyle="miter"/>
            <v:imagedata r:id="rId13" o:title=""/>
            <o:lock v:ext="edit" aspectratio="t"/>
            <w10:wrap type="none"/>
            <w10:anchorlock/>
          </v:shape>
          <o:OLEObject Type="Embed" ProgID="Equation.3" ShapeID="_x0000_i1027" DrawAspect="Content" ObjectID="_1468075727" r:id="rId12">
            <o:LockedField>false</o:LockedField>
          </o:OLEObject>
        </w:object>
      </w:r>
      <w:r>
        <w:rPr>
          <w:rFonts w:hint="eastAsia" w:ascii="宋体" w:hAnsi="宋体"/>
          <w:color w:val="auto"/>
          <w:kern w:val="0"/>
          <w:szCs w:val="21"/>
          <w:highlight w:val="none"/>
        </w:rPr>
        <w:t>——各可调因子的变值权重（即可调部分的权重），为各可调因子在签约合同价中所占的比例；</w:t>
      </w:r>
    </w:p>
    <w:p w14:paraId="1E1F69DA">
      <w:pPr>
        <w:tabs>
          <w:tab w:val="left" w:pos="0"/>
          <w:tab w:val="left" w:pos="360"/>
          <w:tab w:val="left" w:pos="540"/>
        </w:tabs>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object>
          <v:shape id="_x0000_i1028" o:spt="75" type="#_x0000_t75" style="height:21.6pt;width:101.4pt;" o:ole="t" filled="f" o:preferrelative="t" stroked="f" coordsize="21600,21600">
            <v:path/>
            <v:fill on="f" focussize="0,0"/>
            <v:stroke on="f" joinstyle="miter"/>
            <v:imagedata r:id="rId15" o:title=""/>
            <o:lock v:ext="edit" aspectratio="t"/>
            <w10:wrap type="none"/>
            <w10:anchorlock/>
          </v:shape>
          <o:OLEObject Type="Embed" ProgID="Equation.3" ShapeID="_x0000_i1028" DrawAspect="Content" ObjectID="_1468075728" r:id="rId14">
            <o:LockedField>false</o:LockedField>
          </o:OLEObject>
        </w:object>
      </w:r>
      <w:r>
        <w:rPr>
          <w:rFonts w:hint="eastAsia" w:ascii="宋体" w:hAnsi="宋体"/>
          <w:color w:val="auto"/>
          <w:kern w:val="0"/>
          <w:szCs w:val="21"/>
          <w:highlight w:val="none"/>
        </w:rPr>
        <w:t>——各可调因子的现行价格指数，指约定的付款证书相关周期最后一天的前42天的各可调因子的价格指数；</w:t>
      </w:r>
    </w:p>
    <w:p w14:paraId="05A01302">
      <w:pPr>
        <w:tabs>
          <w:tab w:val="left" w:pos="0"/>
          <w:tab w:val="left" w:pos="360"/>
          <w:tab w:val="left" w:pos="540"/>
        </w:tabs>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object>
          <v:shape id="_x0000_i1029" o:spt="75" type="#_x0000_t75" style="height:21.6pt;width:108.6pt;" o:ole="t" filled="f" o:preferrelative="t" stroked="f" coordsize="21600,21600">
            <v:path/>
            <v:fill on="f" focussize="0,0"/>
            <v:stroke on="f" joinstyle="miter"/>
            <v:imagedata r:id="rId17" o:title=""/>
            <o:lock v:ext="edit" aspectratio="t"/>
            <w10:wrap type="none"/>
            <w10:anchorlock/>
          </v:shape>
          <o:OLEObject Type="Embed" ProgID="Equation.3" ShapeID="_x0000_i1029" DrawAspect="Content" ObjectID="_1468075729" r:id="rId16">
            <o:LockedField>false</o:LockedField>
          </o:OLEObject>
        </w:object>
      </w:r>
      <w:r>
        <w:rPr>
          <w:rFonts w:hint="eastAsia" w:ascii="宋体" w:hAnsi="宋体"/>
          <w:color w:val="auto"/>
          <w:kern w:val="0"/>
          <w:szCs w:val="21"/>
          <w:highlight w:val="none"/>
        </w:rPr>
        <w:t>——各可调因子的基本价格指数，指基准日期的各可调因子的价格指数。</w:t>
      </w:r>
    </w:p>
    <w:p w14:paraId="3C509504">
      <w:pPr>
        <w:tabs>
          <w:tab w:val="left" w:pos="0"/>
          <w:tab w:val="left" w:pos="360"/>
          <w:tab w:val="left" w:pos="540"/>
        </w:tabs>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7890DABA">
      <w:pPr>
        <w:tabs>
          <w:tab w:val="left" w:pos="0"/>
          <w:tab w:val="left" w:pos="360"/>
          <w:tab w:val="left" w:pos="540"/>
        </w:tabs>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（2）暂时确定调整差额</w:t>
      </w:r>
    </w:p>
    <w:p w14:paraId="7A0A46CB">
      <w:pPr>
        <w:tabs>
          <w:tab w:val="left" w:pos="0"/>
          <w:tab w:val="left" w:pos="360"/>
          <w:tab w:val="left" w:pos="540"/>
        </w:tabs>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在计算调整差额时无现行价格指数的，合同当事人同意暂用前次价格指数计算。实际价格指数有调整的，合同当事人进行相应调整。</w:t>
      </w:r>
    </w:p>
    <w:p w14:paraId="31207B75">
      <w:pPr>
        <w:tabs>
          <w:tab w:val="left" w:pos="0"/>
          <w:tab w:val="left" w:pos="360"/>
          <w:tab w:val="left" w:pos="540"/>
        </w:tabs>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（3）权重的调整</w:t>
      </w:r>
    </w:p>
    <w:p w14:paraId="3F3E0BF5">
      <w:pPr>
        <w:tabs>
          <w:tab w:val="left" w:pos="0"/>
          <w:tab w:val="left" w:pos="360"/>
          <w:tab w:val="left" w:pos="540"/>
        </w:tabs>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因变更导致合同约定的权重不合理时，按照第4.4款〔商定或确定〕执行。</w:t>
      </w:r>
    </w:p>
    <w:p w14:paraId="772089BE">
      <w:pPr>
        <w:tabs>
          <w:tab w:val="left" w:pos="0"/>
          <w:tab w:val="left" w:pos="360"/>
          <w:tab w:val="left" w:pos="540"/>
        </w:tabs>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（4）因承包人原因工期延误后的价格调整</w:t>
      </w:r>
    </w:p>
    <w:p w14:paraId="657E12B6">
      <w:pPr>
        <w:tabs>
          <w:tab w:val="left" w:pos="0"/>
          <w:tab w:val="left" w:pos="360"/>
          <w:tab w:val="left" w:pos="540"/>
        </w:tabs>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因承包人原因未按期竣工的，对合同约定的竣工日期后继续施工的工程，在使用价格调整公式时，应采用计划竣工日期与实际竣工日期的两个价格指数中较低的一个作为现行价格指数。</w:t>
      </w:r>
    </w:p>
    <w:p w14:paraId="17BCEDBA">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第2种方式：采用造价信息进行价格调整。</w:t>
      </w:r>
    </w:p>
    <w:p w14:paraId="57D31A31">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4AC614B3">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761FCF26">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（2）材料、工程设备价格变化的价款调整按照发包人提供的基准价格，按以下风险范围规定执行：</w:t>
      </w:r>
    </w:p>
    <w:p w14:paraId="0C1AA910">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4E8E34CE">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12DD97C6">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③承包人在已标价工程量清单或预算书中载明材料单价等于基准价格的：除专用合同条款另有约定外，合同履行期间材料单价涨跌幅以基准价格为基础超过±5%时，其超过部分据实调整。</w:t>
      </w:r>
    </w:p>
    <w:p w14:paraId="36EE64C5">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719EC9F3">
      <w:pPr>
        <w:spacing w:line="360" w:lineRule="auto"/>
        <w:ind w:firstLine="420" w:firstLineChars="200"/>
        <w:jc w:val="left"/>
        <w:rPr>
          <w:rFonts w:ascii="宋体" w:hAnsi="宋体"/>
          <w:color w:val="auto"/>
          <w:kern w:val="0"/>
          <w:szCs w:val="21"/>
          <w:highlight w:val="none"/>
        </w:rPr>
      </w:pPr>
      <w:bookmarkStart w:id="965" w:name="OLE_LINK3"/>
      <w:r>
        <w:rPr>
          <w:rFonts w:hint="eastAsia" w:ascii="宋体" w:hAnsi="宋体"/>
          <w:color w:val="auto"/>
          <w:kern w:val="0"/>
          <w:szCs w:val="21"/>
          <w:highlight w:val="none"/>
        </w:rPr>
        <w:t>前述基准价格是指由发包人在招标文件或专用合同条款中给定的材料、工程设备的价格，该价格原则上应当按照省级或行业建设主管部门或其授权的工程造价管理机构发布的信息价编制。</w:t>
      </w:r>
    </w:p>
    <w:p w14:paraId="25A04978">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（3）施工机械台班单价或施工机械使用费发生变化超过省级或行业建设主管部门或其授权的工程造价管理机构规定的范围时，按规定调整合同价格。</w:t>
      </w:r>
    </w:p>
    <w:p w14:paraId="3BEF1190">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第3种方式：专用合同条款约定的其他方式。</w:t>
      </w:r>
    </w:p>
    <w:p w14:paraId="05BDEBDD">
      <w:pPr>
        <w:pStyle w:val="7"/>
        <w:spacing w:before="0" w:beforeAutospacing="0" w:after="0" w:afterAutospacing="0" w:line="360" w:lineRule="auto"/>
        <w:ind w:firstLine="422" w:firstLineChars="200"/>
        <w:rPr>
          <w:color w:val="auto"/>
          <w:sz w:val="21"/>
          <w:szCs w:val="21"/>
          <w:highlight w:val="none"/>
        </w:rPr>
      </w:pPr>
      <w:bookmarkStart w:id="966" w:name="_Toc532377265"/>
      <w:bookmarkStart w:id="967" w:name="_Toc351203579"/>
      <w:bookmarkStart w:id="968" w:name="_Toc296503093"/>
      <w:bookmarkStart w:id="969" w:name="_Toc337558798"/>
      <w:bookmarkStart w:id="970" w:name="_Toc296346594"/>
      <w:r>
        <w:rPr>
          <w:rFonts w:hint="eastAsia"/>
          <w:color w:val="auto"/>
          <w:sz w:val="21"/>
          <w:szCs w:val="21"/>
          <w:highlight w:val="none"/>
        </w:rPr>
        <w:t>11.2法律变化引起的调整</w:t>
      </w:r>
      <w:bookmarkEnd w:id="966"/>
      <w:bookmarkEnd w:id="967"/>
    </w:p>
    <w:bookmarkEnd w:id="968"/>
    <w:bookmarkEnd w:id="969"/>
    <w:bookmarkEnd w:id="970"/>
    <w:p w14:paraId="5B2AB073">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22E90E7B">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因法律变化引起的合同价格和工期调整，合同当事人无法达成一致的，由总监理工程师按第4.4款〔商定或确定〕的约定处理。</w:t>
      </w:r>
    </w:p>
    <w:p w14:paraId="4BC10CF4">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因承包人原因造成工期延误，在工期延误期间出现法律变化的，由此增加的费用和（或）延误的工期由承包人承担。</w:t>
      </w:r>
    </w:p>
    <w:p w14:paraId="05DBB94C">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971" w:name="_Toc532377266"/>
      <w:bookmarkStart w:id="972" w:name="_Toc532375598"/>
      <w:bookmarkStart w:id="973" w:name="_Toc351203580"/>
      <w:bookmarkStart w:id="974" w:name="_Toc337558799"/>
      <w:bookmarkStart w:id="975" w:name="_Toc296503096"/>
      <w:bookmarkStart w:id="976" w:name="_Toc296346597"/>
      <w:r>
        <w:rPr>
          <w:rFonts w:hint="eastAsia"/>
          <w:color w:val="auto"/>
          <w:kern w:val="2"/>
          <w:sz w:val="21"/>
          <w:szCs w:val="21"/>
          <w:highlight w:val="none"/>
        </w:rPr>
        <w:t>12. 合同价格、计量与支付</w:t>
      </w:r>
      <w:bookmarkEnd w:id="971"/>
      <w:bookmarkEnd w:id="972"/>
      <w:bookmarkEnd w:id="973"/>
    </w:p>
    <w:bookmarkEnd w:id="974"/>
    <w:p w14:paraId="1F09A228">
      <w:pPr>
        <w:pStyle w:val="7"/>
        <w:spacing w:before="0" w:beforeAutospacing="0" w:after="0" w:afterAutospacing="0" w:line="360" w:lineRule="auto"/>
        <w:ind w:firstLine="422" w:firstLineChars="200"/>
        <w:rPr>
          <w:color w:val="auto"/>
          <w:sz w:val="21"/>
          <w:szCs w:val="21"/>
          <w:highlight w:val="none"/>
        </w:rPr>
      </w:pPr>
      <w:bookmarkStart w:id="977" w:name="_Toc532377267"/>
      <w:bookmarkStart w:id="978" w:name="_Toc351203581"/>
      <w:bookmarkStart w:id="979" w:name="_Toc337558800"/>
      <w:r>
        <w:rPr>
          <w:rFonts w:hint="eastAsia"/>
          <w:color w:val="auto"/>
          <w:sz w:val="21"/>
          <w:szCs w:val="21"/>
          <w:highlight w:val="none"/>
        </w:rPr>
        <w:t>12.1 合同价</w:t>
      </w:r>
      <w:bookmarkEnd w:id="975"/>
      <w:bookmarkEnd w:id="976"/>
      <w:r>
        <w:rPr>
          <w:rFonts w:hint="eastAsia"/>
          <w:color w:val="auto"/>
          <w:sz w:val="21"/>
          <w:szCs w:val="21"/>
          <w:highlight w:val="none"/>
        </w:rPr>
        <w:t>格形式</w:t>
      </w:r>
      <w:bookmarkEnd w:id="977"/>
      <w:bookmarkEnd w:id="978"/>
    </w:p>
    <w:bookmarkEnd w:id="979"/>
    <w:p w14:paraId="236F5D51">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 xml:space="preserve">发包人和承包人应在合同协议书中选择下列一种合同价格形式： </w:t>
      </w:r>
    </w:p>
    <w:p w14:paraId="4F52E92F">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1.单价合同</w:t>
      </w:r>
    </w:p>
    <w:p w14:paraId="16FB924F">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11.1款〔市场价格波动引起的调整〕约定执行。</w:t>
      </w:r>
    </w:p>
    <w:p w14:paraId="0A24A36F">
      <w:pPr>
        <w:pStyle w:val="7"/>
        <w:spacing w:before="0" w:beforeAutospacing="0" w:after="0" w:afterAutospacing="0" w:line="360" w:lineRule="auto"/>
        <w:ind w:firstLine="420" w:firstLineChars="200"/>
        <w:rPr>
          <w:b w:val="0"/>
          <w:color w:val="auto"/>
          <w:sz w:val="21"/>
          <w:szCs w:val="21"/>
          <w:highlight w:val="none"/>
        </w:rPr>
      </w:pPr>
      <w:bookmarkStart w:id="980" w:name="_Toc532377268"/>
      <w:r>
        <w:rPr>
          <w:rFonts w:hint="eastAsia"/>
          <w:b w:val="0"/>
          <w:color w:val="auto"/>
          <w:sz w:val="21"/>
          <w:szCs w:val="21"/>
          <w:highlight w:val="none"/>
        </w:rPr>
        <w:t>2.总价合同</w:t>
      </w:r>
      <w:bookmarkEnd w:id="980"/>
    </w:p>
    <w:p w14:paraId="5BEDD1D3">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54E6060A">
      <w:pPr>
        <w:pStyle w:val="7"/>
        <w:spacing w:before="0" w:beforeAutospacing="0" w:after="0" w:afterAutospacing="0" w:line="360" w:lineRule="auto"/>
        <w:ind w:firstLine="420" w:firstLineChars="200"/>
        <w:rPr>
          <w:b w:val="0"/>
          <w:color w:val="auto"/>
          <w:sz w:val="21"/>
          <w:szCs w:val="21"/>
          <w:highlight w:val="none"/>
        </w:rPr>
      </w:pPr>
      <w:bookmarkStart w:id="981" w:name="_Toc532377269"/>
      <w:r>
        <w:rPr>
          <w:rFonts w:hint="eastAsia"/>
          <w:b w:val="0"/>
          <w:color w:val="auto"/>
          <w:sz w:val="21"/>
          <w:szCs w:val="21"/>
          <w:highlight w:val="none"/>
        </w:rPr>
        <w:t>3.其它价格形式</w:t>
      </w:r>
      <w:bookmarkEnd w:id="981"/>
    </w:p>
    <w:p w14:paraId="46A9879C">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合同当事人可在专用合同条款中约定其他合同价格形式。</w:t>
      </w:r>
    </w:p>
    <w:p w14:paraId="21492801">
      <w:pPr>
        <w:pStyle w:val="7"/>
        <w:spacing w:before="0" w:beforeAutospacing="0" w:after="0" w:afterAutospacing="0" w:line="360" w:lineRule="auto"/>
        <w:ind w:firstLine="422" w:firstLineChars="200"/>
        <w:rPr>
          <w:color w:val="auto"/>
          <w:sz w:val="21"/>
          <w:szCs w:val="21"/>
          <w:highlight w:val="none"/>
        </w:rPr>
      </w:pPr>
      <w:bookmarkStart w:id="982" w:name="_Toc296346598"/>
      <w:bookmarkStart w:id="983" w:name="_Toc296503097"/>
      <w:bookmarkStart w:id="984" w:name="_Toc532377270"/>
      <w:bookmarkStart w:id="985" w:name="_Toc351203582"/>
      <w:bookmarkStart w:id="986" w:name="_Toc337558801"/>
      <w:r>
        <w:rPr>
          <w:rFonts w:hint="eastAsia"/>
          <w:color w:val="auto"/>
          <w:sz w:val="21"/>
          <w:szCs w:val="21"/>
          <w:highlight w:val="none"/>
        </w:rPr>
        <w:t>12.2预</w:t>
      </w:r>
      <w:bookmarkEnd w:id="982"/>
      <w:bookmarkEnd w:id="983"/>
      <w:bookmarkStart w:id="987" w:name="_Toc296503100"/>
      <w:bookmarkStart w:id="988" w:name="_Toc296346601"/>
      <w:r>
        <w:rPr>
          <w:rFonts w:hint="eastAsia"/>
          <w:color w:val="auto"/>
          <w:sz w:val="21"/>
          <w:szCs w:val="21"/>
          <w:highlight w:val="none"/>
        </w:rPr>
        <w:t>付款</w:t>
      </w:r>
      <w:bookmarkEnd w:id="984"/>
      <w:bookmarkEnd w:id="985"/>
    </w:p>
    <w:bookmarkEnd w:id="986"/>
    <w:bookmarkEnd w:id="987"/>
    <w:bookmarkEnd w:id="988"/>
    <w:p w14:paraId="5FB9BBB7">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12.2.1预付款的支付</w:t>
      </w:r>
    </w:p>
    <w:p w14:paraId="5AAF3D1C">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预付款的支付按照专用合同条款约定执行，但至迟应在开工通知载明的开工日期7天前支付。预付款应当用于材料、工程设备、施工设备的采购及修建临时工程、组织施工队伍进场等。</w:t>
      </w:r>
    </w:p>
    <w:p w14:paraId="1A0BFD7E">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除专用合同条款另有约定外，预付款在进度付款中同比例扣回。</w:t>
      </w:r>
      <w:bookmarkEnd w:id="965"/>
      <w:r>
        <w:rPr>
          <w:rFonts w:hint="eastAsia" w:ascii="宋体" w:hAnsi="宋体"/>
          <w:color w:val="auto"/>
          <w:kern w:val="0"/>
          <w:szCs w:val="21"/>
          <w:highlight w:val="none"/>
        </w:rPr>
        <w:t>在颁发工程接收证书前，提前解除合同的，尚未扣完的预付款应与合同价款一并结算。</w:t>
      </w:r>
    </w:p>
    <w:p w14:paraId="348E9B6D">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发包人逾期支付预付款超过7天的，承包人有权向发包人发出要求预付的催告通知，发包人收到通知后7天内仍未支付的，承包人有权暂停施工，并按第16.1.1项〔发包人违约的情形〕执行。</w:t>
      </w:r>
    </w:p>
    <w:p w14:paraId="17BF2BA0">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12.2.2 预付款担保</w:t>
      </w:r>
    </w:p>
    <w:p w14:paraId="33BEF382">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6E09A3A5">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发包人在工程款中逐期扣回预付款后，预付款担保额度应相应减少，但剩余的预付款担保金额不得低于未被扣回的预付款金额。</w:t>
      </w:r>
    </w:p>
    <w:p w14:paraId="727A6C89">
      <w:pPr>
        <w:pStyle w:val="7"/>
        <w:spacing w:before="0" w:beforeAutospacing="0" w:after="0" w:afterAutospacing="0" w:line="360" w:lineRule="auto"/>
        <w:ind w:firstLine="422" w:firstLineChars="200"/>
        <w:rPr>
          <w:color w:val="auto"/>
          <w:sz w:val="21"/>
          <w:szCs w:val="21"/>
          <w:highlight w:val="none"/>
        </w:rPr>
      </w:pPr>
      <w:bookmarkStart w:id="989" w:name="_Toc532377271"/>
      <w:bookmarkStart w:id="990" w:name="_Toc351203583"/>
      <w:bookmarkStart w:id="991" w:name="_Toc337558802"/>
      <w:r>
        <w:rPr>
          <w:rFonts w:hint="eastAsia"/>
          <w:color w:val="auto"/>
          <w:sz w:val="21"/>
          <w:szCs w:val="21"/>
          <w:highlight w:val="none"/>
        </w:rPr>
        <w:t>12.3计量</w:t>
      </w:r>
      <w:bookmarkEnd w:id="989"/>
      <w:bookmarkEnd w:id="990"/>
    </w:p>
    <w:bookmarkEnd w:id="991"/>
    <w:p w14:paraId="3CE84186">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12.3.1 计量原则</w:t>
      </w:r>
    </w:p>
    <w:p w14:paraId="1C96EB33">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工程量计量按照合同约定的工程量计算规则、图纸及变更指示等进行计量。工程量计算规则应以相关的国家标准、行业标准等为依据，由合同当事人在专用合同条款中约定。</w:t>
      </w:r>
    </w:p>
    <w:p w14:paraId="3884EDEC">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12.3.2 计量周期</w:t>
      </w:r>
    </w:p>
    <w:p w14:paraId="18B80EE4">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除专用合同条款另有约定外，工程量的计量按月进行。</w:t>
      </w:r>
    </w:p>
    <w:p w14:paraId="7C6D8C0B">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12.3.3 单价合同的计量</w:t>
      </w:r>
    </w:p>
    <w:p w14:paraId="5860AE70">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除专用合同条款另有约定外，单价合同的计量按照本项约定执行：</w:t>
      </w:r>
    </w:p>
    <w:p w14:paraId="7E497CE2">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（1）承包人应于每月25日向监理人报送上月20日至当月19日已完成的工程量报告，并附具进度付款申请单、已完成工程量报表和有关资料。</w:t>
      </w:r>
    </w:p>
    <w:p w14:paraId="78131AEA">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087B2F22">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（3）监理人未在收到承包人提交的工程量报表后的7天内完成审核的，承包人报送的工程量报告中的工程量视为承包人实际完成的工程量，据此计算工程价款。</w:t>
      </w:r>
    </w:p>
    <w:p w14:paraId="73222C7A">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12.3.4 总价合同的计量</w:t>
      </w:r>
    </w:p>
    <w:p w14:paraId="5B1EBBBB">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除专用合同条款另有约定外，按月计量支付的总价合同，按照本项约定执行：</w:t>
      </w:r>
    </w:p>
    <w:p w14:paraId="0984D822">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（1）承包人应于每月25日向监理人报送上月20日至当月19日已完成的工程量报告，并附具进度付款申请单、已完成工程量报表和有关资料。</w:t>
      </w:r>
    </w:p>
    <w:p w14:paraId="3E0C0139">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34ACD468">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（3）监理人未在收到承包人提交的工程量报表后的7天内完成复核的，承包人提交的工程量报告中的工程量视为承包人实际完成的工程量。</w:t>
      </w:r>
    </w:p>
    <w:p w14:paraId="5A51A042">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12.3.5 总价合同采用支付分解表计量支付的，可以按照第12.3.4项〔总价合同的计量〕约定进行计量，但合同价款按照支付分解表进行支付。</w:t>
      </w:r>
    </w:p>
    <w:p w14:paraId="71FEF8ED">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12.3.6 其他价格形式合同的计量</w:t>
      </w:r>
    </w:p>
    <w:p w14:paraId="77FC3C9E">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合同当事人可在专用合同条款中约定其他价格形式合同的计量方式和程序。</w:t>
      </w:r>
    </w:p>
    <w:p w14:paraId="4A6516A5">
      <w:pPr>
        <w:pStyle w:val="7"/>
        <w:spacing w:before="0" w:beforeAutospacing="0" w:after="0" w:afterAutospacing="0" w:line="360" w:lineRule="auto"/>
        <w:ind w:firstLine="422" w:firstLineChars="200"/>
        <w:rPr>
          <w:color w:val="auto"/>
          <w:sz w:val="21"/>
          <w:szCs w:val="21"/>
          <w:highlight w:val="none"/>
        </w:rPr>
      </w:pPr>
      <w:bookmarkStart w:id="992" w:name="_Toc296503101"/>
      <w:bookmarkStart w:id="993" w:name="_Toc296346602"/>
      <w:bookmarkStart w:id="994" w:name="_Toc351203584"/>
      <w:bookmarkStart w:id="995" w:name="_Toc532377272"/>
      <w:bookmarkStart w:id="996" w:name="_Toc337558803"/>
      <w:r>
        <w:rPr>
          <w:rFonts w:hint="eastAsia"/>
          <w:color w:val="auto"/>
          <w:sz w:val="21"/>
          <w:szCs w:val="21"/>
          <w:highlight w:val="none"/>
        </w:rPr>
        <w:t>12.4工程进度款支</w:t>
      </w:r>
      <w:bookmarkEnd w:id="992"/>
      <w:bookmarkEnd w:id="993"/>
      <w:r>
        <w:rPr>
          <w:rFonts w:hint="eastAsia"/>
          <w:color w:val="auto"/>
          <w:sz w:val="21"/>
          <w:szCs w:val="21"/>
          <w:highlight w:val="none"/>
        </w:rPr>
        <w:t>付</w:t>
      </w:r>
      <w:bookmarkEnd w:id="994"/>
      <w:bookmarkEnd w:id="995"/>
    </w:p>
    <w:bookmarkEnd w:id="996"/>
    <w:p w14:paraId="34CCB0C5">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12.4.1 付款周期</w:t>
      </w:r>
    </w:p>
    <w:p w14:paraId="395AE614">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除专用合同条款另有约定外，付款周期应按照第12.3.2项〔计量周期〕的约定与计量周期保持一致。</w:t>
      </w:r>
    </w:p>
    <w:p w14:paraId="0107F9B3">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12.4.2 进度付款申请单的编制</w:t>
      </w:r>
    </w:p>
    <w:p w14:paraId="00B4D1F1">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除专用合同条款另有约定外，进度付款申请单应包括下列内容：</w:t>
      </w:r>
    </w:p>
    <w:p w14:paraId="3166A574">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（1）截至本次付款周期已完成工作对应的金额；</w:t>
      </w:r>
    </w:p>
    <w:p w14:paraId="11C5C542">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（2）根据第10条〔变更〕应增加和扣减的变更金额；</w:t>
      </w:r>
    </w:p>
    <w:p w14:paraId="519EA421">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（3）根据第12.2款〔预付款〕约定应支付的预付款和扣减的返还预付款；</w:t>
      </w:r>
    </w:p>
    <w:p w14:paraId="02EB94E0">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（4）根据第15.3款〔质量保证金〕约定应扣减的质量保证金；</w:t>
      </w:r>
    </w:p>
    <w:p w14:paraId="40BB0914">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（5）根据第19条〔索赔〕应增加和扣减的索赔金额；</w:t>
      </w:r>
    </w:p>
    <w:p w14:paraId="2F130050">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（6）对已签发的进度款支付证书中出现错误的修正，应在本次进度付款中支付或扣除的金额；</w:t>
      </w:r>
    </w:p>
    <w:p w14:paraId="22B0786A">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（7）根据合同约定应增加和扣减的其他金额。</w:t>
      </w:r>
    </w:p>
    <w:p w14:paraId="4C9B2829">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12.4.3 进度付款申请单的提交</w:t>
      </w:r>
    </w:p>
    <w:p w14:paraId="4D7B2FBA">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（1）单价合同进度付款申请单的提交</w:t>
      </w:r>
    </w:p>
    <w:p w14:paraId="04EFD23D">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7B4D64A2">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（2）总价合同进度付款申请单的提交</w:t>
      </w:r>
    </w:p>
    <w:p w14:paraId="70F56DE4">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总价合同按月计量支付的，承包人按照第12.3.4项〔总价合同的计量〕约定的时间按月向监理人提交进度付款申请单，并附上已完成工程量报表和有关资料。</w:t>
      </w:r>
    </w:p>
    <w:p w14:paraId="3F1DD6E2">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总价合同按支付分解表支付的，承包人应按照第12.4.6项〔支付分解表〕及第12.4.2项〔进度付款申请单的编制〕的约定向监理人提交进度付款申请单。</w:t>
      </w:r>
    </w:p>
    <w:p w14:paraId="279B7D05">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（3）其他价格形式合同的进度付款申请单的提交</w:t>
      </w:r>
    </w:p>
    <w:p w14:paraId="09B690A3">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合同当事人可在专用合同条款中约定其他价格形式合同的进度付款申请单的编制和提交程序。</w:t>
      </w:r>
    </w:p>
    <w:p w14:paraId="4B61C524">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12.4.4 进度款审核和支付</w:t>
      </w:r>
    </w:p>
    <w:p w14:paraId="5E3DDD63">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615C4A08">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0896E049">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14:paraId="4F4AD619">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（3）发包人签发进度款支付证书或临时进度款支付证书，不表明发包人已同意、批准或接受了承包人完成的相应部分的工作。</w:t>
      </w:r>
    </w:p>
    <w:p w14:paraId="2631F803">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12.4.5 进度付款的修正</w:t>
      </w:r>
    </w:p>
    <w:p w14:paraId="0CF6CF60">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在对已签发的进度款支付证书进行阶段汇总和复核中发现错误、遗漏或重复的，发包人和承包人均有权提出修正申请。经发包人和承包人同意的修正，应在下期进度付款中支付或扣除。</w:t>
      </w:r>
    </w:p>
    <w:p w14:paraId="5F12343C">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12.4.6 支付分解表</w:t>
      </w:r>
    </w:p>
    <w:p w14:paraId="1B6734FA">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1.支付分解表的编制要求</w:t>
      </w:r>
    </w:p>
    <w:p w14:paraId="1CC61091">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（1）支付分解表中所列的每期付款金额，应为第12.4.2项〔进度付款申请单的编制〕第（1）目的估算金额；</w:t>
      </w:r>
    </w:p>
    <w:p w14:paraId="4F1116BD">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（2）实际进度与施工进度计划不一致的，合同当事人可按照第4.4款〔商定或确定〕修改支付分解表；</w:t>
      </w:r>
    </w:p>
    <w:p w14:paraId="2DABEA6B">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（3）不采用支付分解表的，承包人应向发包人和监理人提交按季度编制的支付估算分解表，用于支付参考。</w:t>
      </w:r>
    </w:p>
    <w:p w14:paraId="12F5EAA5">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2.总价合同支付分解表的编制与审批</w:t>
      </w:r>
    </w:p>
    <w:p w14:paraId="55E0C687">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210FBCC7">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（2）监理人应在收到支付分解表后7天内完成审核并报送发包人。发包人应在收到经监理人审核的支付分解表后7天内完成审批，经发包人批准的支付分解表为有约束力的支付分解表。</w:t>
      </w:r>
    </w:p>
    <w:p w14:paraId="32CF8720">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（3）发包人逾期未完成支付分解表审批的，也未及时要求承包人进行修正和提供补充资料的，则承包人提交的支付分解表视为已经获得发包人批准。</w:t>
      </w:r>
    </w:p>
    <w:p w14:paraId="0B50E4ED">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3.单价合同的总价项目支付分解表的编制与审批</w:t>
      </w:r>
    </w:p>
    <w:p w14:paraId="683EBB22">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139D920C">
      <w:pPr>
        <w:pStyle w:val="7"/>
        <w:spacing w:before="0" w:beforeAutospacing="0" w:after="0" w:afterAutospacing="0" w:line="360" w:lineRule="auto"/>
        <w:ind w:firstLine="422" w:firstLineChars="200"/>
        <w:rPr>
          <w:color w:val="auto"/>
          <w:sz w:val="21"/>
          <w:szCs w:val="21"/>
          <w:highlight w:val="none"/>
        </w:rPr>
      </w:pPr>
      <w:bookmarkStart w:id="997" w:name="_Toc532377273"/>
      <w:r>
        <w:rPr>
          <w:rFonts w:hint="eastAsia"/>
          <w:color w:val="auto"/>
          <w:sz w:val="21"/>
          <w:szCs w:val="21"/>
          <w:highlight w:val="none"/>
        </w:rPr>
        <w:t>12.5支付账户</w:t>
      </w:r>
      <w:bookmarkEnd w:id="997"/>
    </w:p>
    <w:p w14:paraId="588AC5B2">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发包人应将合同价款支付至合同协议书中约定的承包人账户。</w:t>
      </w:r>
    </w:p>
    <w:p w14:paraId="58ADAE92">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998" w:name="_Toc351203586"/>
      <w:bookmarkStart w:id="999" w:name="_Toc532377274"/>
      <w:bookmarkStart w:id="1000" w:name="_Toc532375599"/>
      <w:bookmarkStart w:id="1001" w:name="_Toc296346607"/>
      <w:bookmarkStart w:id="1002" w:name="_Toc322522574"/>
      <w:bookmarkStart w:id="1003" w:name="_Toc337558804"/>
      <w:bookmarkStart w:id="1004" w:name="_Toc296503106"/>
      <w:r>
        <w:rPr>
          <w:rFonts w:hint="eastAsia"/>
          <w:color w:val="auto"/>
          <w:kern w:val="2"/>
          <w:sz w:val="21"/>
          <w:szCs w:val="21"/>
          <w:highlight w:val="none"/>
        </w:rPr>
        <w:t>13. 验收和工程试车</w:t>
      </w:r>
      <w:bookmarkEnd w:id="998"/>
      <w:bookmarkEnd w:id="999"/>
      <w:bookmarkEnd w:id="1000"/>
    </w:p>
    <w:bookmarkEnd w:id="1001"/>
    <w:bookmarkEnd w:id="1002"/>
    <w:bookmarkEnd w:id="1003"/>
    <w:bookmarkEnd w:id="1004"/>
    <w:p w14:paraId="7B5154DF">
      <w:pPr>
        <w:pStyle w:val="7"/>
        <w:spacing w:before="0" w:beforeAutospacing="0" w:after="0" w:afterAutospacing="0" w:line="360" w:lineRule="auto"/>
        <w:ind w:firstLine="422" w:firstLineChars="200"/>
        <w:rPr>
          <w:color w:val="auto"/>
          <w:sz w:val="21"/>
          <w:szCs w:val="21"/>
          <w:highlight w:val="none"/>
        </w:rPr>
      </w:pPr>
      <w:bookmarkStart w:id="1005" w:name="_Toc351203587"/>
      <w:bookmarkStart w:id="1006" w:name="_Toc532377275"/>
      <w:bookmarkStart w:id="1007" w:name="_Toc337558805"/>
      <w:bookmarkStart w:id="1008" w:name="_Toc296346611"/>
      <w:bookmarkStart w:id="1009" w:name="_Toc296503110"/>
      <w:r>
        <w:rPr>
          <w:rFonts w:hint="eastAsia"/>
          <w:color w:val="auto"/>
          <w:sz w:val="21"/>
          <w:szCs w:val="21"/>
          <w:highlight w:val="none"/>
        </w:rPr>
        <w:t>13.1分部分项工程验收</w:t>
      </w:r>
      <w:bookmarkEnd w:id="1005"/>
      <w:bookmarkEnd w:id="1006"/>
    </w:p>
    <w:bookmarkEnd w:id="1007"/>
    <w:p w14:paraId="6DF1C7AE">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13.1.1 分部分项工程质量应符合国家有关工程施工验收规范、标准及合同约定，承包人应按照施工组织设计的要求完成分部分项工程施工。</w:t>
      </w:r>
    </w:p>
    <w:p w14:paraId="11090820">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14:paraId="402B6FF7">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分部分项工程的验收资料应当作为竣工资料的组成部分。</w:t>
      </w:r>
    </w:p>
    <w:p w14:paraId="49861D5E">
      <w:pPr>
        <w:pStyle w:val="7"/>
        <w:spacing w:before="0" w:beforeAutospacing="0" w:after="0" w:afterAutospacing="0" w:line="360" w:lineRule="auto"/>
        <w:ind w:firstLine="422" w:firstLineChars="200"/>
        <w:rPr>
          <w:color w:val="auto"/>
          <w:sz w:val="21"/>
          <w:szCs w:val="21"/>
          <w:highlight w:val="none"/>
        </w:rPr>
      </w:pPr>
      <w:bookmarkStart w:id="1010" w:name="_Toc351203588"/>
      <w:bookmarkStart w:id="1011" w:name="_Toc532377276"/>
      <w:bookmarkStart w:id="1012" w:name="_Toc337558806"/>
      <w:r>
        <w:rPr>
          <w:rFonts w:hint="eastAsia"/>
          <w:color w:val="auto"/>
          <w:sz w:val="21"/>
          <w:szCs w:val="21"/>
          <w:highlight w:val="none"/>
        </w:rPr>
        <w:t>13.2竣工验收</w:t>
      </w:r>
      <w:bookmarkEnd w:id="1010"/>
      <w:bookmarkEnd w:id="1011"/>
    </w:p>
    <w:bookmarkEnd w:id="1008"/>
    <w:bookmarkEnd w:id="1009"/>
    <w:bookmarkEnd w:id="1012"/>
    <w:p w14:paraId="5070B98C">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13.2.1竣工验收条件</w:t>
      </w:r>
    </w:p>
    <w:p w14:paraId="73395BEA">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工程具备以下条件的，承包人可以申请竣工验收：</w:t>
      </w:r>
    </w:p>
    <w:p w14:paraId="660B64EA">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（1）除发包人同意的甩项工作和缺陷修补工作外，合同范围内的全部工程以及有关工作，包括合同要求的试验、试运行以及检验均已完成，并符合合同要求；</w:t>
      </w:r>
    </w:p>
    <w:p w14:paraId="6F89BFB6">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（2）已按合同约定编制了甩项工作和缺陷修补工作清单以及相应的施工计划；</w:t>
      </w:r>
    </w:p>
    <w:p w14:paraId="2AB704F6">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（3）已按合同约定的内容和份数备齐竣工资料。</w:t>
      </w:r>
    </w:p>
    <w:p w14:paraId="3CFFB0ED">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13.2.2竣工验收程序</w:t>
      </w:r>
    </w:p>
    <w:p w14:paraId="587EE10F">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除专用合同条款另有约定外，承包人申请竣工验收的，应当按照以下程序进行：</w:t>
      </w:r>
    </w:p>
    <w:p w14:paraId="42FD75A4">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565E42CC">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449AC2E8">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（3）竣工验收合格的，发包人应在验收合格后14天内向承包人签发工程接收证书。发包人无正当理由逾期不颁发工程接收证书的，自验收合格后第15天起视为已颁发工程接收证书。</w:t>
      </w:r>
    </w:p>
    <w:p w14:paraId="4E2A9E0C">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47EB9EC0">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5278E7A3">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除专用合同条款另有约定外，发包人不按照本项约定组织竣工验收、颁发工程接收证书的，每逾期一天，应以签约合同价为基数，按照中国人民银行发布的同期同类贷款基准利率支付违约金。</w:t>
      </w:r>
    </w:p>
    <w:p w14:paraId="32FE7C7B">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13.2.3竣工日期</w:t>
      </w:r>
    </w:p>
    <w:p w14:paraId="003270D5">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1013" w:name="#go14"/>
      <w:bookmarkEnd w:id="1013"/>
      <w:r>
        <w:rPr>
          <w:rFonts w:hint="eastAsia" w:ascii="宋体" w:hAnsi="宋体"/>
          <w:color w:val="auto"/>
          <w:kern w:val="0"/>
          <w:szCs w:val="21"/>
          <w:highlight w:val="none"/>
        </w:rPr>
        <w:t>收申请报告的日期为实际竣工日期；工程未经竣工验收，发包人擅自使用的，以转移占有工程之日为实际竣工日期。</w:t>
      </w:r>
    </w:p>
    <w:p w14:paraId="38CAD26A">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13.2.4 拒绝接收全部或部分工程</w:t>
      </w:r>
    </w:p>
    <w:p w14:paraId="7130BBD8">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73B2A1D9">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13.2.5 移交、接收全部与部分工程</w:t>
      </w:r>
    </w:p>
    <w:p w14:paraId="026E331C">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除专用合同条款另有约定外，合同当事人应当在颁发工程接收证书后7天内完成工程的移交。</w:t>
      </w:r>
    </w:p>
    <w:p w14:paraId="0B9BB866">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发包人无正当理由不接收工程的，发包人自应当接收工程之日起，承担工程照管、成品保护、保管等与工程有关的各项费用，合同当事人可以在专用合同条款中另行约定发包人逾期接收工程的违约责任。</w:t>
      </w:r>
    </w:p>
    <w:p w14:paraId="31EB2E4C">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承包人无正当理由不移交工程的，承包人应承担工程照管、成品保护、保管等与工程有关的各项费用，合同当事人可以在专用合同条款中另行约定承包人无正当理由不移交工程的违约责任。</w:t>
      </w:r>
    </w:p>
    <w:p w14:paraId="0952F3B5">
      <w:pPr>
        <w:pStyle w:val="7"/>
        <w:spacing w:before="0" w:beforeAutospacing="0" w:after="0" w:afterAutospacing="0" w:line="360" w:lineRule="auto"/>
        <w:ind w:firstLine="422" w:firstLineChars="200"/>
        <w:rPr>
          <w:color w:val="auto"/>
          <w:sz w:val="21"/>
          <w:szCs w:val="21"/>
          <w:highlight w:val="none"/>
        </w:rPr>
      </w:pPr>
      <w:bookmarkStart w:id="1014" w:name="_Toc351203589"/>
      <w:bookmarkStart w:id="1015" w:name="_Toc532377277"/>
      <w:bookmarkStart w:id="1016" w:name="_Toc296503111"/>
      <w:bookmarkStart w:id="1017" w:name="_Toc296346612"/>
      <w:bookmarkStart w:id="1018" w:name="_Toc337558807"/>
      <w:r>
        <w:rPr>
          <w:rFonts w:hint="eastAsia"/>
          <w:color w:val="auto"/>
          <w:sz w:val="21"/>
          <w:szCs w:val="21"/>
          <w:highlight w:val="none"/>
        </w:rPr>
        <w:t>13.3工程试车</w:t>
      </w:r>
      <w:bookmarkEnd w:id="1014"/>
      <w:bookmarkEnd w:id="1015"/>
    </w:p>
    <w:bookmarkEnd w:id="1016"/>
    <w:bookmarkEnd w:id="1017"/>
    <w:bookmarkEnd w:id="1018"/>
    <w:p w14:paraId="25DD363D">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13.3.1试车程序</w:t>
      </w:r>
    </w:p>
    <w:p w14:paraId="16BD860B">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工程需要试车的，除专用合同条款另有约定外，试车内容应与承包人承包范围相一致，试车费用由承包人承担。工程试车应按如下程序进行：</w:t>
      </w:r>
    </w:p>
    <w:p w14:paraId="5A39A285">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名。监理人在试车合格后不在试车记录上签名，自试车结束满24小时后视为监理人已经认可试车记录，承包人可继续施工或办理竣工验收手续。</w:t>
      </w:r>
    </w:p>
    <w:p w14:paraId="3B8DF348">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055D2E59">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名。承包人无正当理由不参加试车的，视为认可试车记录。</w:t>
      </w:r>
    </w:p>
    <w:p w14:paraId="5D5AC189">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13.3.2 试车中的责任</w:t>
      </w:r>
    </w:p>
    <w:p w14:paraId="77C1F6F3">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6AAA9640">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6F2B278B">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13.3.3 投料试车</w:t>
      </w:r>
    </w:p>
    <w:p w14:paraId="3EE3506B">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如需进行投料试车的，发包人应在工程竣工验收后组织投料试车。发包人要求在工程竣工验收前进行或需要承包人配合时，应征得承包人同意，并在专用合同条款中约定有关事项。</w:t>
      </w:r>
    </w:p>
    <w:p w14:paraId="4396D00D">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0A25367B">
      <w:pPr>
        <w:pStyle w:val="7"/>
        <w:spacing w:before="0" w:beforeAutospacing="0" w:after="0" w:afterAutospacing="0" w:line="360" w:lineRule="auto"/>
        <w:ind w:firstLine="422" w:firstLineChars="200"/>
        <w:rPr>
          <w:color w:val="auto"/>
          <w:sz w:val="21"/>
          <w:szCs w:val="21"/>
          <w:highlight w:val="none"/>
        </w:rPr>
      </w:pPr>
      <w:bookmarkStart w:id="1019" w:name="_Toc532377278"/>
      <w:r>
        <w:rPr>
          <w:rFonts w:hint="eastAsia"/>
          <w:color w:val="auto"/>
          <w:sz w:val="21"/>
          <w:szCs w:val="21"/>
          <w:highlight w:val="none"/>
        </w:rPr>
        <w:t>13.4提前交付单位工程的验收</w:t>
      </w:r>
      <w:bookmarkEnd w:id="1019"/>
    </w:p>
    <w:p w14:paraId="6524CA73">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13.4.1 发包人需要在工程竣工前使用单位工程的，或承包人提出提前交付已经竣工的单位工程且经发包人同意的，可进行单位工程验收，验收的程序按照第13.2款〔竣工验收〕的约定进行。</w:t>
      </w:r>
    </w:p>
    <w:p w14:paraId="242D704A">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14:paraId="76F92FD3">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13.4.2 发包人要求在工程竣工前交付单位工程，由此导致承包人费用增加和（或）工期延误的，由发包人承担由此增加的费用和（或）延误的工期，并支付承包人合理的利润。</w:t>
      </w:r>
    </w:p>
    <w:p w14:paraId="4AFBAF6F">
      <w:pPr>
        <w:pStyle w:val="7"/>
        <w:spacing w:before="0" w:beforeAutospacing="0" w:after="0" w:afterAutospacing="0" w:line="360" w:lineRule="auto"/>
        <w:ind w:firstLine="422" w:firstLineChars="200"/>
        <w:rPr>
          <w:color w:val="auto"/>
          <w:sz w:val="21"/>
          <w:szCs w:val="21"/>
          <w:highlight w:val="none"/>
        </w:rPr>
      </w:pPr>
      <w:bookmarkStart w:id="1020" w:name="_Toc351203591"/>
      <w:bookmarkStart w:id="1021" w:name="_Toc532377279"/>
      <w:r>
        <w:rPr>
          <w:rFonts w:hint="eastAsia"/>
          <w:color w:val="auto"/>
          <w:sz w:val="21"/>
          <w:szCs w:val="21"/>
          <w:highlight w:val="none"/>
        </w:rPr>
        <w:t>13.5 施工期运行</w:t>
      </w:r>
      <w:bookmarkEnd w:id="1020"/>
      <w:bookmarkEnd w:id="1021"/>
    </w:p>
    <w:p w14:paraId="5E54BB18">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17C3CEFE">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13.5.2 在施工期运行中发现工程或工程设备损坏或存在缺陷的，由承包人按第15.2款〔缺陷责任期〕约定进行修复。</w:t>
      </w:r>
    </w:p>
    <w:p w14:paraId="2DEA82F8">
      <w:pPr>
        <w:pStyle w:val="7"/>
        <w:spacing w:before="0" w:beforeAutospacing="0" w:after="0" w:afterAutospacing="0" w:line="360" w:lineRule="auto"/>
        <w:ind w:firstLine="422" w:firstLineChars="200"/>
        <w:rPr>
          <w:color w:val="auto"/>
          <w:sz w:val="21"/>
          <w:szCs w:val="21"/>
          <w:highlight w:val="none"/>
        </w:rPr>
      </w:pPr>
      <w:bookmarkStart w:id="1022" w:name="_Toc296503112"/>
      <w:bookmarkStart w:id="1023" w:name="_Toc296346613"/>
      <w:bookmarkStart w:id="1024" w:name="_Toc532377280"/>
      <w:bookmarkStart w:id="1025" w:name="_Toc351203592"/>
      <w:bookmarkStart w:id="1026" w:name="_Toc337558809"/>
      <w:r>
        <w:rPr>
          <w:rFonts w:hint="eastAsia"/>
          <w:color w:val="auto"/>
          <w:sz w:val="21"/>
          <w:szCs w:val="21"/>
          <w:highlight w:val="none"/>
        </w:rPr>
        <w:t>13.6 竣工退</w:t>
      </w:r>
      <w:bookmarkEnd w:id="1022"/>
      <w:bookmarkEnd w:id="1023"/>
      <w:r>
        <w:rPr>
          <w:rFonts w:hint="eastAsia"/>
          <w:color w:val="auto"/>
          <w:sz w:val="21"/>
          <w:szCs w:val="21"/>
          <w:highlight w:val="none"/>
        </w:rPr>
        <w:t>场</w:t>
      </w:r>
      <w:bookmarkEnd w:id="1024"/>
      <w:bookmarkEnd w:id="1025"/>
    </w:p>
    <w:bookmarkEnd w:id="1026"/>
    <w:p w14:paraId="6C31DEB9">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13.6.1 竣工退场</w:t>
      </w:r>
    </w:p>
    <w:p w14:paraId="0AC1E29E">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颁发工程接收证书后，承包人应按以下要求对施工现场进行清理：</w:t>
      </w:r>
    </w:p>
    <w:p w14:paraId="38E1FAB3">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（1）施工现场内残留的垃圾已全部清除出场；</w:t>
      </w:r>
    </w:p>
    <w:p w14:paraId="70BEC273">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（2）临时工程已拆除，场地已进行清理、平整或复原；</w:t>
      </w:r>
    </w:p>
    <w:p w14:paraId="6D552049">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（3）按合同约定应撤离的人员、承包人施工设备和剩余的材料，包括废弃的施工设备和材料，已按计划撤离施工现场；</w:t>
      </w:r>
    </w:p>
    <w:p w14:paraId="56AEA90B">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（4）施工现场周边及其附近道路、河道的施工堆积物，已全部清理；</w:t>
      </w:r>
    </w:p>
    <w:p w14:paraId="1D651D2B">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（5）施工现场其他场地清理工作已全部完成。</w:t>
      </w:r>
    </w:p>
    <w:p w14:paraId="7C0CC751">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3582C97C">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13.6.2 地表还原</w:t>
      </w:r>
    </w:p>
    <w:p w14:paraId="3264878A">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14:paraId="44609CA1">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1027" w:name="_Toc532375600"/>
      <w:bookmarkStart w:id="1028" w:name="_Toc532377281"/>
      <w:bookmarkStart w:id="1029" w:name="_Toc351203593"/>
      <w:bookmarkStart w:id="1030" w:name="_Toc337558810"/>
      <w:bookmarkStart w:id="1031" w:name="_Toc296503113"/>
      <w:bookmarkStart w:id="1032" w:name="_Toc296346614"/>
      <w:r>
        <w:rPr>
          <w:rFonts w:hint="eastAsia"/>
          <w:color w:val="auto"/>
          <w:kern w:val="2"/>
          <w:sz w:val="21"/>
          <w:szCs w:val="21"/>
          <w:highlight w:val="none"/>
        </w:rPr>
        <w:t>14. 竣工结算</w:t>
      </w:r>
      <w:bookmarkEnd w:id="1027"/>
      <w:bookmarkEnd w:id="1028"/>
      <w:bookmarkEnd w:id="1029"/>
    </w:p>
    <w:bookmarkEnd w:id="1030"/>
    <w:p w14:paraId="360B267E">
      <w:pPr>
        <w:pStyle w:val="7"/>
        <w:spacing w:before="0" w:beforeAutospacing="0" w:after="0" w:afterAutospacing="0" w:line="360" w:lineRule="auto"/>
        <w:ind w:firstLine="422" w:firstLineChars="200"/>
        <w:rPr>
          <w:color w:val="auto"/>
          <w:sz w:val="21"/>
          <w:szCs w:val="21"/>
          <w:highlight w:val="none"/>
        </w:rPr>
      </w:pPr>
      <w:bookmarkStart w:id="1033" w:name="_Toc532377282"/>
      <w:bookmarkStart w:id="1034" w:name="_Toc351203594"/>
      <w:bookmarkStart w:id="1035" w:name="_Toc337558811"/>
      <w:r>
        <w:rPr>
          <w:rFonts w:hint="eastAsia"/>
          <w:color w:val="auto"/>
          <w:sz w:val="21"/>
          <w:szCs w:val="21"/>
          <w:highlight w:val="none"/>
        </w:rPr>
        <w:t>14.1 竣工结算申请</w:t>
      </w:r>
      <w:bookmarkEnd w:id="1033"/>
      <w:bookmarkEnd w:id="1034"/>
    </w:p>
    <w:bookmarkEnd w:id="1035"/>
    <w:p w14:paraId="38DDB366">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14:paraId="42EB14BD">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除专用合同条款另有约定外，竣工结算申请单应包括以下内容：</w:t>
      </w:r>
    </w:p>
    <w:p w14:paraId="59BF0987">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（1）竣工结算合同价格；</w:t>
      </w:r>
    </w:p>
    <w:p w14:paraId="6E841EE8">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（2）发包人已支付承包人的款项；</w:t>
      </w:r>
    </w:p>
    <w:p w14:paraId="345C0206">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 xml:space="preserve">（3）应扣留的质量保证金。已缴纳履约保证金的或提供其他工程质量担保方式的除外； </w:t>
      </w:r>
    </w:p>
    <w:p w14:paraId="0AA4615E">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（4）发包人应支付承包人的合同价款。</w:t>
      </w:r>
    </w:p>
    <w:p w14:paraId="70281830">
      <w:pPr>
        <w:pStyle w:val="7"/>
        <w:spacing w:before="0" w:beforeAutospacing="0" w:after="0" w:afterAutospacing="0" w:line="360" w:lineRule="auto"/>
        <w:ind w:firstLine="422" w:firstLineChars="200"/>
        <w:rPr>
          <w:color w:val="auto"/>
          <w:sz w:val="21"/>
          <w:szCs w:val="21"/>
          <w:highlight w:val="none"/>
        </w:rPr>
      </w:pPr>
      <w:bookmarkStart w:id="1036" w:name="_Toc532377283"/>
      <w:bookmarkStart w:id="1037" w:name="_Toc351203595"/>
      <w:bookmarkStart w:id="1038" w:name="_Toc337558812"/>
      <w:r>
        <w:rPr>
          <w:rFonts w:hint="eastAsia"/>
          <w:color w:val="auto"/>
          <w:sz w:val="21"/>
          <w:szCs w:val="21"/>
          <w:highlight w:val="none"/>
        </w:rPr>
        <w:t>14.2 竣工结算审核</w:t>
      </w:r>
      <w:bookmarkEnd w:id="1036"/>
      <w:bookmarkEnd w:id="1037"/>
    </w:p>
    <w:bookmarkEnd w:id="1038"/>
    <w:p w14:paraId="629A8CCE">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发包人对竣工结算申请单有异议的，有权要求承包人进行修正和提供补充资料，承包人应提交修正后的竣工结算申请单。</w:t>
      </w:r>
    </w:p>
    <w:p w14:paraId="107DEA3C">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6DCD2259">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46881498">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55A8AD40">
      <w:pPr>
        <w:pStyle w:val="7"/>
        <w:spacing w:before="0" w:beforeAutospacing="0" w:after="0" w:afterAutospacing="0" w:line="360" w:lineRule="auto"/>
        <w:ind w:firstLine="422" w:firstLineChars="200"/>
        <w:rPr>
          <w:color w:val="auto"/>
          <w:sz w:val="21"/>
          <w:szCs w:val="21"/>
          <w:highlight w:val="none"/>
        </w:rPr>
      </w:pPr>
      <w:bookmarkStart w:id="1039" w:name="_Toc351203596"/>
      <w:bookmarkStart w:id="1040" w:name="_Toc532377284"/>
      <w:bookmarkStart w:id="1041" w:name="_Toc337558813"/>
      <w:r>
        <w:rPr>
          <w:rFonts w:hint="eastAsia"/>
          <w:color w:val="auto"/>
          <w:sz w:val="21"/>
          <w:szCs w:val="21"/>
          <w:highlight w:val="none"/>
        </w:rPr>
        <w:t>14.3 甩项竣工协议</w:t>
      </w:r>
      <w:bookmarkEnd w:id="1039"/>
      <w:bookmarkEnd w:id="1040"/>
    </w:p>
    <w:bookmarkEnd w:id="1041"/>
    <w:p w14:paraId="1940F358">
      <w:pPr>
        <w:autoSpaceDE w:val="0"/>
        <w:autoSpaceDN w:val="0"/>
        <w:spacing w:line="360" w:lineRule="auto"/>
        <w:ind w:firstLine="411" w:firstLineChars="196"/>
        <w:jc w:val="left"/>
        <w:rPr>
          <w:rFonts w:ascii="宋体" w:hAnsi="宋体"/>
          <w:color w:val="auto"/>
          <w:kern w:val="0"/>
          <w:szCs w:val="21"/>
          <w:highlight w:val="none"/>
        </w:rPr>
      </w:pPr>
      <w:r>
        <w:rPr>
          <w:rFonts w:hint="eastAsia" w:ascii="宋体" w:hAnsi="宋体"/>
          <w:color w:val="auto"/>
          <w:kern w:val="0"/>
          <w:szCs w:val="21"/>
          <w:highlight w:val="none"/>
        </w:rPr>
        <w:t>发包人要求甩项竣工的，合同当事人应签订甩项竣工协议。在甩项竣工协议中应明确，合同当事人按照第14.1款〔竣工结算申请〕及14.2款〔竣工结算审核〕的约定，对已完合格工程进行结算，并支付相应合同价款。</w:t>
      </w:r>
    </w:p>
    <w:p w14:paraId="3FE17F99">
      <w:pPr>
        <w:pStyle w:val="7"/>
        <w:spacing w:before="0" w:beforeAutospacing="0" w:after="0" w:afterAutospacing="0" w:line="360" w:lineRule="auto"/>
        <w:ind w:firstLine="422" w:firstLineChars="200"/>
        <w:rPr>
          <w:color w:val="auto"/>
          <w:sz w:val="21"/>
          <w:szCs w:val="21"/>
          <w:highlight w:val="none"/>
        </w:rPr>
      </w:pPr>
      <w:bookmarkStart w:id="1042" w:name="_Toc532377285"/>
      <w:bookmarkStart w:id="1043" w:name="_Toc351203597"/>
      <w:bookmarkStart w:id="1044" w:name="_Toc337558814"/>
      <w:r>
        <w:rPr>
          <w:rFonts w:hint="eastAsia"/>
          <w:color w:val="auto"/>
          <w:sz w:val="21"/>
          <w:szCs w:val="21"/>
          <w:highlight w:val="none"/>
        </w:rPr>
        <w:t>14.4 最终结清</w:t>
      </w:r>
      <w:bookmarkEnd w:id="1042"/>
      <w:bookmarkEnd w:id="1043"/>
    </w:p>
    <w:bookmarkEnd w:id="1044"/>
    <w:p w14:paraId="15BA4402">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14.4.1 最终结清申请单</w:t>
      </w:r>
    </w:p>
    <w:p w14:paraId="3B85F822">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（1）除专用合同条款另有约定外，承包人应在缺陷责任期终止证书颁发后7天内，按专用合同条款约定的份数向发包人提交最终结清申请单，并提供相关证明材料。</w:t>
      </w:r>
    </w:p>
    <w:p w14:paraId="3E7D6036">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除专用合同条款另有约定外，最终结清申请单应列明质量保证金、应扣除的质量保证金、缺陷责任期内发生的增减费用。</w:t>
      </w:r>
    </w:p>
    <w:p w14:paraId="007C1F69">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（2）发包人对最终结清申请单内容有异议的，有权要求承包人进行修正和提供补充资料，承包人应向发包人提交修正后的最终结清申请单。</w:t>
      </w:r>
    </w:p>
    <w:p w14:paraId="6092CE2C">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14.4.2 最终结清证书和支付</w:t>
      </w:r>
    </w:p>
    <w:p w14:paraId="1E1C5588">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6102C0C7">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32DE081E">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（3）承包人对发包人颁发的最终结清证书有异议的，按第20条〔争议解决〕的约定办理。</w:t>
      </w:r>
    </w:p>
    <w:p w14:paraId="0DC4658F">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1045" w:name="_Toc532375601"/>
      <w:bookmarkStart w:id="1046" w:name="_Toc532377286"/>
      <w:bookmarkStart w:id="1047" w:name="_Toc351203598"/>
      <w:bookmarkStart w:id="1048" w:name="_Toc337558815"/>
      <w:r>
        <w:rPr>
          <w:rFonts w:hint="eastAsia"/>
          <w:color w:val="auto"/>
          <w:kern w:val="2"/>
          <w:sz w:val="21"/>
          <w:szCs w:val="21"/>
          <w:highlight w:val="none"/>
        </w:rPr>
        <w:t>15. 缺陷责任与保修</w:t>
      </w:r>
      <w:bookmarkEnd w:id="1045"/>
      <w:bookmarkEnd w:id="1046"/>
      <w:bookmarkEnd w:id="1047"/>
    </w:p>
    <w:bookmarkEnd w:id="1031"/>
    <w:bookmarkEnd w:id="1032"/>
    <w:bookmarkEnd w:id="1048"/>
    <w:p w14:paraId="3C7E157F">
      <w:pPr>
        <w:pStyle w:val="7"/>
        <w:spacing w:before="0" w:beforeAutospacing="0" w:after="0" w:afterAutospacing="0" w:line="360" w:lineRule="auto"/>
        <w:ind w:firstLine="422" w:firstLineChars="200"/>
        <w:rPr>
          <w:color w:val="auto"/>
          <w:sz w:val="21"/>
          <w:szCs w:val="21"/>
          <w:highlight w:val="none"/>
        </w:rPr>
      </w:pPr>
      <w:bookmarkStart w:id="1049" w:name="_Toc351203599"/>
      <w:bookmarkStart w:id="1050" w:name="_Toc532377287"/>
      <w:bookmarkStart w:id="1051" w:name="_Toc337558816"/>
      <w:bookmarkStart w:id="1052" w:name="_Toc296503114"/>
      <w:bookmarkStart w:id="1053" w:name="_Toc296346615"/>
      <w:r>
        <w:rPr>
          <w:rFonts w:hint="eastAsia"/>
          <w:color w:val="auto"/>
          <w:sz w:val="21"/>
          <w:szCs w:val="21"/>
          <w:highlight w:val="none"/>
        </w:rPr>
        <w:t>15.1 工程保修的原则</w:t>
      </w:r>
      <w:bookmarkEnd w:id="1049"/>
      <w:bookmarkEnd w:id="1050"/>
    </w:p>
    <w:bookmarkEnd w:id="1051"/>
    <w:p w14:paraId="7D243C9C">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在工程移交发包人后，因承包人原因产生的质量缺陷，承包人应承担质量缺陷责任和保修义务。缺陷责任期届满，承包人仍应按合同约定的工程各部位保修年限承担保修义务。</w:t>
      </w:r>
    </w:p>
    <w:p w14:paraId="503B35E9">
      <w:pPr>
        <w:pStyle w:val="7"/>
        <w:spacing w:before="0" w:beforeAutospacing="0" w:after="0" w:afterAutospacing="0" w:line="360" w:lineRule="auto"/>
        <w:ind w:firstLine="422" w:firstLineChars="200"/>
        <w:rPr>
          <w:color w:val="auto"/>
          <w:sz w:val="21"/>
          <w:szCs w:val="21"/>
          <w:highlight w:val="none"/>
        </w:rPr>
      </w:pPr>
      <w:bookmarkStart w:id="1054" w:name="_Toc532377288"/>
      <w:bookmarkStart w:id="1055" w:name="_Toc351203600"/>
      <w:bookmarkStart w:id="1056" w:name="_Toc337558817"/>
      <w:r>
        <w:rPr>
          <w:rFonts w:hint="eastAsia"/>
          <w:color w:val="auto"/>
          <w:sz w:val="21"/>
          <w:szCs w:val="21"/>
          <w:highlight w:val="none"/>
        </w:rPr>
        <w:t>15.2 缺陷责任期</w:t>
      </w:r>
      <w:bookmarkEnd w:id="1052"/>
      <w:bookmarkEnd w:id="1053"/>
      <w:bookmarkEnd w:id="1054"/>
      <w:bookmarkEnd w:id="1055"/>
    </w:p>
    <w:bookmarkEnd w:id="1056"/>
    <w:p w14:paraId="2A703B4D">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15.2.1 缺陷责任期从工程通过竣工验收之日起计算，合同当事人应在专用合同条款约定缺陷责任期的具体期限，但该期限最长不超过24个月。</w:t>
      </w:r>
    </w:p>
    <w:p w14:paraId="042D3CCD">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6A63EEAF">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包人延长缺陷责任期，并应在原缺陷责任期届满前发出延长通知。但缺陷责任期（含延长部分）最长不能超过24个月。</w:t>
      </w:r>
    </w:p>
    <w:p w14:paraId="7A0C7186">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由他人原因造成的缺陷，发包人负责组织维修，承包人不承担费用，且发包人不得从保证金中扣除费用。</w:t>
      </w:r>
    </w:p>
    <w:p w14:paraId="7D593E64">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15.2.3 任何一项缺陷或损坏修复后，经检查证明其影响了工程或工程设备的使用性能，承包人应重新进行合同约定的试验和试运行，试验和试运行的全部费用应由责任方承担。</w:t>
      </w:r>
    </w:p>
    <w:p w14:paraId="678466F0">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75333323">
      <w:pPr>
        <w:pStyle w:val="7"/>
        <w:spacing w:before="0" w:beforeAutospacing="0" w:after="0" w:afterAutospacing="0" w:line="360" w:lineRule="auto"/>
        <w:ind w:firstLine="422" w:firstLineChars="200"/>
        <w:rPr>
          <w:color w:val="auto"/>
          <w:sz w:val="21"/>
          <w:szCs w:val="21"/>
          <w:highlight w:val="none"/>
        </w:rPr>
      </w:pPr>
      <w:bookmarkStart w:id="1057" w:name="_Toc351203601"/>
      <w:bookmarkStart w:id="1058" w:name="_Toc532377289"/>
      <w:bookmarkStart w:id="1059" w:name="_Toc337558818"/>
      <w:bookmarkStart w:id="1060" w:name="_Toc296346616"/>
      <w:bookmarkStart w:id="1061" w:name="_Toc296503115"/>
      <w:r>
        <w:rPr>
          <w:rFonts w:hint="eastAsia"/>
          <w:color w:val="auto"/>
          <w:sz w:val="21"/>
          <w:szCs w:val="21"/>
          <w:highlight w:val="none"/>
        </w:rPr>
        <w:t>15.3 质量保证金</w:t>
      </w:r>
      <w:bookmarkEnd w:id="1057"/>
      <w:bookmarkEnd w:id="1058"/>
    </w:p>
    <w:bookmarkEnd w:id="1059"/>
    <w:p w14:paraId="64102906">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经合同当事人协商一致扣留质量保证金的，应在专用合同条款中予以明确。</w:t>
      </w:r>
    </w:p>
    <w:p w14:paraId="3AF0AC3A">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在工程项目竣工前，承包人已经提供履约担保的，发包人不得同时预留工程质量保证金。</w:t>
      </w:r>
    </w:p>
    <w:p w14:paraId="6D31AB42">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15.3.1 承包人提供质量保证金的方式</w:t>
      </w:r>
    </w:p>
    <w:p w14:paraId="04D4831E">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承包人提供质量保证金有以下三种方式：</w:t>
      </w:r>
    </w:p>
    <w:p w14:paraId="75F7D9D6">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（1）质量保证金保函；</w:t>
      </w:r>
    </w:p>
    <w:p w14:paraId="13542E7C">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（2）相应比例的工程款；</w:t>
      </w:r>
    </w:p>
    <w:p w14:paraId="2B8BC94C">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（3）双方约定的其他方式。</w:t>
      </w:r>
    </w:p>
    <w:p w14:paraId="7960C033">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除专用合同条款另有约定外，质量保证金原则上采用上述第（1）种方式。</w:t>
      </w:r>
    </w:p>
    <w:p w14:paraId="1096A3CD">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15.3.2 质量保证金的扣留</w:t>
      </w:r>
    </w:p>
    <w:p w14:paraId="7FAEF642">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质量保证金的扣留有以下三种方式：</w:t>
      </w:r>
    </w:p>
    <w:p w14:paraId="24F5EE56">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（1）在支付工程进度款时逐次扣留，在此情形下，质量保证金的计算基数不包括预付款的支付、扣回以及价格调整的金额；</w:t>
      </w:r>
    </w:p>
    <w:p w14:paraId="249F8FA2">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（2）工</w:t>
      </w:r>
      <w:bookmarkStart w:id="1062" w:name="#go6"/>
      <w:bookmarkEnd w:id="1062"/>
      <w:r>
        <w:rPr>
          <w:rFonts w:hint="eastAsia" w:ascii="宋体" w:hAnsi="宋体"/>
          <w:color w:val="auto"/>
          <w:kern w:val="0"/>
          <w:szCs w:val="21"/>
          <w:highlight w:val="none"/>
        </w:rPr>
        <w:t>程竣工结算时一次性扣留质量保证金；</w:t>
      </w:r>
    </w:p>
    <w:p w14:paraId="5742BF3C">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（3）双方约定的其他扣留方式。</w:t>
      </w:r>
    </w:p>
    <w:p w14:paraId="4E621CF5">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除专用合同条款另有约定外，质量保证金的扣留原则上采用上述第（1）种方式。</w:t>
      </w:r>
    </w:p>
    <w:p w14:paraId="0A6F5E87">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w:t>
      </w:r>
      <w:bookmarkStart w:id="1063" w:name="#go4"/>
      <w:bookmarkEnd w:id="1063"/>
      <w:r>
        <w:rPr>
          <w:rFonts w:hint="eastAsia" w:ascii="宋体" w:hAnsi="宋体"/>
          <w:color w:val="auto"/>
          <w:kern w:val="0"/>
          <w:szCs w:val="21"/>
          <w:highlight w:val="none"/>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70619085">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发包人在退还质量保证金的同时按照中国人民银行发布的同期同类贷款基准利率支付利息。</w:t>
      </w:r>
    </w:p>
    <w:p w14:paraId="695BA041">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15.3.3 质量保证金的退还</w:t>
      </w:r>
    </w:p>
    <w:p w14:paraId="5D7A7260">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缺陷责任期内，承包人认真履行合同约定的责任，到期后，承包人可向发包人申请返还保证金。</w:t>
      </w:r>
    </w:p>
    <w:p w14:paraId="3F255E2D">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584973AE">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发包人和承包人对保证金预留、返还以及工程维修质量、费用有争议的，按合同第20条约定的争议和纠纷解决程序处理。</w:t>
      </w:r>
    </w:p>
    <w:p w14:paraId="5C1E61DF">
      <w:pPr>
        <w:pStyle w:val="7"/>
        <w:spacing w:before="0" w:beforeAutospacing="0" w:after="0" w:afterAutospacing="0" w:line="360" w:lineRule="auto"/>
        <w:ind w:firstLine="422" w:firstLineChars="200"/>
        <w:rPr>
          <w:color w:val="auto"/>
          <w:sz w:val="21"/>
          <w:szCs w:val="21"/>
          <w:highlight w:val="none"/>
        </w:rPr>
      </w:pPr>
      <w:bookmarkStart w:id="1064" w:name="_Toc532377290"/>
      <w:bookmarkStart w:id="1065" w:name="_Toc351203602"/>
      <w:bookmarkStart w:id="1066" w:name="_Toc337558819"/>
      <w:r>
        <w:rPr>
          <w:rFonts w:hint="eastAsia"/>
          <w:color w:val="auto"/>
          <w:sz w:val="21"/>
          <w:szCs w:val="21"/>
          <w:highlight w:val="none"/>
        </w:rPr>
        <w:t>15.4 保修</w:t>
      </w:r>
      <w:bookmarkEnd w:id="1064"/>
      <w:bookmarkEnd w:id="1065"/>
    </w:p>
    <w:bookmarkEnd w:id="1060"/>
    <w:bookmarkEnd w:id="1061"/>
    <w:bookmarkEnd w:id="1066"/>
    <w:p w14:paraId="089F300F">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15.4.1保修责任</w:t>
      </w:r>
    </w:p>
    <w:p w14:paraId="646FC0B7">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7C10ADAD">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发包人未经竣工验收擅自使用工程的，保修期自转移占有之日起算。</w:t>
      </w:r>
    </w:p>
    <w:p w14:paraId="699C8989">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15.4.2 修复费用</w:t>
      </w:r>
    </w:p>
    <w:p w14:paraId="38FAC423">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保修期内，修复的费用按照以下约定处理：</w:t>
      </w:r>
    </w:p>
    <w:p w14:paraId="1A0D4105">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（1）保修期内，因承包人原因造成工程的缺陷、损坏，承包人应负责修复，并承担修复的费用以及因工程的缺陷、损坏造成的人身伤害和财产损失；</w:t>
      </w:r>
    </w:p>
    <w:p w14:paraId="02B1C5AA">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（2）保修期内，因发包人使用不当造成工程的缺陷、损坏，可以委托承包人修复，但发包人应承担修复的费用，并支付承包人合理利润；</w:t>
      </w:r>
    </w:p>
    <w:p w14:paraId="4EB446D8">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（3）因其他原因造成工程的缺陷、损坏，可以委托承包人修复，发包人应承担修复的费用，并支付承包人合理的利润，因工程的缺陷、损坏造成的人身伤害和财产损失由责任方承担。</w:t>
      </w:r>
    </w:p>
    <w:p w14:paraId="35E59F9A">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15.4.3 修复通知</w:t>
      </w:r>
    </w:p>
    <w:p w14:paraId="2ACFF408">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0EC53B57">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15.4.4 未能修复</w:t>
      </w:r>
    </w:p>
    <w:p w14:paraId="53BB8068">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64D12160">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15.4.5 承包人出入权</w:t>
      </w:r>
    </w:p>
    <w:p w14:paraId="6B8A61B1">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64F9A0F8">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1067" w:name="_Toc532375602"/>
      <w:bookmarkStart w:id="1068" w:name="_Toc351203603"/>
      <w:bookmarkStart w:id="1069" w:name="_Toc532377291"/>
      <w:bookmarkStart w:id="1070" w:name="_Toc337558820"/>
      <w:r>
        <w:rPr>
          <w:rFonts w:hint="eastAsia"/>
          <w:color w:val="auto"/>
          <w:kern w:val="2"/>
          <w:sz w:val="21"/>
          <w:szCs w:val="21"/>
          <w:highlight w:val="none"/>
        </w:rPr>
        <w:t>16. 违约</w:t>
      </w:r>
      <w:bookmarkEnd w:id="1067"/>
      <w:bookmarkEnd w:id="1068"/>
      <w:bookmarkEnd w:id="1069"/>
    </w:p>
    <w:bookmarkEnd w:id="1070"/>
    <w:p w14:paraId="7FAAB063">
      <w:pPr>
        <w:pStyle w:val="7"/>
        <w:spacing w:before="0" w:beforeAutospacing="0" w:after="0" w:afterAutospacing="0" w:line="360" w:lineRule="auto"/>
        <w:ind w:firstLine="422" w:firstLineChars="200"/>
        <w:rPr>
          <w:color w:val="auto"/>
          <w:sz w:val="21"/>
          <w:szCs w:val="21"/>
          <w:highlight w:val="none"/>
        </w:rPr>
      </w:pPr>
      <w:bookmarkStart w:id="1071" w:name="_Toc296503129"/>
      <w:bookmarkStart w:id="1072" w:name="_Toc296346630"/>
      <w:bookmarkStart w:id="1073" w:name="_Toc532377292"/>
      <w:bookmarkStart w:id="1074" w:name="_Toc351203604"/>
      <w:bookmarkStart w:id="1075" w:name="_Toc337558821"/>
      <w:r>
        <w:rPr>
          <w:rFonts w:hint="eastAsia"/>
          <w:color w:val="auto"/>
          <w:sz w:val="21"/>
          <w:szCs w:val="21"/>
          <w:highlight w:val="none"/>
        </w:rPr>
        <w:t>16.1 发</w:t>
      </w:r>
      <w:bookmarkEnd w:id="1071"/>
      <w:bookmarkEnd w:id="1072"/>
      <w:r>
        <w:rPr>
          <w:rFonts w:hint="eastAsia"/>
          <w:color w:val="auto"/>
          <w:sz w:val="21"/>
          <w:szCs w:val="21"/>
          <w:highlight w:val="none"/>
        </w:rPr>
        <w:t>包人违约</w:t>
      </w:r>
      <w:bookmarkEnd w:id="1073"/>
      <w:bookmarkEnd w:id="1074"/>
    </w:p>
    <w:bookmarkEnd w:id="1075"/>
    <w:p w14:paraId="18C7EF83">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16.1.1 发包人违约的情形</w:t>
      </w:r>
    </w:p>
    <w:p w14:paraId="68291C20">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在合同履行过程中发生的下列情形，属于发包人违约：</w:t>
      </w:r>
    </w:p>
    <w:p w14:paraId="294655F9">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（1）因发包人原因未能在计划开工日期前7天内下达开工通知的；</w:t>
      </w:r>
    </w:p>
    <w:p w14:paraId="4D93861B">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（2）因发包人原因未能按合同约定支付合同价款的；</w:t>
      </w:r>
    </w:p>
    <w:p w14:paraId="2E168E9E">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（3）发包人违反第10.1款〔变更的范围〕第（2）项约定，自行实施被取消的工作或转由他人实施的；</w:t>
      </w:r>
    </w:p>
    <w:p w14:paraId="20EF8E6D">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（4）发包人提供的材料、工程设备的规格、数量或质量不符合合同约定，或因发包人原因导致交货日期延误或交货地点变更等情况的；</w:t>
      </w:r>
    </w:p>
    <w:p w14:paraId="64FF43D1">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（5）因发包人违反合同约定造成暂停施工的；</w:t>
      </w:r>
    </w:p>
    <w:p w14:paraId="5B542F8D">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（6）发包人无正当理由没有在约定期限内发出复工指示，导致承包人无法复工的；</w:t>
      </w:r>
    </w:p>
    <w:p w14:paraId="61A5E820">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（7）发包人明确表示或者以其行为表明不履行合同主要义务的；</w:t>
      </w:r>
    </w:p>
    <w:p w14:paraId="14F0D4B2">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（8）发包人未能按照合同约定履行其他义务的。</w:t>
      </w:r>
    </w:p>
    <w:p w14:paraId="1E9E2B66">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7C944F09">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16.1.2 发包人违约的责任</w:t>
      </w:r>
    </w:p>
    <w:p w14:paraId="1114CFDC">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发包人应承担因其违约给承包人增加的费用和（或）延误的工期，并支付承包人合理的利润。此外，合同当事人可在专用合同条款中另行约定发包人违约责任的承担方式和计算方法。</w:t>
      </w:r>
    </w:p>
    <w:p w14:paraId="720B739E">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16.1.3 因发包人违约解除合同</w:t>
      </w:r>
    </w:p>
    <w:p w14:paraId="37167247">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47C23EAD">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16.1.4 因发包人违约解除合同后的付款</w:t>
      </w:r>
    </w:p>
    <w:p w14:paraId="1B3D84ED">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承包人按照本款约定解除合同的，发包人应在解除合同后28天内支付下列款项，并解除履约担保：</w:t>
      </w:r>
    </w:p>
    <w:p w14:paraId="1D3DE66A">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（1）合同解除前所完成工作的价款；</w:t>
      </w:r>
    </w:p>
    <w:p w14:paraId="015A9BDA">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（2）承包人为工程施工订购并已付款的材料、工程设备和其他物品的价款；</w:t>
      </w:r>
    </w:p>
    <w:p w14:paraId="046E9276">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（3）承包人撤离施工现场以及遣散承包人人员的款项；</w:t>
      </w:r>
    </w:p>
    <w:p w14:paraId="43D26844">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（4）按照合同约定在合同解除前应支付的违约金；</w:t>
      </w:r>
    </w:p>
    <w:p w14:paraId="697440AD">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（5）按照合同约定应当支付给承包人的其他款项；</w:t>
      </w:r>
    </w:p>
    <w:p w14:paraId="363E1299">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（6）按照合同约定应退还的质量保证金；</w:t>
      </w:r>
    </w:p>
    <w:p w14:paraId="6B860BB0">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（7）因解除合同给承包人造成的损失。</w:t>
      </w:r>
    </w:p>
    <w:p w14:paraId="5F317507">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合同当事人未能就解除合同后的结清达成一致的，按照第20条〔争议解决〕的约定处理。</w:t>
      </w:r>
    </w:p>
    <w:p w14:paraId="5D236E76">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承包人应妥善做好已完工程和与工程有关的已购材料、工程设备的保护和移交工作，并将施工设备和人员撤出施工现场，发包人应为承包人撤出提供必要条件。</w:t>
      </w:r>
    </w:p>
    <w:p w14:paraId="2CA0E310">
      <w:pPr>
        <w:pStyle w:val="7"/>
        <w:spacing w:before="0" w:beforeAutospacing="0" w:after="0" w:afterAutospacing="0" w:line="360" w:lineRule="auto"/>
        <w:ind w:firstLine="422" w:firstLineChars="200"/>
        <w:rPr>
          <w:color w:val="auto"/>
          <w:sz w:val="21"/>
          <w:szCs w:val="21"/>
          <w:highlight w:val="none"/>
        </w:rPr>
      </w:pPr>
      <w:bookmarkStart w:id="1076" w:name="_Toc532377293"/>
      <w:bookmarkStart w:id="1077" w:name="_Toc351203605"/>
      <w:bookmarkStart w:id="1078" w:name="_Toc296503131"/>
      <w:bookmarkStart w:id="1079" w:name="_Toc296346632"/>
      <w:bookmarkStart w:id="1080" w:name="_Toc337558822"/>
      <w:r>
        <w:rPr>
          <w:rFonts w:hint="eastAsia"/>
          <w:color w:val="auto"/>
          <w:sz w:val="21"/>
          <w:szCs w:val="21"/>
          <w:highlight w:val="none"/>
        </w:rPr>
        <w:t>16.2 承包人违约</w:t>
      </w:r>
      <w:bookmarkEnd w:id="1076"/>
      <w:bookmarkEnd w:id="1077"/>
    </w:p>
    <w:bookmarkEnd w:id="1078"/>
    <w:bookmarkEnd w:id="1079"/>
    <w:bookmarkEnd w:id="1080"/>
    <w:p w14:paraId="246F2189">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16.2.1 承包人违约的情形</w:t>
      </w:r>
    </w:p>
    <w:p w14:paraId="0719B684">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在合同履行过程中发生的下列情形，属于承包人违约：</w:t>
      </w:r>
    </w:p>
    <w:p w14:paraId="41E46DB8">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（1）承包人违反合同约定进行转包或违法分包的；</w:t>
      </w:r>
    </w:p>
    <w:p w14:paraId="3096C65E">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（2）承包人违反合同约定采购和使用不合格的材料和工程设备的；</w:t>
      </w:r>
    </w:p>
    <w:p w14:paraId="3945E2F0">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 xml:space="preserve">（3）因承包人原因导致工程质量不符合合同要求的； </w:t>
      </w:r>
    </w:p>
    <w:p w14:paraId="60F2F7FE">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（4）承包人违反第8.9款〔材料与设备专用要求〕的约定，未经批准，私自将已按照合同约定进入施工现场的材料或设备撤离施工现场的；</w:t>
      </w:r>
    </w:p>
    <w:p w14:paraId="3D87C8AA">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（5）承包人未能按施工进度计划及时完成合同约定的工作，造成工期延误的；</w:t>
      </w:r>
    </w:p>
    <w:p w14:paraId="44B12737">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（6）承包人在缺陷责任期及保修期内，未能在合理期限对工程缺陷进行修复，或拒绝按发包人要求进行修复的；</w:t>
      </w:r>
    </w:p>
    <w:p w14:paraId="63A5EB15">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（7）承包人明确表示或者以其行为表明不履行合同主要义务的；</w:t>
      </w:r>
    </w:p>
    <w:p w14:paraId="7515AB1C">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（8）承包人未能按照合同约定履行其他义务的。</w:t>
      </w:r>
    </w:p>
    <w:p w14:paraId="36CC5308">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承包人发生除本项第（7）目约定以外的其他违约情况时，监理人可向承包人发出整改通知，要求其在指定的期限内改正。</w:t>
      </w:r>
    </w:p>
    <w:p w14:paraId="12979AAC">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16.2.2 承包人违约的责任</w:t>
      </w:r>
    </w:p>
    <w:p w14:paraId="5F23FD2E">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承包人应承担因其违约行为而增加的费用和（或）延误的工期。此外，合同当事人可在专用合同条款中另行约定承包人违约责任的承担方式和计算方法。</w:t>
      </w:r>
    </w:p>
    <w:p w14:paraId="51108D10">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16.2.3 因承包人违约解除合同</w:t>
      </w:r>
    </w:p>
    <w:p w14:paraId="4C4E780D">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453B8100">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16.2.4因承包人违约解除合同后的处理</w:t>
      </w:r>
    </w:p>
    <w:p w14:paraId="00270CA7">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因承包人原因导致合同解除的，则合同当事人应在合同解除后28天内完成估价、付款和清算，并按以下约定执行：</w:t>
      </w:r>
    </w:p>
    <w:p w14:paraId="215BB88E">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（1）合同解除后，按第4.4款〔商定或确定〕商定或确定承包人实际完成工作对应的合同价款，以及承包人已提供的材料、工程设备、施工设备和临时工程等的价值；</w:t>
      </w:r>
    </w:p>
    <w:p w14:paraId="3B632F3B">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（2）合同解除后，承包人应支付的违约金；</w:t>
      </w:r>
    </w:p>
    <w:p w14:paraId="02FEC9E0">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（3）合同解除后，因解除合同给发包人造成的损失；</w:t>
      </w:r>
    </w:p>
    <w:p w14:paraId="77AAC638">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（4）合同解除后，承包人应按照发包人要求和监理人的指示完成现场的清理和撤离；</w:t>
      </w:r>
    </w:p>
    <w:p w14:paraId="4798CA68">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（5）发包人和承包人应在合同解除后进行清算，出具最终结清付款证书，结清全部款项。</w:t>
      </w:r>
    </w:p>
    <w:p w14:paraId="65B97377">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因承包人违约解除合同的，发包人有权暂停对承包人的付款，查清各项付款和已扣款项。发包人和承包人未能就合同解除后的清算和款项支付达成一致的，按照第20条〔争议解决〕的约定处理。</w:t>
      </w:r>
    </w:p>
    <w:p w14:paraId="4CFBCC85">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16.2.5采购合同权益转让</w:t>
      </w:r>
    </w:p>
    <w:p w14:paraId="00689AB6">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0F8D35F1">
      <w:pPr>
        <w:pStyle w:val="7"/>
        <w:spacing w:before="0" w:beforeAutospacing="0" w:after="0" w:afterAutospacing="0" w:line="360" w:lineRule="auto"/>
        <w:ind w:firstLine="422" w:firstLineChars="200"/>
        <w:rPr>
          <w:color w:val="auto"/>
          <w:sz w:val="21"/>
          <w:szCs w:val="21"/>
          <w:highlight w:val="none"/>
        </w:rPr>
      </w:pPr>
      <w:bookmarkStart w:id="1081" w:name="_Toc532377294"/>
      <w:bookmarkStart w:id="1082" w:name="_Toc351203606"/>
      <w:r>
        <w:rPr>
          <w:rFonts w:hint="eastAsia"/>
          <w:color w:val="auto"/>
          <w:sz w:val="21"/>
          <w:szCs w:val="21"/>
          <w:highlight w:val="none"/>
        </w:rPr>
        <w:t>16.3 第三人造成的违约</w:t>
      </w:r>
      <w:bookmarkEnd w:id="1081"/>
      <w:bookmarkEnd w:id="1082"/>
    </w:p>
    <w:p w14:paraId="2ABB3EEF">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在履行合同过程中，一方当事人因第三人的原因造成违约的，应当向对方当事人承担违约责任。一方当事人和第三人之间的纠纷，依照法律规定或者按照约定解决。</w:t>
      </w:r>
    </w:p>
    <w:p w14:paraId="3127EA1C">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1083" w:name="_Toc296503116"/>
      <w:bookmarkStart w:id="1084" w:name="_Toc351203607"/>
      <w:bookmarkStart w:id="1085" w:name="_Toc532377295"/>
      <w:bookmarkStart w:id="1086" w:name="_Toc532375603"/>
      <w:bookmarkStart w:id="1087" w:name="_Toc337558823"/>
      <w:bookmarkStart w:id="1088" w:name="_Toc296346617"/>
      <w:r>
        <w:rPr>
          <w:rFonts w:hint="eastAsia"/>
          <w:color w:val="auto"/>
          <w:kern w:val="2"/>
          <w:sz w:val="21"/>
          <w:szCs w:val="21"/>
          <w:highlight w:val="none"/>
        </w:rPr>
        <w:t>17. 不可抗力</w:t>
      </w:r>
      <w:bookmarkEnd w:id="1083"/>
      <w:bookmarkEnd w:id="1084"/>
      <w:bookmarkEnd w:id="1085"/>
      <w:bookmarkEnd w:id="1086"/>
      <w:bookmarkEnd w:id="1087"/>
      <w:bookmarkEnd w:id="1088"/>
    </w:p>
    <w:p w14:paraId="49FE1B3F">
      <w:pPr>
        <w:pStyle w:val="7"/>
        <w:spacing w:before="0" w:beforeAutospacing="0" w:after="0" w:afterAutospacing="0" w:line="360" w:lineRule="auto"/>
        <w:ind w:firstLine="422" w:firstLineChars="200"/>
        <w:rPr>
          <w:color w:val="auto"/>
          <w:sz w:val="21"/>
          <w:szCs w:val="21"/>
          <w:highlight w:val="none"/>
        </w:rPr>
      </w:pPr>
      <w:bookmarkStart w:id="1089" w:name="_Toc351203608"/>
      <w:bookmarkStart w:id="1090" w:name="_Toc532377296"/>
      <w:bookmarkStart w:id="1091" w:name="_Toc337558824"/>
      <w:bookmarkStart w:id="1092" w:name="_Toc296503117"/>
      <w:bookmarkStart w:id="1093" w:name="_Toc296346618"/>
      <w:r>
        <w:rPr>
          <w:rFonts w:hint="eastAsia"/>
          <w:color w:val="auto"/>
          <w:sz w:val="21"/>
          <w:szCs w:val="21"/>
          <w:highlight w:val="none"/>
        </w:rPr>
        <w:t>17.1 不可抗力的确认</w:t>
      </w:r>
      <w:bookmarkEnd w:id="1089"/>
      <w:bookmarkEnd w:id="1090"/>
    </w:p>
    <w:bookmarkEnd w:id="1091"/>
    <w:bookmarkEnd w:id="1092"/>
    <w:bookmarkEnd w:id="1093"/>
    <w:p w14:paraId="34EDC1DA">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10DEBF3C">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640E89A0">
      <w:pPr>
        <w:pStyle w:val="7"/>
        <w:spacing w:before="0" w:beforeAutospacing="0" w:after="0" w:afterAutospacing="0" w:line="360" w:lineRule="auto"/>
        <w:ind w:firstLine="422" w:firstLineChars="200"/>
        <w:rPr>
          <w:color w:val="auto"/>
          <w:sz w:val="21"/>
          <w:szCs w:val="21"/>
          <w:highlight w:val="none"/>
        </w:rPr>
      </w:pPr>
      <w:bookmarkStart w:id="1094" w:name="_Toc532377297"/>
      <w:bookmarkStart w:id="1095" w:name="_Toc351203609"/>
      <w:bookmarkStart w:id="1096" w:name="_Toc296346619"/>
      <w:bookmarkStart w:id="1097" w:name="_Toc296503118"/>
      <w:bookmarkStart w:id="1098" w:name="_Toc337558825"/>
      <w:r>
        <w:rPr>
          <w:rFonts w:hint="eastAsia"/>
          <w:color w:val="auto"/>
          <w:sz w:val="21"/>
          <w:szCs w:val="21"/>
          <w:highlight w:val="none"/>
        </w:rPr>
        <w:t>17.2 不可抗力的通知</w:t>
      </w:r>
      <w:bookmarkEnd w:id="1094"/>
      <w:bookmarkEnd w:id="1095"/>
    </w:p>
    <w:bookmarkEnd w:id="1096"/>
    <w:bookmarkEnd w:id="1097"/>
    <w:bookmarkEnd w:id="1098"/>
    <w:p w14:paraId="14E636B3">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合同一方当事人遇到不可抗力事件，使其履行合同义务受到阻碍时，应立即通知合同另一方当事人和监理人，书面说明不可抗力和受阻碍的详细情况，并提供必要的证明。</w:t>
      </w:r>
    </w:p>
    <w:p w14:paraId="792AB2A5">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不可抗力持续发生的，合同一方当事人应及时向合同另一方当事人和监理人提交中间报告，说明不可抗力和履行合同受阻的情况，并于不可抗力事件结束后28天内提交最终报告及有关资料。</w:t>
      </w:r>
    </w:p>
    <w:p w14:paraId="52339BDB">
      <w:pPr>
        <w:pStyle w:val="7"/>
        <w:spacing w:before="0" w:beforeAutospacing="0" w:after="0" w:afterAutospacing="0" w:line="360" w:lineRule="auto"/>
        <w:ind w:firstLine="422" w:firstLineChars="200"/>
        <w:rPr>
          <w:color w:val="auto"/>
          <w:sz w:val="21"/>
          <w:szCs w:val="21"/>
          <w:highlight w:val="none"/>
        </w:rPr>
      </w:pPr>
      <w:bookmarkStart w:id="1099" w:name="_Toc532377298"/>
      <w:r>
        <w:rPr>
          <w:rFonts w:hint="eastAsia"/>
          <w:color w:val="auto"/>
          <w:sz w:val="21"/>
          <w:szCs w:val="21"/>
          <w:highlight w:val="none"/>
        </w:rPr>
        <w:t>17.3 不可抗力后果的承担</w:t>
      </w:r>
      <w:bookmarkEnd w:id="1099"/>
    </w:p>
    <w:p w14:paraId="12778A1E">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17.3.1 不可抗力引起的后果及造成的损失由合同当事人按照法律规定及合同约定各自承担。不可抗力发生前已完成的工程应当按照合同约定进行计量支付。</w:t>
      </w:r>
    </w:p>
    <w:p w14:paraId="390C22BE">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17.3.2 不可抗力导致的人员伤亡、财产损失、费用增加和（或）工期延误等后果，由合同当事人按以下原则承担：</w:t>
      </w:r>
    </w:p>
    <w:p w14:paraId="47EE2B2A">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（1）永久工程、已运至施工现场的材料和工程设备的损坏，以及因工程损坏造成的第三人人员伤亡和财产损失由发包人承担；</w:t>
      </w:r>
    </w:p>
    <w:p w14:paraId="7104776F">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（2）承包人施工设备的损坏由承包人承担；</w:t>
      </w:r>
    </w:p>
    <w:p w14:paraId="38950A59">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（3）发包人和承包人承担各自人员伤亡和财产的损失；</w:t>
      </w:r>
    </w:p>
    <w:p w14:paraId="621DFC6B">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14:paraId="44996C59">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（5）因不可抗力引起或将引起工期延误，发包人要求赶工的，由此增加的赶工费用由发包人承担；</w:t>
      </w:r>
    </w:p>
    <w:p w14:paraId="58EF8063">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（6）承包人在停工期间按照发包人要求照管、清理和修复工程的费用由发包人承担。</w:t>
      </w:r>
    </w:p>
    <w:p w14:paraId="1488C676">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不可抗力发生后，合同当事人均应采取措施尽量避免和减少损失的扩大，任何一方当事人没有采取有效措施导致损失扩大的，应对扩大的损失承担责任。</w:t>
      </w:r>
    </w:p>
    <w:p w14:paraId="21F2605F">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因合同一方迟延履行合同义务，在迟延履行期间遭遇不可抗力的，不免除其违约责任。</w:t>
      </w:r>
    </w:p>
    <w:p w14:paraId="437DA708">
      <w:pPr>
        <w:pStyle w:val="7"/>
        <w:spacing w:before="0" w:beforeAutospacing="0" w:after="0" w:afterAutospacing="0" w:line="360" w:lineRule="auto"/>
        <w:ind w:firstLine="422" w:firstLineChars="200"/>
        <w:rPr>
          <w:color w:val="auto"/>
          <w:sz w:val="21"/>
          <w:szCs w:val="21"/>
          <w:highlight w:val="none"/>
        </w:rPr>
      </w:pPr>
      <w:bookmarkStart w:id="1100" w:name="_Toc351203611"/>
      <w:bookmarkStart w:id="1101" w:name="_Toc532377299"/>
      <w:bookmarkStart w:id="1102" w:name="_Toc337558827"/>
      <w:r>
        <w:rPr>
          <w:rFonts w:hint="eastAsia"/>
          <w:color w:val="auto"/>
          <w:sz w:val="21"/>
          <w:szCs w:val="21"/>
          <w:highlight w:val="none"/>
        </w:rPr>
        <w:t>17.4 因不可抗力解除合同</w:t>
      </w:r>
      <w:bookmarkEnd w:id="1100"/>
      <w:bookmarkEnd w:id="1101"/>
    </w:p>
    <w:bookmarkEnd w:id="1102"/>
    <w:p w14:paraId="5D39DF24">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因不可抗力导致合同无法履行连续超过84天或累计超过140天的，发包人和承包人均有权解除合同。合同解除后，由双方当事人按照第4.4款〔商定或确定〕商定或确定发包人应支付的款项，该款项包括：</w:t>
      </w:r>
    </w:p>
    <w:p w14:paraId="1254A026">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（1）合同解除前承包人已完成工作的价款；</w:t>
      </w:r>
    </w:p>
    <w:p w14:paraId="3A8F1451">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（2）承包人为工程订购的并已交付给承包人，或承包人有责任接受交付的材料、工程设备和其他物品的价款；</w:t>
      </w:r>
    </w:p>
    <w:p w14:paraId="505E418E">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（3）发包人要求承包人退货或解除订货合同而产生的费用，或因不能退货或解除合同而产生的损失；</w:t>
      </w:r>
    </w:p>
    <w:p w14:paraId="55EF5B4F">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（4）承包人撤离施工现场以及遣散承包人人员的费用；</w:t>
      </w:r>
    </w:p>
    <w:p w14:paraId="67AA558C">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（5）按照合同约定在合同解除前应支付给承包人的其他款项；</w:t>
      </w:r>
    </w:p>
    <w:p w14:paraId="637BACBA">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（6）扣减承包人按照合同约定应向发包人支付的款项；</w:t>
      </w:r>
    </w:p>
    <w:p w14:paraId="5FAD4920">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（7）双方商定或确定的其他款项。</w:t>
      </w:r>
    </w:p>
    <w:p w14:paraId="3E57AE90">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除专用合同条款另有约定外，合同解除后，发包人应在商定或确定上述款项后28天内完成上述款项的支付。</w:t>
      </w:r>
    </w:p>
    <w:p w14:paraId="78E9207B">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1103" w:name="_Toc351203612"/>
      <w:bookmarkStart w:id="1104" w:name="_Toc532375604"/>
      <w:bookmarkStart w:id="1105" w:name="_Toc532377300"/>
      <w:bookmarkStart w:id="1106" w:name="_Toc296346621"/>
      <w:bookmarkStart w:id="1107" w:name="_Toc296503120"/>
      <w:bookmarkStart w:id="1108" w:name="_Toc337558828"/>
      <w:r>
        <w:rPr>
          <w:rFonts w:hint="eastAsia"/>
          <w:color w:val="auto"/>
          <w:kern w:val="2"/>
          <w:sz w:val="21"/>
          <w:szCs w:val="21"/>
          <w:highlight w:val="none"/>
        </w:rPr>
        <w:t>18. 保险</w:t>
      </w:r>
      <w:bookmarkEnd w:id="1103"/>
      <w:bookmarkEnd w:id="1104"/>
      <w:bookmarkEnd w:id="1105"/>
    </w:p>
    <w:bookmarkEnd w:id="1106"/>
    <w:bookmarkEnd w:id="1107"/>
    <w:bookmarkEnd w:id="1108"/>
    <w:p w14:paraId="6A2EAA1F">
      <w:pPr>
        <w:pStyle w:val="7"/>
        <w:spacing w:before="0" w:beforeAutospacing="0" w:after="0" w:afterAutospacing="0" w:line="360" w:lineRule="auto"/>
        <w:ind w:firstLine="422" w:firstLineChars="200"/>
        <w:rPr>
          <w:color w:val="auto"/>
          <w:sz w:val="21"/>
          <w:szCs w:val="21"/>
          <w:highlight w:val="none"/>
        </w:rPr>
      </w:pPr>
      <w:bookmarkStart w:id="1109" w:name="_Toc532377301"/>
      <w:bookmarkStart w:id="1110" w:name="_Toc351203613"/>
      <w:bookmarkStart w:id="1111" w:name="_Toc296346622"/>
      <w:bookmarkStart w:id="1112" w:name="_Toc337558829"/>
      <w:bookmarkStart w:id="1113" w:name="_Toc296503121"/>
      <w:r>
        <w:rPr>
          <w:rFonts w:hint="eastAsia"/>
          <w:color w:val="auto"/>
          <w:sz w:val="21"/>
          <w:szCs w:val="21"/>
          <w:highlight w:val="none"/>
        </w:rPr>
        <w:t>18.1 工程保险</w:t>
      </w:r>
      <w:bookmarkEnd w:id="1109"/>
      <w:bookmarkEnd w:id="1110"/>
    </w:p>
    <w:bookmarkEnd w:id="1111"/>
    <w:bookmarkEnd w:id="1112"/>
    <w:bookmarkEnd w:id="1113"/>
    <w:p w14:paraId="2441CDEF">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除专用合同条款另有约定外，发包人应投保建筑工程一切险或安装工程一切险；发包人委托承包人投保的，因投保产生的保险费和其他相关费用由发包人承担。</w:t>
      </w:r>
    </w:p>
    <w:p w14:paraId="5055C621">
      <w:pPr>
        <w:pStyle w:val="7"/>
        <w:spacing w:before="0" w:beforeAutospacing="0" w:after="0" w:afterAutospacing="0" w:line="360" w:lineRule="auto"/>
        <w:ind w:firstLine="422" w:firstLineChars="200"/>
        <w:rPr>
          <w:color w:val="auto"/>
          <w:sz w:val="21"/>
          <w:szCs w:val="21"/>
          <w:highlight w:val="none"/>
        </w:rPr>
      </w:pPr>
      <w:bookmarkStart w:id="1114" w:name="_Toc532377302"/>
      <w:bookmarkStart w:id="1115" w:name="_Toc351203614"/>
      <w:bookmarkStart w:id="1116" w:name="_Toc337558830"/>
      <w:bookmarkStart w:id="1117" w:name="_Toc296503122"/>
      <w:bookmarkStart w:id="1118" w:name="_Toc296346623"/>
      <w:r>
        <w:rPr>
          <w:rFonts w:hint="eastAsia"/>
          <w:color w:val="auto"/>
          <w:sz w:val="21"/>
          <w:szCs w:val="21"/>
          <w:highlight w:val="none"/>
        </w:rPr>
        <w:t>18.2 工伤保险</w:t>
      </w:r>
      <w:bookmarkEnd w:id="1114"/>
      <w:bookmarkEnd w:id="1115"/>
    </w:p>
    <w:bookmarkEnd w:id="1116"/>
    <w:bookmarkEnd w:id="1117"/>
    <w:bookmarkEnd w:id="1118"/>
    <w:p w14:paraId="40AB2DA3">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18.2.1 发包人应依照法律规定参加工伤保险，并为在施工现场的全部员工办理工伤保险，缴纳工伤保险费，并要求监理人及由发包人为履行合同聘请的第三方依法参加工伤保险。</w:t>
      </w:r>
    </w:p>
    <w:p w14:paraId="552498CD">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18.2.2 承包人应依照法律规定参加工伤保险，并为其履行合同的全部员工办理工伤保险，缴纳工伤保险费，并要求分包人及由承包人为履行合同聘请的第三方依法参加工伤保险。</w:t>
      </w:r>
    </w:p>
    <w:p w14:paraId="1E52986B">
      <w:pPr>
        <w:pStyle w:val="7"/>
        <w:spacing w:before="0" w:beforeAutospacing="0" w:after="0" w:afterAutospacing="0" w:line="360" w:lineRule="auto"/>
        <w:ind w:firstLine="422" w:firstLineChars="200"/>
        <w:rPr>
          <w:color w:val="auto"/>
          <w:sz w:val="21"/>
          <w:szCs w:val="21"/>
          <w:highlight w:val="none"/>
        </w:rPr>
      </w:pPr>
      <w:bookmarkStart w:id="1119" w:name="_Toc532377303"/>
      <w:bookmarkStart w:id="1120" w:name="_Toc351203615"/>
      <w:bookmarkStart w:id="1121" w:name="_Toc296503125"/>
      <w:bookmarkStart w:id="1122" w:name="_Toc296346626"/>
      <w:bookmarkStart w:id="1123" w:name="_Toc337558831"/>
      <w:r>
        <w:rPr>
          <w:rFonts w:hint="eastAsia"/>
          <w:color w:val="auto"/>
          <w:sz w:val="21"/>
          <w:szCs w:val="21"/>
          <w:highlight w:val="none"/>
        </w:rPr>
        <w:t>18.3其他保险</w:t>
      </w:r>
      <w:bookmarkEnd w:id="1119"/>
      <w:bookmarkEnd w:id="1120"/>
    </w:p>
    <w:bookmarkEnd w:id="1121"/>
    <w:bookmarkEnd w:id="1122"/>
    <w:bookmarkEnd w:id="1123"/>
    <w:p w14:paraId="65593CA4">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发包人和承包人可以为其施工现场的全部人员办理意外伤害保险并支付保险费，包括其员工及为履行合同聘请的第三方的人员，具体事项由合同当事人在专用合同条款约定。</w:t>
      </w:r>
    </w:p>
    <w:p w14:paraId="5F2F5880">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除专用合同条款另有约定外，承包人应为其施工设备等办理财产保险。</w:t>
      </w:r>
    </w:p>
    <w:p w14:paraId="39573B63">
      <w:pPr>
        <w:pStyle w:val="7"/>
        <w:spacing w:before="0" w:beforeAutospacing="0" w:after="0" w:afterAutospacing="0" w:line="360" w:lineRule="auto"/>
        <w:ind w:firstLine="422" w:firstLineChars="200"/>
        <w:rPr>
          <w:color w:val="auto"/>
          <w:sz w:val="21"/>
          <w:szCs w:val="21"/>
          <w:highlight w:val="none"/>
        </w:rPr>
      </w:pPr>
      <w:bookmarkStart w:id="1124" w:name="_Toc532377304"/>
      <w:bookmarkStart w:id="1125" w:name="_Toc351203616"/>
      <w:r>
        <w:rPr>
          <w:rFonts w:hint="eastAsia"/>
          <w:color w:val="auto"/>
          <w:sz w:val="21"/>
          <w:szCs w:val="21"/>
          <w:highlight w:val="none"/>
        </w:rPr>
        <w:t>18.4持续保险</w:t>
      </w:r>
      <w:bookmarkEnd w:id="1124"/>
      <w:bookmarkEnd w:id="1125"/>
    </w:p>
    <w:p w14:paraId="0EC52B6B">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合同当事人应与保险人保持联系，使保险人能够随时了解工程实施中的变动，并确保按保险合同条款要求持续保险。</w:t>
      </w:r>
    </w:p>
    <w:p w14:paraId="77B088EE">
      <w:pPr>
        <w:pStyle w:val="7"/>
        <w:spacing w:before="0" w:beforeAutospacing="0" w:after="0" w:afterAutospacing="0" w:line="360" w:lineRule="auto"/>
        <w:ind w:firstLine="422" w:firstLineChars="200"/>
        <w:rPr>
          <w:color w:val="auto"/>
          <w:sz w:val="21"/>
          <w:szCs w:val="21"/>
          <w:highlight w:val="none"/>
        </w:rPr>
      </w:pPr>
      <w:bookmarkStart w:id="1126" w:name="_Toc351203617"/>
      <w:bookmarkStart w:id="1127" w:name="_Toc532377305"/>
      <w:bookmarkStart w:id="1128" w:name="_Toc296346627"/>
      <w:bookmarkStart w:id="1129" w:name="_Toc337558832"/>
      <w:bookmarkStart w:id="1130" w:name="_Toc296503126"/>
      <w:r>
        <w:rPr>
          <w:rFonts w:hint="eastAsia"/>
          <w:color w:val="auto"/>
          <w:sz w:val="21"/>
          <w:szCs w:val="21"/>
          <w:highlight w:val="none"/>
        </w:rPr>
        <w:t>18.5 保险凭证</w:t>
      </w:r>
      <w:bookmarkEnd w:id="1126"/>
      <w:bookmarkEnd w:id="1127"/>
    </w:p>
    <w:bookmarkEnd w:id="1128"/>
    <w:bookmarkEnd w:id="1129"/>
    <w:bookmarkEnd w:id="1130"/>
    <w:p w14:paraId="011555B6">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合同当事人应及时向另一方当事人提交其已投保的各项保险的凭证和保险单复印件。</w:t>
      </w:r>
    </w:p>
    <w:p w14:paraId="333A235E">
      <w:pPr>
        <w:pStyle w:val="7"/>
        <w:spacing w:before="0" w:beforeAutospacing="0" w:after="0" w:afterAutospacing="0" w:line="360" w:lineRule="auto"/>
        <w:ind w:firstLine="422" w:firstLineChars="200"/>
        <w:rPr>
          <w:color w:val="auto"/>
          <w:sz w:val="21"/>
          <w:szCs w:val="21"/>
          <w:highlight w:val="none"/>
        </w:rPr>
      </w:pPr>
      <w:bookmarkStart w:id="1131" w:name="_Toc532377306"/>
      <w:bookmarkStart w:id="1132" w:name="_Toc351203618"/>
      <w:bookmarkStart w:id="1133" w:name="_Toc296346628"/>
      <w:bookmarkStart w:id="1134" w:name="_Toc337558833"/>
      <w:bookmarkStart w:id="1135" w:name="_Toc296503127"/>
      <w:r>
        <w:rPr>
          <w:rFonts w:hint="eastAsia"/>
          <w:color w:val="auto"/>
          <w:sz w:val="21"/>
          <w:szCs w:val="21"/>
          <w:highlight w:val="none"/>
        </w:rPr>
        <w:t>18.6 未按约定投保的补救</w:t>
      </w:r>
      <w:bookmarkEnd w:id="1131"/>
      <w:bookmarkEnd w:id="1132"/>
    </w:p>
    <w:bookmarkEnd w:id="1133"/>
    <w:bookmarkEnd w:id="1134"/>
    <w:bookmarkEnd w:id="1135"/>
    <w:p w14:paraId="568C1098">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18.6.1发包人未按合同约定办理保险，或未能使保险持续有效的，则承包人可代为办理，所需费用由发包人承担。发包人未按合同约定办理保险，导致未能得到足额赔偿的，由发包人负责补足。</w:t>
      </w:r>
    </w:p>
    <w:p w14:paraId="34EC2966">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18.6.2承包人未按合同约定办理保险，或未能使保险持续有效的，则发包人可代为办理，所需费用由承包人承担。承包人未按合同约定办理保险，导致未能得到足额赔偿的，由承包人负责补足。</w:t>
      </w:r>
    </w:p>
    <w:p w14:paraId="75083EF8">
      <w:pPr>
        <w:pStyle w:val="7"/>
        <w:spacing w:before="0" w:beforeAutospacing="0" w:after="0" w:afterAutospacing="0" w:line="360" w:lineRule="auto"/>
        <w:ind w:firstLine="422" w:firstLineChars="200"/>
        <w:rPr>
          <w:color w:val="auto"/>
          <w:sz w:val="21"/>
          <w:szCs w:val="21"/>
          <w:highlight w:val="none"/>
        </w:rPr>
      </w:pPr>
      <w:bookmarkStart w:id="1136" w:name="_Toc351203619"/>
      <w:bookmarkStart w:id="1137" w:name="_Toc532377307"/>
      <w:bookmarkStart w:id="1138" w:name="_Toc337558834"/>
      <w:r>
        <w:rPr>
          <w:rFonts w:hint="eastAsia"/>
          <w:color w:val="auto"/>
          <w:sz w:val="21"/>
          <w:szCs w:val="21"/>
          <w:highlight w:val="none"/>
        </w:rPr>
        <w:t>18.7 通知义务</w:t>
      </w:r>
      <w:bookmarkEnd w:id="1136"/>
      <w:bookmarkEnd w:id="1137"/>
    </w:p>
    <w:bookmarkEnd w:id="1138"/>
    <w:p w14:paraId="7919FE45">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14:paraId="12395F30">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保险事故发生时，投保人应按照保险合同规定的条件和期限及时向保险人报告。发包人和承包人应当在知道保险事故发生后及时通知对方。</w:t>
      </w:r>
    </w:p>
    <w:p w14:paraId="229FF31D">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1139" w:name="_Toc532377308"/>
      <w:bookmarkStart w:id="1140" w:name="_Toc532375605"/>
      <w:r>
        <w:rPr>
          <w:rFonts w:hint="eastAsia"/>
          <w:color w:val="auto"/>
          <w:kern w:val="2"/>
          <w:sz w:val="21"/>
          <w:szCs w:val="21"/>
          <w:highlight w:val="none"/>
        </w:rPr>
        <w:t>19. 索赔</w:t>
      </w:r>
      <w:bookmarkEnd w:id="1139"/>
      <w:bookmarkEnd w:id="1140"/>
    </w:p>
    <w:p w14:paraId="10AAFC1F">
      <w:pPr>
        <w:pStyle w:val="7"/>
        <w:spacing w:before="0" w:beforeAutospacing="0" w:after="0" w:afterAutospacing="0" w:line="360" w:lineRule="auto"/>
        <w:ind w:firstLine="422" w:firstLineChars="200"/>
        <w:rPr>
          <w:color w:val="auto"/>
          <w:sz w:val="21"/>
          <w:szCs w:val="21"/>
          <w:highlight w:val="none"/>
        </w:rPr>
      </w:pPr>
      <w:bookmarkStart w:id="1141" w:name="_Toc532377309"/>
      <w:r>
        <w:rPr>
          <w:rFonts w:hint="eastAsia"/>
          <w:color w:val="auto"/>
          <w:sz w:val="21"/>
          <w:szCs w:val="21"/>
          <w:highlight w:val="none"/>
        </w:rPr>
        <w:t>19.1承包人的索赔</w:t>
      </w:r>
      <w:bookmarkEnd w:id="1141"/>
    </w:p>
    <w:p w14:paraId="47363E81">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根据合同约定，承包人认为有权得到追加付款和（或）延长工期的，应按以下程序向发包人提出索赔：</w:t>
      </w:r>
    </w:p>
    <w:p w14:paraId="6852AC5D">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16214691">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（2）承包人应在发出索赔意向通知书后28天内，向监理人正式递交索赔报告；索赔报告应详细说明索赔理由以及要求追加的付款金额和（或）延长的工期，并附必要的记录和证明材料；</w:t>
      </w:r>
    </w:p>
    <w:p w14:paraId="640115AF">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（3）索赔事件具有持续影响的，承包人应按合理时间间隔继续递交延续索赔通知，说明持续影响的实际情况和记录，列出累计的追加付款金额和（或）工期延长天数；</w:t>
      </w:r>
    </w:p>
    <w:p w14:paraId="4F6BAC8D">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（4）在索赔事件影响结束后28天内，承包人应向监理人递交最终索赔报告，说明最终要求索赔的追加付款金额和（或）延长的工期，并附必要的记录和证明材料。</w:t>
      </w:r>
    </w:p>
    <w:p w14:paraId="106B56C5">
      <w:pPr>
        <w:pStyle w:val="7"/>
        <w:spacing w:before="0" w:beforeAutospacing="0" w:after="0" w:afterAutospacing="0" w:line="360" w:lineRule="auto"/>
        <w:ind w:firstLine="422" w:firstLineChars="200"/>
        <w:rPr>
          <w:color w:val="auto"/>
          <w:sz w:val="21"/>
          <w:szCs w:val="21"/>
          <w:highlight w:val="none"/>
        </w:rPr>
      </w:pPr>
      <w:bookmarkStart w:id="1142" w:name="_Toc532377310"/>
      <w:bookmarkStart w:id="1143" w:name="_Toc351203622"/>
      <w:bookmarkStart w:id="1144" w:name="_Toc296346643"/>
      <w:bookmarkStart w:id="1145" w:name="_Toc337558837"/>
      <w:bookmarkStart w:id="1146" w:name="_Toc296503142"/>
      <w:r>
        <w:rPr>
          <w:rFonts w:hint="eastAsia"/>
          <w:color w:val="auto"/>
          <w:sz w:val="21"/>
          <w:szCs w:val="21"/>
          <w:highlight w:val="none"/>
        </w:rPr>
        <w:t>19.2 对承包人索赔的处理</w:t>
      </w:r>
      <w:bookmarkEnd w:id="1142"/>
      <w:bookmarkEnd w:id="1143"/>
    </w:p>
    <w:bookmarkEnd w:id="1144"/>
    <w:bookmarkEnd w:id="1145"/>
    <w:bookmarkEnd w:id="1146"/>
    <w:p w14:paraId="46A7D150">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对承包人索赔的处理如下：</w:t>
      </w:r>
    </w:p>
    <w:p w14:paraId="3324E1A4">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（1）监理人应在收到索赔报告后14天内完成审查并报送发包人。监理人对索赔报告存在异议的，有权要求承包人提交全部原始记录副本；</w:t>
      </w:r>
    </w:p>
    <w:p w14:paraId="75849FAB">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（2）发包人应在监理人收到索赔报告或有关索赔的进一步证明材料后的28天内，由监理人向承包人出具经发包人签认的索赔处理结果。发包人逾期答复的，则视为认可承包人的索赔要求；</w:t>
      </w:r>
    </w:p>
    <w:p w14:paraId="56AC91BD">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（3）承包人接受索赔处理结果的，索赔款项在当期进度款中进行支付；承包人不接受索赔处理结果的，按照第20条〔争议解决〕约定处理。</w:t>
      </w:r>
    </w:p>
    <w:p w14:paraId="0C01EAFA">
      <w:pPr>
        <w:pStyle w:val="7"/>
        <w:spacing w:before="0" w:beforeAutospacing="0" w:after="0" w:afterAutospacing="0" w:line="360" w:lineRule="auto"/>
        <w:ind w:firstLine="422" w:firstLineChars="200"/>
        <w:rPr>
          <w:color w:val="auto"/>
          <w:sz w:val="21"/>
          <w:szCs w:val="21"/>
          <w:highlight w:val="none"/>
        </w:rPr>
      </w:pPr>
      <w:bookmarkStart w:id="1147" w:name="_Toc351203623"/>
      <w:bookmarkStart w:id="1148" w:name="_Toc532377311"/>
      <w:bookmarkStart w:id="1149" w:name="_Toc296503143"/>
      <w:bookmarkStart w:id="1150" w:name="_Toc296346644"/>
      <w:bookmarkStart w:id="1151" w:name="_Toc337558838"/>
      <w:r>
        <w:rPr>
          <w:rFonts w:hint="eastAsia"/>
          <w:color w:val="auto"/>
          <w:sz w:val="21"/>
          <w:szCs w:val="21"/>
          <w:highlight w:val="none"/>
        </w:rPr>
        <w:t>19.3发包人的索赔</w:t>
      </w:r>
      <w:bookmarkEnd w:id="1147"/>
      <w:bookmarkEnd w:id="1148"/>
    </w:p>
    <w:bookmarkEnd w:id="1149"/>
    <w:bookmarkEnd w:id="1150"/>
    <w:bookmarkEnd w:id="1151"/>
    <w:p w14:paraId="1BBEF048">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根据合同约定，发包人认为有权得到赔付金额和（或）延长缺陷责任期的，监理人应向承包人发出通知并附有详细的证明。</w:t>
      </w:r>
    </w:p>
    <w:p w14:paraId="277C7CAC">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7655F8CA">
      <w:pPr>
        <w:pStyle w:val="7"/>
        <w:spacing w:before="0" w:beforeAutospacing="0" w:after="0" w:afterAutospacing="0" w:line="360" w:lineRule="auto"/>
        <w:ind w:firstLine="422" w:firstLineChars="200"/>
        <w:rPr>
          <w:color w:val="auto"/>
          <w:sz w:val="21"/>
          <w:szCs w:val="21"/>
          <w:highlight w:val="none"/>
        </w:rPr>
      </w:pPr>
      <w:bookmarkStart w:id="1152" w:name="_Toc351203624"/>
      <w:bookmarkStart w:id="1153" w:name="_Toc532377312"/>
      <w:bookmarkStart w:id="1154" w:name="_Toc337558839"/>
      <w:bookmarkStart w:id="1155" w:name="_Toc296346645"/>
      <w:bookmarkStart w:id="1156" w:name="_Toc296503144"/>
      <w:r>
        <w:rPr>
          <w:rFonts w:hint="eastAsia"/>
          <w:color w:val="auto"/>
          <w:sz w:val="21"/>
          <w:szCs w:val="21"/>
          <w:highlight w:val="none"/>
        </w:rPr>
        <w:t>19.4 对发包人索赔的处理</w:t>
      </w:r>
      <w:bookmarkEnd w:id="1152"/>
      <w:bookmarkEnd w:id="1153"/>
    </w:p>
    <w:bookmarkEnd w:id="1154"/>
    <w:bookmarkEnd w:id="1155"/>
    <w:bookmarkEnd w:id="1156"/>
    <w:p w14:paraId="605E20CD">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对发包人索赔的处理如下：</w:t>
      </w:r>
    </w:p>
    <w:p w14:paraId="56D2E274">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（1）承包人收到发包人提交的索赔报告后，应及时审查索赔报告的内容、查验发包人证明材料；</w:t>
      </w:r>
    </w:p>
    <w:p w14:paraId="6FDD3D8A">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（2）承包人应在收到索赔报告或有关索赔的进一步证明材料后28天内，将索赔处理结果答复发包人。如果承包人未在上述期限内作出答复的，则视为对发包人索赔要求的认可；</w:t>
      </w:r>
    </w:p>
    <w:p w14:paraId="0392A972">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（3）承包人接受索赔处理结果的，发包人可从应支付给承包人的合同价款中扣除赔付的金额或延长缺陷责任期；发包人不接受索赔处理结果的，按第20条〔争议解决〕约定处理。</w:t>
      </w:r>
    </w:p>
    <w:p w14:paraId="7E179D1A">
      <w:pPr>
        <w:pStyle w:val="7"/>
        <w:spacing w:before="0" w:beforeAutospacing="0" w:after="0" w:afterAutospacing="0" w:line="360" w:lineRule="auto"/>
        <w:ind w:firstLine="420" w:firstLineChars="200"/>
        <w:rPr>
          <w:b w:val="0"/>
          <w:color w:val="auto"/>
          <w:sz w:val="21"/>
          <w:szCs w:val="21"/>
          <w:highlight w:val="none"/>
        </w:rPr>
      </w:pPr>
      <w:bookmarkStart w:id="1157" w:name="_Toc532377313"/>
      <w:bookmarkStart w:id="1158" w:name="_Toc351203625"/>
      <w:r>
        <w:rPr>
          <w:rFonts w:hint="eastAsia"/>
          <w:b w:val="0"/>
          <w:color w:val="auto"/>
          <w:sz w:val="21"/>
          <w:szCs w:val="21"/>
          <w:highlight w:val="none"/>
        </w:rPr>
        <w:t>19.5 提出索赔的期限</w:t>
      </w:r>
      <w:bookmarkEnd w:id="1157"/>
      <w:bookmarkEnd w:id="1158"/>
    </w:p>
    <w:p w14:paraId="5AE25C82">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（1）承包人按第14.2款〔竣工结算审核〕约定接收竣工付款证书后，应被视为已无权再提出在工程接收证书颁发前所发生的任何索赔。</w:t>
      </w:r>
    </w:p>
    <w:p w14:paraId="6863DBB3">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（2）承包人按第14.4款〔最终结清〕提交的最终结清申请单中，只限于提出工程接收证书颁发后发生的索赔。提出索赔的期限自接受最终结清证书时终止。</w:t>
      </w:r>
    </w:p>
    <w:p w14:paraId="0433E264">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1159" w:name="_Toc532377314"/>
      <w:bookmarkStart w:id="1160" w:name="_Toc351203626"/>
      <w:bookmarkStart w:id="1161" w:name="_Toc532375606"/>
      <w:r>
        <w:rPr>
          <w:rFonts w:hint="eastAsia"/>
          <w:color w:val="auto"/>
          <w:kern w:val="2"/>
          <w:sz w:val="21"/>
          <w:szCs w:val="21"/>
          <w:highlight w:val="none"/>
        </w:rPr>
        <w:t>20</w:t>
      </w:r>
      <w:bookmarkStart w:id="1162" w:name="_Toc296346647"/>
      <w:bookmarkStart w:id="1163" w:name="_Toc296503146"/>
      <w:bookmarkStart w:id="1164" w:name="_Toc337558840"/>
      <w:r>
        <w:rPr>
          <w:rFonts w:hint="eastAsia"/>
          <w:color w:val="auto"/>
          <w:kern w:val="2"/>
          <w:sz w:val="21"/>
          <w:szCs w:val="21"/>
          <w:highlight w:val="none"/>
        </w:rPr>
        <w:t>. 争议解决</w:t>
      </w:r>
      <w:bookmarkEnd w:id="1159"/>
      <w:bookmarkEnd w:id="1160"/>
      <w:bookmarkEnd w:id="1161"/>
    </w:p>
    <w:bookmarkEnd w:id="1162"/>
    <w:bookmarkEnd w:id="1163"/>
    <w:bookmarkEnd w:id="1164"/>
    <w:p w14:paraId="7917FC1A">
      <w:pPr>
        <w:pStyle w:val="7"/>
        <w:spacing w:before="0" w:beforeAutospacing="0" w:after="0" w:afterAutospacing="0" w:line="360" w:lineRule="auto"/>
        <w:ind w:firstLine="422" w:firstLineChars="200"/>
        <w:rPr>
          <w:color w:val="auto"/>
          <w:sz w:val="21"/>
          <w:szCs w:val="21"/>
          <w:highlight w:val="none"/>
        </w:rPr>
      </w:pPr>
      <w:bookmarkStart w:id="1165" w:name="_Toc532377315"/>
      <w:bookmarkStart w:id="1166" w:name="_Toc351203627"/>
      <w:bookmarkStart w:id="1167" w:name="_Toc296503147"/>
      <w:bookmarkStart w:id="1168" w:name="_Toc337558841"/>
      <w:bookmarkStart w:id="1169" w:name="_Toc296346648"/>
      <w:r>
        <w:rPr>
          <w:rFonts w:hint="eastAsia"/>
          <w:color w:val="auto"/>
          <w:sz w:val="21"/>
          <w:szCs w:val="21"/>
          <w:highlight w:val="none"/>
        </w:rPr>
        <w:t>20.1和解</w:t>
      </w:r>
      <w:bookmarkEnd w:id="1165"/>
      <w:bookmarkEnd w:id="1166"/>
    </w:p>
    <w:bookmarkEnd w:id="1167"/>
    <w:bookmarkEnd w:id="1168"/>
    <w:bookmarkEnd w:id="1169"/>
    <w:p w14:paraId="7119D124">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合同当事人可以就争议自行和解，自行和解达成协议的经双方签名并盖章后作为合同补充文件，双方均应遵照执行。</w:t>
      </w:r>
    </w:p>
    <w:p w14:paraId="240C9EE0">
      <w:pPr>
        <w:pStyle w:val="7"/>
        <w:spacing w:before="0" w:beforeAutospacing="0" w:after="0" w:afterAutospacing="0" w:line="360" w:lineRule="auto"/>
        <w:ind w:firstLine="422" w:firstLineChars="200"/>
        <w:rPr>
          <w:color w:val="auto"/>
          <w:sz w:val="21"/>
          <w:szCs w:val="21"/>
          <w:highlight w:val="none"/>
        </w:rPr>
      </w:pPr>
      <w:bookmarkStart w:id="1170" w:name="_Toc351203628"/>
      <w:bookmarkStart w:id="1171" w:name="_Toc532377316"/>
      <w:r>
        <w:rPr>
          <w:rFonts w:hint="eastAsia"/>
          <w:color w:val="auto"/>
          <w:sz w:val="21"/>
          <w:szCs w:val="21"/>
          <w:highlight w:val="none"/>
        </w:rPr>
        <w:t>20</w:t>
      </w:r>
      <w:bookmarkStart w:id="1172" w:name="_Toc337558842"/>
      <w:bookmarkStart w:id="1173" w:name="_Toc296503148"/>
      <w:bookmarkStart w:id="1174" w:name="_Toc296346649"/>
      <w:r>
        <w:rPr>
          <w:rFonts w:hint="eastAsia"/>
          <w:color w:val="auto"/>
          <w:sz w:val="21"/>
          <w:szCs w:val="21"/>
          <w:highlight w:val="none"/>
        </w:rPr>
        <w:t>.2调解</w:t>
      </w:r>
      <w:bookmarkEnd w:id="1170"/>
      <w:bookmarkEnd w:id="1171"/>
    </w:p>
    <w:bookmarkEnd w:id="1172"/>
    <w:bookmarkEnd w:id="1173"/>
    <w:bookmarkEnd w:id="1174"/>
    <w:p w14:paraId="499C5D0A">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合同当事人可以就争议请求建设行政主管部门、行业协会或其他第三方进行调解，调解达成协议的，经双方签名并盖章后作为合同补充文件，双方均应遵照执行。</w:t>
      </w:r>
    </w:p>
    <w:p w14:paraId="5794CC42">
      <w:pPr>
        <w:pStyle w:val="7"/>
        <w:spacing w:before="0" w:beforeAutospacing="0" w:after="0" w:afterAutospacing="0" w:line="360" w:lineRule="auto"/>
        <w:ind w:firstLine="422" w:firstLineChars="200"/>
        <w:rPr>
          <w:color w:val="auto"/>
          <w:sz w:val="21"/>
          <w:szCs w:val="21"/>
          <w:highlight w:val="none"/>
        </w:rPr>
      </w:pPr>
      <w:bookmarkStart w:id="1175" w:name="_Toc351203629"/>
      <w:bookmarkStart w:id="1176" w:name="_Toc532377317"/>
      <w:bookmarkStart w:id="1177" w:name="_Toc337558843"/>
      <w:bookmarkStart w:id="1178" w:name="_Toc296346650"/>
      <w:bookmarkStart w:id="1179" w:name="_Toc296503149"/>
      <w:r>
        <w:rPr>
          <w:rFonts w:hint="eastAsia"/>
          <w:color w:val="auto"/>
          <w:sz w:val="21"/>
          <w:szCs w:val="21"/>
          <w:highlight w:val="none"/>
        </w:rPr>
        <w:t>20.3争议评审</w:t>
      </w:r>
      <w:bookmarkEnd w:id="1175"/>
      <w:bookmarkEnd w:id="1176"/>
    </w:p>
    <w:bookmarkEnd w:id="1177"/>
    <w:bookmarkEnd w:id="1178"/>
    <w:bookmarkEnd w:id="1179"/>
    <w:p w14:paraId="68CB9A06">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 xml:space="preserve">合同当事人在专用合同条款中约定采取争议评审方式解决争议以及评审规则，并按下列约定执行： </w:t>
      </w:r>
    </w:p>
    <w:p w14:paraId="1DF2658C">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20.3.1 争议评审小组的确定</w:t>
      </w:r>
    </w:p>
    <w:p w14:paraId="44DDDB96">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合同当事人可以共同选择一名或三名争议评审员，组成争议评审小组。除专用合同条款另有约定外，合同当事人应当自合同签订后28天内，或者争议发生后14天内，选定争议评审员。</w:t>
      </w:r>
    </w:p>
    <w:p w14:paraId="3523D3C8">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4E783C5C">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除专用合同条款另有约定外，评审员报酬由发包人和承包人各承担一半。</w:t>
      </w:r>
    </w:p>
    <w:p w14:paraId="6C71F5C4">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20.3.2 争议评审小组的决定</w:t>
      </w:r>
    </w:p>
    <w:p w14:paraId="2CA84183">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72A259CA">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20.3.3 争议评审小组决定的效力</w:t>
      </w:r>
    </w:p>
    <w:p w14:paraId="328463E8">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争议评审小组作出的书面决定经合同当事人签名确认后，对双方具有约束力，双方应遵照执行。</w:t>
      </w:r>
    </w:p>
    <w:p w14:paraId="408E0AB4">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任何一方当事人不接受争议评审小组决定或不履行争议评审小组决定的，双方可选择采用其他争议解决方式。</w:t>
      </w:r>
    </w:p>
    <w:p w14:paraId="5B9E968C">
      <w:pPr>
        <w:pStyle w:val="7"/>
        <w:spacing w:before="0" w:beforeAutospacing="0" w:after="0" w:afterAutospacing="0" w:line="360" w:lineRule="auto"/>
        <w:ind w:firstLine="422" w:firstLineChars="200"/>
        <w:rPr>
          <w:color w:val="auto"/>
          <w:sz w:val="21"/>
          <w:szCs w:val="21"/>
          <w:highlight w:val="none"/>
        </w:rPr>
      </w:pPr>
      <w:bookmarkStart w:id="1180" w:name="_Toc532377318"/>
      <w:bookmarkStart w:id="1181" w:name="_Toc351203630"/>
      <w:bookmarkStart w:id="1182" w:name="_Toc296503150"/>
      <w:bookmarkStart w:id="1183" w:name="_Toc296346651"/>
      <w:bookmarkStart w:id="1184" w:name="_Toc337558844"/>
      <w:r>
        <w:rPr>
          <w:rFonts w:hint="eastAsia"/>
          <w:color w:val="auto"/>
          <w:sz w:val="21"/>
          <w:szCs w:val="21"/>
          <w:highlight w:val="none"/>
        </w:rPr>
        <w:t>20.4仲裁或诉讼</w:t>
      </w:r>
      <w:bookmarkEnd w:id="1180"/>
      <w:bookmarkEnd w:id="1181"/>
    </w:p>
    <w:bookmarkEnd w:id="1182"/>
    <w:bookmarkEnd w:id="1183"/>
    <w:bookmarkEnd w:id="1184"/>
    <w:p w14:paraId="6CC088DE">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因合同及合同有关事项产生的争议，合同当事人可以在专用合同条款中约定以下一种方式解决争议：</w:t>
      </w:r>
    </w:p>
    <w:p w14:paraId="2BD36493">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（1）向约定的仲裁委员会申请仲裁；</w:t>
      </w:r>
    </w:p>
    <w:p w14:paraId="51CEC758">
      <w:pPr>
        <w:autoSpaceDE w:val="0"/>
        <w:autoSpaceDN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（2）向有管辖权的人民法院起诉。</w:t>
      </w:r>
    </w:p>
    <w:p w14:paraId="5D608D4D">
      <w:pPr>
        <w:pStyle w:val="7"/>
        <w:spacing w:before="0" w:beforeAutospacing="0" w:after="0" w:afterAutospacing="0" w:line="360" w:lineRule="auto"/>
        <w:ind w:firstLine="420" w:firstLineChars="200"/>
        <w:rPr>
          <w:b w:val="0"/>
          <w:color w:val="auto"/>
          <w:sz w:val="21"/>
          <w:szCs w:val="21"/>
          <w:highlight w:val="none"/>
        </w:rPr>
      </w:pPr>
      <w:bookmarkStart w:id="1185" w:name="_Toc351203631"/>
      <w:bookmarkStart w:id="1186" w:name="_Toc532377319"/>
      <w:bookmarkStart w:id="1187" w:name="_Toc337558845"/>
      <w:bookmarkStart w:id="1188" w:name="_Toc296503152"/>
      <w:bookmarkStart w:id="1189" w:name="_Toc296346653"/>
      <w:r>
        <w:rPr>
          <w:rFonts w:hint="eastAsia"/>
          <w:b w:val="0"/>
          <w:color w:val="auto"/>
          <w:sz w:val="21"/>
          <w:szCs w:val="21"/>
          <w:highlight w:val="none"/>
        </w:rPr>
        <w:t>20.5争议解决条款效力</w:t>
      </w:r>
      <w:bookmarkEnd w:id="1185"/>
      <w:bookmarkEnd w:id="1186"/>
    </w:p>
    <w:bookmarkEnd w:id="1187"/>
    <w:bookmarkEnd w:id="1188"/>
    <w:bookmarkEnd w:id="1189"/>
    <w:p w14:paraId="63459D92">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合同有关争议解决的条款独立存在，合同的变更、解除、终止、无效或者被撤销均不影响其效力。</w:t>
      </w:r>
    </w:p>
    <w:p w14:paraId="67363D81">
      <w:pPr>
        <w:keepNext/>
        <w:keepLines/>
        <w:snapToGrid w:val="0"/>
        <w:spacing w:before="260" w:after="260" w:line="360" w:lineRule="auto"/>
        <w:outlineLvl w:val="2"/>
        <w:rPr>
          <w:rFonts w:ascii="宋体" w:hAnsi="宋体"/>
          <w:b/>
          <w:bCs/>
          <w:color w:val="auto"/>
          <w:szCs w:val="21"/>
          <w:highlight w:val="none"/>
          <w:lang w:val="zh-CN"/>
        </w:rPr>
      </w:pPr>
      <w:r>
        <w:rPr>
          <w:rFonts w:hint="eastAsia" w:ascii="宋体" w:hAnsi="宋体"/>
          <w:b/>
          <w:bCs/>
          <w:color w:val="auto"/>
          <w:szCs w:val="21"/>
          <w:highlight w:val="none"/>
          <w:lang w:val="zh-CN"/>
        </w:rPr>
        <w:br w:type="page"/>
      </w:r>
    </w:p>
    <w:p w14:paraId="5F1877E7">
      <w:pPr>
        <w:pStyle w:val="5"/>
        <w:jc w:val="center"/>
        <w:rPr>
          <w:rFonts w:ascii="宋体" w:hAnsi="宋体"/>
          <w:color w:val="auto"/>
          <w:sz w:val="44"/>
          <w:szCs w:val="44"/>
          <w:highlight w:val="none"/>
        </w:rPr>
      </w:pPr>
      <w:bookmarkStart w:id="1190" w:name="_Toc532375607"/>
      <w:bookmarkStart w:id="1191" w:name="_Toc529388290"/>
      <w:bookmarkStart w:id="1192" w:name="_Toc117005246"/>
      <w:bookmarkStart w:id="1193" w:name="_Toc532377320"/>
      <w:r>
        <w:rPr>
          <w:rFonts w:hint="eastAsia" w:ascii="宋体" w:hAnsi="宋体"/>
          <w:color w:val="auto"/>
          <w:sz w:val="44"/>
          <w:szCs w:val="44"/>
          <w:highlight w:val="none"/>
        </w:rPr>
        <w:t>第三部分 专用合同条款</w:t>
      </w:r>
      <w:bookmarkEnd w:id="1190"/>
      <w:bookmarkEnd w:id="1191"/>
      <w:bookmarkEnd w:id="1192"/>
      <w:bookmarkEnd w:id="1193"/>
    </w:p>
    <w:bookmarkEnd w:id="590"/>
    <w:p w14:paraId="17CFA442">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1194" w:name="_Toc532375608"/>
      <w:bookmarkStart w:id="1195" w:name="_Toc532377321"/>
      <w:bookmarkStart w:id="1196" w:name="_Toc351203633"/>
      <w:bookmarkStart w:id="1197" w:name="_Hlk528927191"/>
      <w:r>
        <w:rPr>
          <w:rFonts w:hint="eastAsia"/>
          <w:color w:val="auto"/>
          <w:kern w:val="2"/>
          <w:sz w:val="21"/>
          <w:szCs w:val="21"/>
          <w:highlight w:val="none"/>
        </w:rPr>
        <w:t>1</w:t>
      </w:r>
      <w:bookmarkStart w:id="1198" w:name="_Toc296347155"/>
      <w:bookmarkStart w:id="1199" w:name="_Toc296346657"/>
      <w:bookmarkStart w:id="1200" w:name="_Toc292559866"/>
      <w:bookmarkStart w:id="1201" w:name="_Toc297048342"/>
      <w:bookmarkStart w:id="1202" w:name="_Toc296891196"/>
      <w:bookmarkStart w:id="1203" w:name="_Toc296890984"/>
      <w:bookmarkStart w:id="1204" w:name="_Toc296944495"/>
      <w:bookmarkStart w:id="1205" w:name="_Toc292559361"/>
      <w:bookmarkStart w:id="1206" w:name="_Toc296503156"/>
      <w:bookmarkStart w:id="1207" w:name="_Toc297120456"/>
      <w:r>
        <w:rPr>
          <w:rFonts w:hint="eastAsia"/>
          <w:color w:val="auto"/>
          <w:kern w:val="2"/>
          <w:sz w:val="21"/>
          <w:szCs w:val="21"/>
          <w:highlight w:val="none"/>
        </w:rPr>
        <w:t>. 一般约定</w:t>
      </w:r>
      <w:bookmarkEnd w:id="1194"/>
      <w:bookmarkEnd w:id="1195"/>
      <w:bookmarkEnd w:id="1196"/>
    </w:p>
    <w:bookmarkEnd w:id="1198"/>
    <w:bookmarkEnd w:id="1199"/>
    <w:bookmarkEnd w:id="1200"/>
    <w:bookmarkEnd w:id="1201"/>
    <w:bookmarkEnd w:id="1202"/>
    <w:bookmarkEnd w:id="1203"/>
    <w:bookmarkEnd w:id="1204"/>
    <w:bookmarkEnd w:id="1205"/>
    <w:bookmarkEnd w:id="1206"/>
    <w:bookmarkEnd w:id="1207"/>
    <w:p w14:paraId="11A495B8">
      <w:pPr>
        <w:pStyle w:val="7"/>
        <w:spacing w:before="0" w:beforeAutospacing="0" w:after="0" w:afterAutospacing="0" w:line="360" w:lineRule="auto"/>
        <w:ind w:firstLine="422" w:firstLineChars="200"/>
        <w:rPr>
          <w:color w:val="auto"/>
          <w:sz w:val="21"/>
          <w:szCs w:val="21"/>
          <w:highlight w:val="none"/>
        </w:rPr>
      </w:pPr>
      <w:bookmarkStart w:id="1208" w:name="_Toc532377322"/>
      <w:r>
        <w:rPr>
          <w:rFonts w:hint="eastAsia"/>
          <w:color w:val="auto"/>
          <w:sz w:val="21"/>
          <w:szCs w:val="21"/>
          <w:highlight w:val="none"/>
        </w:rPr>
        <w:t>1.1词语定义与解释</w:t>
      </w:r>
      <w:bookmarkEnd w:id="1208"/>
    </w:p>
    <w:p w14:paraId="09A83A53">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1.1.1 合同</w:t>
      </w:r>
    </w:p>
    <w:p w14:paraId="41331E2B">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1.1.1.6技术标准和要求：</w:t>
      </w:r>
      <w:r>
        <w:rPr>
          <w:rFonts w:hint="eastAsia" w:ascii="宋体" w:hAnsi="宋体"/>
          <w:color w:val="auto"/>
          <w:kern w:val="0"/>
          <w:szCs w:val="21"/>
          <w:highlight w:val="none"/>
          <w:u w:val="single"/>
        </w:rPr>
        <w:t>本目中的技术标准和要求是指技术规范，即合同所约定的技术标准和要求，是合同文件的组成部分。与通用合同条款中“技术标准和要求”一词具有相同含义，包括合同双方当事人约定对其所作的修改或补充</w:t>
      </w:r>
      <w:r>
        <w:rPr>
          <w:rFonts w:hint="eastAsia" w:ascii="宋体" w:hAnsi="宋体"/>
          <w:color w:val="auto"/>
          <w:kern w:val="0"/>
          <w:szCs w:val="21"/>
          <w:highlight w:val="none"/>
        </w:rPr>
        <w:t>。</w:t>
      </w:r>
    </w:p>
    <w:p w14:paraId="419B0B90">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1.1.1.8 已标价工程量清单：</w:t>
      </w:r>
      <w:r>
        <w:rPr>
          <w:rFonts w:hint="eastAsia" w:ascii="宋体" w:hAnsi="宋体"/>
          <w:color w:val="auto"/>
          <w:kern w:val="0"/>
          <w:szCs w:val="21"/>
          <w:highlight w:val="none"/>
          <w:u w:val="single"/>
        </w:rPr>
        <w:t>指构成合同的由承包人按照发包人规定的格式和要求填写并标明价格、经算术性错误修订及其他错误修订（如有）且承包人已确认的工程量清单</w:t>
      </w:r>
      <w:r>
        <w:rPr>
          <w:rFonts w:hint="eastAsia" w:ascii="宋体" w:hAnsi="宋体"/>
          <w:color w:val="auto"/>
          <w:kern w:val="0"/>
          <w:szCs w:val="21"/>
          <w:highlight w:val="none"/>
        </w:rPr>
        <w:t>。</w:t>
      </w:r>
    </w:p>
    <w:p w14:paraId="3C48D01D">
      <w:pPr>
        <w:spacing w:line="360" w:lineRule="auto"/>
        <w:ind w:firstLine="420" w:firstLineChars="200"/>
        <w:jc w:val="left"/>
        <w:rPr>
          <w:rFonts w:ascii="宋体" w:hAnsi="宋体"/>
          <w:color w:val="auto"/>
          <w:szCs w:val="21"/>
          <w:highlight w:val="none"/>
        </w:rPr>
      </w:pPr>
      <w:r>
        <w:rPr>
          <w:rFonts w:hint="eastAsia" w:ascii="宋体" w:hAnsi="宋体"/>
          <w:color w:val="auto"/>
          <w:kern w:val="0"/>
          <w:szCs w:val="21"/>
          <w:highlight w:val="none"/>
        </w:rPr>
        <w:t>1.1.1.10 其他合同文件包括：</w:t>
      </w:r>
      <w:r>
        <w:rPr>
          <w:rFonts w:hint="eastAsia" w:ascii="宋体" w:hAnsi="宋体"/>
          <w:color w:val="auto"/>
          <w:szCs w:val="21"/>
          <w:highlight w:val="none"/>
          <w:u w:val="single"/>
        </w:rPr>
        <w:t>按照合同协议书</w:t>
      </w:r>
      <w:r>
        <w:rPr>
          <w:rFonts w:hint="eastAsia" w:ascii="宋体" w:hAnsi="宋体"/>
          <w:bCs/>
          <w:color w:val="auto"/>
          <w:szCs w:val="21"/>
          <w:highlight w:val="none"/>
          <w:u w:val="single"/>
        </w:rPr>
        <w:t>〔</w:t>
      </w:r>
      <w:r>
        <w:rPr>
          <w:rFonts w:hint="eastAsia" w:ascii="宋体" w:hAnsi="宋体"/>
          <w:color w:val="auto"/>
          <w:szCs w:val="21"/>
          <w:highlight w:val="none"/>
          <w:u w:val="single"/>
        </w:rPr>
        <w:t>第六条</w:t>
      </w:r>
      <w:r>
        <w:rPr>
          <w:rFonts w:hint="eastAsia" w:ascii="宋体" w:hAnsi="宋体"/>
          <w:bCs/>
          <w:color w:val="auto"/>
          <w:szCs w:val="21"/>
          <w:highlight w:val="none"/>
          <w:u w:val="single"/>
        </w:rPr>
        <w:t>〕</w:t>
      </w:r>
      <w:r>
        <w:rPr>
          <w:rFonts w:hint="eastAsia" w:ascii="宋体" w:hAnsi="宋体"/>
          <w:color w:val="auto"/>
          <w:szCs w:val="21"/>
          <w:highlight w:val="none"/>
          <w:u w:val="single"/>
        </w:rPr>
        <w:t>约定执行</w:t>
      </w:r>
      <w:r>
        <w:rPr>
          <w:rFonts w:hint="eastAsia" w:ascii="宋体" w:hAnsi="宋体"/>
          <w:color w:val="auto"/>
          <w:szCs w:val="21"/>
          <w:highlight w:val="none"/>
        </w:rPr>
        <w:t>。</w:t>
      </w:r>
    </w:p>
    <w:p w14:paraId="618D51DA">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本项补充1.1.1.11～1.1.1.16目：</w:t>
      </w:r>
    </w:p>
    <w:p w14:paraId="13D152F7">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1.1.1.11 招标文件：</w:t>
      </w:r>
      <w:r>
        <w:rPr>
          <w:rFonts w:hint="eastAsia" w:ascii="宋体" w:hAnsi="宋体"/>
          <w:color w:val="auto"/>
          <w:kern w:val="0"/>
          <w:szCs w:val="21"/>
          <w:highlight w:val="none"/>
          <w:u w:val="single"/>
        </w:rPr>
        <w:t>指本工程的招标文件、图纸、其他技术资料及招标人发出的对招标文件所作的澄清、修改等资料</w:t>
      </w:r>
      <w:r>
        <w:rPr>
          <w:rFonts w:hint="eastAsia" w:ascii="宋体" w:hAnsi="宋体"/>
          <w:color w:val="auto"/>
          <w:kern w:val="0"/>
          <w:szCs w:val="21"/>
          <w:highlight w:val="none"/>
        </w:rPr>
        <w:t>。</w:t>
      </w:r>
    </w:p>
    <w:p w14:paraId="686B82EC">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1.1.1.12 工作：</w:t>
      </w:r>
      <w:r>
        <w:rPr>
          <w:rFonts w:hint="eastAsia" w:ascii="宋体" w:hAnsi="宋体"/>
          <w:color w:val="auto"/>
          <w:kern w:val="0"/>
          <w:szCs w:val="21"/>
          <w:highlight w:val="none"/>
          <w:u w:val="single"/>
        </w:rPr>
        <w:t>指根据合同条款规定，或根据合同合理推及的，为本工程（包括永久工程和临时工程）施工与维护所需要的管理、劳务、材料、施工设备和其他物品的提供</w:t>
      </w:r>
      <w:r>
        <w:rPr>
          <w:rFonts w:hint="eastAsia" w:ascii="宋体" w:hAnsi="宋体"/>
          <w:color w:val="auto"/>
          <w:kern w:val="0"/>
          <w:szCs w:val="21"/>
          <w:highlight w:val="none"/>
        </w:rPr>
        <w:t>。</w:t>
      </w:r>
    </w:p>
    <w:p w14:paraId="44CC7A0D">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1.1.1.13 重大设计变更：按照规定需要重新报建设行政主管部门批准的设计变更。</w:t>
      </w:r>
    </w:p>
    <w:p w14:paraId="19354821">
      <w:pPr>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1.1.1.</w:t>
      </w:r>
      <w:r>
        <w:rPr>
          <w:rFonts w:hint="eastAsia" w:ascii="宋体" w:hAnsi="宋体"/>
          <w:color w:val="auto"/>
          <w:szCs w:val="21"/>
          <w:highlight w:val="none"/>
        </w:rPr>
        <w:t>14 公章：专指法定单位名称章</w:t>
      </w:r>
      <w:r>
        <w:rPr>
          <w:rFonts w:ascii="宋体" w:hAnsi="宋体"/>
          <w:color w:val="auto"/>
          <w:szCs w:val="21"/>
          <w:highlight w:val="none"/>
        </w:rPr>
        <w:t>。</w:t>
      </w:r>
    </w:p>
    <w:bookmarkEnd w:id="1197"/>
    <w:p w14:paraId="1A3E794E">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1.1.1.15 到岗：指承包人按照到岗履职承诺安排满足办理施工许可手续相关要求的项目主要管理人员实际到施工现场就职履约的行为。</w:t>
      </w:r>
    </w:p>
    <w:p w14:paraId="1FE8DBF5">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1.1.1.16 项目法人：指具有民事权利能力和民事行为能力，依法独立享有民事权利和承担民事义务，以建设项目为目的，从事项目管理的机构、单位或组织。</w:t>
      </w:r>
    </w:p>
    <w:p w14:paraId="1BDE5E5D">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1.1.2 合同当事人及其他相关方</w:t>
      </w:r>
    </w:p>
    <w:p w14:paraId="407897DB">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1.1.2.4 监理人：</w:t>
      </w:r>
    </w:p>
    <w:p w14:paraId="52AB42C2">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名    称：</w:t>
      </w:r>
      <w:r>
        <w:rPr>
          <w:rFonts w:ascii="宋体" w:hAnsi="宋体"/>
          <w:color w:val="auto"/>
          <w:szCs w:val="21"/>
          <w:highlight w:val="none"/>
          <w:u w:val="single"/>
        </w:rPr>
        <w:t xml:space="preserve">    </w:t>
      </w:r>
      <w:r>
        <w:rPr>
          <w:rFonts w:hint="eastAsia" w:ascii="宋体" w:hAnsi="宋体"/>
          <w:color w:val="auto"/>
          <w:szCs w:val="21"/>
          <w:highlight w:val="none"/>
        </w:rPr>
        <w:t>；</w:t>
      </w:r>
    </w:p>
    <w:p w14:paraId="6883E765">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资质类别和等级：</w:t>
      </w:r>
      <w:r>
        <w:rPr>
          <w:rFonts w:ascii="宋体" w:hAnsi="宋体"/>
          <w:color w:val="auto"/>
          <w:szCs w:val="21"/>
          <w:highlight w:val="none"/>
          <w:u w:val="single"/>
        </w:rPr>
        <w:t></w:t>
      </w:r>
      <w:r>
        <w:rPr>
          <w:rFonts w:hint="eastAsia" w:ascii="宋体" w:hAnsi="宋体"/>
          <w:color w:val="auto"/>
          <w:szCs w:val="21"/>
          <w:highlight w:val="none"/>
        </w:rPr>
        <w:t>；</w:t>
      </w:r>
    </w:p>
    <w:p w14:paraId="22202642">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联系方式：</w:t>
      </w:r>
      <w:r>
        <w:rPr>
          <w:rFonts w:ascii="宋体" w:hAnsi="宋体"/>
          <w:color w:val="auto"/>
          <w:szCs w:val="21"/>
          <w:highlight w:val="none"/>
          <w:u w:val="single"/>
        </w:rPr>
        <w:t xml:space="preserve">    </w:t>
      </w:r>
      <w:r>
        <w:rPr>
          <w:rFonts w:hint="eastAsia" w:ascii="宋体" w:hAnsi="宋体"/>
          <w:color w:val="auto"/>
          <w:szCs w:val="21"/>
          <w:highlight w:val="none"/>
        </w:rPr>
        <w:t>。</w:t>
      </w:r>
    </w:p>
    <w:p w14:paraId="71F43C70">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1.1.2.5 设计人：</w:t>
      </w:r>
    </w:p>
    <w:p w14:paraId="5191A47A">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名    称：</w:t>
      </w:r>
      <w:r>
        <w:rPr>
          <w:rFonts w:ascii="宋体" w:hAnsi="宋体"/>
          <w:color w:val="auto"/>
          <w:szCs w:val="21"/>
          <w:highlight w:val="none"/>
          <w:u w:val="single"/>
        </w:rPr>
        <w:t xml:space="preserve">    </w:t>
      </w:r>
      <w:r>
        <w:rPr>
          <w:rFonts w:hint="eastAsia" w:ascii="宋体" w:hAnsi="宋体"/>
          <w:color w:val="auto"/>
          <w:szCs w:val="21"/>
          <w:highlight w:val="none"/>
        </w:rPr>
        <w:t>；</w:t>
      </w:r>
    </w:p>
    <w:p w14:paraId="16571DE4">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资质类别和等级：</w:t>
      </w:r>
      <w:r>
        <w:rPr>
          <w:rFonts w:ascii="宋体" w:hAnsi="宋体"/>
          <w:color w:val="auto"/>
          <w:szCs w:val="21"/>
          <w:highlight w:val="none"/>
          <w:u w:val="single"/>
        </w:rPr>
        <w:t></w:t>
      </w:r>
      <w:r>
        <w:rPr>
          <w:rFonts w:hint="eastAsia" w:ascii="宋体" w:hAnsi="宋体"/>
          <w:color w:val="auto"/>
          <w:szCs w:val="21"/>
          <w:highlight w:val="none"/>
        </w:rPr>
        <w:t>；</w:t>
      </w:r>
    </w:p>
    <w:p w14:paraId="414C3589">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联系方式：</w:t>
      </w:r>
      <w:r>
        <w:rPr>
          <w:rFonts w:ascii="宋体" w:hAnsi="宋体"/>
          <w:color w:val="auto"/>
          <w:szCs w:val="21"/>
          <w:highlight w:val="none"/>
          <w:u w:val="single"/>
        </w:rPr>
        <w:t xml:space="preserve">    </w:t>
      </w:r>
      <w:r>
        <w:rPr>
          <w:rFonts w:hint="eastAsia" w:ascii="宋体" w:hAnsi="宋体"/>
          <w:color w:val="auto"/>
          <w:szCs w:val="21"/>
          <w:highlight w:val="none"/>
        </w:rPr>
        <w:t>。</w:t>
      </w:r>
    </w:p>
    <w:p w14:paraId="414E5EF6">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1.1.3 工程和设备</w:t>
      </w:r>
    </w:p>
    <w:p w14:paraId="1E52F93B">
      <w:pPr>
        <w:spacing w:line="360" w:lineRule="auto"/>
        <w:ind w:firstLine="420" w:firstLineChars="200"/>
        <w:jc w:val="left"/>
        <w:rPr>
          <w:rFonts w:ascii="宋体" w:hAnsi="宋体"/>
          <w:color w:val="auto"/>
          <w:szCs w:val="21"/>
          <w:highlight w:val="none"/>
        </w:rPr>
      </w:pPr>
      <w:r>
        <w:rPr>
          <w:rFonts w:hint="eastAsia" w:ascii="宋体" w:hAnsi="宋体"/>
          <w:color w:val="auto"/>
          <w:kern w:val="0"/>
          <w:szCs w:val="21"/>
          <w:highlight w:val="none"/>
        </w:rPr>
        <w:t>1.1.3.7 作为施工现场组成部分的其他场所包括：</w:t>
      </w:r>
      <w:r>
        <w:rPr>
          <w:rFonts w:hint="eastAsia" w:ascii="宋体" w:hAnsi="宋体"/>
          <w:color w:val="auto"/>
          <w:kern w:val="0"/>
          <w:szCs w:val="21"/>
          <w:highlight w:val="none"/>
          <w:u w:val="single"/>
        </w:rPr>
        <w:t>永久占地、临时占地以及为修建临时工程而租用、占用的土地</w:t>
      </w:r>
      <w:r>
        <w:rPr>
          <w:rFonts w:hint="eastAsia" w:ascii="宋体" w:hAnsi="宋体"/>
          <w:color w:val="auto"/>
          <w:szCs w:val="21"/>
          <w:highlight w:val="none"/>
        </w:rPr>
        <w:t>。</w:t>
      </w:r>
    </w:p>
    <w:p w14:paraId="4A4C3EF3">
      <w:pPr>
        <w:spacing w:line="360" w:lineRule="auto"/>
        <w:ind w:firstLine="420" w:firstLineChars="200"/>
        <w:jc w:val="left"/>
        <w:rPr>
          <w:rFonts w:ascii="宋体" w:hAnsi="宋体"/>
          <w:color w:val="auto"/>
          <w:szCs w:val="21"/>
          <w:highlight w:val="none"/>
        </w:rPr>
      </w:pPr>
      <w:r>
        <w:rPr>
          <w:rFonts w:hint="eastAsia" w:ascii="宋体" w:hAnsi="宋体"/>
          <w:color w:val="auto"/>
          <w:kern w:val="0"/>
          <w:szCs w:val="21"/>
          <w:highlight w:val="none"/>
        </w:rPr>
        <w:t>1.1.3.9 永久占地包括：</w:t>
      </w:r>
      <w:r>
        <w:rPr>
          <w:rFonts w:hint="eastAsia" w:ascii="宋体" w:hAnsi="宋体"/>
          <w:color w:val="auto"/>
          <w:kern w:val="0"/>
          <w:szCs w:val="21"/>
          <w:highlight w:val="none"/>
          <w:u w:val="single"/>
        </w:rPr>
        <w:t>为实施合同工程而需要的一切永久占用的土地，即合同工程</w:t>
      </w:r>
      <w:r>
        <w:rPr>
          <w:rFonts w:hint="eastAsia" w:ascii="宋体" w:hAnsi="宋体"/>
          <w:color w:val="auto"/>
          <w:szCs w:val="21"/>
          <w:highlight w:val="none"/>
          <w:u w:val="single"/>
        </w:rPr>
        <w:t>用地红线范围内的土地</w:t>
      </w:r>
      <w:r>
        <w:rPr>
          <w:rFonts w:hint="eastAsia" w:ascii="宋体" w:hAnsi="宋体"/>
          <w:color w:val="auto"/>
          <w:szCs w:val="21"/>
          <w:highlight w:val="none"/>
        </w:rPr>
        <w:t>。</w:t>
      </w:r>
    </w:p>
    <w:p w14:paraId="6D3376BE">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1.1.3.10 临时占地包括：</w:t>
      </w:r>
      <w:r>
        <w:rPr>
          <w:rFonts w:hint="eastAsia" w:ascii="宋体" w:hAnsi="宋体"/>
          <w:color w:val="auto"/>
          <w:szCs w:val="21"/>
          <w:highlight w:val="none"/>
          <w:u w:val="single"/>
        </w:rPr>
        <w:t>为实施合同工程而需要</w:t>
      </w:r>
      <w:r>
        <w:rPr>
          <w:rFonts w:hint="eastAsia" w:ascii="宋体" w:hAnsi="宋体"/>
          <w:color w:val="auto"/>
          <w:kern w:val="0"/>
          <w:szCs w:val="21"/>
          <w:highlight w:val="none"/>
          <w:u w:val="single"/>
        </w:rPr>
        <w:t>的一切</w:t>
      </w:r>
      <w:r>
        <w:rPr>
          <w:rFonts w:hint="eastAsia" w:ascii="宋体" w:hAnsi="宋体"/>
          <w:color w:val="auto"/>
          <w:szCs w:val="21"/>
          <w:highlight w:val="none"/>
          <w:u w:val="single"/>
        </w:rPr>
        <w:t>临时占用的土地，包括施工所用的临时便道等的临时出入道，以及生产（办公）、生活等临时设施用地</w:t>
      </w:r>
      <w:r>
        <w:rPr>
          <w:rFonts w:hint="eastAsia" w:ascii="宋体" w:hAnsi="宋体"/>
          <w:color w:val="auto"/>
          <w:szCs w:val="21"/>
          <w:highlight w:val="none"/>
        </w:rPr>
        <w:t>。</w:t>
      </w:r>
    </w:p>
    <w:p w14:paraId="163182F4">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1.1.6 其他</w:t>
      </w:r>
    </w:p>
    <w:p w14:paraId="31458E85">
      <w:pPr>
        <w:spacing w:line="360" w:lineRule="auto"/>
        <w:ind w:firstLine="420" w:firstLineChars="200"/>
        <w:jc w:val="left"/>
        <w:rPr>
          <w:rFonts w:ascii="宋体" w:hAnsi="宋体"/>
          <w:color w:val="auto"/>
          <w:szCs w:val="21"/>
          <w:highlight w:val="none"/>
        </w:rPr>
      </w:pPr>
      <w:bookmarkStart w:id="1209" w:name="_Hlk528927262"/>
      <w:r>
        <w:rPr>
          <w:rFonts w:hint="eastAsia" w:ascii="宋体" w:hAnsi="宋体"/>
          <w:color w:val="auto"/>
          <w:szCs w:val="21"/>
          <w:highlight w:val="none"/>
        </w:rPr>
        <w:t>本项补充1.1.6.2～1.1.6.3目：</w:t>
      </w:r>
    </w:p>
    <w:p w14:paraId="75306AD5">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1.1.6.2 转包、违法分包及挂靠：指符合《住房和城乡建设部关于印发建筑工程施工发包与承包违法行为认定查处管理办法的通知》（建市规〔2019〕1号）规定认定条件的</w:t>
      </w:r>
      <w:r>
        <w:rPr>
          <w:rFonts w:hint="eastAsia" w:ascii="宋体" w:hAnsi="宋体"/>
          <w:color w:val="auto"/>
          <w:kern w:val="0"/>
          <w:szCs w:val="21"/>
          <w:highlight w:val="none"/>
        </w:rPr>
        <w:t>违法行为</w:t>
      </w:r>
      <w:r>
        <w:rPr>
          <w:rFonts w:hint="eastAsia" w:ascii="宋体" w:hAnsi="宋体"/>
          <w:color w:val="auto"/>
          <w:szCs w:val="21"/>
          <w:highlight w:val="none"/>
        </w:rPr>
        <w:t>。</w:t>
      </w:r>
    </w:p>
    <w:bookmarkEnd w:id="1209"/>
    <w:p w14:paraId="5518013F">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1.1.6.3 危险性较大的分部分项工程（以下简称“危大工程”）：指住房和城乡建设部令第37号《危险性较大的分部分项工程安全管理规定》规定的房屋建筑和市政基础设施工程在施工过程中，容易导致人员群死群伤或者造成重大经济损失的分部分项工程。危大工程及超过一定规模的危大工程范围以国务院住房城乡建设主管部门制定及重庆市住房和城乡建设委员会补充的范围为准。</w:t>
      </w:r>
    </w:p>
    <w:p w14:paraId="7FB1FDFD">
      <w:pPr>
        <w:pStyle w:val="7"/>
        <w:spacing w:before="0" w:beforeAutospacing="0" w:after="0" w:afterAutospacing="0" w:line="360" w:lineRule="auto"/>
        <w:ind w:firstLine="422" w:firstLineChars="200"/>
        <w:rPr>
          <w:color w:val="auto"/>
          <w:sz w:val="21"/>
          <w:szCs w:val="21"/>
          <w:highlight w:val="none"/>
        </w:rPr>
      </w:pPr>
      <w:bookmarkStart w:id="1210" w:name="_Toc532377323"/>
      <w:r>
        <w:rPr>
          <w:rFonts w:hint="eastAsia"/>
          <w:color w:val="auto"/>
          <w:sz w:val="21"/>
          <w:szCs w:val="21"/>
          <w:highlight w:val="none"/>
        </w:rPr>
        <w:t>1.4 标准和规范</w:t>
      </w:r>
      <w:bookmarkEnd w:id="1210"/>
    </w:p>
    <w:p w14:paraId="218568E7">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1.4.1 适用于工程的标准规范包括：</w:t>
      </w:r>
    </w:p>
    <w:p w14:paraId="3AF8466D">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（1）施工图所涉及的技术标准、规范、规程、图集等；</w:t>
      </w:r>
    </w:p>
    <w:p w14:paraId="224FEC51">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（2）国家、行业或重庆市与本工程有关的标准，以及相应的规范、规程等，当这些标准、规范、规程不一致时，以标准、规范、规程要求最高的为准。</w:t>
      </w:r>
    </w:p>
    <w:p w14:paraId="02C7D75A">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1.4.2 发包人提供国外标准、规范的名称：</w:t>
      </w:r>
      <w:r>
        <w:rPr>
          <w:rFonts w:hint="eastAsia" w:ascii="宋体" w:hAnsi="宋体"/>
          <w:color w:val="auto"/>
          <w:kern w:val="0"/>
          <w:szCs w:val="21"/>
          <w:highlight w:val="none"/>
          <w:u w:val="single"/>
        </w:rPr>
        <w:t xml:space="preserve"> / </w:t>
      </w:r>
      <w:r>
        <w:rPr>
          <w:rFonts w:hint="eastAsia" w:ascii="宋体" w:hAnsi="宋体"/>
          <w:color w:val="auto"/>
          <w:kern w:val="0"/>
          <w:szCs w:val="21"/>
          <w:highlight w:val="none"/>
        </w:rPr>
        <w:t>；</w:t>
      </w:r>
    </w:p>
    <w:p w14:paraId="1AF3F39A">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发包人提供国外标准、规范的份数：</w:t>
      </w:r>
      <w:r>
        <w:rPr>
          <w:rFonts w:hint="eastAsia" w:ascii="宋体" w:hAnsi="宋体"/>
          <w:color w:val="auto"/>
          <w:kern w:val="0"/>
          <w:szCs w:val="21"/>
          <w:highlight w:val="none"/>
          <w:u w:val="single"/>
        </w:rPr>
        <w:t xml:space="preserve"> / </w:t>
      </w:r>
      <w:r>
        <w:rPr>
          <w:rFonts w:hint="eastAsia" w:ascii="宋体" w:hAnsi="宋体"/>
          <w:color w:val="auto"/>
          <w:kern w:val="0"/>
          <w:szCs w:val="21"/>
          <w:highlight w:val="none"/>
        </w:rPr>
        <w:t>；</w:t>
      </w:r>
    </w:p>
    <w:p w14:paraId="1ED441B7">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发包人提供国外标准、规范的名称：</w:t>
      </w:r>
      <w:r>
        <w:rPr>
          <w:rFonts w:hint="eastAsia" w:ascii="宋体" w:hAnsi="宋体"/>
          <w:color w:val="auto"/>
          <w:kern w:val="0"/>
          <w:szCs w:val="21"/>
          <w:highlight w:val="none"/>
          <w:u w:val="single"/>
        </w:rPr>
        <w:t xml:space="preserve"> / </w:t>
      </w:r>
      <w:r>
        <w:rPr>
          <w:rFonts w:hint="eastAsia" w:ascii="宋体" w:hAnsi="宋体"/>
          <w:color w:val="auto"/>
          <w:kern w:val="0"/>
          <w:szCs w:val="21"/>
          <w:highlight w:val="none"/>
        </w:rPr>
        <w:t>。</w:t>
      </w:r>
    </w:p>
    <w:p w14:paraId="242A0799">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1.4.3 发包人对工程的技术标准和功能要求的特殊要求：</w:t>
      </w:r>
      <w:r>
        <w:rPr>
          <w:rFonts w:hint="eastAsia" w:ascii="宋体" w:hAnsi="宋体"/>
          <w:color w:val="auto"/>
          <w:kern w:val="0"/>
          <w:szCs w:val="21"/>
          <w:highlight w:val="none"/>
          <w:u w:val="single"/>
        </w:rPr>
        <w:t xml:space="preserve">/ </w:t>
      </w:r>
      <w:r>
        <w:rPr>
          <w:rFonts w:hint="eastAsia" w:ascii="宋体" w:hAnsi="宋体"/>
          <w:color w:val="auto"/>
          <w:szCs w:val="21"/>
          <w:highlight w:val="none"/>
        </w:rPr>
        <w:t>。</w:t>
      </w:r>
    </w:p>
    <w:p w14:paraId="38E5C2EC">
      <w:pPr>
        <w:pStyle w:val="7"/>
        <w:spacing w:before="0" w:beforeAutospacing="0" w:after="0" w:afterAutospacing="0" w:line="360" w:lineRule="auto"/>
        <w:ind w:firstLine="422" w:firstLineChars="200"/>
        <w:rPr>
          <w:color w:val="auto"/>
          <w:sz w:val="21"/>
          <w:szCs w:val="21"/>
          <w:highlight w:val="none"/>
        </w:rPr>
      </w:pPr>
      <w:bookmarkStart w:id="1211" w:name="_Toc532377324"/>
      <w:r>
        <w:rPr>
          <w:rFonts w:hint="eastAsia"/>
          <w:color w:val="auto"/>
          <w:sz w:val="21"/>
          <w:szCs w:val="21"/>
          <w:highlight w:val="none"/>
        </w:rPr>
        <w:t>1.5 合同文件的优先顺序</w:t>
      </w:r>
      <w:bookmarkEnd w:id="1211"/>
    </w:p>
    <w:p w14:paraId="616A2A40">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合同文件组成及优先顺序为：</w:t>
      </w:r>
      <w:r>
        <w:rPr>
          <w:rFonts w:hint="eastAsia" w:ascii="宋体" w:hAnsi="宋体"/>
          <w:color w:val="auto"/>
          <w:szCs w:val="21"/>
          <w:highlight w:val="none"/>
          <w:u w:val="single"/>
        </w:rPr>
        <w:t>按照合同协议书</w:t>
      </w:r>
      <w:r>
        <w:rPr>
          <w:rFonts w:hint="eastAsia" w:ascii="宋体" w:hAnsi="宋体"/>
          <w:bCs/>
          <w:color w:val="auto"/>
          <w:szCs w:val="21"/>
          <w:highlight w:val="none"/>
          <w:u w:val="single"/>
        </w:rPr>
        <w:t>〔</w:t>
      </w:r>
      <w:r>
        <w:rPr>
          <w:rFonts w:hint="eastAsia" w:ascii="宋体" w:hAnsi="宋体"/>
          <w:color w:val="auto"/>
          <w:szCs w:val="21"/>
          <w:highlight w:val="none"/>
          <w:u w:val="single"/>
        </w:rPr>
        <w:t>第六条</w:t>
      </w:r>
      <w:r>
        <w:rPr>
          <w:rFonts w:hint="eastAsia" w:ascii="宋体" w:hAnsi="宋体"/>
          <w:bCs/>
          <w:color w:val="auto"/>
          <w:szCs w:val="21"/>
          <w:highlight w:val="none"/>
          <w:u w:val="single"/>
        </w:rPr>
        <w:t>〕</w:t>
      </w:r>
      <w:r>
        <w:rPr>
          <w:rFonts w:hint="eastAsia" w:ascii="宋体" w:hAnsi="宋体"/>
          <w:color w:val="auto"/>
          <w:szCs w:val="21"/>
          <w:highlight w:val="none"/>
          <w:u w:val="single"/>
        </w:rPr>
        <w:t>约定执行</w:t>
      </w:r>
      <w:r>
        <w:rPr>
          <w:rFonts w:hint="eastAsia" w:ascii="宋体" w:hAnsi="宋体"/>
          <w:color w:val="auto"/>
          <w:szCs w:val="21"/>
          <w:highlight w:val="none"/>
        </w:rPr>
        <w:t>。</w:t>
      </w:r>
    </w:p>
    <w:p w14:paraId="3CB70863">
      <w:pPr>
        <w:pStyle w:val="7"/>
        <w:spacing w:before="0" w:beforeAutospacing="0" w:after="0" w:afterAutospacing="0" w:line="360" w:lineRule="auto"/>
        <w:ind w:firstLine="422" w:firstLineChars="200"/>
        <w:rPr>
          <w:color w:val="auto"/>
          <w:sz w:val="21"/>
          <w:szCs w:val="21"/>
          <w:highlight w:val="none"/>
        </w:rPr>
      </w:pPr>
      <w:bookmarkStart w:id="1212" w:name="_Toc532377325"/>
      <w:r>
        <w:rPr>
          <w:rFonts w:hint="eastAsia"/>
          <w:color w:val="auto"/>
          <w:sz w:val="21"/>
          <w:szCs w:val="21"/>
          <w:highlight w:val="none"/>
        </w:rPr>
        <w:t>1.6 图纸和承包人文件</w:t>
      </w:r>
      <w:bookmarkEnd w:id="1212"/>
    </w:p>
    <w:p w14:paraId="3B0B9757">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1.6.1 图纸的提供和交底</w:t>
      </w:r>
    </w:p>
    <w:p w14:paraId="258E4285">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发包人向承包人提供图纸的期限：</w:t>
      </w:r>
      <w:r>
        <w:rPr>
          <w:rFonts w:hint="eastAsia" w:ascii="宋体" w:hAnsi="宋体"/>
          <w:color w:val="auto"/>
          <w:szCs w:val="21"/>
          <w:highlight w:val="none"/>
          <w:u w:val="single"/>
        </w:rPr>
        <w:t>通用合同条款第7.3.2款</w:t>
      </w:r>
      <w:r>
        <w:rPr>
          <w:rFonts w:hint="eastAsia" w:ascii="宋体" w:hAnsi="宋体"/>
          <w:bCs/>
          <w:color w:val="auto"/>
          <w:szCs w:val="21"/>
          <w:highlight w:val="none"/>
          <w:u w:val="single"/>
        </w:rPr>
        <w:t>〔</w:t>
      </w:r>
      <w:r>
        <w:rPr>
          <w:rFonts w:hint="eastAsia" w:ascii="宋体" w:hAnsi="宋体"/>
          <w:color w:val="auto"/>
          <w:szCs w:val="21"/>
          <w:highlight w:val="none"/>
          <w:u w:val="single"/>
        </w:rPr>
        <w:t>开工通知</w:t>
      </w:r>
      <w:r>
        <w:rPr>
          <w:rFonts w:hint="eastAsia" w:ascii="宋体" w:hAnsi="宋体"/>
          <w:bCs/>
          <w:color w:val="auto"/>
          <w:szCs w:val="21"/>
          <w:highlight w:val="none"/>
          <w:u w:val="single"/>
        </w:rPr>
        <w:t>〕</w:t>
      </w:r>
      <w:r>
        <w:rPr>
          <w:rFonts w:hint="eastAsia" w:ascii="宋体" w:hAnsi="宋体"/>
          <w:color w:val="auto"/>
          <w:szCs w:val="21"/>
          <w:highlight w:val="none"/>
          <w:u w:val="single"/>
        </w:rPr>
        <w:t>载明的开工日期前14天</w:t>
      </w:r>
      <w:r>
        <w:rPr>
          <w:rFonts w:hint="eastAsia" w:ascii="宋体" w:hAnsi="宋体"/>
          <w:color w:val="auto"/>
          <w:szCs w:val="21"/>
          <w:highlight w:val="none"/>
        </w:rPr>
        <w:t>；</w:t>
      </w:r>
    </w:p>
    <w:p w14:paraId="62561048">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发包人向承包人提供图纸的数量：</w:t>
      </w:r>
      <w:r>
        <w:rPr>
          <w:rFonts w:hint="eastAsia" w:ascii="宋体" w:hAnsi="宋体"/>
          <w:color w:val="auto"/>
          <w:szCs w:val="21"/>
          <w:highlight w:val="none"/>
          <w:u w:val="single"/>
        </w:rPr>
        <w:t xml:space="preserve"> 三 套</w:t>
      </w:r>
      <w:r>
        <w:rPr>
          <w:rFonts w:hint="eastAsia" w:ascii="宋体" w:hAnsi="宋体"/>
          <w:color w:val="auto"/>
          <w:szCs w:val="21"/>
          <w:highlight w:val="none"/>
        </w:rPr>
        <w:t xml:space="preserve">； </w:t>
      </w:r>
    </w:p>
    <w:p w14:paraId="1B11A8BE">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发包人向承包人提供图纸的内容：</w:t>
      </w:r>
      <w:r>
        <w:rPr>
          <w:rFonts w:hint="eastAsia" w:ascii="宋体" w:hAnsi="宋体"/>
          <w:color w:val="auto"/>
          <w:szCs w:val="21"/>
          <w:highlight w:val="none"/>
          <w:u w:val="single"/>
        </w:rPr>
        <w:t>工程承包范围内工程的施工图设计文件</w:t>
      </w:r>
      <w:r>
        <w:rPr>
          <w:rFonts w:hint="eastAsia" w:ascii="宋体" w:hAnsi="宋体"/>
          <w:color w:val="auto"/>
          <w:szCs w:val="21"/>
          <w:highlight w:val="none"/>
        </w:rPr>
        <w:t>；</w:t>
      </w:r>
    </w:p>
    <w:p w14:paraId="6CE2512C">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发包人组织承包人、监理人和设计人进行图纸会审和设计交底的时间：</w:t>
      </w:r>
      <w:r>
        <w:rPr>
          <w:rFonts w:hint="eastAsia" w:ascii="宋体" w:hAnsi="宋体"/>
          <w:color w:val="auto"/>
          <w:szCs w:val="21"/>
          <w:highlight w:val="none"/>
          <w:u w:val="single"/>
        </w:rPr>
        <w:t>提供施工图后7天内</w:t>
      </w:r>
      <w:r>
        <w:rPr>
          <w:rFonts w:hint="eastAsia" w:ascii="宋体" w:hAnsi="宋体"/>
          <w:color w:val="auto"/>
          <w:szCs w:val="21"/>
          <w:highlight w:val="none"/>
        </w:rPr>
        <w:t>。</w:t>
      </w:r>
    </w:p>
    <w:p w14:paraId="47A843AD">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承包人可以书面方式通过监理人向发包人申请进行紧急的设计交底，发包人认为确有必要且条件许可时，应尽快组织实施承包人申请的设计交底。</w:t>
      </w:r>
    </w:p>
    <w:p w14:paraId="4F3FAFF3">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1.6.2 图纸的错误</w:t>
      </w:r>
    </w:p>
    <w:p w14:paraId="61ECAEC2">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在收到发包人提供的图纸后，承包人应对收到的图纸进行仔细核查，并在开始施工前，将发现的图纸存在的差错、遗漏或缺陷及时通知监理人。监理人接到该通知后，应附相关意见并立即报送发包人，发包人应在收到监理人报送的通知后作出决定。</w:t>
      </w:r>
    </w:p>
    <w:p w14:paraId="50B946B5">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承包人不得利用图纸的差错、遗漏或缺陷，从中获得不正当的利益。</w:t>
      </w:r>
    </w:p>
    <w:p w14:paraId="3BDBC9EE">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1.6.4 承包人文件</w:t>
      </w:r>
    </w:p>
    <w:p w14:paraId="52631A73">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需要由承包人提供的书面文件，包括：</w:t>
      </w:r>
      <w:r>
        <w:rPr>
          <w:rFonts w:hint="eastAsia" w:ascii="宋体" w:hAnsi="宋体"/>
          <w:color w:val="auto"/>
          <w:szCs w:val="21"/>
          <w:highlight w:val="none"/>
          <w:u w:val="single"/>
        </w:rPr>
        <w:t>施工组织设计、专项施工方案、</w:t>
      </w:r>
      <w:r>
        <w:rPr>
          <w:rFonts w:ascii="宋体" w:hAnsi="宋体"/>
          <w:color w:val="auto"/>
          <w:szCs w:val="21"/>
          <w:highlight w:val="none"/>
          <w:u w:val="single"/>
        </w:rPr>
        <w:t>危险性较大分部分项工程施工方案</w:t>
      </w:r>
      <w:r>
        <w:rPr>
          <w:rFonts w:hint="eastAsia" w:ascii="宋体" w:hAnsi="宋体"/>
          <w:color w:val="auto"/>
          <w:szCs w:val="21"/>
          <w:highlight w:val="none"/>
          <w:u w:val="single"/>
        </w:rPr>
        <w:t>（如有）、安全应急方案、进度计划、报表及计划、竣工资料及施工过程中因工程变更需要报送的施工方案、施工过程中涉及工程价款变更的相关资料、完整的竣工结算资料等</w:t>
      </w:r>
      <w:r>
        <w:rPr>
          <w:rFonts w:hint="eastAsia" w:ascii="宋体" w:hAnsi="宋体"/>
          <w:color w:val="auto"/>
          <w:szCs w:val="21"/>
          <w:highlight w:val="none"/>
        </w:rPr>
        <w:t>。</w:t>
      </w:r>
    </w:p>
    <w:p w14:paraId="2E35FB9E">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承包人提供文件的期限、数量：</w:t>
      </w:r>
    </w:p>
    <w:p w14:paraId="50191D81">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（1）</w:t>
      </w:r>
      <w:r>
        <w:rPr>
          <w:rFonts w:hint="eastAsia" w:ascii="宋体" w:hAnsi="宋体"/>
          <w:color w:val="auto"/>
          <w:szCs w:val="21"/>
          <w:highlight w:val="none"/>
          <w:u w:val="single"/>
        </w:rPr>
        <w:t>图纸会审及设计交底后7天内，向监理人、发包人提交经优化完善的施工组织设计和工程总体进度计划及当年年度施工进度计划。进度计划安排必须符合发包人对本工程总体进度计划的安排。专项施工方案应在专项施工7日前通过审查（含专家论证）。施工组织设计和专项施工方案经监理人审批同意后执行。承包人应接受监理人、发包人对其提交的施工组织设计和专项施工方案中不合理的工期安排及技术措施、方案的修改意见，并修改完善后重新报批，直至获得批准</w:t>
      </w:r>
      <w:r>
        <w:rPr>
          <w:rFonts w:hint="eastAsia" w:ascii="宋体" w:hAnsi="宋体"/>
          <w:color w:val="auto"/>
          <w:szCs w:val="21"/>
          <w:highlight w:val="none"/>
        </w:rPr>
        <w:t>。</w:t>
      </w:r>
    </w:p>
    <w:p w14:paraId="0DE0D714">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u w:val="single"/>
        </w:rPr>
        <w:t>每月  日前报送月工程进度完成报表</w:t>
      </w:r>
      <w:r>
        <w:rPr>
          <w:rFonts w:hint="eastAsia" w:ascii="宋体" w:hAnsi="宋体"/>
          <w:color w:val="auto"/>
          <w:szCs w:val="21"/>
          <w:highlight w:val="none"/>
        </w:rPr>
        <w:t>。</w:t>
      </w:r>
    </w:p>
    <w:p w14:paraId="2B82D3B4">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（3）合同另有约定的，按照其约定。</w:t>
      </w:r>
    </w:p>
    <w:p w14:paraId="5F25FDF6">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承包人提供的文件的形式：</w:t>
      </w:r>
      <w:r>
        <w:rPr>
          <w:rFonts w:hint="eastAsia" w:ascii="宋体" w:hAnsi="宋体"/>
          <w:color w:val="auto"/>
          <w:szCs w:val="21"/>
          <w:highlight w:val="none"/>
        </w:rPr>
        <w:sym w:font="Wingdings 2" w:char="F052"/>
      </w:r>
      <w:r>
        <w:rPr>
          <w:rFonts w:hint="eastAsia" w:ascii="宋体" w:hAnsi="宋体"/>
          <w:color w:val="auto"/>
          <w:szCs w:val="21"/>
          <w:highlight w:val="none"/>
        </w:rPr>
        <w:t>采用电子招标的，投标文件以电子文档为准，其他文件以书面文件为准。监理人审批承包人文件的期限：</w:t>
      </w:r>
      <w:r>
        <w:rPr>
          <w:rFonts w:hint="eastAsia" w:ascii="宋体" w:hAnsi="宋体"/>
          <w:color w:val="auto"/>
          <w:szCs w:val="21"/>
          <w:highlight w:val="none"/>
          <w:u w:val="single"/>
        </w:rPr>
        <w:t>收到施工组织设计和工程总体进度计划及当年年度施工进度计划后7天内；合同另有约定的，从其约定</w:t>
      </w:r>
      <w:r>
        <w:rPr>
          <w:rFonts w:hint="eastAsia" w:ascii="宋体" w:hAnsi="宋体"/>
          <w:color w:val="auto"/>
          <w:szCs w:val="21"/>
          <w:highlight w:val="none"/>
        </w:rPr>
        <w:t>。</w:t>
      </w:r>
    </w:p>
    <w:p w14:paraId="1DFEDD2D">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承包人提供的文件的费用：</w:t>
      </w:r>
      <w:r>
        <w:rPr>
          <w:rFonts w:hint="eastAsia" w:ascii="宋体" w:hAnsi="宋体"/>
          <w:color w:val="auto"/>
          <w:szCs w:val="21"/>
          <w:highlight w:val="none"/>
          <w:u w:val="single"/>
        </w:rPr>
        <w:t>由承包人承担</w:t>
      </w:r>
      <w:r>
        <w:rPr>
          <w:rFonts w:hint="eastAsia" w:ascii="宋体" w:hAnsi="宋体"/>
          <w:color w:val="auto"/>
          <w:szCs w:val="21"/>
          <w:highlight w:val="none"/>
        </w:rPr>
        <w:t>。</w:t>
      </w:r>
    </w:p>
    <w:p w14:paraId="387B9C34">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发包人审批承包人文件的期限：</w:t>
      </w:r>
      <w:r>
        <w:rPr>
          <w:rFonts w:hint="eastAsia" w:ascii="宋体" w:hAnsi="宋体"/>
          <w:color w:val="auto"/>
          <w:szCs w:val="21"/>
          <w:highlight w:val="none"/>
          <w:u w:val="single"/>
        </w:rPr>
        <w:t>收到后14天内；合同另有约定的，从其约定</w:t>
      </w:r>
      <w:r>
        <w:rPr>
          <w:rFonts w:hint="eastAsia" w:ascii="宋体" w:hAnsi="宋体"/>
          <w:color w:val="auto"/>
          <w:szCs w:val="21"/>
          <w:highlight w:val="none"/>
        </w:rPr>
        <w:t>。</w:t>
      </w:r>
    </w:p>
    <w:p w14:paraId="67E8D286">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监理人、发包人的修改意见和审批，不免除或减轻承包人对该工作、工程、材料、工程设备等应承担的责任和义务</w:t>
      </w:r>
      <w:r>
        <w:rPr>
          <w:rFonts w:hint="eastAsia" w:ascii="宋体" w:hAnsi="宋体"/>
          <w:color w:val="auto"/>
          <w:szCs w:val="21"/>
          <w:highlight w:val="none"/>
        </w:rPr>
        <w:t>。</w:t>
      </w:r>
    </w:p>
    <w:p w14:paraId="6FC5519E">
      <w:pPr>
        <w:pStyle w:val="7"/>
        <w:spacing w:before="0" w:beforeAutospacing="0" w:after="0" w:afterAutospacing="0" w:line="360" w:lineRule="auto"/>
        <w:ind w:firstLine="422" w:firstLineChars="200"/>
        <w:rPr>
          <w:color w:val="auto"/>
          <w:sz w:val="21"/>
          <w:szCs w:val="21"/>
          <w:highlight w:val="none"/>
        </w:rPr>
      </w:pPr>
      <w:bookmarkStart w:id="1213" w:name="_Toc532377326"/>
      <w:r>
        <w:rPr>
          <w:rFonts w:hint="eastAsia"/>
          <w:color w:val="auto"/>
          <w:sz w:val="21"/>
          <w:szCs w:val="21"/>
          <w:highlight w:val="none"/>
        </w:rPr>
        <w:t>1.7 联络</w:t>
      </w:r>
      <w:bookmarkEnd w:id="1213"/>
    </w:p>
    <w:p w14:paraId="3E805D27">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1.7.1 发包人和承包人应当在</w:t>
      </w:r>
      <w:r>
        <w:rPr>
          <w:rFonts w:hint="eastAsia" w:ascii="宋体" w:hAnsi="宋体"/>
          <w:color w:val="auto"/>
          <w:szCs w:val="21"/>
          <w:highlight w:val="none"/>
          <w:u w:val="single"/>
        </w:rPr>
        <w:t xml:space="preserve"> 1 </w:t>
      </w:r>
      <w:r>
        <w:rPr>
          <w:rFonts w:hint="eastAsia" w:ascii="宋体" w:hAnsi="宋体"/>
          <w:color w:val="auto"/>
          <w:kern w:val="0"/>
          <w:szCs w:val="21"/>
          <w:highlight w:val="none"/>
        </w:rPr>
        <w:t>天内将与合同有关的通知、批准、证明、证书、指示、指令、要求、请求、同意、意见、确定和决定等书面函件送达对方当事人，并办理书面签收手续。</w:t>
      </w:r>
    </w:p>
    <w:p w14:paraId="0292257E">
      <w:pPr>
        <w:tabs>
          <w:tab w:val="left" w:pos="7513"/>
        </w:tabs>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1.7.2 发包人接收文件地点：</w:t>
      </w:r>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p>
    <w:p w14:paraId="763FD522">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发包人指定的接收人：</w:t>
      </w:r>
      <w:bookmarkStart w:id="1214" w:name="_Hlk528493983"/>
      <w:bookmarkEnd w:id="1214"/>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p>
    <w:p w14:paraId="68395FEB">
      <w:pPr>
        <w:tabs>
          <w:tab w:val="left" w:pos="7513"/>
        </w:tabs>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承包人接收文件地点：</w:t>
      </w:r>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p>
    <w:p w14:paraId="481C19BA">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承包人指定的接收人：</w:t>
      </w:r>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p>
    <w:p w14:paraId="0645AF80">
      <w:pPr>
        <w:tabs>
          <w:tab w:val="left" w:pos="7371"/>
        </w:tabs>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监理人接收文件地点：</w:t>
      </w:r>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p>
    <w:p w14:paraId="52871387">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监理人指定的接收人：</w:t>
      </w:r>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p>
    <w:p w14:paraId="76E0479A">
      <w:pPr>
        <w:pStyle w:val="7"/>
        <w:spacing w:before="0" w:beforeAutospacing="0" w:after="0" w:afterAutospacing="0" w:line="360" w:lineRule="auto"/>
        <w:ind w:firstLine="422" w:firstLineChars="200"/>
        <w:rPr>
          <w:color w:val="auto"/>
          <w:sz w:val="21"/>
          <w:szCs w:val="21"/>
          <w:highlight w:val="none"/>
        </w:rPr>
      </w:pPr>
      <w:bookmarkStart w:id="1215" w:name="_Toc532377327"/>
      <w:r>
        <w:rPr>
          <w:rFonts w:hint="eastAsia"/>
          <w:color w:val="auto"/>
          <w:sz w:val="21"/>
          <w:szCs w:val="21"/>
          <w:highlight w:val="none"/>
        </w:rPr>
        <w:t>1.8 严禁贿赂</w:t>
      </w:r>
      <w:bookmarkEnd w:id="1215"/>
    </w:p>
    <w:p w14:paraId="03244D79">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本款补充以下内容：</w:t>
      </w:r>
    </w:p>
    <w:p w14:paraId="5381AE6B">
      <w:pPr>
        <w:spacing w:line="360" w:lineRule="auto"/>
        <w:ind w:firstLine="420" w:firstLineChars="200"/>
        <w:jc w:val="left"/>
        <w:rPr>
          <w:rFonts w:ascii="宋体" w:hAnsi="宋体"/>
          <w:color w:val="auto"/>
          <w:kern w:val="0"/>
          <w:szCs w:val="21"/>
          <w:highlight w:val="none"/>
          <w:u w:val="single"/>
        </w:rPr>
      </w:pPr>
      <w:r>
        <w:rPr>
          <w:rFonts w:hint="eastAsia" w:ascii="宋体" w:hAnsi="宋体"/>
          <w:color w:val="auto"/>
          <w:kern w:val="0"/>
          <w:szCs w:val="21"/>
          <w:highlight w:val="none"/>
        </w:rPr>
        <w:t>在合同执行过程中，合同当事人应严格履行附件8《廉洁从业协议》。</w:t>
      </w:r>
    </w:p>
    <w:p w14:paraId="03BF8B57">
      <w:pPr>
        <w:pStyle w:val="7"/>
        <w:spacing w:before="0" w:beforeAutospacing="0" w:after="0" w:afterAutospacing="0" w:line="360" w:lineRule="auto"/>
        <w:ind w:firstLine="422" w:firstLineChars="200"/>
        <w:rPr>
          <w:color w:val="auto"/>
          <w:sz w:val="21"/>
          <w:szCs w:val="21"/>
          <w:highlight w:val="none"/>
        </w:rPr>
      </w:pPr>
      <w:bookmarkStart w:id="1216" w:name="_Toc532377328"/>
      <w:r>
        <w:rPr>
          <w:rFonts w:hint="eastAsia"/>
          <w:color w:val="auto"/>
          <w:sz w:val="21"/>
          <w:szCs w:val="21"/>
          <w:highlight w:val="none"/>
        </w:rPr>
        <w:t>1.10 交通运输</w:t>
      </w:r>
      <w:bookmarkEnd w:id="1216"/>
    </w:p>
    <w:p w14:paraId="0F61B697">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w:t>
      </w:r>
      <w:bookmarkStart w:id="1217" w:name="_Toc303539100"/>
      <w:bookmarkStart w:id="1218" w:name="_Toc312677986"/>
      <w:bookmarkStart w:id="1219" w:name="_Toc300934943"/>
      <w:bookmarkStart w:id="1220" w:name="_Toc304295521"/>
      <w:bookmarkStart w:id="1221" w:name="_Toc318581155"/>
      <w:r>
        <w:rPr>
          <w:rFonts w:hint="eastAsia" w:ascii="宋体" w:hAnsi="宋体"/>
          <w:color w:val="auto"/>
          <w:szCs w:val="21"/>
          <w:highlight w:val="none"/>
        </w:rPr>
        <w:t>.10.1 出入现场的权利</w:t>
      </w:r>
    </w:p>
    <w:p w14:paraId="61864F85">
      <w:pPr>
        <w:spacing w:line="360" w:lineRule="auto"/>
        <w:ind w:firstLine="420" w:firstLineChars="200"/>
        <w:jc w:val="left"/>
        <w:rPr>
          <w:rFonts w:ascii="宋体" w:hAnsi="宋体"/>
          <w:color w:val="auto"/>
          <w:kern w:val="0"/>
          <w:szCs w:val="21"/>
          <w:highlight w:val="none"/>
        </w:rPr>
      </w:pPr>
      <w:r>
        <w:rPr>
          <w:rFonts w:hint="eastAsia" w:ascii="宋体" w:hAnsi="宋体"/>
          <w:color w:val="auto"/>
          <w:szCs w:val="21"/>
          <w:highlight w:val="none"/>
        </w:rPr>
        <w:t>关于出入现场的权利的约定：</w:t>
      </w:r>
      <w:r>
        <w:rPr>
          <w:rFonts w:hint="eastAsia" w:ascii="宋体"/>
          <w:color w:val="auto"/>
          <w:szCs w:val="21"/>
          <w:highlight w:val="none"/>
          <w:u w:val="single"/>
        </w:rPr>
        <w:t>承包人负责管理出入施工现场的所有人员及相关车辆，若因承包人管理不善，导致社会人员、车辆进入及工程车辆超重等原因造成的一切损失由承包人自行负责</w:t>
      </w:r>
      <w:r>
        <w:rPr>
          <w:rFonts w:hint="eastAsia" w:ascii="宋体" w:hAnsi="宋体"/>
          <w:color w:val="auto"/>
          <w:szCs w:val="21"/>
          <w:highlight w:val="none"/>
        </w:rPr>
        <w:t>。</w:t>
      </w:r>
    </w:p>
    <w:bookmarkEnd w:id="1217"/>
    <w:bookmarkEnd w:id="1218"/>
    <w:bookmarkEnd w:id="1219"/>
    <w:bookmarkEnd w:id="1220"/>
    <w:bookmarkEnd w:id="1221"/>
    <w:p w14:paraId="4DD29304">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1.10.2 场外交通</w:t>
      </w:r>
    </w:p>
    <w:p w14:paraId="01B77CB6">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承包人应遵守有关交通法规，执行有关道路限速、限行、禁止超载的规定，并配合交通管理部门的监督和检查。场外交通以施工场地移交时的现状为准。</w:t>
      </w:r>
    </w:p>
    <w:p w14:paraId="17350369">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w:t>
      </w:r>
      <w:bookmarkStart w:id="1222" w:name="_Toc304295522"/>
      <w:bookmarkStart w:id="1223" w:name="_Toc312677987"/>
      <w:bookmarkStart w:id="1224" w:name="_Toc303539101"/>
      <w:bookmarkStart w:id="1225" w:name="_Toc300934944"/>
      <w:bookmarkStart w:id="1226" w:name="_Toc318581156"/>
      <w:r>
        <w:rPr>
          <w:rFonts w:hint="eastAsia" w:ascii="宋体" w:hAnsi="宋体"/>
          <w:color w:val="auto"/>
          <w:szCs w:val="21"/>
          <w:highlight w:val="none"/>
        </w:rPr>
        <w:t>.10.3 场内交通</w:t>
      </w:r>
    </w:p>
    <w:p w14:paraId="519A62BD">
      <w:pPr>
        <w:spacing w:line="360" w:lineRule="auto"/>
        <w:ind w:firstLine="420" w:firstLineChars="200"/>
        <w:jc w:val="left"/>
        <w:rPr>
          <w:rFonts w:ascii="宋体" w:hAnsi="宋体"/>
          <w:color w:val="auto"/>
          <w:szCs w:val="21"/>
          <w:highlight w:val="none"/>
          <w:u w:val="single"/>
        </w:rPr>
      </w:pPr>
      <w:r>
        <w:rPr>
          <w:rFonts w:hint="eastAsia" w:ascii="宋体" w:hAnsi="宋体"/>
          <w:color w:val="auto"/>
          <w:kern w:val="0"/>
          <w:szCs w:val="21"/>
          <w:highlight w:val="none"/>
        </w:rPr>
        <w:t>关于场外交通和场内交通的边界的约定：</w:t>
      </w:r>
      <w:r>
        <w:rPr>
          <w:rFonts w:hint="eastAsia" w:ascii="宋体" w:hAnsi="宋体"/>
          <w:color w:val="auto"/>
          <w:szCs w:val="21"/>
          <w:highlight w:val="none"/>
          <w:u w:val="single"/>
        </w:rPr>
        <w:t>以合同工程用地红线为界，用地红线外为场外交通，用地红线范围内为场内交通（场外道路穿越场内的除外）</w:t>
      </w:r>
      <w:r>
        <w:rPr>
          <w:rFonts w:hint="eastAsia" w:ascii="宋体" w:hAnsi="宋体"/>
          <w:color w:val="auto"/>
          <w:szCs w:val="21"/>
          <w:highlight w:val="none"/>
        </w:rPr>
        <w:t>。</w:t>
      </w:r>
    </w:p>
    <w:p w14:paraId="02F1F508">
      <w:pPr>
        <w:spacing w:line="360" w:lineRule="auto"/>
        <w:ind w:firstLine="420" w:firstLineChars="200"/>
        <w:jc w:val="left"/>
        <w:rPr>
          <w:rFonts w:ascii="宋体" w:hAnsi="宋体"/>
          <w:color w:val="auto"/>
          <w:szCs w:val="21"/>
          <w:highlight w:val="none"/>
        </w:rPr>
      </w:pPr>
      <w:r>
        <w:rPr>
          <w:rFonts w:hint="eastAsia" w:ascii="宋体" w:hAnsi="宋体"/>
          <w:color w:val="auto"/>
          <w:kern w:val="0"/>
          <w:szCs w:val="21"/>
          <w:highlight w:val="none"/>
        </w:rPr>
        <w:t>关于发包人向承包人免费提供满足工程施工需要的场内道路和交通设施的约定：</w:t>
      </w:r>
      <w:r>
        <w:rPr>
          <w:rFonts w:hint="eastAsia" w:ascii="宋体" w:hAnsi="宋体"/>
          <w:color w:val="auto"/>
          <w:kern w:val="0"/>
          <w:szCs w:val="21"/>
          <w:highlight w:val="none"/>
          <w:u w:val="single"/>
        </w:rPr>
        <w:t>以施工场地移交时的现状为准</w:t>
      </w:r>
      <w:r>
        <w:rPr>
          <w:rFonts w:hint="eastAsia" w:ascii="宋体" w:hAnsi="宋体"/>
          <w:color w:val="auto"/>
          <w:szCs w:val="21"/>
          <w:highlight w:val="none"/>
        </w:rPr>
        <w:t>。</w:t>
      </w:r>
    </w:p>
    <w:bookmarkEnd w:id="1222"/>
    <w:bookmarkEnd w:id="1223"/>
    <w:bookmarkEnd w:id="1224"/>
    <w:bookmarkEnd w:id="1225"/>
    <w:bookmarkEnd w:id="1226"/>
    <w:p w14:paraId="3B832598">
      <w:pPr>
        <w:spacing w:line="360" w:lineRule="auto"/>
        <w:ind w:firstLine="420" w:firstLineChars="200"/>
        <w:jc w:val="left"/>
        <w:rPr>
          <w:rFonts w:ascii="宋体" w:hAnsi="宋体"/>
          <w:color w:val="auto"/>
          <w:szCs w:val="21"/>
          <w:highlight w:val="none"/>
        </w:rPr>
      </w:pPr>
      <w:bookmarkStart w:id="1227" w:name="_Toc318581157"/>
      <w:r>
        <w:rPr>
          <w:rFonts w:hint="eastAsia" w:ascii="宋体" w:hAnsi="宋体"/>
          <w:color w:val="auto"/>
          <w:szCs w:val="21"/>
          <w:highlight w:val="none"/>
        </w:rPr>
        <w:t>1.10.4 超大件和超重件的运输</w:t>
      </w:r>
    </w:p>
    <w:p w14:paraId="33DDF5E2">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运输超大件或超重件所需的道路和桥梁临时加固改造费用和其他有关费用由</w:t>
      </w:r>
      <w:r>
        <w:rPr>
          <w:rFonts w:hint="eastAsia" w:ascii="宋体" w:hAnsi="宋体"/>
          <w:color w:val="auto"/>
          <w:szCs w:val="21"/>
          <w:highlight w:val="none"/>
          <w:u w:val="single"/>
        </w:rPr>
        <w:t>发包人</w:t>
      </w:r>
      <w:r>
        <w:rPr>
          <w:rFonts w:hint="eastAsia" w:ascii="宋体" w:hAnsi="宋体"/>
          <w:color w:val="auto"/>
          <w:szCs w:val="21"/>
          <w:highlight w:val="none"/>
        </w:rPr>
        <w:t>承担。</w:t>
      </w:r>
    </w:p>
    <w:bookmarkEnd w:id="1227"/>
    <w:p w14:paraId="1757079B">
      <w:pPr>
        <w:pStyle w:val="7"/>
        <w:spacing w:before="0" w:beforeAutospacing="0" w:after="0" w:afterAutospacing="0" w:line="360" w:lineRule="auto"/>
        <w:ind w:firstLine="422" w:firstLineChars="200"/>
        <w:rPr>
          <w:color w:val="auto"/>
          <w:sz w:val="21"/>
          <w:szCs w:val="21"/>
          <w:highlight w:val="none"/>
        </w:rPr>
      </w:pPr>
      <w:bookmarkStart w:id="1228" w:name="_Toc532377329"/>
      <w:r>
        <w:rPr>
          <w:rFonts w:hint="eastAsia"/>
          <w:color w:val="auto"/>
          <w:sz w:val="21"/>
          <w:szCs w:val="21"/>
          <w:highlight w:val="none"/>
        </w:rPr>
        <w:t>1.11 知识产权</w:t>
      </w:r>
      <w:bookmarkEnd w:id="1228"/>
    </w:p>
    <w:p w14:paraId="76D84AAA">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1.11.1 关于发包人提供给承包人的图纸、发包人为实施工程自行编制或委托编制的技术规范以及反映发包人关于合同要求或其他类似性质的文件的著作权的归属：</w:t>
      </w:r>
      <w:r>
        <w:rPr>
          <w:rFonts w:hint="eastAsia" w:ascii="宋体" w:hAnsi="宋体"/>
          <w:color w:val="auto"/>
          <w:szCs w:val="21"/>
          <w:highlight w:val="none"/>
          <w:u w:val="single"/>
        </w:rPr>
        <w:t>属于发包人</w:t>
      </w:r>
      <w:r>
        <w:rPr>
          <w:rFonts w:hint="eastAsia" w:ascii="宋体" w:hAnsi="宋体"/>
          <w:color w:val="auto"/>
          <w:szCs w:val="21"/>
          <w:highlight w:val="none"/>
        </w:rPr>
        <w:t>。</w:t>
      </w:r>
    </w:p>
    <w:p w14:paraId="0B6B4E38">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关于发包人提供的上述文件的使用限制的要求：</w:t>
      </w:r>
      <w:r>
        <w:rPr>
          <w:rFonts w:hint="eastAsia" w:ascii="宋体" w:hAnsi="宋体"/>
          <w:color w:val="auto"/>
          <w:szCs w:val="21"/>
          <w:highlight w:val="none"/>
          <w:u w:val="single"/>
        </w:rPr>
        <w:t>按通用合同条款执行</w:t>
      </w:r>
      <w:r>
        <w:rPr>
          <w:rFonts w:hint="eastAsia" w:ascii="宋体" w:hAnsi="宋体"/>
          <w:color w:val="auto"/>
          <w:szCs w:val="21"/>
          <w:highlight w:val="none"/>
        </w:rPr>
        <w:t>。</w:t>
      </w:r>
    </w:p>
    <w:p w14:paraId="230A8B20">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1.11.4 承包人在施工过程中所采用的专利、专有技术、技术秘密的使用费的承担方式：</w:t>
      </w:r>
      <w:r>
        <w:rPr>
          <w:rFonts w:hint="eastAsia" w:ascii="宋体" w:hAnsi="宋体"/>
          <w:color w:val="auto"/>
          <w:szCs w:val="21"/>
          <w:highlight w:val="none"/>
          <w:u w:val="single"/>
        </w:rPr>
        <w:t>承包人承担</w:t>
      </w:r>
      <w:r>
        <w:rPr>
          <w:rFonts w:hint="eastAsia" w:ascii="宋体" w:hAnsi="宋体"/>
          <w:color w:val="auto"/>
          <w:szCs w:val="21"/>
          <w:highlight w:val="none"/>
        </w:rPr>
        <w:t>。</w:t>
      </w:r>
    </w:p>
    <w:p w14:paraId="39189054">
      <w:pPr>
        <w:pStyle w:val="7"/>
        <w:spacing w:before="0" w:beforeAutospacing="0" w:after="0" w:afterAutospacing="0" w:line="360" w:lineRule="auto"/>
        <w:ind w:firstLine="422" w:firstLineChars="200"/>
        <w:rPr>
          <w:color w:val="auto"/>
          <w:sz w:val="21"/>
          <w:szCs w:val="21"/>
          <w:highlight w:val="none"/>
        </w:rPr>
      </w:pPr>
      <w:bookmarkStart w:id="1229" w:name="_Toc532377330"/>
      <w:r>
        <w:rPr>
          <w:rFonts w:hint="eastAsia"/>
          <w:color w:val="auto"/>
          <w:sz w:val="21"/>
          <w:szCs w:val="21"/>
          <w:highlight w:val="none"/>
        </w:rPr>
        <w:t>1.13工程量清单错误的修正</w:t>
      </w:r>
      <w:bookmarkEnd w:id="1229"/>
    </w:p>
    <w:p w14:paraId="79FCD8E0">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出现工程量清单错误时，责任和权利划分：</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14:paraId="362DC58A">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出现工程量清单错误时，是否调整合同价格：</w:t>
      </w:r>
      <w:r>
        <w:rPr>
          <w:rFonts w:hint="eastAsia" w:ascii="宋体" w:hAnsi="宋体"/>
          <w:color w:val="auto"/>
          <w:szCs w:val="21"/>
          <w:highlight w:val="none"/>
          <w:u w:val="single"/>
        </w:rPr>
        <w:t xml:space="preserve">        </w:t>
      </w:r>
      <w:r>
        <w:rPr>
          <w:rFonts w:hint="eastAsia" w:ascii="宋体" w:hAnsi="宋体"/>
          <w:color w:val="auto"/>
          <w:kern w:val="0"/>
          <w:szCs w:val="21"/>
          <w:highlight w:val="none"/>
        </w:rPr>
        <w:t>。</w:t>
      </w:r>
    </w:p>
    <w:p w14:paraId="2DBC000C">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允许调整合同价格的工程量偏差范围：</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14:paraId="2D2285B0">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1230" w:name="_Toc351203634"/>
      <w:bookmarkStart w:id="1231" w:name="_Toc532375609"/>
      <w:bookmarkStart w:id="1232" w:name="_Toc532377331"/>
      <w:r>
        <w:rPr>
          <w:rFonts w:hint="eastAsia"/>
          <w:color w:val="auto"/>
          <w:kern w:val="2"/>
          <w:sz w:val="21"/>
          <w:szCs w:val="21"/>
          <w:highlight w:val="none"/>
        </w:rPr>
        <w:t>2</w:t>
      </w:r>
      <w:bookmarkStart w:id="1233" w:name="_Toc296891197"/>
      <w:bookmarkStart w:id="1234" w:name="_Toc296944496"/>
      <w:bookmarkStart w:id="1235" w:name="_Toc292559867"/>
      <w:bookmarkStart w:id="1236" w:name="_Toc296503157"/>
      <w:bookmarkStart w:id="1237" w:name="_Toc296346658"/>
      <w:bookmarkStart w:id="1238" w:name="_Toc297120457"/>
      <w:bookmarkStart w:id="1239" w:name="_Toc292559362"/>
      <w:bookmarkStart w:id="1240" w:name="_Toc296890985"/>
      <w:bookmarkStart w:id="1241" w:name="_Toc296347156"/>
      <w:bookmarkStart w:id="1242" w:name="_Toc297048343"/>
      <w:r>
        <w:rPr>
          <w:rFonts w:hint="eastAsia"/>
          <w:color w:val="auto"/>
          <w:kern w:val="2"/>
          <w:sz w:val="21"/>
          <w:szCs w:val="21"/>
          <w:highlight w:val="none"/>
        </w:rPr>
        <w:t>. 发包人</w:t>
      </w:r>
      <w:bookmarkEnd w:id="1230"/>
      <w:bookmarkEnd w:id="1231"/>
      <w:bookmarkEnd w:id="1232"/>
    </w:p>
    <w:bookmarkEnd w:id="1233"/>
    <w:bookmarkEnd w:id="1234"/>
    <w:bookmarkEnd w:id="1235"/>
    <w:bookmarkEnd w:id="1236"/>
    <w:bookmarkEnd w:id="1237"/>
    <w:bookmarkEnd w:id="1238"/>
    <w:bookmarkEnd w:id="1239"/>
    <w:bookmarkEnd w:id="1240"/>
    <w:bookmarkEnd w:id="1241"/>
    <w:bookmarkEnd w:id="1242"/>
    <w:p w14:paraId="559A20B0">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2.2.1 发包人代表</w:t>
      </w:r>
    </w:p>
    <w:p w14:paraId="6B995F2E">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发包人代表：</w:t>
      </w:r>
    </w:p>
    <w:p w14:paraId="3D43A56B">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姓    名：</w:t>
      </w:r>
      <w:r>
        <w:rPr>
          <w:rFonts w:ascii="宋体" w:hAnsi="宋体"/>
          <w:color w:val="auto"/>
          <w:szCs w:val="21"/>
          <w:highlight w:val="none"/>
          <w:u w:val="single"/>
        </w:rPr>
        <w:t xml:space="preserve">              </w:t>
      </w:r>
      <w:r>
        <w:rPr>
          <w:rFonts w:hint="eastAsia" w:ascii="宋体" w:hAnsi="宋体"/>
          <w:color w:val="auto"/>
          <w:szCs w:val="21"/>
          <w:highlight w:val="none"/>
        </w:rPr>
        <w:t>；</w:t>
      </w:r>
    </w:p>
    <w:p w14:paraId="0B58EEFD">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身份证号：</w:t>
      </w:r>
      <w:r>
        <w:rPr>
          <w:rFonts w:ascii="宋体" w:hAnsi="宋体"/>
          <w:color w:val="auto"/>
          <w:szCs w:val="21"/>
          <w:highlight w:val="none"/>
          <w:u w:val="single"/>
        </w:rPr>
        <w:t xml:space="preserve">              </w:t>
      </w:r>
      <w:r>
        <w:rPr>
          <w:rFonts w:hint="eastAsia" w:ascii="宋体" w:hAnsi="宋体"/>
          <w:color w:val="auto"/>
          <w:szCs w:val="21"/>
          <w:highlight w:val="none"/>
        </w:rPr>
        <w:t>；</w:t>
      </w:r>
    </w:p>
    <w:p w14:paraId="1BA772DA">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职    务：</w:t>
      </w:r>
      <w:r>
        <w:rPr>
          <w:rFonts w:ascii="宋体" w:hAnsi="宋体"/>
          <w:color w:val="auto"/>
          <w:szCs w:val="21"/>
          <w:highlight w:val="none"/>
          <w:u w:val="single"/>
        </w:rPr>
        <w:t xml:space="preserve">              </w:t>
      </w:r>
      <w:r>
        <w:rPr>
          <w:rFonts w:hint="eastAsia" w:ascii="宋体" w:hAnsi="宋体"/>
          <w:color w:val="auto"/>
          <w:szCs w:val="21"/>
          <w:highlight w:val="none"/>
        </w:rPr>
        <w:t>；</w:t>
      </w:r>
    </w:p>
    <w:p w14:paraId="5F186EAB">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联系方式：</w:t>
      </w:r>
      <w:r>
        <w:rPr>
          <w:rFonts w:ascii="宋体" w:hAnsi="宋体"/>
          <w:color w:val="auto"/>
          <w:szCs w:val="21"/>
          <w:highlight w:val="none"/>
          <w:u w:val="single"/>
        </w:rPr>
        <w:t xml:space="preserve">              </w:t>
      </w:r>
      <w:r>
        <w:rPr>
          <w:rFonts w:hint="eastAsia" w:ascii="宋体" w:hAnsi="宋体"/>
          <w:color w:val="auto"/>
          <w:szCs w:val="21"/>
          <w:highlight w:val="none"/>
        </w:rPr>
        <w:t>；</w:t>
      </w:r>
    </w:p>
    <w:p w14:paraId="3A74B03C">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邮    编：</w:t>
      </w:r>
      <w:r>
        <w:rPr>
          <w:rFonts w:ascii="宋体" w:hAnsi="宋体"/>
          <w:color w:val="auto"/>
          <w:szCs w:val="21"/>
          <w:highlight w:val="none"/>
          <w:u w:val="single"/>
        </w:rPr>
        <w:t xml:space="preserve">              </w:t>
      </w:r>
      <w:r>
        <w:rPr>
          <w:rFonts w:hint="eastAsia" w:ascii="宋体" w:hAnsi="宋体"/>
          <w:color w:val="auto"/>
          <w:szCs w:val="21"/>
          <w:highlight w:val="none"/>
        </w:rPr>
        <w:t>；</w:t>
      </w:r>
    </w:p>
    <w:p w14:paraId="37380401">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发包人对发包人代表的授权范围如下：</w:t>
      </w:r>
      <w:r>
        <w:rPr>
          <w:rFonts w:hint="eastAsia" w:ascii="宋体" w:hAnsi="宋体"/>
          <w:color w:val="auto"/>
          <w:szCs w:val="21"/>
          <w:highlight w:val="none"/>
          <w:u w:val="single"/>
        </w:rPr>
        <w:t>代表发包人对项目建设进行协调、管控、审查，确保安全、质量、环保、进度、成本可控，及时处理项目相关问题，向承包人、监理人等下达各类指令。由发包人授权的，以授权书载明的授权范围为准</w:t>
      </w:r>
      <w:r>
        <w:rPr>
          <w:rFonts w:hint="eastAsia" w:ascii="宋体" w:hAnsi="宋体"/>
          <w:color w:val="auto"/>
          <w:szCs w:val="21"/>
          <w:highlight w:val="none"/>
        </w:rPr>
        <w:t>。</w:t>
      </w:r>
    </w:p>
    <w:p w14:paraId="31FBB322">
      <w:pPr>
        <w:pStyle w:val="7"/>
        <w:spacing w:before="0" w:beforeAutospacing="0" w:after="0" w:afterAutospacing="0" w:line="360" w:lineRule="auto"/>
        <w:ind w:firstLine="422" w:firstLineChars="200"/>
        <w:rPr>
          <w:color w:val="auto"/>
          <w:sz w:val="21"/>
          <w:szCs w:val="21"/>
          <w:highlight w:val="none"/>
        </w:rPr>
      </w:pPr>
      <w:bookmarkStart w:id="1243" w:name="_Toc532377332"/>
      <w:r>
        <w:rPr>
          <w:rFonts w:hint="eastAsia"/>
          <w:color w:val="auto"/>
          <w:sz w:val="21"/>
          <w:szCs w:val="21"/>
          <w:highlight w:val="none"/>
        </w:rPr>
        <w:t>2.4 施工现场、施工条件和基础资料的提供</w:t>
      </w:r>
      <w:bookmarkEnd w:id="1243"/>
    </w:p>
    <w:p w14:paraId="62996BA3">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2.4.1 提供施工现场</w:t>
      </w:r>
    </w:p>
    <w:p w14:paraId="5A8C7809">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2.4.1.1 提供场地：</w:t>
      </w:r>
    </w:p>
    <w:p w14:paraId="0A781E56">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施工场地的提供采用以下第</w:t>
      </w:r>
      <w:r>
        <w:rPr>
          <w:rFonts w:hint="eastAsia" w:ascii="宋体" w:hAnsi="宋体"/>
          <w:color w:val="auto"/>
          <w:szCs w:val="21"/>
          <w:highlight w:val="none"/>
          <w:u w:val="single"/>
        </w:rPr>
        <w:t xml:space="preserve">    </w:t>
      </w:r>
      <w:r>
        <w:rPr>
          <w:rFonts w:hint="eastAsia" w:ascii="宋体" w:hAnsi="宋体"/>
          <w:color w:val="auto"/>
          <w:szCs w:val="21"/>
          <w:highlight w:val="none"/>
        </w:rPr>
        <w:t>种方式：</w:t>
      </w:r>
    </w:p>
    <w:p w14:paraId="7BA2226D">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（1）一次提供全部施工场地：发包人于</w:t>
      </w:r>
      <w:r>
        <w:rPr>
          <w:rFonts w:hint="eastAsia" w:ascii="宋体" w:hAnsi="宋体"/>
          <w:color w:val="auto"/>
          <w:szCs w:val="21"/>
          <w:highlight w:val="none"/>
          <w:u w:val="single"/>
        </w:rPr>
        <w:t>开工</w:t>
      </w:r>
      <w:r>
        <w:rPr>
          <w:rFonts w:hint="eastAsia" w:ascii="宋体" w:hAnsi="宋体"/>
          <w:color w:val="auto"/>
          <w:szCs w:val="21"/>
          <w:highlight w:val="none"/>
        </w:rPr>
        <w:t>前向承包人提供合同工程用地红线范围内的施工场地。</w:t>
      </w:r>
    </w:p>
    <w:p w14:paraId="5F55C5B5">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（2）分次提供全部施工场地：</w:t>
      </w:r>
      <w:r>
        <w:rPr>
          <w:rFonts w:hint="eastAsia" w:ascii="宋体" w:hAnsi="宋体"/>
          <w:color w:val="auto"/>
          <w:szCs w:val="21"/>
          <w:highlight w:val="none"/>
          <w:u w:val="single"/>
        </w:rPr>
        <w:t>发包人按约定的时间分次向承包人提供合同工程用地红线范围内的施工场地</w:t>
      </w:r>
      <w:r>
        <w:rPr>
          <w:rFonts w:hint="eastAsia" w:ascii="宋体" w:hAnsi="宋体"/>
          <w:color w:val="auto"/>
          <w:szCs w:val="21"/>
          <w:highlight w:val="none"/>
        </w:rPr>
        <w:t>。</w:t>
      </w:r>
    </w:p>
    <w:p w14:paraId="071D506B">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承包人编制的施工组织计划已充分考虑了施工场地提供的因素</w:t>
      </w:r>
      <w:r>
        <w:rPr>
          <w:rFonts w:hint="eastAsia" w:ascii="宋体" w:hAnsi="宋体"/>
          <w:color w:val="auto"/>
          <w:szCs w:val="21"/>
          <w:highlight w:val="none"/>
        </w:rPr>
        <w:t>。</w:t>
      </w:r>
    </w:p>
    <w:p w14:paraId="47EEF40A">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施工场地未能按约定提供的，承包人应结合施工场地实际交地情况，优化施工组织计划。施工场地未能按约定提供，影响项目关键线路的，承包人可提交索赔申请，并经监理人、发包人审批后可按约定顺延项目工期，否则工期不予顺延</w:t>
      </w:r>
      <w:r>
        <w:rPr>
          <w:rFonts w:hint="eastAsia" w:ascii="宋体" w:hAnsi="宋体"/>
          <w:color w:val="auto"/>
          <w:szCs w:val="21"/>
          <w:highlight w:val="none"/>
        </w:rPr>
        <w:t>。</w:t>
      </w:r>
    </w:p>
    <w:p w14:paraId="1B1753E9">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2.4.2 提供施工条件</w:t>
      </w:r>
    </w:p>
    <w:p w14:paraId="61F5FD3A">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关于发包人应负责提供施工所需要的条件：</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14:paraId="46BA94D9">
      <w:pPr>
        <w:pStyle w:val="7"/>
        <w:spacing w:before="0" w:beforeAutospacing="0" w:after="0" w:afterAutospacing="0" w:line="360" w:lineRule="auto"/>
        <w:ind w:firstLine="422" w:firstLineChars="200"/>
        <w:rPr>
          <w:color w:val="auto"/>
          <w:sz w:val="21"/>
          <w:szCs w:val="21"/>
          <w:highlight w:val="none"/>
        </w:rPr>
      </w:pPr>
      <w:bookmarkStart w:id="1244" w:name="_Toc532377333"/>
      <w:r>
        <w:rPr>
          <w:rFonts w:hint="eastAsia"/>
          <w:color w:val="auto"/>
          <w:sz w:val="21"/>
          <w:szCs w:val="21"/>
          <w:highlight w:val="none"/>
        </w:rPr>
        <w:t>2.5 资金来源证明及支付担保</w:t>
      </w:r>
      <w:bookmarkEnd w:id="1244"/>
    </w:p>
    <w:p w14:paraId="4578BA37">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发包人提供资金来源证明的期限要求：</w:t>
      </w:r>
      <w:r>
        <w:rPr>
          <w:rFonts w:hint="eastAsia" w:ascii="宋体" w:hAnsi="宋体"/>
          <w:color w:val="auto"/>
          <w:szCs w:val="21"/>
          <w:highlight w:val="none"/>
          <w:u w:val="single"/>
        </w:rPr>
        <w:t>不采用</w:t>
      </w:r>
      <w:r>
        <w:rPr>
          <w:rFonts w:hint="eastAsia" w:ascii="宋体" w:hAnsi="宋体"/>
          <w:color w:val="auto"/>
          <w:szCs w:val="21"/>
          <w:highlight w:val="none"/>
        </w:rPr>
        <w:t>。</w:t>
      </w:r>
    </w:p>
    <w:p w14:paraId="0922321B">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发包人是否提供支付担保：</w:t>
      </w:r>
      <w:r>
        <w:rPr>
          <w:rFonts w:hint="eastAsia" w:ascii="宋体" w:hAnsi="宋体"/>
          <w:color w:val="auto"/>
          <w:szCs w:val="21"/>
          <w:highlight w:val="none"/>
          <w:u w:val="single"/>
        </w:rPr>
        <w:t>不提供</w:t>
      </w:r>
      <w:r>
        <w:rPr>
          <w:rFonts w:hint="eastAsia" w:ascii="宋体" w:hAnsi="宋体"/>
          <w:color w:val="auto"/>
          <w:szCs w:val="21"/>
          <w:highlight w:val="none"/>
        </w:rPr>
        <w:t>。</w:t>
      </w:r>
    </w:p>
    <w:p w14:paraId="51D39F90">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支付担保的形式：</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14:paraId="0242816B">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支付担保的金额：</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14:paraId="410A9B73">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支付担保的时间：</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14:paraId="558ED6B3">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支付担保的期限：</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14:paraId="44AF8992">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支付担保的退还时间：</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14:paraId="70A90BCD">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1245" w:name="_Toc351203635"/>
      <w:bookmarkStart w:id="1246" w:name="_Toc532375610"/>
      <w:bookmarkStart w:id="1247" w:name="_Toc532377334"/>
      <w:r>
        <w:rPr>
          <w:rFonts w:hint="eastAsia"/>
          <w:color w:val="auto"/>
          <w:kern w:val="2"/>
          <w:sz w:val="21"/>
          <w:szCs w:val="21"/>
          <w:highlight w:val="none"/>
        </w:rPr>
        <w:t>3</w:t>
      </w:r>
      <w:bookmarkStart w:id="1248" w:name="_Toc296347157"/>
      <w:bookmarkStart w:id="1249" w:name="_Toc297120458"/>
      <w:bookmarkStart w:id="1250" w:name="_Toc296944497"/>
      <w:bookmarkStart w:id="1251" w:name="_Toc296891198"/>
      <w:bookmarkStart w:id="1252" w:name="_Toc296346659"/>
      <w:bookmarkStart w:id="1253" w:name="_Toc297048344"/>
      <w:bookmarkStart w:id="1254" w:name="_Toc292559363"/>
      <w:bookmarkStart w:id="1255" w:name="_Toc296890986"/>
      <w:bookmarkStart w:id="1256" w:name="_Toc296503158"/>
      <w:bookmarkStart w:id="1257" w:name="_Toc292559868"/>
      <w:r>
        <w:rPr>
          <w:rFonts w:hint="eastAsia"/>
          <w:color w:val="auto"/>
          <w:kern w:val="2"/>
          <w:sz w:val="21"/>
          <w:szCs w:val="21"/>
          <w:highlight w:val="none"/>
        </w:rPr>
        <w:t>. 承包人</w:t>
      </w:r>
      <w:bookmarkEnd w:id="1245"/>
      <w:bookmarkEnd w:id="1246"/>
      <w:bookmarkEnd w:id="1247"/>
    </w:p>
    <w:bookmarkEnd w:id="1248"/>
    <w:bookmarkEnd w:id="1249"/>
    <w:bookmarkEnd w:id="1250"/>
    <w:bookmarkEnd w:id="1251"/>
    <w:bookmarkEnd w:id="1252"/>
    <w:bookmarkEnd w:id="1253"/>
    <w:bookmarkEnd w:id="1254"/>
    <w:bookmarkEnd w:id="1255"/>
    <w:bookmarkEnd w:id="1256"/>
    <w:bookmarkEnd w:id="1257"/>
    <w:p w14:paraId="6780C1B9">
      <w:pPr>
        <w:pStyle w:val="7"/>
        <w:spacing w:before="0" w:beforeAutospacing="0" w:after="0" w:afterAutospacing="0" w:line="360" w:lineRule="auto"/>
        <w:ind w:firstLine="422" w:firstLineChars="200"/>
        <w:rPr>
          <w:color w:val="auto"/>
          <w:sz w:val="21"/>
          <w:szCs w:val="21"/>
          <w:highlight w:val="none"/>
        </w:rPr>
      </w:pPr>
      <w:bookmarkStart w:id="1258" w:name="_Toc532377335"/>
      <w:r>
        <w:rPr>
          <w:rFonts w:hint="eastAsia"/>
          <w:color w:val="auto"/>
          <w:sz w:val="21"/>
          <w:szCs w:val="21"/>
          <w:highlight w:val="none"/>
        </w:rPr>
        <w:t>3.1 承包人的一般义务</w:t>
      </w:r>
      <w:bookmarkEnd w:id="1258"/>
    </w:p>
    <w:p w14:paraId="6CEF88CC">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本款细化为3.1.1～3.1.10项：</w:t>
      </w:r>
    </w:p>
    <w:p w14:paraId="6E825F62">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3.1.1办理法律规定和合同约定应由承包人办理的许可和批准，并将办理结果书面报送发包人留存；协助发包人办理施工所需的工程质量监督、安全监督、施工许可证等相关证件及手续。</w:t>
      </w:r>
    </w:p>
    <w:p w14:paraId="1A14E07B">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3.1.2按法律规定和合同约定完成工程，包括满足合同所必需的或合同隐含的以及由承包人义务而产生的任何工程，还应包括合同根据相关法律法规、技术规范等对工程的稳定性、完整性或安全、可靠、有效运行所必需的所有工程，并在保修期内承担保修义务。</w:t>
      </w:r>
    </w:p>
    <w:p w14:paraId="07E1CEBC">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3.1.3按法律规定和合同约定采取施工安全和环境保护措施，办理工伤保险，确保工程及人员、材料、设备和设施的安全。施工期间，承包人应避免因施工危及红线范围外的邻近道路、建筑安全；应注意做好对周边建（构）筑物、绿化、设施设备的保护，做好围挡、监测以及安全防护，采取有效的防尘及降低噪声的措施，减小施工噪音及污水等对周边环境的影响包括对居民生活、工作、生产和经营等的影响；对不实施拆迁的建、构筑物应采取保护措施，并保证既有道路的正常通行。</w:t>
      </w:r>
    </w:p>
    <w:p w14:paraId="70160079">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3.1.4按合同约定的工作内容和施工进度要求，编制施工组织设计和施工措施计划，并对所有施工作业和施工方法的完备性和安全可靠性负责。施工组织设计中的措施保障水平应满足工程按合同进度实施的需要，且不得低于投标时施工组织设计的措施保障水平。</w:t>
      </w:r>
    </w:p>
    <w:p w14:paraId="6C0B5E64">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3.1.5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6DCE1E23">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3.1.6按照第6.3款〔环境保护〕约定负责施工场地及其周边环境与生态的保护工作。</w:t>
      </w:r>
    </w:p>
    <w:p w14:paraId="3D2571AF">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3.1.7按照第6.1款〔安全文明施工〕约定采取施工安全措施，确保工程及其人员、材料、设备和设施的安全，防止因工程施工造成的人身伤害和财产损失。</w:t>
      </w:r>
    </w:p>
    <w:p w14:paraId="3772AA9A">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3.1.8将发包人按合同约定支付的各项价款专用于合同工程，且应及时支付其雇用人员工资，并及时向分包人支付合同价款。</w:t>
      </w:r>
    </w:p>
    <w:p w14:paraId="0187D59D">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3.1.9承包人提交的竣工资料的内容：</w:t>
      </w:r>
      <w:r>
        <w:rPr>
          <w:rFonts w:hint="eastAsia" w:ascii="宋体" w:hAnsi="宋体"/>
          <w:color w:val="auto"/>
          <w:szCs w:val="21"/>
          <w:highlight w:val="none"/>
          <w:u w:val="single"/>
        </w:rPr>
        <w:t>工程施工技术资料、工程质量保证资料、工程检验评定资料、竣工图及其他应交资料，应符合《建设工程文件归档整理规范》（GB/T50328-2014）和重庆市有关文件规定</w:t>
      </w:r>
      <w:r>
        <w:rPr>
          <w:rFonts w:hint="eastAsia" w:ascii="宋体" w:hAnsi="宋体"/>
          <w:color w:val="auto"/>
          <w:szCs w:val="21"/>
          <w:highlight w:val="none"/>
        </w:rPr>
        <w:t>。</w:t>
      </w:r>
    </w:p>
    <w:p w14:paraId="5472E52D">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承包人需要提交的竣工资料套数：完整竣工资料一式</w:t>
      </w:r>
      <w:r>
        <w:rPr>
          <w:rFonts w:hint="eastAsia" w:ascii="宋体" w:hAnsi="宋体"/>
          <w:color w:val="auto"/>
          <w:szCs w:val="21"/>
          <w:highlight w:val="none"/>
          <w:u w:val="single"/>
        </w:rPr>
        <w:t xml:space="preserve"> </w:t>
      </w:r>
      <w:r>
        <w:rPr>
          <w:rFonts w:ascii="宋体" w:hAnsi="宋体"/>
          <w:color w:val="auto"/>
          <w:szCs w:val="21"/>
          <w:highlight w:val="none"/>
          <w:u w:val="single"/>
        </w:rPr>
        <w:t>6</w:t>
      </w:r>
      <w:r>
        <w:rPr>
          <w:rFonts w:hint="eastAsia" w:ascii="宋体" w:hAnsi="宋体"/>
          <w:color w:val="auto"/>
          <w:szCs w:val="21"/>
          <w:highlight w:val="none"/>
          <w:u w:val="single"/>
        </w:rPr>
        <w:t xml:space="preserve"> </w:t>
      </w:r>
      <w:r>
        <w:rPr>
          <w:rFonts w:hint="eastAsia" w:ascii="宋体" w:hAnsi="宋体"/>
          <w:color w:val="auto"/>
          <w:szCs w:val="21"/>
          <w:highlight w:val="none"/>
        </w:rPr>
        <w:t>套（含电子文档）。</w:t>
      </w:r>
    </w:p>
    <w:p w14:paraId="1D908292">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承包人提交的竣工资料的费用承担：</w:t>
      </w:r>
      <w:r>
        <w:rPr>
          <w:rFonts w:hint="eastAsia" w:ascii="宋体" w:hAnsi="宋体"/>
          <w:color w:val="auto"/>
          <w:szCs w:val="21"/>
          <w:highlight w:val="none"/>
          <w:u w:val="single"/>
        </w:rPr>
        <w:t>由承包人承担</w:t>
      </w:r>
      <w:r>
        <w:rPr>
          <w:rFonts w:hint="eastAsia" w:ascii="宋体" w:hAnsi="宋体"/>
          <w:color w:val="auto"/>
          <w:szCs w:val="21"/>
          <w:highlight w:val="none"/>
        </w:rPr>
        <w:t>。</w:t>
      </w:r>
    </w:p>
    <w:p w14:paraId="3CDC995D">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承包人提交的竣工资料移交时间：</w:t>
      </w:r>
      <w:r>
        <w:rPr>
          <w:rFonts w:hint="eastAsia" w:ascii="宋体" w:hAnsi="宋体"/>
          <w:color w:val="auto"/>
          <w:szCs w:val="21"/>
          <w:highlight w:val="none"/>
          <w:u w:val="single"/>
        </w:rPr>
        <w:t xml:space="preserve">工程竣工验收合格后 </w:t>
      </w:r>
      <w:r>
        <w:rPr>
          <w:rFonts w:ascii="宋体" w:hAnsi="宋体"/>
          <w:color w:val="auto"/>
          <w:szCs w:val="21"/>
          <w:highlight w:val="none"/>
          <w:u w:val="single"/>
        </w:rPr>
        <w:t>1</w:t>
      </w:r>
      <w:r>
        <w:rPr>
          <w:rFonts w:hint="eastAsia" w:ascii="宋体" w:hAnsi="宋体"/>
          <w:color w:val="auto"/>
          <w:szCs w:val="21"/>
          <w:highlight w:val="none"/>
          <w:u w:val="single"/>
        </w:rPr>
        <w:t>个月内移交给发包人</w:t>
      </w:r>
      <w:r>
        <w:rPr>
          <w:rFonts w:hint="eastAsia" w:ascii="宋体" w:hAnsi="宋体"/>
          <w:color w:val="auto"/>
          <w:szCs w:val="21"/>
          <w:highlight w:val="none"/>
        </w:rPr>
        <w:t>。</w:t>
      </w:r>
    </w:p>
    <w:p w14:paraId="64AC6D62">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承包人提交的竣工资料形式要求：</w:t>
      </w:r>
      <w:r>
        <w:rPr>
          <w:rFonts w:hint="eastAsia" w:ascii="宋体" w:hAnsi="宋体"/>
          <w:color w:val="auto"/>
          <w:szCs w:val="21"/>
          <w:highlight w:val="none"/>
          <w:u w:val="single"/>
        </w:rPr>
        <w:t>完整的书面文件及电子文档</w:t>
      </w:r>
      <w:r>
        <w:rPr>
          <w:rFonts w:hint="eastAsia" w:ascii="宋体" w:hAnsi="宋体"/>
          <w:color w:val="auto"/>
          <w:szCs w:val="21"/>
          <w:highlight w:val="none"/>
        </w:rPr>
        <w:t>。</w:t>
      </w:r>
    </w:p>
    <w:p w14:paraId="1093E5D7">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3.1.10承包人应履行的其他义务：</w:t>
      </w:r>
    </w:p>
    <w:p w14:paraId="27EEB5EF">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3.1.10.1在开始施工之前，承包人应核查、复测本工程的各种基准标志。承包人应及时将上述基准标志中存在的错误、不完整或其他缺陷通知发包人，以便发包人核实后重新确认。</w:t>
      </w:r>
    </w:p>
    <w:p w14:paraId="79607251">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3.1.10.2承包人应负责合同工程范围内测量控制网的测量设定和管理工作，为控制施工造成测量控制网误差累加，每月承包人复测一次测量控制网，并将修正数据及时通知发包人。经监理人批准，其他相关承包人可免费使用施工控制网。</w:t>
      </w:r>
    </w:p>
    <w:p w14:paraId="1B0541D4">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3.1.10.3承包人应在开始施工之前对本工程进行排查，补充完善遗漏的危大工程重点部位及环节。危大工程施工前，承包人应对危大工程编制专项施工方案，对于超过一定规模的危大工程，承包人还应组织召开专家论证会对专项施工方案进行论证，通过后方可实施。</w:t>
      </w:r>
    </w:p>
    <w:p w14:paraId="6A455A22">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3.1.10.4承包人应服从发包人要求的管理模式、工作方式和工作要求，同时接受监理人、跟审单位的管理和全程监督，配合项目结、决算的办理。</w:t>
      </w:r>
    </w:p>
    <w:p w14:paraId="5E0967F6">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3.1.10.5</w:t>
      </w:r>
      <w:r>
        <w:rPr>
          <w:rFonts w:hint="eastAsia" w:ascii="宋体" w:hAnsi="宋体"/>
          <w:color w:val="auto"/>
          <w:szCs w:val="21"/>
          <w:highlight w:val="none"/>
          <w:u w:val="single"/>
        </w:rPr>
        <w:t>承包人应为本工程开立专用账户，接受发包人的监管</w:t>
      </w:r>
      <w:r>
        <w:rPr>
          <w:rFonts w:hint="eastAsia" w:ascii="宋体" w:hAnsi="宋体"/>
          <w:color w:val="auto"/>
          <w:szCs w:val="21"/>
          <w:highlight w:val="none"/>
        </w:rPr>
        <w:t>。</w:t>
      </w:r>
    </w:p>
    <w:p w14:paraId="31B22FBB">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3.1.10.6</w:t>
      </w:r>
      <w:r>
        <w:rPr>
          <w:rFonts w:hint="eastAsia" w:ascii="宋体" w:hAnsi="宋体"/>
          <w:color w:val="auto"/>
          <w:szCs w:val="21"/>
          <w:highlight w:val="none"/>
          <w:u w:val="single"/>
        </w:rPr>
        <w:t xml:space="preserve">        。</w:t>
      </w:r>
    </w:p>
    <w:p w14:paraId="225D9A59">
      <w:pPr>
        <w:pStyle w:val="7"/>
        <w:spacing w:before="0" w:beforeAutospacing="0" w:after="0" w:afterAutospacing="0" w:line="360" w:lineRule="auto"/>
        <w:ind w:firstLine="422" w:firstLineChars="200"/>
        <w:rPr>
          <w:color w:val="auto"/>
          <w:sz w:val="21"/>
          <w:szCs w:val="21"/>
          <w:highlight w:val="none"/>
        </w:rPr>
      </w:pPr>
      <w:bookmarkStart w:id="1259" w:name="_Toc532377336"/>
      <w:r>
        <w:rPr>
          <w:rFonts w:hint="eastAsia"/>
          <w:color w:val="auto"/>
          <w:sz w:val="21"/>
          <w:szCs w:val="21"/>
          <w:highlight w:val="none"/>
        </w:rPr>
        <w:t>3.2 项目经理</w:t>
      </w:r>
      <w:bookmarkEnd w:id="1259"/>
    </w:p>
    <w:p w14:paraId="31A73F37">
      <w:pPr>
        <w:spacing w:line="360" w:lineRule="auto"/>
        <w:ind w:firstLine="420" w:firstLineChars="200"/>
        <w:jc w:val="left"/>
        <w:rPr>
          <w:rFonts w:ascii="宋体" w:hAnsi="宋体"/>
          <w:color w:val="auto"/>
          <w:szCs w:val="21"/>
          <w:highlight w:val="none"/>
        </w:rPr>
      </w:pPr>
      <w:r>
        <w:rPr>
          <w:rFonts w:hint="eastAsia" w:ascii="宋体" w:hAnsi="宋体"/>
          <w:color w:val="auto"/>
          <w:kern w:val="0"/>
          <w:szCs w:val="21"/>
          <w:highlight w:val="none"/>
        </w:rPr>
        <w:t xml:space="preserve">3.2.1 </w:t>
      </w:r>
      <w:r>
        <w:rPr>
          <w:rFonts w:hint="eastAsia" w:ascii="宋体" w:hAnsi="宋体"/>
          <w:color w:val="auto"/>
          <w:szCs w:val="21"/>
          <w:highlight w:val="none"/>
        </w:rPr>
        <w:t>项目经理：</w:t>
      </w:r>
    </w:p>
    <w:p w14:paraId="5A324D11">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姓    名：</w:t>
      </w:r>
      <w:r>
        <w:rPr>
          <w:rFonts w:ascii="宋体" w:hAnsi="宋体"/>
          <w:color w:val="auto"/>
          <w:szCs w:val="21"/>
          <w:highlight w:val="none"/>
          <w:u w:val="single"/>
        </w:rPr>
        <w:t xml:space="preserve">                          </w:t>
      </w:r>
      <w:r>
        <w:rPr>
          <w:rFonts w:hint="eastAsia" w:ascii="宋体" w:hAnsi="宋体"/>
          <w:color w:val="auto"/>
          <w:szCs w:val="21"/>
          <w:highlight w:val="none"/>
        </w:rPr>
        <w:t>；</w:t>
      </w:r>
    </w:p>
    <w:p w14:paraId="1CAD730F">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身份证号：</w:t>
      </w:r>
      <w:r>
        <w:rPr>
          <w:rFonts w:ascii="宋体" w:hAnsi="宋体"/>
          <w:color w:val="auto"/>
          <w:szCs w:val="21"/>
          <w:highlight w:val="none"/>
          <w:u w:val="single"/>
        </w:rPr>
        <w:t>                    </w:t>
      </w:r>
      <w:r>
        <w:rPr>
          <w:rFonts w:hint="eastAsia" w:ascii="宋体" w:hAnsi="宋体"/>
          <w:color w:val="auto"/>
          <w:szCs w:val="21"/>
          <w:highlight w:val="none"/>
        </w:rPr>
        <w:t>；</w:t>
      </w:r>
    </w:p>
    <w:p w14:paraId="3C5759FC">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建造师执业资格等级：</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14:paraId="6884D9A3">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建造师注册证书号：</w:t>
      </w:r>
      <w:r>
        <w:rPr>
          <w:rFonts w:ascii="宋体" w:hAnsi="宋体"/>
          <w:color w:val="auto"/>
          <w:szCs w:val="21"/>
          <w:highlight w:val="none"/>
          <w:u w:val="single"/>
        </w:rPr>
        <w:t>       </w:t>
      </w:r>
      <w:r>
        <w:rPr>
          <w:rFonts w:hint="eastAsia" w:ascii="宋体" w:hAnsi="宋体"/>
          <w:color w:val="auto"/>
          <w:szCs w:val="21"/>
          <w:highlight w:val="none"/>
        </w:rPr>
        <w:t>；</w:t>
      </w:r>
    </w:p>
    <w:p w14:paraId="37DA048D">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建造师执业印章号：</w:t>
      </w:r>
      <w:r>
        <w:rPr>
          <w:rFonts w:ascii="宋体" w:hAnsi="宋体"/>
          <w:color w:val="auto"/>
          <w:szCs w:val="21"/>
          <w:highlight w:val="none"/>
          <w:u w:val="single"/>
        </w:rPr>
        <w:t>                     </w:t>
      </w:r>
      <w:r>
        <w:rPr>
          <w:rFonts w:hint="eastAsia" w:ascii="宋体" w:hAnsi="宋体"/>
          <w:color w:val="auto"/>
          <w:szCs w:val="21"/>
          <w:highlight w:val="none"/>
        </w:rPr>
        <w:t>；</w:t>
      </w:r>
    </w:p>
    <w:p w14:paraId="0E9ED192">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安全生产考核合格证书号：</w:t>
      </w:r>
      <w:r>
        <w:rPr>
          <w:rFonts w:ascii="宋体" w:hAnsi="宋体"/>
          <w:color w:val="auto"/>
          <w:szCs w:val="21"/>
          <w:highlight w:val="none"/>
          <w:u w:val="single"/>
        </w:rPr>
        <w:t>           </w:t>
      </w:r>
      <w:r>
        <w:rPr>
          <w:rFonts w:hint="eastAsia" w:ascii="宋体" w:hAnsi="宋体"/>
          <w:color w:val="auto"/>
          <w:szCs w:val="21"/>
          <w:highlight w:val="none"/>
        </w:rPr>
        <w:t>；</w:t>
      </w:r>
    </w:p>
    <w:p w14:paraId="2D7FD93D">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联系方式：</w:t>
      </w:r>
      <w:r>
        <w:rPr>
          <w:rFonts w:ascii="宋体" w:hAnsi="宋体"/>
          <w:color w:val="auto"/>
          <w:szCs w:val="21"/>
          <w:highlight w:val="none"/>
          <w:u w:val="single"/>
        </w:rPr>
        <w:t>         </w:t>
      </w:r>
      <w:r>
        <w:rPr>
          <w:rFonts w:hint="eastAsia" w:ascii="宋体" w:hAnsi="宋体"/>
          <w:color w:val="auto"/>
          <w:szCs w:val="21"/>
          <w:highlight w:val="none"/>
        </w:rPr>
        <w:t>。</w:t>
      </w:r>
    </w:p>
    <w:p w14:paraId="2A1BAA0F">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承包人对项目经理的授权范围如下：</w:t>
      </w:r>
      <w:r>
        <w:rPr>
          <w:rFonts w:hint="eastAsia" w:ascii="宋体" w:hAnsi="宋体"/>
          <w:color w:val="auto"/>
          <w:szCs w:val="21"/>
          <w:highlight w:val="none"/>
          <w:u w:val="single"/>
        </w:rPr>
        <w:t>严格按设计图纸、现行国家施工规范及验收规范组织施工，保证工程质量、进度、安全；及时向监理人、发包人报告现场情况（以承包人书面授权范围为准）</w:t>
      </w:r>
      <w:r>
        <w:rPr>
          <w:rFonts w:hint="eastAsia" w:ascii="宋体" w:hAnsi="宋体"/>
          <w:color w:val="auto"/>
          <w:szCs w:val="21"/>
          <w:highlight w:val="none"/>
        </w:rPr>
        <w:t>。</w:t>
      </w:r>
    </w:p>
    <w:p w14:paraId="39CBF97D">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关于项目经理每</w:t>
      </w:r>
      <w:r>
        <w:rPr>
          <w:rFonts w:hint="eastAsia" w:ascii="宋体" w:hAnsi="宋体"/>
          <w:color w:val="auto"/>
          <w:szCs w:val="21"/>
          <w:highlight w:val="none"/>
          <w:lang w:val="en-US" w:eastAsia="zh-CN"/>
        </w:rPr>
        <w:t>周</w:t>
      </w:r>
      <w:r>
        <w:rPr>
          <w:rFonts w:hint="eastAsia" w:ascii="宋体" w:hAnsi="宋体"/>
          <w:color w:val="auto"/>
          <w:szCs w:val="21"/>
          <w:highlight w:val="none"/>
        </w:rPr>
        <w:t>在施工现场的时间要求：</w:t>
      </w:r>
      <w:r>
        <w:rPr>
          <w:rFonts w:hint="eastAsia" w:ascii="宋体" w:hAnsi="宋体"/>
          <w:color w:val="auto"/>
          <w:szCs w:val="21"/>
          <w:highlight w:val="none"/>
          <w:u w:val="single"/>
        </w:rPr>
        <w:t>不少于</w:t>
      </w:r>
      <w:r>
        <w:rPr>
          <w:rFonts w:hint="eastAsia" w:ascii="宋体" w:hAnsi="宋体"/>
          <w:color w:val="auto"/>
          <w:szCs w:val="21"/>
          <w:highlight w:val="none"/>
          <w:u w:val="single"/>
          <w:lang w:val="en-US" w:eastAsia="zh-CN"/>
        </w:rPr>
        <w:t>5</w:t>
      </w:r>
      <w:r>
        <w:rPr>
          <w:rFonts w:hint="eastAsia" w:ascii="宋体" w:hAnsi="宋体"/>
          <w:color w:val="auto"/>
          <w:szCs w:val="21"/>
          <w:highlight w:val="none"/>
          <w:u w:val="single"/>
        </w:rPr>
        <w:t>天，由监理人负责项目经理的考勤</w:t>
      </w:r>
      <w:r>
        <w:rPr>
          <w:rFonts w:hint="eastAsia" w:ascii="宋体" w:hAnsi="宋体"/>
          <w:color w:val="auto"/>
          <w:szCs w:val="21"/>
          <w:highlight w:val="none"/>
        </w:rPr>
        <w:t>。</w:t>
      </w:r>
    </w:p>
    <w:p w14:paraId="21E999F2">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承包人应在合同签订后7天内提交与项目经理签订的劳动合同及为项目经理缴纳社会保险的证明，承包人未在限期内提交的，项目经理无权履行职责，发包人有权要求更换项目经理</w:t>
      </w:r>
      <w:r>
        <w:rPr>
          <w:rFonts w:hint="eastAsia" w:ascii="宋体" w:hAnsi="宋体"/>
          <w:color w:val="auto"/>
          <w:szCs w:val="21"/>
          <w:highlight w:val="none"/>
        </w:rPr>
        <w:t>。</w:t>
      </w:r>
    </w:p>
    <w:p w14:paraId="288C4DB3">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3.2.2 技术负责人</w:t>
      </w:r>
    </w:p>
    <w:p w14:paraId="15D0DAE9">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姓    名：</w:t>
      </w:r>
      <w:r>
        <w:rPr>
          <w:rFonts w:ascii="宋体" w:hAnsi="宋体"/>
          <w:color w:val="auto"/>
          <w:szCs w:val="21"/>
          <w:highlight w:val="none"/>
          <w:u w:val="single"/>
        </w:rPr>
        <w:t xml:space="preserve">                          </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14:paraId="4359FAAB">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身份证号：</w:t>
      </w:r>
      <w:r>
        <w:rPr>
          <w:rFonts w:ascii="宋体" w:hAnsi="宋体"/>
          <w:color w:val="auto"/>
          <w:szCs w:val="21"/>
          <w:highlight w:val="none"/>
          <w:u w:val="single"/>
        </w:rPr>
        <w:t xml:space="preserve">                          </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14:paraId="6F7879AA">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联系方式：</w:t>
      </w:r>
      <w:r>
        <w:rPr>
          <w:rFonts w:ascii="宋体" w:hAnsi="宋体"/>
          <w:color w:val="auto"/>
          <w:szCs w:val="21"/>
          <w:highlight w:val="none"/>
          <w:u w:val="single"/>
        </w:rPr>
        <w:t xml:space="preserve">                          </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14:paraId="71BDB26C">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专     业：</w:t>
      </w:r>
      <w:r>
        <w:rPr>
          <w:rFonts w:ascii="宋体" w:hAnsi="宋体"/>
          <w:color w:val="auto"/>
          <w:szCs w:val="21"/>
          <w:highlight w:val="none"/>
          <w:u w:val="single"/>
        </w:rPr>
        <w:t xml:space="preserve">                          </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14:paraId="4B3A96BA">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证书名称及号码：</w:t>
      </w:r>
      <w:r>
        <w:rPr>
          <w:rFonts w:ascii="宋体" w:hAnsi="宋体"/>
          <w:color w:val="auto"/>
          <w:szCs w:val="21"/>
          <w:highlight w:val="none"/>
          <w:u w:val="single"/>
        </w:rPr>
        <w:t xml:space="preserve">                         </w:t>
      </w:r>
      <w:r>
        <w:rPr>
          <w:rFonts w:hint="eastAsia" w:ascii="宋体" w:hAnsi="宋体"/>
          <w:color w:val="auto"/>
          <w:szCs w:val="21"/>
          <w:highlight w:val="none"/>
        </w:rPr>
        <w:t>；</w:t>
      </w:r>
    </w:p>
    <w:p w14:paraId="3E22362E">
      <w:pPr>
        <w:pStyle w:val="2"/>
        <w:spacing w:after="0" w:line="360" w:lineRule="auto"/>
        <w:rPr>
          <w:rFonts w:ascii="宋体" w:hAnsi="宋体"/>
          <w:color w:val="auto"/>
          <w:szCs w:val="21"/>
          <w:highlight w:val="none"/>
        </w:rPr>
      </w:pPr>
      <w:r>
        <w:rPr>
          <w:rFonts w:hint="eastAsia" w:ascii="宋体" w:hAnsi="宋体"/>
          <w:color w:val="auto"/>
          <w:szCs w:val="21"/>
          <w:highlight w:val="none"/>
        </w:rPr>
        <w:t xml:space="preserve">    </w:t>
      </w:r>
      <w:r>
        <w:rPr>
          <w:rFonts w:ascii="宋体" w:hAnsi="宋体"/>
          <w:color w:val="auto"/>
          <w:szCs w:val="21"/>
          <w:highlight w:val="none"/>
        </w:rPr>
        <w:t>联系方式：</w:t>
      </w:r>
      <w:r>
        <w:rPr>
          <w:rFonts w:ascii="宋体" w:hAnsi="宋体"/>
          <w:color w:val="auto"/>
          <w:szCs w:val="21"/>
          <w:highlight w:val="none"/>
          <w:u w:val="single"/>
        </w:rPr>
        <w:t xml:space="preserve">         </w:t>
      </w:r>
      <w:r>
        <w:rPr>
          <w:rFonts w:hint="eastAsia" w:ascii="宋体" w:hAnsi="宋体"/>
          <w:color w:val="auto"/>
          <w:szCs w:val="21"/>
          <w:highlight w:val="none"/>
        </w:rPr>
        <w:t>。</w:t>
      </w:r>
    </w:p>
    <w:p w14:paraId="565126BC">
      <w:pPr>
        <w:spacing w:line="360" w:lineRule="auto"/>
        <w:ind w:firstLine="420" w:firstLineChars="200"/>
        <w:jc w:val="left"/>
        <w:rPr>
          <w:rFonts w:ascii="宋体" w:hAnsi="宋体"/>
          <w:color w:val="auto"/>
          <w:szCs w:val="21"/>
          <w:highlight w:val="none"/>
        </w:rPr>
      </w:pPr>
      <w:r>
        <w:rPr>
          <w:rFonts w:hint="eastAsia" w:ascii="宋体" w:hAnsi="宋体"/>
          <w:color w:val="auto"/>
          <w:kern w:val="0"/>
          <w:szCs w:val="21"/>
          <w:highlight w:val="none"/>
        </w:rPr>
        <w:t>关于技</w:t>
      </w:r>
      <w:r>
        <w:rPr>
          <w:rFonts w:hint="eastAsia" w:ascii="宋体" w:hAnsi="宋体"/>
          <w:color w:val="auto"/>
          <w:szCs w:val="21"/>
          <w:highlight w:val="none"/>
        </w:rPr>
        <w:t>术负责人每月在施工现场的时间要求：</w:t>
      </w:r>
      <w:r>
        <w:rPr>
          <w:rFonts w:hint="eastAsia" w:ascii="宋体" w:hAnsi="宋体"/>
          <w:color w:val="auto"/>
          <w:szCs w:val="21"/>
          <w:highlight w:val="none"/>
          <w:u w:val="single"/>
        </w:rPr>
        <w:t>不少于22天，由监理人负责技术负责人的考勤</w:t>
      </w:r>
      <w:r>
        <w:rPr>
          <w:rFonts w:hint="eastAsia" w:ascii="宋体" w:hAnsi="宋体"/>
          <w:color w:val="auto"/>
          <w:szCs w:val="21"/>
          <w:highlight w:val="none"/>
        </w:rPr>
        <w:t>。</w:t>
      </w:r>
    </w:p>
    <w:p w14:paraId="1DABC1A8">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承包人应在合同签订后7天内提交与技术负责人签订的劳动合同及为技术负责人缴纳社会保险的证明，承包人未在限期内提交的，技术负责人无权履行职责，发包人有权要求更换技术负责人</w:t>
      </w:r>
      <w:r>
        <w:rPr>
          <w:rFonts w:hint="eastAsia" w:ascii="宋体" w:hAnsi="宋体"/>
          <w:color w:val="auto"/>
          <w:szCs w:val="21"/>
          <w:highlight w:val="none"/>
        </w:rPr>
        <w:t>。</w:t>
      </w:r>
      <w:bookmarkStart w:id="1260" w:name="_Hlk528927599"/>
    </w:p>
    <w:bookmarkEnd w:id="1260"/>
    <w:p w14:paraId="66F93D5D">
      <w:pPr>
        <w:spacing w:line="360" w:lineRule="auto"/>
        <w:ind w:firstLine="420" w:firstLineChars="200"/>
        <w:jc w:val="left"/>
        <w:rPr>
          <w:rFonts w:ascii="宋体" w:hAnsi="宋体"/>
          <w:color w:val="auto"/>
          <w:szCs w:val="21"/>
          <w:highlight w:val="none"/>
        </w:rPr>
      </w:pPr>
      <w:bookmarkStart w:id="1261" w:name="_Hlk528927718"/>
      <w:r>
        <w:rPr>
          <w:rFonts w:hint="eastAsia" w:ascii="宋体" w:hAnsi="宋体"/>
          <w:color w:val="auto"/>
          <w:szCs w:val="21"/>
          <w:highlight w:val="none"/>
        </w:rPr>
        <w:t>3.2.3 发包人有权书面通知承包人更换其认为不称职/不履职的项目经理和（或）技术负责人，通知中应当载明要求更换的理由。承包人应在接到更换通知后7天内向发包人提出书面的改进报告。发包人收到改进报告后仍要求更换的，承包人应在接到第二次更换通知的14天内进行更换，并将新任命的项目经理和（或）技术负责人的注册执业资格、职称证书、管理经验等资料书面报送发包人审核批准。继任项目经理和（或）技术负责人继续履行合同约定的职责。</w:t>
      </w:r>
      <w:bookmarkEnd w:id="1261"/>
    </w:p>
    <w:p w14:paraId="587BBC57">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若项目经理和技术负责人出现下列情形需更换的，承包人按通用条款第3.2.3项的规定向发包人发出通知，经发包人领导班子集体决策同意后予以批准，并将变更信息推送给行业主管部门：</w:t>
      </w:r>
    </w:p>
    <w:p w14:paraId="2649B669">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1、死亡；</w:t>
      </w:r>
    </w:p>
    <w:p w14:paraId="75F89B89">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2、非承包人原因导致工期延长，而致使项目经理和技术负责人达到法定退休年龄且确需退休；</w:t>
      </w:r>
    </w:p>
    <w:p w14:paraId="7B33AA18">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3、按《职工非因工伤残或因病丧失劳动能力程度鉴定标准（试行）》规定鉴定为完全丧失劳动能力和大部分丧失劳动能力；</w:t>
      </w:r>
    </w:p>
    <w:p w14:paraId="79A2C6E0">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4、非承包人原因导致中标3个月不能开工；</w:t>
      </w:r>
    </w:p>
    <w:p w14:paraId="3110314B">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5、被公安或者司法机关限制人身自由；</w:t>
      </w:r>
    </w:p>
    <w:p w14:paraId="7A89AB0E">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6、被取消职称或者执业资格，不满足项目管理要求；</w:t>
      </w:r>
    </w:p>
    <w:p w14:paraId="2259CEC0">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7、非承包人原因导致确需变更的其它情形。</w:t>
      </w:r>
    </w:p>
    <w:p w14:paraId="25DD1E54">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本款补充3.2.6项</w:t>
      </w:r>
    </w:p>
    <w:p w14:paraId="194B67D2">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3.2.6 国有资金投资项目其他主要人员变更参照《重庆市政府投资项目合同变更管理暂行办法》的规定。</w:t>
      </w:r>
    </w:p>
    <w:p w14:paraId="36571408">
      <w:pPr>
        <w:pStyle w:val="7"/>
        <w:spacing w:before="0" w:beforeAutospacing="0" w:after="0" w:afterAutospacing="0" w:line="360" w:lineRule="auto"/>
        <w:ind w:firstLine="422" w:firstLineChars="200"/>
        <w:rPr>
          <w:color w:val="auto"/>
          <w:sz w:val="21"/>
          <w:szCs w:val="21"/>
          <w:highlight w:val="none"/>
        </w:rPr>
      </w:pPr>
      <w:bookmarkStart w:id="1262" w:name="_Toc532377337"/>
      <w:r>
        <w:rPr>
          <w:rFonts w:hint="eastAsia"/>
          <w:color w:val="auto"/>
          <w:sz w:val="21"/>
          <w:szCs w:val="21"/>
          <w:highlight w:val="none"/>
        </w:rPr>
        <w:t>3.3 承包人人员</w:t>
      </w:r>
      <w:bookmarkEnd w:id="1262"/>
    </w:p>
    <w:p w14:paraId="377BD9D6">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3.3.1 承包人应按建设行政主管部门现行规定配备现场施工从业人员，具体要求如下：</w:t>
      </w:r>
      <w:r>
        <w:rPr>
          <w:rFonts w:hint="eastAsia" w:ascii="宋体" w:hAnsi="宋体"/>
          <w:color w:val="auto"/>
          <w:szCs w:val="21"/>
          <w:highlight w:val="none"/>
          <w:u w:val="single"/>
        </w:rPr>
        <w:t xml:space="preserve">        </w:t>
      </w:r>
    </w:p>
    <w:p w14:paraId="5D8A922A">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3.3.2承包人派驻到施工现场的主要施工管理人员在施工过程中如有变动，承包人应及时向监理人提交施工现场人员变动情况的报告。承包人更换主要施工管理人员时，应提前7天书面通知监理人，并征得发包人书面同意。通知中应当载明继任人员的职称、执业资格、项目管理经验等资料。更换后的施工管理人员应当是承包人的正式员工，且在职称、执业资格、项目管理经验等方面不低于原施工管理人员。</w:t>
      </w:r>
    </w:p>
    <w:p w14:paraId="47802812">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3.3.3 发包人有权书面通知承包人更换其认为不称职的主要施工管理人员，通知中应当载明要求更换的理由。承包人应在接到更换通知后7天内向发包人提出书面的改进报告。发包人收到改进报告后仍要求更换的，承包人应在接到第二次更换通知的7天内进行更换，并将新委派的主要施工管理人员的注册执业资格、职称证书、管理经验等资料书面报送发包人审核批准。</w:t>
      </w:r>
    </w:p>
    <w:p w14:paraId="6A93A7E2">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3.3.4 承包人主要施工管理人员离开施工现场，指定的临时人员需满足：</w:t>
      </w:r>
      <w:r>
        <w:rPr>
          <w:rFonts w:hint="eastAsia" w:ascii="宋体" w:hAnsi="宋体"/>
          <w:color w:val="auto"/>
          <w:szCs w:val="21"/>
          <w:highlight w:val="none"/>
          <w:u w:val="single"/>
        </w:rPr>
        <w:t>《重庆市房屋建筑与市政基础设施工程现场施工从业人员配备标准》（DBJ50-157-2013）的相应要求</w:t>
      </w:r>
      <w:r>
        <w:rPr>
          <w:rFonts w:hint="eastAsia" w:ascii="宋体" w:hAnsi="宋体"/>
          <w:color w:val="auto"/>
          <w:szCs w:val="21"/>
          <w:highlight w:val="none"/>
        </w:rPr>
        <w:t>。</w:t>
      </w:r>
    </w:p>
    <w:p w14:paraId="6D3361AB">
      <w:pPr>
        <w:pStyle w:val="7"/>
        <w:spacing w:before="0" w:beforeAutospacing="0" w:after="0" w:afterAutospacing="0" w:line="360" w:lineRule="auto"/>
        <w:ind w:firstLine="422" w:firstLineChars="200"/>
        <w:rPr>
          <w:color w:val="auto"/>
          <w:sz w:val="21"/>
          <w:szCs w:val="21"/>
          <w:highlight w:val="none"/>
        </w:rPr>
      </w:pPr>
      <w:bookmarkStart w:id="1263" w:name="_Toc532377338"/>
      <w:r>
        <w:rPr>
          <w:rFonts w:hint="eastAsia"/>
          <w:color w:val="auto"/>
          <w:sz w:val="21"/>
          <w:szCs w:val="21"/>
          <w:highlight w:val="none"/>
        </w:rPr>
        <w:t>3</w:t>
      </w:r>
      <w:bookmarkStart w:id="1264" w:name="_Toc296347158"/>
      <w:bookmarkStart w:id="1265" w:name="_Toc300934945"/>
      <w:bookmarkStart w:id="1266" w:name="_Toc312677988"/>
      <w:bookmarkStart w:id="1267" w:name="_Toc296890987"/>
      <w:bookmarkStart w:id="1268" w:name="_Toc296346660"/>
      <w:bookmarkStart w:id="1269" w:name="_Toc296944498"/>
      <w:bookmarkStart w:id="1270" w:name="_Toc296891199"/>
      <w:bookmarkStart w:id="1271" w:name="_Toc304295523"/>
      <w:bookmarkStart w:id="1272" w:name="_Toc292559364"/>
      <w:bookmarkStart w:id="1273" w:name="_Toc296503159"/>
      <w:bookmarkStart w:id="1274" w:name="_Toc297120459"/>
      <w:bookmarkStart w:id="1275" w:name="_Toc297048345"/>
      <w:bookmarkStart w:id="1276" w:name="_Toc297216151"/>
      <w:bookmarkStart w:id="1277" w:name="_Toc303539102"/>
      <w:bookmarkStart w:id="1278" w:name="_Toc297123492"/>
      <w:bookmarkStart w:id="1279" w:name="_Toc292559869"/>
      <w:r>
        <w:rPr>
          <w:rFonts w:hint="eastAsia"/>
          <w:color w:val="auto"/>
          <w:sz w:val="21"/>
          <w:szCs w:val="21"/>
          <w:highlight w:val="none"/>
        </w:rPr>
        <w:t>.5 分包</w:t>
      </w:r>
      <w:bookmarkEnd w:id="1263"/>
    </w:p>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p w14:paraId="4444FA62">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w:t>
      </w:r>
      <w:bookmarkStart w:id="1280" w:name="_Toc297123493"/>
      <w:bookmarkStart w:id="1281" w:name="_Toc312677989"/>
      <w:bookmarkStart w:id="1282" w:name="_Toc304295524"/>
      <w:bookmarkStart w:id="1283" w:name="_Toc296890988"/>
      <w:bookmarkStart w:id="1284" w:name="_Toc318581158"/>
      <w:bookmarkStart w:id="1285" w:name="_Toc292559870"/>
      <w:bookmarkStart w:id="1286" w:name="_Toc296891200"/>
      <w:bookmarkStart w:id="1287" w:name="_Toc296944499"/>
      <w:bookmarkStart w:id="1288" w:name="_Toc297048346"/>
      <w:bookmarkStart w:id="1289" w:name="_Toc296503160"/>
      <w:bookmarkStart w:id="1290" w:name="_Toc297216152"/>
      <w:bookmarkStart w:id="1291" w:name="_Toc292559365"/>
      <w:bookmarkStart w:id="1292" w:name="_Toc303539103"/>
      <w:bookmarkStart w:id="1293" w:name="_Toc300934946"/>
      <w:bookmarkStart w:id="1294" w:name="_Toc297120460"/>
      <w:bookmarkStart w:id="1295" w:name="_Toc296346661"/>
      <w:bookmarkStart w:id="1296" w:name="_Toc296347159"/>
      <w:r>
        <w:rPr>
          <w:rFonts w:hint="eastAsia" w:ascii="宋体" w:hAnsi="宋体"/>
          <w:color w:val="auto"/>
          <w:szCs w:val="21"/>
          <w:highlight w:val="none"/>
        </w:rPr>
        <w:t>.5.1 分包的一般约定</w:t>
      </w:r>
    </w:p>
    <w:p w14:paraId="2077F9A8">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禁止分包的工程包括：主体结构、关键性工作等国家法律、法规禁止分包的工程。</w:t>
      </w:r>
    </w:p>
    <w:p w14:paraId="091CAFF8">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主体结构、关键性工作的范围：国家法律、法规、规范、标准等所约束的范围。如房建工程主体结构指混凝土工程、砌体工程、钢结构工程（具体有基础、梁、板、柱、砼墙、楼梯工程等）</w:t>
      </w:r>
      <w:bookmarkStart w:id="1297" w:name="_Toc297120461"/>
      <w:bookmarkStart w:id="1298" w:name="_Toc303539104"/>
      <w:bookmarkStart w:id="1299" w:name="_Toc296890989"/>
      <w:bookmarkStart w:id="1300" w:name="_Toc297048347"/>
      <w:bookmarkStart w:id="1301" w:name="_Toc296891201"/>
      <w:bookmarkStart w:id="1302" w:name="_Toc296944500"/>
      <w:bookmarkStart w:id="1303" w:name="_Toc296503161"/>
      <w:bookmarkStart w:id="1304" w:name="_Toc297216153"/>
      <w:bookmarkStart w:id="1305" w:name="_Toc296346662"/>
      <w:bookmarkStart w:id="1306" w:name="_Toc300934947"/>
      <w:bookmarkStart w:id="1307" w:name="_Toc297123494"/>
      <w:bookmarkStart w:id="1308" w:name="_Toc304295525"/>
      <w:bookmarkStart w:id="1309" w:name="_Toc296347160"/>
      <w:r>
        <w:rPr>
          <w:rFonts w:hint="eastAsia" w:ascii="宋体" w:hAnsi="宋体"/>
          <w:color w:val="auto"/>
          <w:szCs w:val="21"/>
          <w:highlight w:val="none"/>
        </w:rPr>
        <w:t>；关键性工作指梁、板、柱等部位。</w:t>
      </w:r>
    </w:p>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p w14:paraId="4588110D">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在合同履行过程中实行项目经理、技术负责人、安全负责人实名制管理，发包人有权核查承包人管理人员的资格证件、工程价款往来银行账户、施工单位的材料构配件、设备的发票等资料，配合相关行政主管部门加大对转包、违法分包行为的查处。</w:t>
      </w:r>
    </w:p>
    <w:p w14:paraId="7F43B394">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w:t>
      </w:r>
      <w:bookmarkStart w:id="1310" w:name="_Toc312677990"/>
      <w:bookmarkStart w:id="1311" w:name="_Toc318581159"/>
      <w:r>
        <w:rPr>
          <w:rFonts w:hint="eastAsia" w:ascii="宋体" w:hAnsi="宋体"/>
          <w:color w:val="auto"/>
          <w:szCs w:val="21"/>
          <w:highlight w:val="none"/>
        </w:rPr>
        <w:t>.5.2分包的确定</w:t>
      </w:r>
    </w:p>
    <w:p w14:paraId="4EC1BEE0">
      <w:pPr>
        <w:spacing w:line="360" w:lineRule="auto"/>
        <w:ind w:firstLine="420" w:firstLineChars="200"/>
        <w:jc w:val="left"/>
        <w:rPr>
          <w:rFonts w:ascii="宋体" w:hAnsi="宋体"/>
          <w:i/>
          <w:iCs/>
          <w:color w:val="auto"/>
          <w:szCs w:val="21"/>
          <w:highlight w:val="none"/>
        </w:rPr>
      </w:pPr>
      <w:r>
        <w:rPr>
          <w:rFonts w:hint="eastAsia" w:ascii="宋体" w:hAnsi="宋体"/>
          <w:color w:val="auto"/>
          <w:szCs w:val="21"/>
          <w:highlight w:val="none"/>
        </w:rPr>
        <w:t>允许分包的专业工程包括：</w:t>
      </w:r>
      <w:r>
        <w:rPr>
          <w:rFonts w:hint="eastAsia" w:ascii="宋体"/>
          <w:color w:val="auto"/>
          <w:szCs w:val="21"/>
          <w:highlight w:val="none"/>
          <w:u w:val="single"/>
        </w:rPr>
        <w:t>除法律法规不允许分包项目外，如需分包需经发包人同意</w:t>
      </w:r>
      <w:r>
        <w:rPr>
          <w:rFonts w:hint="eastAsia" w:ascii="宋体" w:hAnsi="宋体"/>
          <w:color w:val="auto"/>
          <w:szCs w:val="21"/>
          <w:highlight w:val="none"/>
          <w:u w:val="single"/>
        </w:rPr>
        <w:t>。</w:t>
      </w:r>
    </w:p>
    <w:p w14:paraId="2B275B34">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3.5.4 分包合同价款</w:t>
      </w:r>
    </w:p>
    <w:p w14:paraId="46A5603C">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关于分包合同价款支付的约定：</w:t>
      </w:r>
      <w:bookmarkEnd w:id="1310"/>
      <w:bookmarkEnd w:id="1311"/>
      <w:r>
        <w:rPr>
          <w:rFonts w:hint="eastAsia" w:ascii="宋体" w:hAnsi="宋体"/>
          <w:color w:val="auto"/>
          <w:szCs w:val="21"/>
          <w:highlight w:val="none"/>
          <w:u w:val="single"/>
        </w:rPr>
        <w:t>分包合同价款由承包人与分包人结算，未经承包人同意，发包人不得向分包人支付分包工程价款；生效法律文书要求发包人向分包人支付分包合同价款的，发包人有权从应付承包人工程款中扣除该部分款项</w:t>
      </w:r>
      <w:r>
        <w:rPr>
          <w:rFonts w:hint="eastAsia" w:ascii="宋体" w:hAnsi="宋体"/>
          <w:color w:val="auto"/>
          <w:szCs w:val="21"/>
          <w:highlight w:val="none"/>
        </w:rPr>
        <w:t>。</w:t>
      </w:r>
    </w:p>
    <w:p w14:paraId="78E89446">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本款补充3.5.6项：</w:t>
      </w:r>
    </w:p>
    <w:p w14:paraId="1BC1E904">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3.5.6严禁违法分包</w:t>
      </w:r>
    </w:p>
    <w:p w14:paraId="03C44E13">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一经查实，承包人的履约担保不予退还，发包人有权终止合同；同时发包人有权向相关行政监管部门举报，根据《住房和城乡建设部关于印发建筑工程施工发包与承包违法行为认定查处管理办法的通知》（建市规〔2019〕1号）相关规定条执行。</w:t>
      </w:r>
    </w:p>
    <w:p w14:paraId="44251A04">
      <w:pPr>
        <w:pStyle w:val="7"/>
        <w:spacing w:before="0" w:beforeAutospacing="0" w:after="0" w:afterAutospacing="0" w:line="360" w:lineRule="auto"/>
        <w:ind w:firstLine="422" w:firstLineChars="200"/>
        <w:rPr>
          <w:color w:val="auto"/>
          <w:sz w:val="21"/>
          <w:szCs w:val="21"/>
          <w:highlight w:val="none"/>
        </w:rPr>
      </w:pPr>
      <w:bookmarkStart w:id="1312" w:name="_Toc532377339"/>
      <w:r>
        <w:rPr>
          <w:rFonts w:hint="eastAsia"/>
          <w:color w:val="auto"/>
          <w:sz w:val="21"/>
          <w:szCs w:val="21"/>
          <w:highlight w:val="none"/>
        </w:rPr>
        <w:t>3.7 履约担保</w:t>
      </w:r>
      <w:bookmarkEnd w:id="1312"/>
    </w:p>
    <w:p w14:paraId="09DE80A6">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3.7.1承包人是否提供履约担保：</w:t>
      </w:r>
      <w:r>
        <w:rPr>
          <w:rFonts w:hint="eastAsia" w:ascii="宋体" w:hAnsi="宋体"/>
          <w:color w:val="auto"/>
          <w:szCs w:val="21"/>
          <w:highlight w:val="none"/>
          <w:u w:val="single"/>
        </w:rPr>
        <w:t>提供</w:t>
      </w:r>
      <w:r>
        <w:rPr>
          <w:rFonts w:hint="eastAsia" w:ascii="宋体" w:hAnsi="宋体"/>
          <w:color w:val="auto"/>
          <w:szCs w:val="21"/>
          <w:highlight w:val="none"/>
        </w:rPr>
        <w:t>。</w:t>
      </w:r>
    </w:p>
    <w:p w14:paraId="6806D5C2">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3.7.2承包人提供履约担保的形式、金额及期限：</w:t>
      </w:r>
    </w:p>
    <w:p w14:paraId="197EBB60">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履约担保的形式：现金或履约保函或现金+履约保函的组合，履约保函包括银行保函、保证保险和担保保函，其示范文本详见合同附件。承包人提交的履约保函应严格执行其示范文本，不得对示范文本中的实质性内容进行修改。承包人若采用现金提交履约担保的，允许使用符合《关于在全市工程建设领域全面推行工程保函工作的通知》（渝公管发〔2022〕25号）、《关于进一步规范工程建设领域工程保函示范文本的通知》（渝公管发〔2022〕26号）要求的履约保函置换。</w:t>
      </w:r>
    </w:p>
    <w:p w14:paraId="694CE5B5">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具体要求：履约保函的开立人应当是具有相应资格的银行、保险机构、融资担保公司，其信用资质、履约能力、担保能力、赔付流程、安全保密等应符合履约保函业务条件。履约保函应合法合规，符合招投标行政监督部门、行业主管部门和金融监管部门的相关规定，满足招标文件约定要求。承包人应选择在渝依法设立总部或者设有分支机构的金融机构开具履约保函（包括纸质保函或电子保函）。履约保函为纸质保函的，纸质保函应注明在重庆市辖区范围内的核验地址和核验方式，并确保该纸质保函能在开立人在渝的总部或者分支机构进行核验。承包人对所提交的履约保函的真实性、合法性、有效性负责。</w:t>
      </w:r>
    </w:p>
    <w:p w14:paraId="3B71ADA6">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（3）履约担保的金额：</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14:paraId="406069E1">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（4）履约担保的提交时间：在合同签订前，承包人按担保金额向发包人提交履约担保。</w:t>
      </w:r>
    </w:p>
    <w:p w14:paraId="12F7F7C8">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（5）履约担保的期限：自我方法定代表人（或其委托代理人）签名并加盖单位公章之日起至你方签发或应签发工程接收证书之日止。</w:t>
      </w:r>
    </w:p>
    <w:p w14:paraId="05C5C8F8">
      <w:pPr>
        <w:spacing w:line="360" w:lineRule="auto"/>
        <w:ind w:firstLine="420" w:firstLineChars="200"/>
        <w:jc w:val="left"/>
        <w:rPr>
          <w:color w:val="auto"/>
          <w:highlight w:val="none"/>
        </w:rPr>
      </w:pPr>
      <w:r>
        <w:rPr>
          <w:rFonts w:hint="eastAsia" w:ascii="宋体" w:hAnsi="宋体"/>
          <w:color w:val="auto"/>
          <w:szCs w:val="21"/>
          <w:highlight w:val="none"/>
        </w:rPr>
        <w:t>（6）履约担保的退还时间：采用现金担保的，工程竣工验收合格后14天内退还；采用履约保函的，工程竣工验收合格后14天内退还，或按工程实际情况约定分阶段退还，阶段划分按以下标准执行：</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14:paraId="50482370">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1313" w:name="_Toc532375611"/>
      <w:bookmarkStart w:id="1314" w:name="_Toc351203636"/>
      <w:bookmarkStart w:id="1315" w:name="_Toc532377340"/>
      <w:r>
        <w:rPr>
          <w:rFonts w:hint="eastAsia"/>
          <w:color w:val="auto"/>
          <w:kern w:val="2"/>
          <w:sz w:val="21"/>
          <w:szCs w:val="21"/>
          <w:highlight w:val="none"/>
        </w:rPr>
        <w:t>4</w:t>
      </w:r>
      <w:bookmarkStart w:id="1316" w:name="_Toc296891202"/>
      <w:bookmarkStart w:id="1317" w:name="_Toc292559871"/>
      <w:bookmarkStart w:id="1318" w:name="_Toc297048348"/>
      <w:bookmarkStart w:id="1319" w:name="_Toc267251413"/>
      <w:bookmarkStart w:id="1320" w:name="_Toc296944501"/>
      <w:bookmarkStart w:id="1321" w:name="_Toc296503162"/>
      <w:bookmarkStart w:id="1322" w:name="_Toc296347161"/>
      <w:bookmarkStart w:id="1323" w:name="_Toc296346663"/>
      <w:bookmarkStart w:id="1324" w:name="_Toc296890990"/>
      <w:bookmarkStart w:id="1325" w:name="_Toc292559366"/>
      <w:bookmarkStart w:id="1326" w:name="_Toc297120462"/>
      <w:r>
        <w:rPr>
          <w:rFonts w:hint="eastAsia"/>
          <w:color w:val="auto"/>
          <w:kern w:val="2"/>
          <w:sz w:val="21"/>
          <w:szCs w:val="21"/>
          <w:highlight w:val="none"/>
        </w:rPr>
        <w:t>. 监</w:t>
      </w:r>
      <w:bookmarkEnd w:id="1316"/>
      <w:bookmarkEnd w:id="1317"/>
      <w:bookmarkEnd w:id="1318"/>
      <w:bookmarkEnd w:id="1319"/>
      <w:bookmarkEnd w:id="1320"/>
      <w:bookmarkEnd w:id="1321"/>
      <w:bookmarkEnd w:id="1322"/>
      <w:bookmarkEnd w:id="1323"/>
      <w:bookmarkEnd w:id="1324"/>
      <w:bookmarkEnd w:id="1325"/>
      <w:bookmarkEnd w:id="1326"/>
      <w:r>
        <w:rPr>
          <w:rFonts w:hint="eastAsia"/>
          <w:color w:val="auto"/>
          <w:kern w:val="2"/>
          <w:sz w:val="21"/>
          <w:szCs w:val="21"/>
          <w:highlight w:val="none"/>
        </w:rPr>
        <w:t>理人</w:t>
      </w:r>
      <w:bookmarkEnd w:id="1313"/>
      <w:bookmarkEnd w:id="1314"/>
      <w:bookmarkEnd w:id="1315"/>
    </w:p>
    <w:p w14:paraId="30D3C829">
      <w:pPr>
        <w:pStyle w:val="7"/>
        <w:spacing w:before="0" w:beforeAutospacing="0" w:after="0" w:afterAutospacing="0" w:line="360" w:lineRule="auto"/>
        <w:ind w:firstLine="422" w:firstLineChars="200"/>
        <w:rPr>
          <w:color w:val="auto"/>
          <w:sz w:val="21"/>
          <w:szCs w:val="21"/>
          <w:highlight w:val="none"/>
        </w:rPr>
      </w:pPr>
      <w:bookmarkStart w:id="1327" w:name="_Toc532377341"/>
      <w:r>
        <w:rPr>
          <w:rFonts w:hint="eastAsia"/>
          <w:color w:val="auto"/>
          <w:sz w:val="21"/>
          <w:szCs w:val="21"/>
          <w:highlight w:val="none"/>
        </w:rPr>
        <w:t>4.1 监理人的一般规定</w:t>
      </w:r>
      <w:bookmarkEnd w:id="1327"/>
    </w:p>
    <w:p w14:paraId="08247A89">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关于监理人的监理内容：</w:t>
      </w:r>
      <w:r>
        <w:rPr>
          <w:rFonts w:hint="eastAsia" w:ascii="宋体" w:hAnsi="宋体"/>
          <w:color w:val="auto"/>
          <w:szCs w:val="21"/>
          <w:highlight w:val="none"/>
          <w:u w:val="single"/>
        </w:rPr>
        <w:t>见发包人与监理人就本工程签订的监理合同</w:t>
      </w:r>
      <w:r>
        <w:rPr>
          <w:rFonts w:hint="eastAsia" w:ascii="宋体" w:hAnsi="宋体"/>
          <w:color w:val="auto"/>
          <w:szCs w:val="21"/>
          <w:highlight w:val="none"/>
        </w:rPr>
        <w:t>。</w:t>
      </w:r>
    </w:p>
    <w:p w14:paraId="16E659F1">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关于监理人的监理权限：</w:t>
      </w:r>
      <w:r>
        <w:rPr>
          <w:rFonts w:hint="eastAsia" w:ascii="宋体" w:hAnsi="宋体"/>
          <w:color w:val="auto"/>
          <w:szCs w:val="21"/>
          <w:highlight w:val="none"/>
          <w:u w:val="single"/>
        </w:rPr>
        <w:t>见发包人与监理人就本工程签订的监理合同；任何涉及费用确定和（或）工期调整，或者设计变更，或者变更估价，或者涉及经济责任的事项，监理工程师在发出指令或通知前，须征得发包人书面同意</w:t>
      </w:r>
      <w:r>
        <w:rPr>
          <w:rFonts w:hint="eastAsia" w:ascii="宋体" w:hAnsi="宋体"/>
          <w:color w:val="auto"/>
          <w:szCs w:val="21"/>
          <w:highlight w:val="none"/>
        </w:rPr>
        <w:t>。</w:t>
      </w:r>
    </w:p>
    <w:p w14:paraId="0A22EA3C">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关于监理人在施工现场的办公场所、生活场所的提供和费用承担的约定：</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14:paraId="4F64258D">
      <w:pPr>
        <w:pStyle w:val="7"/>
        <w:spacing w:before="0" w:beforeAutospacing="0" w:after="0" w:afterAutospacing="0" w:line="360" w:lineRule="auto"/>
        <w:ind w:firstLine="422" w:firstLineChars="200"/>
        <w:rPr>
          <w:color w:val="auto"/>
          <w:sz w:val="21"/>
          <w:szCs w:val="21"/>
          <w:highlight w:val="none"/>
        </w:rPr>
      </w:pPr>
      <w:bookmarkStart w:id="1328" w:name="_Toc532377342"/>
      <w:r>
        <w:rPr>
          <w:rFonts w:hint="eastAsia"/>
          <w:color w:val="auto"/>
          <w:sz w:val="21"/>
          <w:szCs w:val="21"/>
          <w:highlight w:val="none"/>
        </w:rPr>
        <w:t>4.2 监理人员</w:t>
      </w:r>
      <w:bookmarkEnd w:id="1328"/>
    </w:p>
    <w:p w14:paraId="05CA45F3">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总监理工程师：</w:t>
      </w:r>
    </w:p>
    <w:p w14:paraId="2A9FF54B">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姓    名：</w:t>
      </w:r>
      <w:r>
        <w:rPr>
          <w:rFonts w:ascii="宋体" w:hAnsi="宋体"/>
          <w:color w:val="auto"/>
          <w:szCs w:val="21"/>
          <w:highlight w:val="none"/>
          <w:u w:val="single"/>
        </w:rPr>
        <w:t xml:space="preserve">                          </w:t>
      </w:r>
      <w:r>
        <w:rPr>
          <w:rFonts w:hint="eastAsia" w:ascii="宋体" w:hAnsi="宋体"/>
          <w:color w:val="auto"/>
          <w:szCs w:val="21"/>
          <w:highlight w:val="none"/>
        </w:rPr>
        <w:t>；</w:t>
      </w:r>
    </w:p>
    <w:p w14:paraId="7732B3C0">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职    务：</w:t>
      </w:r>
      <w:r>
        <w:rPr>
          <w:rFonts w:ascii="宋体" w:hAnsi="宋体"/>
          <w:color w:val="auto"/>
          <w:szCs w:val="21"/>
          <w:highlight w:val="none"/>
          <w:u w:val="single"/>
        </w:rPr>
        <w:t xml:space="preserve">                          </w:t>
      </w:r>
      <w:r>
        <w:rPr>
          <w:rFonts w:hint="eastAsia" w:ascii="宋体" w:hAnsi="宋体"/>
          <w:color w:val="auto"/>
          <w:szCs w:val="21"/>
          <w:highlight w:val="none"/>
        </w:rPr>
        <w:t>；</w:t>
      </w:r>
    </w:p>
    <w:p w14:paraId="67D89CA9">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监理工程师执业资格证书号：</w:t>
      </w:r>
      <w:r>
        <w:rPr>
          <w:rFonts w:ascii="宋体" w:hAnsi="宋体"/>
          <w:color w:val="auto"/>
          <w:szCs w:val="21"/>
          <w:highlight w:val="none"/>
          <w:u w:val="single"/>
        </w:rPr>
        <w:t xml:space="preserve">              </w:t>
      </w:r>
      <w:r>
        <w:rPr>
          <w:rFonts w:hint="eastAsia" w:ascii="宋体" w:hAnsi="宋体"/>
          <w:color w:val="auto"/>
          <w:szCs w:val="21"/>
          <w:highlight w:val="none"/>
        </w:rPr>
        <w:t>；</w:t>
      </w:r>
    </w:p>
    <w:p w14:paraId="4ABD6423">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联系方式：</w:t>
      </w:r>
      <w:r>
        <w:rPr>
          <w:rFonts w:ascii="宋体" w:hAnsi="宋体"/>
          <w:color w:val="auto"/>
          <w:szCs w:val="21"/>
          <w:highlight w:val="none"/>
          <w:u w:val="single"/>
        </w:rPr>
        <w:t xml:space="preserve">                          </w:t>
      </w:r>
      <w:r>
        <w:rPr>
          <w:rFonts w:hint="eastAsia" w:ascii="宋体" w:hAnsi="宋体"/>
          <w:color w:val="auto"/>
          <w:szCs w:val="21"/>
          <w:highlight w:val="none"/>
        </w:rPr>
        <w:t>；</w:t>
      </w:r>
    </w:p>
    <w:p w14:paraId="37D9DAAF">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关于监理人的其他约定：</w:t>
      </w:r>
      <w:r>
        <w:rPr>
          <w:rFonts w:hint="eastAsia" w:ascii="宋体" w:hAnsi="宋体"/>
          <w:color w:val="auto"/>
          <w:szCs w:val="21"/>
          <w:highlight w:val="none"/>
          <w:u w:val="single"/>
        </w:rPr>
        <w:t>见发包人与监理人就本工程签订的监理合同</w:t>
      </w:r>
      <w:r>
        <w:rPr>
          <w:rFonts w:hint="eastAsia" w:ascii="宋体" w:hAnsi="宋体"/>
          <w:color w:val="auto"/>
          <w:szCs w:val="21"/>
          <w:highlight w:val="none"/>
        </w:rPr>
        <w:t>。</w:t>
      </w:r>
    </w:p>
    <w:p w14:paraId="771CF5BF">
      <w:pPr>
        <w:pStyle w:val="7"/>
        <w:spacing w:before="0" w:beforeAutospacing="0" w:after="0" w:afterAutospacing="0" w:line="360" w:lineRule="auto"/>
        <w:ind w:firstLine="420" w:firstLineChars="200"/>
        <w:rPr>
          <w:b w:val="0"/>
          <w:color w:val="auto"/>
          <w:sz w:val="21"/>
          <w:szCs w:val="21"/>
          <w:highlight w:val="none"/>
        </w:rPr>
      </w:pPr>
      <w:bookmarkStart w:id="1329" w:name="_Toc532377343"/>
      <w:r>
        <w:rPr>
          <w:rFonts w:hint="eastAsia"/>
          <w:b w:val="0"/>
          <w:color w:val="auto"/>
          <w:sz w:val="21"/>
          <w:szCs w:val="21"/>
          <w:highlight w:val="none"/>
        </w:rPr>
        <w:t>4.4 商定或确定</w:t>
      </w:r>
      <w:bookmarkEnd w:id="1329"/>
    </w:p>
    <w:p w14:paraId="1F74B4DD">
      <w:pPr>
        <w:spacing w:line="360" w:lineRule="auto"/>
        <w:ind w:firstLine="420" w:firstLineChars="200"/>
        <w:jc w:val="left"/>
        <w:rPr>
          <w:rFonts w:ascii="宋体" w:hAnsi="宋体"/>
          <w:color w:val="auto"/>
          <w:szCs w:val="21"/>
          <w:highlight w:val="none"/>
        </w:rPr>
      </w:pPr>
      <w:bookmarkStart w:id="1330" w:name="_Toc267251418"/>
      <w:r>
        <w:rPr>
          <w:rFonts w:hint="eastAsia" w:ascii="宋体" w:hAnsi="宋体"/>
          <w:color w:val="auto"/>
          <w:szCs w:val="21"/>
          <w:highlight w:val="none"/>
        </w:rPr>
        <w:t>在发包人和承包人不能通过协商达成一致意见时，发包人授权监理人对以下事项进行确定：</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14:paraId="60C22BF0">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1331" w:name="_Toc351203637"/>
      <w:bookmarkStart w:id="1332" w:name="_Toc532377344"/>
      <w:bookmarkStart w:id="1333" w:name="_Toc532375612"/>
      <w:r>
        <w:rPr>
          <w:rFonts w:hint="eastAsia"/>
          <w:color w:val="auto"/>
          <w:kern w:val="2"/>
          <w:sz w:val="21"/>
          <w:szCs w:val="21"/>
          <w:highlight w:val="none"/>
        </w:rPr>
        <w:t>5</w:t>
      </w:r>
      <w:bookmarkEnd w:id="1330"/>
      <w:bookmarkStart w:id="1334" w:name="_Toc297120463"/>
      <w:bookmarkStart w:id="1335" w:name="_Toc292559872"/>
      <w:bookmarkStart w:id="1336" w:name="_Toc296503163"/>
      <w:bookmarkStart w:id="1337" w:name="_Toc296891203"/>
      <w:bookmarkStart w:id="1338" w:name="_Toc292559367"/>
      <w:bookmarkStart w:id="1339" w:name="_Toc297048349"/>
      <w:bookmarkStart w:id="1340" w:name="_Toc296890991"/>
      <w:bookmarkStart w:id="1341" w:name="_Toc296347162"/>
      <w:bookmarkStart w:id="1342" w:name="_Toc296944502"/>
      <w:bookmarkStart w:id="1343" w:name="_Toc296346664"/>
      <w:r>
        <w:rPr>
          <w:rFonts w:hint="eastAsia"/>
          <w:color w:val="auto"/>
          <w:kern w:val="2"/>
          <w:sz w:val="21"/>
          <w:szCs w:val="21"/>
          <w:highlight w:val="none"/>
        </w:rPr>
        <w:t>. 工程质量</w:t>
      </w:r>
      <w:bookmarkEnd w:id="1331"/>
      <w:bookmarkEnd w:id="1332"/>
      <w:bookmarkEnd w:id="1333"/>
    </w:p>
    <w:p w14:paraId="03BA1A5B">
      <w:pPr>
        <w:pStyle w:val="7"/>
        <w:spacing w:before="0" w:beforeAutospacing="0" w:after="0" w:afterAutospacing="0" w:line="360" w:lineRule="auto"/>
        <w:ind w:firstLine="422" w:firstLineChars="200"/>
        <w:rPr>
          <w:color w:val="auto"/>
          <w:sz w:val="21"/>
          <w:szCs w:val="21"/>
          <w:highlight w:val="none"/>
        </w:rPr>
      </w:pPr>
      <w:bookmarkStart w:id="1344" w:name="_Toc532377345"/>
      <w:r>
        <w:rPr>
          <w:rFonts w:hint="eastAsia"/>
          <w:color w:val="auto"/>
          <w:sz w:val="21"/>
          <w:szCs w:val="21"/>
          <w:highlight w:val="none"/>
        </w:rPr>
        <w:t>5.1 质量要求</w:t>
      </w:r>
      <w:bookmarkEnd w:id="1344"/>
      <w:bookmarkStart w:id="1345" w:name="_Hlk528909888"/>
      <w:bookmarkStart w:id="1346" w:name="_Toc318581164"/>
      <w:bookmarkStart w:id="1347" w:name="_Toc297123496"/>
      <w:bookmarkStart w:id="1348" w:name="_Toc300934949"/>
      <w:bookmarkStart w:id="1349" w:name="_Toc304295527"/>
      <w:bookmarkStart w:id="1350" w:name="_Toc297216155"/>
      <w:bookmarkStart w:id="1351" w:name="_Toc312677997"/>
      <w:bookmarkStart w:id="1352" w:name="_Toc303539106"/>
    </w:p>
    <w:p w14:paraId="289D46FA">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工程质量符合强制性质量标准，</w:t>
      </w:r>
      <w:r>
        <w:rPr>
          <w:rFonts w:hint="eastAsia" w:ascii="宋体" w:hAnsi="宋体"/>
          <w:color w:val="auto"/>
          <w:szCs w:val="21"/>
          <w:highlight w:val="none"/>
          <w:u w:val="single"/>
        </w:rPr>
        <w:t>符合国家和重庆市现行有关施工质量验收规范要求，并达到合格标准</w:t>
      </w:r>
      <w:r>
        <w:rPr>
          <w:rFonts w:hint="eastAsia" w:ascii="宋体" w:hAnsi="宋体"/>
          <w:color w:val="auto"/>
          <w:szCs w:val="21"/>
          <w:highlight w:val="none"/>
        </w:rPr>
        <w:t>。</w:t>
      </w:r>
    </w:p>
    <w:bookmarkEnd w:id="1345"/>
    <w:p w14:paraId="0EC371C9">
      <w:pPr>
        <w:pStyle w:val="7"/>
        <w:spacing w:before="0" w:beforeAutospacing="0" w:after="0" w:afterAutospacing="0" w:line="360" w:lineRule="auto"/>
        <w:ind w:firstLine="422" w:firstLineChars="200"/>
        <w:rPr>
          <w:color w:val="auto"/>
          <w:sz w:val="21"/>
          <w:szCs w:val="21"/>
          <w:highlight w:val="none"/>
        </w:rPr>
      </w:pPr>
      <w:bookmarkStart w:id="1353" w:name="_Toc532377346"/>
      <w:r>
        <w:rPr>
          <w:rFonts w:hint="eastAsia"/>
          <w:color w:val="auto"/>
          <w:sz w:val="21"/>
          <w:szCs w:val="21"/>
          <w:highlight w:val="none"/>
        </w:rPr>
        <w:t>5.2 质量保证措施</w:t>
      </w:r>
      <w:bookmarkEnd w:id="1353"/>
    </w:p>
    <w:p w14:paraId="533577C1">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本款补充5.2.4项：</w:t>
      </w:r>
    </w:p>
    <w:p w14:paraId="259EBABD">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5.2.4 在工程建设中，参建各方应严格执行以下规定（包括但不限于）：</w:t>
      </w:r>
    </w:p>
    <w:p w14:paraId="3A1D453F">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u w:val="single"/>
        </w:rPr>
        <w:t>《建筑工程施工质量验收统一标准》（GB50300-2013）</w:t>
      </w:r>
      <w:r>
        <w:rPr>
          <w:rFonts w:hint="eastAsia" w:ascii="宋体" w:hAnsi="宋体"/>
          <w:color w:val="auto"/>
          <w:szCs w:val="21"/>
          <w:highlight w:val="none"/>
        </w:rPr>
        <w:t>；</w:t>
      </w:r>
    </w:p>
    <w:p w14:paraId="10161E33">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u w:val="single"/>
        </w:rPr>
        <w:t>《住房城乡建设部关于印发工程质量安全提升行动方案的通知》（建质〔2017〕57号）</w:t>
      </w:r>
      <w:r>
        <w:rPr>
          <w:rFonts w:hint="eastAsia" w:ascii="宋体" w:hAnsi="宋体"/>
          <w:color w:val="auto"/>
          <w:szCs w:val="21"/>
          <w:highlight w:val="none"/>
        </w:rPr>
        <w:t>；</w:t>
      </w:r>
    </w:p>
    <w:p w14:paraId="0AFCBE2E">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w:t>
      </w:r>
      <w:r>
        <w:rPr>
          <w:rFonts w:hint="eastAsia" w:ascii="宋体" w:hAnsi="宋体"/>
          <w:color w:val="auto"/>
          <w:szCs w:val="21"/>
          <w:highlight w:val="none"/>
          <w:u w:val="single"/>
        </w:rPr>
        <w:t>《房屋建筑和市政基础设施工程竣工验收规定》（建质〔2013〕171号）</w:t>
      </w:r>
      <w:r>
        <w:rPr>
          <w:rFonts w:hint="eastAsia" w:ascii="宋体" w:hAnsi="宋体"/>
          <w:color w:val="auto"/>
          <w:szCs w:val="21"/>
          <w:highlight w:val="none"/>
        </w:rPr>
        <w:t>；</w:t>
      </w:r>
    </w:p>
    <w:p w14:paraId="047E7996">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w:t>
      </w:r>
      <w:r>
        <w:rPr>
          <w:rFonts w:hint="eastAsia" w:ascii="宋体" w:hAnsi="宋体"/>
          <w:color w:val="auto"/>
          <w:szCs w:val="21"/>
          <w:highlight w:val="none"/>
          <w:u w:val="single"/>
        </w:rPr>
        <w:t>《建设部关于贯彻执行建筑工程勘察设计及施工质量验收规范若干问题的通知》（建标〔2002〕212号）</w:t>
      </w:r>
      <w:r>
        <w:rPr>
          <w:rFonts w:hint="eastAsia" w:ascii="宋体" w:hAnsi="宋体"/>
          <w:color w:val="auto"/>
          <w:szCs w:val="21"/>
          <w:highlight w:val="none"/>
        </w:rPr>
        <w:t>；</w:t>
      </w:r>
    </w:p>
    <w:p w14:paraId="2821301A">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w:t>
      </w:r>
      <w:r>
        <w:rPr>
          <w:rFonts w:hint="eastAsia" w:ascii="宋体" w:hAnsi="宋体"/>
          <w:color w:val="auto"/>
          <w:szCs w:val="21"/>
          <w:highlight w:val="none"/>
          <w:u w:val="single"/>
        </w:rPr>
        <w:t>《重庆市住房和城乡建设委员会关于印发&lt;重庆市房屋建筑和市政基础设施工程质量常见问题防治要点（2019年版）&gt;的通知》（渝建〔2019〕198号）</w:t>
      </w:r>
      <w:r>
        <w:rPr>
          <w:rFonts w:hint="eastAsia" w:ascii="宋体" w:hAnsi="宋体"/>
          <w:color w:val="auto"/>
          <w:szCs w:val="21"/>
          <w:highlight w:val="none"/>
        </w:rPr>
        <w:t>；</w:t>
      </w:r>
    </w:p>
    <w:p w14:paraId="3A481639">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w:t>
      </w:r>
      <w:r>
        <w:rPr>
          <w:rFonts w:hint="eastAsia" w:ascii="宋体" w:hAnsi="宋体"/>
          <w:color w:val="auto"/>
          <w:szCs w:val="21"/>
          <w:highlight w:val="none"/>
          <w:u w:val="single"/>
        </w:rPr>
        <w:t>《关于印发&lt;重庆市房屋建筑和市政基础设施工程预拌商品砂浆应用推进工作方案&gt;的通知》（渝建〔2018〕375号）</w:t>
      </w:r>
      <w:r>
        <w:rPr>
          <w:rFonts w:hint="eastAsia" w:ascii="宋体" w:hAnsi="宋体"/>
          <w:color w:val="auto"/>
          <w:szCs w:val="21"/>
          <w:highlight w:val="none"/>
        </w:rPr>
        <w:t>；</w:t>
      </w:r>
    </w:p>
    <w:p w14:paraId="3D9C9B46">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w:t>
      </w:r>
      <w:r>
        <w:rPr>
          <w:rFonts w:hint="eastAsia" w:ascii="宋体" w:hAnsi="宋体"/>
          <w:color w:val="auto"/>
          <w:szCs w:val="21"/>
          <w:highlight w:val="none"/>
          <w:u w:val="single"/>
        </w:rPr>
        <w:t>《重庆市城乡建设委员会关于印发2018年房屋建筑和市政基础设施工程质量要点的通知》（渝建〔2018〕94号）</w:t>
      </w:r>
      <w:r>
        <w:rPr>
          <w:rFonts w:hint="eastAsia" w:ascii="宋体" w:hAnsi="宋体"/>
          <w:color w:val="auto"/>
          <w:szCs w:val="21"/>
          <w:highlight w:val="none"/>
        </w:rPr>
        <w:t>；</w:t>
      </w:r>
    </w:p>
    <w:p w14:paraId="6F7810B0">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（8）</w:t>
      </w:r>
      <w:r>
        <w:rPr>
          <w:rFonts w:hint="eastAsia" w:ascii="宋体" w:hAnsi="宋体"/>
          <w:color w:val="auto"/>
          <w:szCs w:val="21"/>
          <w:highlight w:val="none"/>
          <w:u w:val="single"/>
        </w:rPr>
        <w:t>《重庆市城乡建设委员会关于进一步推广应用预拌商品砂浆的通知》（渝建〔2016〕318号）</w:t>
      </w:r>
      <w:r>
        <w:rPr>
          <w:rFonts w:hint="eastAsia" w:ascii="宋体" w:hAnsi="宋体"/>
          <w:color w:val="auto"/>
          <w:szCs w:val="21"/>
          <w:highlight w:val="none"/>
        </w:rPr>
        <w:t>；</w:t>
      </w:r>
    </w:p>
    <w:p w14:paraId="2BD0176A">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（9）</w:t>
      </w:r>
      <w:r>
        <w:rPr>
          <w:rFonts w:hint="eastAsia" w:ascii="宋体" w:hAnsi="宋体"/>
          <w:color w:val="auto"/>
          <w:szCs w:val="21"/>
          <w:highlight w:val="none"/>
          <w:u w:val="single"/>
        </w:rPr>
        <w:t>《重庆市建设委员会关于发布&lt;建筑工程施工质量验收规范用表（建筑节能分部工程）&gt;和&lt;建设工程技术用表（建筑节能工程）&gt;的通知》（渝建发〔2008〕76号）</w:t>
      </w:r>
      <w:r>
        <w:rPr>
          <w:rFonts w:hint="eastAsia" w:ascii="宋体" w:hAnsi="宋体"/>
          <w:color w:val="auto"/>
          <w:szCs w:val="21"/>
          <w:highlight w:val="none"/>
        </w:rPr>
        <w:t>；</w:t>
      </w:r>
    </w:p>
    <w:p w14:paraId="21859D11">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（10）</w:t>
      </w:r>
      <w:r>
        <w:rPr>
          <w:rFonts w:hint="eastAsia" w:ascii="宋体" w:hAnsi="宋体"/>
          <w:color w:val="auto"/>
          <w:szCs w:val="21"/>
          <w:highlight w:val="none"/>
          <w:u w:val="single"/>
        </w:rPr>
        <w:t>国家和本市现行有关建设工程质量验收标准、规范和要求</w:t>
      </w:r>
      <w:r>
        <w:rPr>
          <w:rFonts w:hint="eastAsia" w:ascii="宋体" w:hAnsi="宋体"/>
          <w:color w:val="auto"/>
          <w:szCs w:val="21"/>
          <w:highlight w:val="none"/>
        </w:rPr>
        <w:t>；</w:t>
      </w:r>
    </w:p>
    <w:p w14:paraId="5C4EB12E">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承包人、监理人和发包人在工程建设中，应严格执行国家及重庆市现行标准，如上述标准及规范要求有出入则以较严格者为准。</w:t>
      </w:r>
    </w:p>
    <w:p w14:paraId="195FDD76">
      <w:pPr>
        <w:pStyle w:val="7"/>
        <w:spacing w:before="0" w:beforeAutospacing="0" w:after="0" w:afterAutospacing="0" w:line="360" w:lineRule="auto"/>
        <w:ind w:firstLine="422" w:firstLineChars="200"/>
        <w:rPr>
          <w:color w:val="auto"/>
          <w:sz w:val="21"/>
          <w:szCs w:val="21"/>
          <w:highlight w:val="none"/>
        </w:rPr>
      </w:pPr>
      <w:bookmarkStart w:id="1354" w:name="_Toc351203536"/>
      <w:bookmarkStart w:id="1355" w:name="_Toc532377347"/>
      <w:bookmarkStart w:id="1356" w:name="_Hlk528927873"/>
      <w:r>
        <w:rPr>
          <w:rFonts w:hint="eastAsia"/>
          <w:color w:val="auto"/>
          <w:sz w:val="21"/>
          <w:szCs w:val="21"/>
          <w:highlight w:val="none"/>
        </w:rPr>
        <w:t>5.3隐蔽工程检查</w:t>
      </w:r>
    </w:p>
    <w:p w14:paraId="1820F07D">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5.3.2检查程序</w:t>
      </w:r>
    </w:p>
    <w:p w14:paraId="2DC7830D">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工程隐蔽部位经承包人自检确认具备覆盖条件的，承包人应在共同检查前</w:t>
      </w:r>
      <w:r>
        <w:rPr>
          <w:rFonts w:hint="eastAsia" w:ascii="宋体" w:hAnsi="宋体"/>
          <w:color w:val="auto"/>
          <w:szCs w:val="21"/>
          <w:highlight w:val="none"/>
          <w:u w:val="single"/>
        </w:rPr>
        <w:t xml:space="preserve"> 24 </w:t>
      </w:r>
      <w:r>
        <w:rPr>
          <w:rFonts w:hint="eastAsia" w:ascii="宋体" w:hAnsi="宋体"/>
          <w:color w:val="auto"/>
          <w:szCs w:val="21"/>
          <w:highlight w:val="none"/>
        </w:rPr>
        <w:t>小时书面通知监理人、发包人检查，跟审单位应同步进行收方确认隐蔽工程量，通知中应载明隐蔽检查的内容、时间和地点，并应附有自检记录和必要的检查资料。</w:t>
      </w:r>
    </w:p>
    <w:p w14:paraId="7DBC45F8">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5</w:t>
      </w:r>
      <w:bookmarkStart w:id="1357" w:name="_Toc337558762"/>
      <w:r>
        <w:rPr>
          <w:rFonts w:hint="eastAsia"/>
          <w:color w:val="auto"/>
          <w:sz w:val="21"/>
          <w:szCs w:val="21"/>
          <w:highlight w:val="none"/>
        </w:rPr>
        <w:t>.4 不合格工程的处理</w:t>
      </w:r>
      <w:bookmarkEnd w:id="1354"/>
      <w:bookmarkEnd w:id="1355"/>
    </w:p>
    <w:bookmarkEnd w:id="1357"/>
    <w:p w14:paraId="40B9FBA9">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本款补充5.4.3项：</w:t>
      </w:r>
    </w:p>
    <w:p w14:paraId="08F9F399">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5.4.3 承包人在收到监理人发出的《不合格分项报告》或监理通知单后，必须在监理人规定时间内按要求完成整改，未能在限定时间内完成整改的，须承担相应违约责任。</w:t>
      </w:r>
    </w:p>
    <w:p w14:paraId="37A1E6CE">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本条补充5.6款：</w:t>
      </w:r>
    </w:p>
    <w:bookmarkEnd w:id="1356"/>
    <w:p w14:paraId="23AE69AC">
      <w:pPr>
        <w:pStyle w:val="7"/>
        <w:spacing w:before="0" w:beforeAutospacing="0" w:after="0" w:afterAutospacing="0" w:line="360" w:lineRule="auto"/>
        <w:ind w:firstLine="422" w:firstLineChars="200"/>
        <w:rPr>
          <w:color w:val="auto"/>
          <w:sz w:val="21"/>
          <w:szCs w:val="21"/>
          <w:highlight w:val="none"/>
        </w:rPr>
      </w:pPr>
      <w:bookmarkStart w:id="1358" w:name="_Toc532377348"/>
      <w:r>
        <w:rPr>
          <w:rFonts w:hint="eastAsia"/>
          <w:color w:val="auto"/>
          <w:sz w:val="21"/>
          <w:szCs w:val="21"/>
          <w:highlight w:val="none"/>
        </w:rPr>
        <w:t>5.6 质量事故的处理</w:t>
      </w:r>
      <w:bookmarkEnd w:id="1358"/>
    </w:p>
    <w:p w14:paraId="59B33109">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5.6.1 合同履行过程中，发生工程质量事故的调查处理按照国家及重庆市现行规定处理。</w:t>
      </w:r>
    </w:p>
    <w:p w14:paraId="11D67E99">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5.6.2 发包人在对工程质量、安全和环境保护、水土保持等建设全过程管理中发现有技术、质量和其他问题的，可通过监理人责令承包人返工或整改；对存在的隐患，有权责令承包人予以解决，承包人按照合同中其他条款约定承担违约责任。</w:t>
      </w:r>
    </w:p>
    <w:bookmarkEnd w:id="1334"/>
    <w:bookmarkEnd w:id="1335"/>
    <w:bookmarkEnd w:id="1336"/>
    <w:bookmarkEnd w:id="1337"/>
    <w:bookmarkEnd w:id="1338"/>
    <w:bookmarkEnd w:id="1339"/>
    <w:bookmarkEnd w:id="1340"/>
    <w:bookmarkEnd w:id="1341"/>
    <w:bookmarkEnd w:id="1342"/>
    <w:bookmarkEnd w:id="1343"/>
    <w:bookmarkEnd w:id="1346"/>
    <w:bookmarkEnd w:id="1347"/>
    <w:bookmarkEnd w:id="1348"/>
    <w:bookmarkEnd w:id="1349"/>
    <w:bookmarkEnd w:id="1350"/>
    <w:bookmarkEnd w:id="1351"/>
    <w:bookmarkEnd w:id="1352"/>
    <w:p w14:paraId="2E76CBD4">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1359" w:name="_Toc532377349"/>
      <w:bookmarkStart w:id="1360" w:name="_Toc351203638"/>
      <w:bookmarkStart w:id="1361" w:name="_Toc532375613"/>
      <w:bookmarkStart w:id="1362" w:name="_Toc292559378"/>
      <w:bookmarkStart w:id="1363" w:name="_Toc296503173"/>
      <w:bookmarkStart w:id="1364" w:name="_Toc267251427"/>
      <w:bookmarkStart w:id="1365" w:name="_Toc296891213"/>
      <w:bookmarkStart w:id="1366" w:name="_Toc296891001"/>
      <w:bookmarkStart w:id="1367" w:name="_Toc351203642"/>
      <w:bookmarkStart w:id="1368" w:name="_Toc297048359"/>
      <w:bookmarkStart w:id="1369" w:name="_Toc296944512"/>
      <w:bookmarkStart w:id="1370" w:name="_Toc296347172"/>
      <w:bookmarkStart w:id="1371" w:name="_Toc296346674"/>
      <w:bookmarkStart w:id="1372" w:name="_Toc292559883"/>
      <w:bookmarkStart w:id="1373" w:name="_Toc267251428"/>
      <w:bookmarkStart w:id="1374" w:name="_Toc297120473"/>
      <w:r>
        <w:rPr>
          <w:rFonts w:hint="eastAsia"/>
          <w:color w:val="auto"/>
          <w:kern w:val="2"/>
          <w:sz w:val="21"/>
          <w:szCs w:val="21"/>
          <w:highlight w:val="none"/>
        </w:rPr>
        <w:t>6. 安全文明施工与环境保护</w:t>
      </w:r>
      <w:bookmarkEnd w:id="1359"/>
      <w:bookmarkEnd w:id="1360"/>
      <w:bookmarkEnd w:id="1361"/>
    </w:p>
    <w:p w14:paraId="7F640E65">
      <w:pPr>
        <w:pStyle w:val="7"/>
        <w:spacing w:before="0" w:beforeAutospacing="0" w:after="0" w:afterAutospacing="0" w:line="360" w:lineRule="auto"/>
        <w:ind w:firstLine="422" w:firstLineChars="200"/>
        <w:rPr>
          <w:color w:val="auto"/>
          <w:sz w:val="21"/>
          <w:szCs w:val="21"/>
          <w:highlight w:val="none"/>
        </w:rPr>
      </w:pPr>
      <w:bookmarkStart w:id="1375" w:name="_Toc532377350"/>
      <w:bookmarkStart w:id="1376" w:name="_Toc532375614"/>
      <w:r>
        <w:rPr>
          <w:rFonts w:hint="eastAsia"/>
          <w:color w:val="auto"/>
          <w:sz w:val="21"/>
          <w:szCs w:val="21"/>
          <w:highlight w:val="none"/>
        </w:rPr>
        <w:t>6.1 安全文明施工</w:t>
      </w:r>
      <w:bookmarkEnd w:id="1375"/>
      <w:bookmarkEnd w:id="1376"/>
    </w:p>
    <w:p w14:paraId="04A5A7CE">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承包人必须认真贯彻执行国家安全生产法律、法规、规章和强制性安全标准，按照重庆市现行的质量、安全文明施工有关规定和发包人安全管理的有关规定，建立完善的质量、安全、文明施工管理制度。</w:t>
      </w:r>
    </w:p>
    <w:p w14:paraId="070668FF">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的施工要做到节能、环保，如果通过采用新材料、新设备、新工艺、新技术的手段来提高工程质量或节省工期，则必须保证新材料、新设备、新工艺、新技术是成熟的并获得相关部门正式批准的，同时使用前承包人必须组织专家论证，并得到发包人、监理人的批准。</w:t>
      </w:r>
    </w:p>
    <w:p w14:paraId="297D6F19">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6.1.1 项目安全生产的达标目标及相应事项的约定：</w:t>
      </w:r>
      <w:r>
        <w:rPr>
          <w:rFonts w:hint="eastAsia" w:ascii="宋体" w:hAnsi="宋体"/>
          <w:color w:val="auto"/>
          <w:szCs w:val="21"/>
          <w:highlight w:val="none"/>
          <w:u w:val="single"/>
        </w:rPr>
        <w:t>达到《建筑施工安全检查标准》（JGJ59-2011）的要求</w:t>
      </w:r>
      <w:r>
        <w:rPr>
          <w:rFonts w:hint="eastAsia" w:ascii="宋体" w:hAnsi="宋体"/>
          <w:color w:val="auto"/>
          <w:szCs w:val="21"/>
          <w:highlight w:val="none"/>
        </w:rPr>
        <w:t>。</w:t>
      </w:r>
    </w:p>
    <w:p w14:paraId="3EA01907">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（1）按现行安全文明施工费计取及使用管理的政策文件规定及发包人制订的安全管理制度执行</w:t>
      </w:r>
      <w:r>
        <w:rPr>
          <w:rFonts w:hint="eastAsia" w:ascii="宋体" w:hAnsi="宋体"/>
          <w:color w:val="auto"/>
          <w:szCs w:val="21"/>
          <w:highlight w:val="none"/>
        </w:rPr>
        <w:t>。</w:t>
      </w:r>
    </w:p>
    <w:p w14:paraId="72CDD59B">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（2）承包人的原因造成事故，由此产生的法律责任和事故责任及费用由承包人全部承担</w:t>
      </w:r>
      <w:r>
        <w:rPr>
          <w:rFonts w:hint="eastAsia" w:ascii="宋体" w:hAnsi="宋体"/>
          <w:color w:val="auto"/>
          <w:szCs w:val="21"/>
          <w:highlight w:val="none"/>
        </w:rPr>
        <w:t>。</w:t>
      </w:r>
    </w:p>
    <w:p w14:paraId="1B32BB5A">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（3）承包人向发包人做出安全承诺，并签订《安全生产目标责任书》和《安全承诺书》</w:t>
      </w:r>
      <w:r>
        <w:rPr>
          <w:rFonts w:hint="eastAsia" w:ascii="宋体" w:hAnsi="宋体"/>
          <w:color w:val="auto"/>
          <w:szCs w:val="21"/>
          <w:highlight w:val="none"/>
        </w:rPr>
        <w:t>。</w:t>
      </w:r>
    </w:p>
    <w:p w14:paraId="52E9ABE0">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（4）承包人在施工过程中，必须严格执行安全生产法的相关规定，制定切实可靠的安全技术措施</w:t>
      </w:r>
      <w:r>
        <w:rPr>
          <w:rFonts w:hint="eastAsia" w:ascii="宋体" w:hAnsi="宋体"/>
          <w:color w:val="auto"/>
          <w:szCs w:val="21"/>
          <w:highlight w:val="none"/>
        </w:rPr>
        <w:t>。</w:t>
      </w:r>
    </w:p>
    <w:p w14:paraId="22445AEE">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（5）接受发包人安全监督和管理，在施工中违反安全管理规定和操作规程、违章作业的，承担违约责任</w:t>
      </w:r>
      <w:r>
        <w:rPr>
          <w:rFonts w:hint="eastAsia" w:ascii="宋体" w:hAnsi="宋体"/>
          <w:color w:val="auto"/>
          <w:szCs w:val="21"/>
          <w:highlight w:val="none"/>
        </w:rPr>
        <w:t>。</w:t>
      </w:r>
    </w:p>
    <w:p w14:paraId="582858EE">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6.1.4 关于治安保卫的特别约定：</w:t>
      </w:r>
      <w:r>
        <w:rPr>
          <w:rFonts w:hint="eastAsia" w:ascii="宋体" w:hAnsi="宋体"/>
          <w:color w:val="auto"/>
          <w:szCs w:val="21"/>
          <w:highlight w:val="none"/>
          <w:u w:val="single"/>
        </w:rPr>
        <w:t>承包人负责组建施工现场治安管理机构或联防组织；承包人负责编制施工场地治安管理计划和突发治安事件紧急预案</w:t>
      </w:r>
      <w:r>
        <w:rPr>
          <w:rFonts w:hint="eastAsia" w:ascii="宋体" w:hAnsi="宋体"/>
          <w:color w:val="auto"/>
          <w:szCs w:val="21"/>
          <w:highlight w:val="none"/>
        </w:rPr>
        <w:t>。</w:t>
      </w:r>
    </w:p>
    <w:p w14:paraId="3726B20B">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关于编制施工场地治安管理计划的约定：</w:t>
      </w:r>
      <w:r>
        <w:rPr>
          <w:rFonts w:hint="eastAsia" w:ascii="宋体" w:hAnsi="宋体"/>
          <w:color w:val="auto"/>
          <w:szCs w:val="21"/>
          <w:highlight w:val="none"/>
          <w:u w:val="single"/>
        </w:rPr>
        <w:t>由承包人负责</w:t>
      </w:r>
      <w:r>
        <w:rPr>
          <w:rFonts w:hint="eastAsia" w:ascii="宋体" w:hAnsi="宋体"/>
          <w:color w:val="auto"/>
          <w:szCs w:val="21"/>
          <w:highlight w:val="none"/>
        </w:rPr>
        <w:t>。</w:t>
      </w:r>
    </w:p>
    <w:p w14:paraId="2A07CE92">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6.1.5 文明施工</w:t>
      </w:r>
    </w:p>
    <w:p w14:paraId="7CD9F2B7">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合同当事人对文明施工的要求：</w:t>
      </w:r>
      <w:r>
        <w:rPr>
          <w:rFonts w:hint="eastAsia" w:ascii="宋体" w:hAnsi="宋体"/>
          <w:color w:val="auto"/>
          <w:szCs w:val="21"/>
          <w:highlight w:val="none"/>
          <w:u w:val="single"/>
        </w:rPr>
        <w:t>承包人应按照《房屋建筑和市政基础设施工程施工扬尘控制工作方案》（渝建发〔2009〕13号）、《重庆市建设委员会关于印发&lt;重庆市房屋建筑和市政基础设施工程现场文明施工标准&gt;的通知》（渝建发〔2008〕169号）等相关规定履行好施工扬尘控制、文明施工等责任</w:t>
      </w:r>
      <w:r>
        <w:rPr>
          <w:rFonts w:hint="eastAsia" w:ascii="宋体" w:hAnsi="宋体"/>
          <w:color w:val="auto"/>
          <w:szCs w:val="21"/>
          <w:highlight w:val="none"/>
        </w:rPr>
        <w:t>。</w:t>
      </w:r>
    </w:p>
    <w:p w14:paraId="4DCC5F1A">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承包人应按规定设置施工现场围挡，承包人采用的围挡主体形式应从重庆市城乡建委发布的标准图集（DJBT-062、DJBT-063）中选用，做好施工围挡，围挡应整齐美观，承包人按相关要求做好日常维护和保洁，围挡高度满足规范要求，相关费用已包含在签约合同价中</w:t>
      </w:r>
      <w:r>
        <w:rPr>
          <w:rFonts w:hint="eastAsia" w:ascii="宋体" w:hAnsi="宋体"/>
          <w:color w:val="auto"/>
          <w:szCs w:val="21"/>
          <w:highlight w:val="none"/>
        </w:rPr>
        <w:t>。</w:t>
      </w:r>
    </w:p>
    <w:p w14:paraId="61644E9F">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6.1.6 关于安全文明施工费支付比例和支付期限的约定：按照行业主管部门相关规定</w:t>
      </w:r>
      <w:r>
        <w:rPr>
          <w:rFonts w:hint="eastAsia" w:ascii="宋体"/>
          <w:color w:val="auto"/>
          <w:szCs w:val="21"/>
          <w:highlight w:val="none"/>
          <w:u w:val="single"/>
        </w:rPr>
        <w:t>按工程款支付相关规定</w:t>
      </w:r>
      <w:r>
        <w:rPr>
          <w:rFonts w:hint="eastAsia" w:ascii="宋体" w:hAnsi="宋体"/>
          <w:color w:val="auto"/>
          <w:szCs w:val="21"/>
          <w:highlight w:val="none"/>
        </w:rPr>
        <w:t>执行。</w:t>
      </w:r>
    </w:p>
    <w:p w14:paraId="37E2796E">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安全文明施工费的要求与内容、提取支付方法以及违反约定造成损失的赔偿等条款，按照现行规范要求执行，做到专款专用</w:t>
      </w:r>
      <w:r>
        <w:rPr>
          <w:rFonts w:hint="eastAsia" w:ascii="宋体" w:hAnsi="宋体"/>
          <w:color w:val="auto"/>
          <w:szCs w:val="21"/>
          <w:highlight w:val="none"/>
        </w:rPr>
        <w:t>。</w:t>
      </w:r>
    </w:p>
    <w:p w14:paraId="27EC88AA">
      <w:pPr>
        <w:pStyle w:val="7"/>
        <w:spacing w:before="0" w:beforeAutospacing="0" w:after="0" w:afterAutospacing="0" w:line="360" w:lineRule="auto"/>
        <w:ind w:firstLine="422" w:firstLineChars="200"/>
        <w:rPr>
          <w:color w:val="auto"/>
          <w:sz w:val="21"/>
          <w:szCs w:val="21"/>
          <w:highlight w:val="none"/>
        </w:rPr>
      </w:pPr>
      <w:bookmarkStart w:id="1377" w:name="_Toc532377351"/>
      <w:bookmarkStart w:id="1378" w:name="_Toc532375615"/>
      <w:r>
        <w:rPr>
          <w:rFonts w:hint="eastAsia"/>
          <w:color w:val="auto"/>
          <w:sz w:val="21"/>
          <w:szCs w:val="21"/>
          <w:highlight w:val="none"/>
        </w:rPr>
        <w:t>6.3 环境保护</w:t>
      </w:r>
      <w:bookmarkEnd w:id="1377"/>
      <w:bookmarkEnd w:id="1378"/>
    </w:p>
    <w:p w14:paraId="271615B8">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本款补充6.3.1～6.3.8项：</w:t>
      </w:r>
    </w:p>
    <w:p w14:paraId="09DE9E14">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6.3.1 承包人应严格按照项目环境影响评价文件批准书结合发包人报送的环境影响报告书的要求进行环境保护的相关工作。如行政主管部门有新标准，则按最新标准执行，执行新标准增加的费用由发包人承担。</w:t>
      </w:r>
    </w:p>
    <w:p w14:paraId="4915E17E">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6.3.2 承包人应做好对周边环境的调查工作，认真编制施工组织设计，严格按照施工方案组织施工，涉及交通、绿化、市政、环保、生态、公共安全等的施工方案应达到相关标准要求并在施工前得到相关行政主管部门和单位的同意，否则不得施工，因施工原因引起的一切投诉及处罚由承包人自行负责。</w:t>
      </w:r>
    </w:p>
    <w:p w14:paraId="58A9045A">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6.3.3 承包人应加强生态环境保护工作。施工期间，采取边坡防护，挡渣坝、排水沟、沉淀池、表土剥离和绿化恢复等水土保持措施减少水土流失量，绿化恢复宜采用适于当地生长的植物。</w:t>
      </w:r>
    </w:p>
    <w:p w14:paraId="6DB50140">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6.3.4 承包人应认真落实水污染防治措施。施工期间，加强机械设备维护，减少跑冒滴漏等现象；做好含油废水处理措施；施工场地生活污水经生化处理后达到《污水综合排放标准》（GB8978-1996）一级标准后排放。</w:t>
      </w:r>
    </w:p>
    <w:p w14:paraId="08B73845">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6.3.5 承包人应重视大气污染物污染防治措施。施工期间，严格执行市政府“蓝天行动”方案等有关规定，通过洒水防尘，严格控制施工场地扬尘和运输扬尘污染。</w:t>
      </w:r>
    </w:p>
    <w:p w14:paraId="177F3BBA">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6.3.6 承包人应落实固体废物污染防治措施。施工期间，项目产生的弃方不可合理</w:t>
      </w:r>
      <w:r>
        <w:rPr>
          <w:rFonts w:ascii="宋体" w:hAnsi="宋体"/>
          <w:color w:val="auto"/>
          <w:szCs w:val="21"/>
          <w:highlight w:val="none"/>
        </w:rPr>
        <w:t>利用的</w:t>
      </w:r>
      <w:r>
        <w:rPr>
          <w:rFonts w:hint="eastAsia" w:ascii="宋体" w:hAnsi="宋体"/>
          <w:color w:val="auto"/>
          <w:szCs w:val="21"/>
          <w:highlight w:val="none"/>
        </w:rPr>
        <w:t>，应运往指定的弃渣场内堆存；建筑垃圾运至指定的建筑垃圾消纳场处置；生活垃圾由当地环卫部门统一处置。</w:t>
      </w:r>
    </w:p>
    <w:p w14:paraId="1764A165">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6.3.7 承包人应认真落实噪声污染防治措施。施工期间，优选低噪声设备，合理安排施工时间，严格控制夜间施工，昼、夜施工场界需满足《建筑施工场界环境噪声排放标准》（GB12523-2011）。</w:t>
      </w:r>
    </w:p>
    <w:p w14:paraId="368EEA96">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6.3.8 承包人自行负责办理有关施工场地交通、环卫和施工噪音管理等手续，并应按要求结合自身实际和重庆市相关规定，考虑不低于以上标准的此类工作。</w:t>
      </w:r>
    </w:p>
    <w:p w14:paraId="78DDD545">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 xml:space="preserve">6.3.9 </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14:paraId="5434F45F">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1379" w:name="_Toc532377352"/>
      <w:bookmarkStart w:id="1380" w:name="_Toc351203639"/>
      <w:bookmarkStart w:id="1381" w:name="_Toc532375616"/>
      <w:r>
        <w:rPr>
          <w:rFonts w:hint="eastAsia"/>
          <w:color w:val="auto"/>
          <w:kern w:val="2"/>
          <w:sz w:val="21"/>
          <w:szCs w:val="21"/>
          <w:highlight w:val="none"/>
        </w:rPr>
        <w:t>7. 工期和进度</w:t>
      </w:r>
      <w:bookmarkEnd w:id="1379"/>
      <w:bookmarkEnd w:id="1380"/>
      <w:bookmarkEnd w:id="1381"/>
    </w:p>
    <w:p w14:paraId="18F153A5">
      <w:pPr>
        <w:pStyle w:val="7"/>
        <w:spacing w:before="0" w:beforeAutospacing="0" w:after="0" w:afterAutospacing="0" w:line="360" w:lineRule="auto"/>
        <w:ind w:firstLine="422" w:firstLineChars="200"/>
        <w:rPr>
          <w:color w:val="auto"/>
          <w:sz w:val="21"/>
          <w:szCs w:val="21"/>
          <w:highlight w:val="none"/>
        </w:rPr>
      </w:pPr>
      <w:bookmarkStart w:id="1382" w:name="_Toc532375617"/>
      <w:bookmarkStart w:id="1383" w:name="_Toc532377353"/>
      <w:r>
        <w:rPr>
          <w:rFonts w:hint="eastAsia"/>
          <w:color w:val="auto"/>
          <w:sz w:val="21"/>
          <w:szCs w:val="21"/>
          <w:highlight w:val="none"/>
        </w:rPr>
        <w:t>7.1 施工组织设计</w:t>
      </w:r>
      <w:bookmarkEnd w:id="1382"/>
      <w:bookmarkEnd w:id="1383"/>
    </w:p>
    <w:p w14:paraId="79A13DE6">
      <w:pPr>
        <w:autoSpaceDE w:val="0"/>
        <w:autoSpaceDN w:val="0"/>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7.1.1 合同当事人约定的施工组织设计应包括的其他内容：</w:t>
      </w:r>
      <w:r>
        <w:rPr>
          <w:rFonts w:hint="eastAsia" w:ascii="宋体" w:hAnsi="宋体"/>
          <w:color w:val="auto"/>
          <w:szCs w:val="21"/>
          <w:highlight w:val="none"/>
          <w:u w:val="single"/>
        </w:rPr>
        <w:t>应采用文字并结合图表形式说明施工方法；拟投入工程的主要施工设备情况、拟配备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按发包人要求提供</w:t>
      </w:r>
      <w:r>
        <w:rPr>
          <w:rFonts w:hint="eastAsia" w:ascii="宋体" w:hAnsi="宋体"/>
          <w:color w:val="auto"/>
          <w:szCs w:val="21"/>
          <w:highlight w:val="none"/>
        </w:rPr>
        <w:t>。</w:t>
      </w:r>
    </w:p>
    <w:p w14:paraId="1162989D">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7.1.2 施工组织设计的提交和修改</w:t>
      </w:r>
    </w:p>
    <w:p w14:paraId="488A4EBB">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承包人提交详细施工组织设计的期限的约定：</w:t>
      </w:r>
      <w:r>
        <w:rPr>
          <w:rFonts w:hint="eastAsia" w:ascii="宋体" w:hAnsi="宋体"/>
          <w:color w:val="auto"/>
          <w:szCs w:val="21"/>
          <w:highlight w:val="none"/>
          <w:u w:val="single"/>
        </w:rPr>
        <w:t>合同签订后  天内，但最迟不得晚于开工通知载明的开工日期前7天</w:t>
      </w:r>
      <w:r>
        <w:rPr>
          <w:rFonts w:hint="eastAsia" w:ascii="宋体" w:hAnsi="宋体"/>
          <w:color w:val="auto"/>
          <w:szCs w:val="21"/>
          <w:highlight w:val="none"/>
        </w:rPr>
        <w:t>。</w:t>
      </w:r>
    </w:p>
    <w:p w14:paraId="4D167CD9">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发包人和监理人在收到详细的施工组织设计后确认或提出修改意见的期限：</w:t>
      </w:r>
      <w:r>
        <w:rPr>
          <w:rFonts w:hint="eastAsia" w:ascii="宋体" w:hAnsi="宋体"/>
          <w:color w:val="auto"/>
          <w:szCs w:val="21"/>
          <w:highlight w:val="none"/>
          <w:u w:val="single"/>
        </w:rPr>
        <w:t>收到施工组织设计后  天内</w:t>
      </w:r>
      <w:r>
        <w:rPr>
          <w:rFonts w:hint="eastAsia" w:ascii="宋体" w:hAnsi="宋体"/>
          <w:color w:val="auto"/>
          <w:szCs w:val="21"/>
          <w:highlight w:val="none"/>
        </w:rPr>
        <w:t>。</w:t>
      </w:r>
    </w:p>
    <w:p w14:paraId="4DD27E05">
      <w:pPr>
        <w:pStyle w:val="7"/>
        <w:spacing w:before="0" w:beforeAutospacing="0" w:after="0" w:afterAutospacing="0" w:line="360" w:lineRule="auto"/>
        <w:ind w:firstLine="422" w:firstLineChars="200"/>
        <w:rPr>
          <w:color w:val="auto"/>
          <w:sz w:val="21"/>
          <w:szCs w:val="21"/>
          <w:highlight w:val="none"/>
        </w:rPr>
      </w:pPr>
      <w:bookmarkStart w:id="1384" w:name="_Toc532375618"/>
      <w:bookmarkStart w:id="1385" w:name="_Toc532377354"/>
      <w:r>
        <w:rPr>
          <w:rFonts w:hint="eastAsia"/>
          <w:color w:val="auto"/>
          <w:sz w:val="21"/>
          <w:szCs w:val="21"/>
          <w:highlight w:val="none"/>
        </w:rPr>
        <w:t>7.2 施工进度计划</w:t>
      </w:r>
      <w:bookmarkEnd w:id="1384"/>
      <w:bookmarkEnd w:id="1385"/>
    </w:p>
    <w:p w14:paraId="296AD06A">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7.2.2 施工进度计划的修订</w:t>
      </w:r>
    </w:p>
    <w:p w14:paraId="367126EF">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发包人和监理人在收到修订的施工进度计划后确认或提出修改意见的期限：</w:t>
      </w:r>
      <w:r>
        <w:rPr>
          <w:rFonts w:hint="eastAsia" w:ascii="宋体" w:hAnsi="宋体"/>
          <w:color w:val="auto"/>
          <w:szCs w:val="21"/>
          <w:highlight w:val="none"/>
          <w:u w:val="single"/>
        </w:rPr>
        <w:t>收到修订的施工进度计划后  天内</w:t>
      </w:r>
      <w:r>
        <w:rPr>
          <w:rFonts w:hint="eastAsia" w:ascii="宋体" w:hAnsi="宋体"/>
          <w:color w:val="auto"/>
          <w:szCs w:val="21"/>
          <w:highlight w:val="none"/>
        </w:rPr>
        <w:t>。</w:t>
      </w:r>
    </w:p>
    <w:p w14:paraId="7FD4C1C9">
      <w:pPr>
        <w:pStyle w:val="7"/>
        <w:spacing w:before="0" w:beforeAutospacing="0" w:after="0" w:afterAutospacing="0" w:line="360" w:lineRule="auto"/>
        <w:ind w:firstLine="422" w:firstLineChars="200"/>
        <w:rPr>
          <w:color w:val="auto"/>
          <w:sz w:val="21"/>
          <w:szCs w:val="21"/>
          <w:highlight w:val="none"/>
        </w:rPr>
      </w:pPr>
      <w:bookmarkStart w:id="1386" w:name="_Toc532377355"/>
      <w:bookmarkStart w:id="1387" w:name="_Toc532375619"/>
      <w:bookmarkStart w:id="1388" w:name="_Toc312677479"/>
      <w:bookmarkStart w:id="1389" w:name="_Toc297216173"/>
      <w:bookmarkStart w:id="1390" w:name="_Toc304295541"/>
      <w:bookmarkStart w:id="1391" w:name="_Toc303539123"/>
      <w:bookmarkStart w:id="1392" w:name="_Toc300934966"/>
      <w:bookmarkStart w:id="1393" w:name="_Toc297123514"/>
      <w:bookmarkStart w:id="1394" w:name="_Toc312678005"/>
      <w:r>
        <w:rPr>
          <w:rFonts w:hint="eastAsia"/>
          <w:color w:val="auto"/>
          <w:sz w:val="21"/>
          <w:szCs w:val="21"/>
          <w:highlight w:val="none"/>
        </w:rPr>
        <w:t>7.3 开工</w:t>
      </w:r>
      <w:bookmarkEnd w:id="1386"/>
      <w:bookmarkEnd w:id="1387"/>
    </w:p>
    <w:p w14:paraId="3D52A0AA">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7.3.1 开工准备</w:t>
      </w:r>
    </w:p>
    <w:p w14:paraId="7833FFBB">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关于承包人提交工程开工报审表的期限：</w:t>
      </w:r>
      <w:r>
        <w:rPr>
          <w:rFonts w:hint="eastAsia" w:ascii="宋体" w:hAnsi="宋体"/>
          <w:color w:val="auto"/>
          <w:szCs w:val="21"/>
          <w:highlight w:val="none"/>
          <w:u w:val="single"/>
        </w:rPr>
        <w:t>不晚于开工前  天</w:t>
      </w:r>
      <w:r>
        <w:rPr>
          <w:rFonts w:hint="eastAsia" w:ascii="宋体" w:hAnsi="宋体"/>
          <w:color w:val="auto"/>
          <w:szCs w:val="21"/>
          <w:highlight w:val="none"/>
        </w:rPr>
        <w:t>。</w:t>
      </w:r>
    </w:p>
    <w:p w14:paraId="27368695">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关于发包人应完成的其他开工准备工作及期限：</w:t>
      </w:r>
      <w:r>
        <w:rPr>
          <w:rFonts w:hint="eastAsia" w:ascii="宋体" w:hAnsi="宋体"/>
          <w:color w:val="auto"/>
          <w:szCs w:val="21"/>
          <w:highlight w:val="none"/>
          <w:u w:val="single"/>
        </w:rPr>
        <w:t>不晚于开工前  天</w:t>
      </w:r>
      <w:r>
        <w:rPr>
          <w:rFonts w:hint="eastAsia" w:ascii="宋体" w:hAnsi="宋体"/>
          <w:color w:val="auto"/>
          <w:szCs w:val="21"/>
          <w:highlight w:val="none"/>
        </w:rPr>
        <w:t>。</w:t>
      </w:r>
    </w:p>
    <w:p w14:paraId="4AF53ABF">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关于承包人应完成的其他开工准备工作及期限：</w:t>
      </w:r>
      <w:r>
        <w:rPr>
          <w:rFonts w:hint="eastAsia" w:ascii="宋体" w:hAnsi="宋体"/>
          <w:color w:val="auto"/>
          <w:szCs w:val="21"/>
          <w:highlight w:val="none"/>
          <w:u w:val="single"/>
        </w:rPr>
        <w:t>不晚于开工前  天</w:t>
      </w:r>
      <w:r>
        <w:rPr>
          <w:rFonts w:hint="eastAsia" w:ascii="宋体" w:hAnsi="宋体"/>
          <w:color w:val="auto"/>
          <w:szCs w:val="21"/>
          <w:highlight w:val="none"/>
        </w:rPr>
        <w:t>。</w:t>
      </w:r>
    </w:p>
    <w:bookmarkEnd w:id="1388"/>
    <w:bookmarkEnd w:id="1389"/>
    <w:bookmarkEnd w:id="1390"/>
    <w:bookmarkEnd w:id="1391"/>
    <w:bookmarkEnd w:id="1392"/>
    <w:bookmarkEnd w:id="1393"/>
    <w:bookmarkEnd w:id="1394"/>
    <w:p w14:paraId="15DE26B0">
      <w:pPr>
        <w:pStyle w:val="7"/>
        <w:spacing w:before="0" w:beforeAutospacing="0" w:after="0" w:afterAutospacing="0" w:line="360" w:lineRule="auto"/>
        <w:ind w:firstLine="422" w:firstLineChars="200"/>
        <w:rPr>
          <w:color w:val="auto"/>
          <w:sz w:val="21"/>
          <w:szCs w:val="21"/>
          <w:highlight w:val="none"/>
        </w:rPr>
      </w:pPr>
      <w:bookmarkStart w:id="1395" w:name="_Toc532375620"/>
      <w:bookmarkStart w:id="1396" w:name="_Toc532377356"/>
      <w:r>
        <w:rPr>
          <w:rFonts w:hint="eastAsia"/>
          <w:color w:val="auto"/>
          <w:sz w:val="21"/>
          <w:szCs w:val="21"/>
          <w:highlight w:val="none"/>
        </w:rPr>
        <w:t>7.4 测量放线</w:t>
      </w:r>
      <w:bookmarkEnd w:id="1395"/>
      <w:bookmarkEnd w:id="1396"/>
    </w:p>
    <w:p w14:paraId="350C5CD9">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7.4.1 发包人通过监理人向承包人提供测量基准点、基准线和水准点及其书面资料的期限：</w:t>
      </w:r>
      <w:r>
        <w:rPr>
          <w:rFonts w:hint="eastAsia" w:ascii="宋体" w:hAnsi="宋体"/>
          <w:color w:val="auto"/>
          <w:szCs w:val="21"/>
          <w:highlight w:val="none"/>
          <w:u w:val="single"/>
        </w:rPr>
        <w:t>不晚于开工前</w:t>
      </w:r>
      <w:r>
        <w:rPr>
          <w:rFonts w:ascii="宋体" w:hAnsi="宋体"/>
          <w:color w:val="auto"/>
          <w:szCs w:val="21"/>
          <w:highlight w:val="none"/>
          <w:u w:val="single"/>
        </w:rPr>
        <w:t>3</w:t>
      </w:r>
      <w:r>
        <w:rPr>
          <w:rFonts w:hint="eastAsia" w:ascii="宋体" w:hAnsi="宋体"/>
          <w:color w:val="auto"/>
          <w:szCs w:val="21"/>
          <w:highlight w:val="none"/>
          <w:u w:val="single"/>
        </w:rPr>
        <w:t>天</w:t>
      </w:r>
      <w:r>
        <w:rPr>
          <w:rFonts w:hint="eastAsia" w:ascii="宋体" w:hAnsi="宋体"/>
          <w:color w:val="auto"/>
          <w:szCs w:val="21"/>
          <w:highlight w:val="none"/>
        </w:rPr>
        <w:t>。</w:t>
      </w:r>
    </w:p>
    <w:p w14:paraId="767814DA">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承包人报监理人审批施工控制网资料的期限：</w:t>
      </w:r>
      <w:r>
        <w:rPr>
          <w:rFonts w:hint="eastAsia" w:ascii="宋体" w:hAnsi="宋体"/>
          <w:color w:val="auto"/>
          <w:szCs w:val="21"/>
          <w:highlight w:val="none"/>
          <w:u w:val="single"/>
        </w:rPr>
        <w:t>发出开工通知后  天。承包人发现发包人提供的测量基准点、基准线和水准点及其书面资料存在错误或疏漏的，应及时通知监理人并报告发包人，承包人应会同监理人、发包人核实，发包人就如何处理和是否继续施工作出决定，并通过监理人通知承包人</w:t>
      </w:r>
      <w:r>
        <w:rPr>
          <w:rFonts w:hint="eastAsia" w:ascii="宋体" w:hAnsi="宋体"/>
          <w:color w:val="auto"/>
          <w:szCs w:val="21"/>
          <w:highlight w:val="none"/>
        </w:rPr>
        <w:t>。</w:t>
      </w:r>
    </w:p>
    <w:p w14:paraId="7CEE4083">
      <w:pPr>
        <w:pStyle w:val="7"/>
        <w:spacing w:before="0" w:beforeAutospacing="0" w:after="0" w:afterAutospacing="0" w:line="360" w:lineRule="auto"/>
        <w:ind w:firstLine="422" w:firstLineChars="200"/>
        <w:rPr>
          <w:color w:val="auto"/>
          <w:sz w:val="21"/>
          <w:szCs w:val="21"/>
          <w:highlight w:val="none"/>
        </w:rPr>
      </w:pPr>
      <w:bookmarkStart w:id="1397" w:name="_Toc532377357"/>
      <w:bookmarkStart w:id="1398" w:name="_Toc532375621"/>
      <w:r>
        <w:rPr>
          <w:rFonts w:hint="eastAsia"/>
          <w:color w:val="auto"/>
          <w:sz w:val="21"/>
          <w:szCs w:val="21"/>
          <w:highlight w:val="none"/>
        </w:rPr>
        <w:t>7</w:t>
      </w:r>
      <w:bookmarkStart w:id="1399" w:name="_Toc304295546"/>
      <w:bookmarkStart w:id="1400" w:name="_Toc303539125"/>
      <w:bookmarkStart w:id="1401" w:name="_Toc300934968"/>
      <w:bookmarkStart w:id="1402" w:name="_Toc312677484"/>
      <w:bookmarkStart w:id="1403" w:name="_Toc297123516"/>
      <w:bookmarkStart w:id="1404" w:name="_Toc312678010"/>
      <w:bookmarkStart w:id="1405" w:name="_Toc297216175"/>
      <w:r>
        <w:rPr>
          <w:rFonts w:hint="eastAsia"/>
          <w:color w:val="auto"/>
          <w:sz w:val="21"/>
          <w:szCs w:val="21"/>
          <w:highlight w:val="none"/>
        </w:rPr>
        <w:t>.5 工期延误</w:t>
      </w:r>
      <w:bookmarkEnd w:id="1397"/>
      <w:bookmarkEnd w:id="1398"/>
    </w:p>
    <w:bookmarkEnd w:id="1399"/>
    <w:bookmarkEnd w:id="1400"/>
    <w:bookmarkEnd w:id="1401"/>
    <w:bookmarkEnd w:id="1402"/>
    <w:bookmarkEnd w:id="1403"/>
    <w:bookmarkEnd w:id="1404"/>
    <w:bookmarkEnd w:id="1405"/>
    <w:p w14:paraId="620B531A">
      <w:pPr>
        <w:spacing w:line="360" w:lineRule="auto"/>
        <w:ind w:firstLine="420" w:firstLineChars="200"/>
        <w:jc w:val="left"/>
        <w:rPr>
          <w:rFonts w:ascii="宋体" w:hAnsi="宋体"/>
          <w:color w:val="auto"/>
          <w:szCs w:val="21"/>
          <w:highlight w:val="none"/>
        </w:rPr>
      </w:pPr>
      <w:bookmarkStart w:id="1406" w:name="_Hlk528927940"/>
      <w:r>
        <w:rPr>
          <w:rFonts w:hint="eastAsia" w:ascii="宋体" w:hAnsi="宋体"/>
          <w:color w:val="auto"/>
          <w:szCs w:val="21"/>
          <w:highlight w:val="none"/>
        </w:rPr>
        <w:t>7.5.1 因发包人原因导致工期延误：</w:t>
      </w:r>
    </w:p>
    <w:p w14:paraId="74E26BD8">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在合同履行过程中，除通用条款约定外，因下列情况导致工期延误和（或）费用增加的，由发包人承担由此延误的工期和（或）增加的费用：</w:t>
      </w:r>
    </w:p>
    <w:p w14:paraId="02C04AB2">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（1）发包人未能按合同约定提供施工场地，且该未提供开工条件直接影响项目关键线路的；</w:t>
      </w:r>
    </w:p>
    <w:p w14:paraId="4F3BA7CB">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（2）发包人提供的测量基准点、基准线和水准点及其书面资料存在错误或疏漏，且该错误或疏漏直接影响项目关键线路的；</w:t>
      </w:r>
    </w:p>
    <w:p w14:paraId="2844CDB2">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（3）监理人未按合同约定发出指示、批准等文件，且该未按合同约定发出指示、批准直接影响项目关键线路的；</w:t>
      </w:r>
    </w:p>
    <w:p w14:paraId="0C3509B1">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（4）变更未及时审批，直接影响项目关键线路的；</w:t>
      </w:r>
    </w:p>
    <w:p w14:paraId="72D86748">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（5）实施变更直接影响项目关键线路的；</w:t>
      </w:r>
    </w:p>
    <w:p w14:paraId="1B821FDB">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（6）因发包人原因导致工程暂停施工、停建、缓建的；</w:t>
      </w:r>
    </w:p>
    <w:p w14:paraId="694645E2">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（7）因征地拆迁、当地群众阻工等情形的；</w:t>
      </w:r>
    </w:p>
    <w:p w14:paraId="7921A2AE">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（8）</w:t>
      </w:r>
      <w:r>
        <w:rPr>
          <w:rFonts w:hint="eastAsia" w:ascii="宋体" w:hAnsi="宋体"/>
          <w:color w:val="auto"/>
          <w:szCs w:val="21"/>
          <w:highlight w:val="none"/>
          <w:u w:val="single"/>
        </w:rPr>
        <w:t>合同约定的其他情形</w:t>
      </w:r>
      <w:r>
        <w:rPr>
          <w:rFonts w:hint="eastAsia" w:ascii="宋体" w:hAnsi="宋体"/>
          <w:color w:val="auto"/>
          <w:szCs w:val="21"/>
          <w:highlight w:val="none"/>
        </w:rPr>
        <w:t>。</w:t>
      </w:r>
    </w:p>
    <w:p w14:paraId="3535AD6B">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因发包人原因未按计划开工日期开工的，发包人应按实际开工日期顺延竣工日期。因发包人原因导致工期延误需要修订施工进度计划的，按照第7.2.2项〔施工进度计划的修订〕执行</w:t>
      </w:r>
      <w:r>
        <w:rPr>
          <w:rFonts w:hint="eastAsia" w:ascii="宋体" w:hAnsi="宋体"/>
          <w:color w:val="auto"/>
          <w:szCs w:val="21"/>
          <w:highlight w:val="none"/>
        </w:rPr>
        <w:t>。</w:t>
      </w:r>
    </w:p>
    <w:p w14:paraId="20307280">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7.5.2 因承包人原因导致工期延误</w:t>
      </w:r>
    </w:p>
    <w:p w14:paraId="1C18DC11">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因承包人原因造成工期延误，逾期竣工按16.2.2（6）目执行。</w:t>
      </w:r>
    </w:p>
    <w:bookmarkEnd w:id="1406"/>
    <w:p w14:paraId="1C244370">
      <w:pPr>
        <w:pStyle w:val="7"/>
        <w:spacing w:before="0" w:beforeAutospacing="0" w:after="0" w:afterAutospacing="0" w:line="360" w:lineRule="auto"/>
        <w:ind w:firstLine="422" w:firstLineChars="200"/>
        <w:rPr>
          <w:color w:val="auto"/>
          <w:sz w:val="21"/>
          <w:szCs w:val="21"/>
          <w:highlight w:val="none"/>
        </w:rPr>
      </w:pPr>
      <w:bookmarkStart w:id="1407" w:name="_Toc532375622"/>
      <w:bookmarkStart w:id="1408" w:name="_Toc532377358"/>
      <w:bookmarkStart w:id="1409" w:name="_Hlk528927997"/>
      <w:r>
        <w:rPr>
          <w:rFonts w:hint="eastAsia"/>
          <w:color w:val="auto"/>
          <w:sz w:val="21"/>
          <w:szCs w:val="21"/>
          <w:highlight w:val="none"/>
        </w:rPr>
        <w:t>7</w:t>
      </w:r>
      <w:bookmarkStart w:id="1410" w:name="_Toc300934971"/>
      <w:bookmarkStart w:id="1411" w:name="_Toc304295549"/>
      <w:bookmarkStart w:id="1412" w:name="_Toc297216178"/>
      <w:bookmarkStart w:id="1413" w:name="_Toc297123519"/>
      <w:bookmarkStart w:id="1414" w:name="_Toc312678015"/>
      <w:bookmarkStart w:id="1415" w:name="_Toc303539128"/>
      <w:r>
        <w:rPr>
          <w:rFonts w:hint="eastAsia"/>
          <w:color w:val="auto"/>
          <w:sz w:val="21"/>
          <w:szCs w:val="21"/>
          <w:highlight w:val="none"/>
        </w:rPr>
        <w:t>.6 不</w:t>
      </w:r>
      <w:bookmarkEnd w:id="1410"/>
      <w:bookmarkEnd w:id="1411"/>
      <w:bookmarkEnd w:id="1412"/>
      <w:bookmarkEnd w:id="1413"/>
      <w:bookmarkEnd w:id="1414"/>
      <w:bookmarkEnd w:id="1415"/>
      <w:r>
        <w:rPr>
          <w:rFonts w:hint="eastAsia"/>
          <w:color w:val="auto"/>
          <w:sz w:val="21"/>
          <w:szCs w:val="21"/>
          <w:highlight w:val="none"/>
        </w:rPr>
        <w:t>利物质条件</w:t>
      </w:r>
      <w:bookmarkEnd w:id="1407"/>
      <w:bookmarkEnd w:id="1408"/>
    </w:p>
    <w:bookmarkEnd w:id="1409"/>
    <w:p w14:paraId="6963087F">
      <w:pPr>
        <w:spacing w:line="360" w:lineRule="auto"/>
        <w:ind w:firstLine="420" w:firstLineChars="200"/>
        <w:jc w:val="left"/>
        <w:rPr>
          <w:rFonts w:ascii="宋体" w:hAnsi="宋体"/>
          <w:bCs/>
          <w:color w:val="auto"/>
          <w:szCs w:val="21"/>
          <w:highlight w:val="none"/>
        </w:rPr>
      </w:pPr>
      <w:bookmarkStart w:id="1416" w:name="_Toc303539129"/>
      <w:bookmarkStart w:id="1417" w:name="_Toc297216179"/>
      <w:bookmarkStart w:id="1418" w:name="_Toc300934972"/>
      <w:bookmarkStart w:id="1419" w:name="_Toc312678016"/>
      <w:bookmarkStart w:id="1420" w:name="_Toc297123520"/>
      <w:bookmarkStart w:id="1421" w:name="_Toc318581172"/>
      <w:bookmarkStart w:id="1422" w:name="_Toc304295550"/>
      <w:r>
        <w:rPr>
          <w:rFonts w:hint="eastAsia" w:ascii="宋体" w:hAnsi="宋体"/>
          <w:color w:val="auto"/>
          <w:szCs w:val="21"/>
          <w:highlight w:val="none"/>
        </w:rPr>
        <w:t>不利物质条件的其他情形和有关约定：</w:t>
      </w:r>
      <w:bookmarkStart w:id="1423" w:name="_Hlk528910274"/>
      <w:r>
        <w:rPr>
          <w:rFonts w:hint="eastAsia" w:ascii="宋体" w:hAnsi="宋体"/>
          <w:color w:val="auto"/>
          <w:szCs w:val="21"/>
          <w:highlight w:val="none"/>
          <w:u w:val="single"/>
        </w:rPr>
        <w:t xml:space="preserve">  </w:t>
      </w:r>
      <w:r>
        <w:rPr>
          <w:rFonts w:ascii="宋体" w:hAnsi="宋体"/>
          <w:color w:val="auto"/>
          <w:szCs w:val="21"/>
          <w:highlight w:val="none"/>
          <w:u w:val="single"/>
        </w:rPr>
        <w:t>/</w:t>
      </w:r>
      <w:r>
        <w:rPr>
          <w:rFonts w:hint="eastAsia" w:ascii="宋体" w:hAnsi="宋体"/>
          <w:color w:val="auto"/>
          <w:szCs w:val="21"/>
          <w:highlight w:val="none"/>
          <w:u w:val="single"/>
        </w:rPr>
        <w:t xml:space="preserve">  </w:t>
      </w:r>
      <w:r>
        <w:rPr>
          <w:rFonts w:hint="eastAsia" w:ascii="宋体" w:hAnsi="宋体"/>
          <w:color w:val="auto"/>
          <w:szCs w:val="21"/>
          <w:highlight w:val="none"/>
        </w:rPr>
        <w:t>。</w:t>
      </w:r>
    </w:p>
    <w:bookmarkEnd w:id="1416"/>
    <w:bookmarkEnd w:id="1417"/>
    <w:bookmarkEnd w:id="1418"/>
    <w:bookmarkEnd w:id="1419"/>
    <w:bookmarkEnd w:id="1420"/>
    <w:bookmarkEnd w:id="1421"/>
    <w:bookmarkEnd w:id="1422"/>
    <w:bookmarkEnd w:id="1423"/>
    <w:p w14:paraId="64E825C9">
      <w:pPr>
        <w:pStyle w:val="7"/>
        <w:spacing w:before="0" w:beforeAutospacing="0" w:after="0" w:afterAutospacing="0" w:line="360" w:lineRule="auto"/>
        <w:ind w:firstLine="422" w:firstLineChars="200"/>
        <w:rPr>
          <w:color w:val="auto"/>
          <w:sz w:val="21"/>
          <w:szCs w:val="21"/>
          <w:highlight w:val="none"/>
        </w:rPr>
      </w:pPr>
      <w:bookmarkStart w:id="1424" w:name="_Toc532375623"/>
      <w:bookmarkStart w:id="1425" w:name="_Toc532377359"/>
      <w:r>
        <w:rPr>
          <w:rFonts w:hint="eastAsia"/>
          <w:color w:val="auto"/>
          <w:sz w:val="21"/>
          <w:szCs w:val="21"/>
          <w:highlight w:val="none"/>
        </w:rPr>
        <w:t>7</w:t>
      </w:r>
      <w:bookmarkStart w:id="1426" w:name="_Toc312678017"/>
      <w:bookmarkStart w:id="1427" w:name="_Toc303539130"/>
      <w:bookmarkStart w:id="1428" w:name="_Toc300934973"/>
      <w:bookmarkStart w:id="1429" w:name="_Toc297123521"/>
      <w:bookmarkStart w:id="1430" w:name="_Toc297216180"/>
      <w:bookmarkStart w:id="1431" w:name="_Toc304295551"/>
      <w:r>
        <w:rPr>
          <w:rFonts w:hint="eastAsia"/>
          <w:color w:val="auto"/>
          <w:sz w:val="21"/>
          <w:szCs w:val="21"/>
          <w:highlight w:val="none"/>
        </w:rPr>
        <w:t>.7异常恶劣的气候条件</w:t>
      </w:r>
      <w:bookmarkEnd w:id="1424"/>
      <w:bookmarkEnd w:id="1425"/>
    </w:p>
    <w:bookmarkEnd w:id="1426"/>
    <w:bookmarkEnd w:id="1427"/>
    <w:bookmarkEnd w:id="1428"/>
    <w:bookmarkEnd w:id="1429"/>
    <w:bookmarkEnd w:id="1430"/>
    <w:bookmarkEnd w:id="1431"/>
    <w:p w14:paraId="26ACADA4">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发包人和承包人同意以下情形视为异常恶劣的气候条件：</w:t>
      </w:r>
      <w:r>
        <w:rPr>
          <w:rFonts w:hint="eastAsia" w:ascii="宋体"/>
          <w:color w:val="auto"/>
          <w:szCs w:val="21"/>
          <w:highlight w:val="none"/>
          <w:u w:val="single"/>
        </w:rPr>
        <w:t>异常气候是指项目所在地50年以上一遇的罕见气候现象，以政府相关部门发布的信息资料为准。承包人可要求发包人延长工期，但发包人不承担因此而发生的费用索赔</w:t>
      </w:r>
      <w:r>
        <w:rPr>
          <w:rFonts w:hint="eastAsia" w:ascii="宋体" w:hAnsi="宋体"/>
          <w:color w:val="auto"/>
          <w:szCs w:val="21"/>
          <w:highlight w:val="none"/>
        </w:rPr>
        <w:t>。</w:t>
      </w:r>
    </w:p>
    <w:p w14:paraId="6BE7F248">
      <w:pPr>
        <w:pStyle w:val="7"/>
        <w:spacing w:before="0" w:beforeAutospacing="0" w:after="0" w:afterAutospacing="0" w:line="360" w:lineRule="auto"/>
        <w:ind w:firstLine="422" w:firstLineChars="200"/>
        <w:rPr>
          <w:color w:val="auto"/>
          <w:sz w:val="21"/>
          <w:szCs w:val="21"/>
          <w:highlight w:val="none"/>
        </w:rPr>
      </w:pPr>
      <w:bookmarkStart w:id="1432" w:name="_Toc532377360"/>
      <w:bookmarkStart w:id="1433" w:name="_Toc532375624"/>
      <w:r>
        <w:rPr>
          <w:rFonts w:hint="eastAsia"/>
          <w:color w:val="auto"/>
          <w:sz w:val="21"/>
          <w:szCs w:val="21"/>
          <w:highlight w:val="none"/>
        </w:rPr>
        <w:t>7.9 提前竣工</w:t>
      </w:r>
      <w:bookmarkEnd w:id="1432"/>
      <w:bookmarkEnd w:id="1433"/>
    </w:p>
    <w:p w14:paraId="5379D9F5">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7.9.1项细化为：</w:t>
      </w:r>
    </w:p>
    <w:p w14:paraId="66F8A405">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当项目需要提前竣工或项目工期按照第7.5款〔工期延误〕约定顺延后需要提前竣工的，发包人应通过监理人向承包人下达提前竣工指示。承包人同意提前竣工的，应向发包人和监理人提交提前竣工方案，提前竣工方案经监理人和发包人审批后生效。由此增加的费用按照第10.4.1项〔变更估价原则〕约定执行。</w:t>
      </w:r>
    </w:p>
    <w:p w14:paraId="3E983444">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（2）发包人不得随意要求承包人提前竣工，承包人也不得随意提出提前竣工的建议。如遇特殊情况，确需将工期提前的，发包人和承包人必须采取有效措施，确保工程质量。</w:t>
      </w:r>
    </w:p>
    <w:p w14:paraId="343363B9">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（3）如果承包人提前竣工，发包人支付奖金的计算方法在合同条款中约定，时间自竣工验收证书中写明的实际竣工日期起至预定的竣工日期止，按天计算。但奖金最高限额不超过项目7.9.2项的限额。</w:t>
      </w:r>
    </w:p>
    <w:p w14:paraId="3AABEB7D">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7.9.2 提前竣工的奖励：</w:t>
      </w:r>
      <w:r>
        <w:rPr>
          <w:rFonts w:hint="eastAsia" w:ascii="宋体" w:hAnsi="宋体"/>
          <w:color w:val="auto"/>
          <w:szCs w:val="21"/>
          <w:highlight w:val="none"/>
          <w:u w:val="single"/>
        </w:rPr>
        <w:t xml:space="preserve">  不采用 </w:t>
      </w:r>
      <w:r>
        <w:rPr>
          <w:rFonts w:hint="eastAsia" w:ascii="宋体" w:hAnsi="宋体"/>
          <w:color w:val="auto"/>
          <w:szCs w:val="21"/>
          <w:highlight w:val="none"/>
        </w:rPr>
        <w:t>。</w:t>
      </w:r>
    </w:p>
    <w:p w14:paraId="119F2BF6">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1434" w:name="_Toc532375625"/>
      <w:bookmarkStart w:id="1435" w:name="_Toc532377361"/>
      <w:bookmarkStart w:id="1436" w:name="_Toc351203640"/>
      <w:r>
        <w:rPr>
          <w:rFonts w:hint="eastAsia"/>
          <w:color w:val="auto"/>
          <w:kern w:val="2"/>
          <w:sz w:val="21"/>
          <w:szCs w:val="21"/>
          <w:highlight w:val="none"/>
        </w:rPr>
        <w:t>8. 材料与设备</w:t>
      </w:r>
      <w:bookmarkEnd w:id="1434"/>
      <w:bookmarkEnd w:id="1435"/>
      <w:bookmarkEnd w:id="1436"/>
    </w:p>
    <w:p w14:paraId="1FF731CA">
      <w:pPr>
        <w:pStyle w:val="7"/>
        <w:spacing w:before="0" w:beforeAutospacing="0" w:after="0" w:afterAutospacing="0" w:line="360" w:lineRule="auto"/>
        <w:ind w:firstLine="422" w:firstLineChars="200"/>
        <w:rPr>
          <w:color w:val="auto"/>
          <w:sz w:val="21"/>
          <w:szCs w:val="21"/>
          <w:highlight w:val="none"/>
        </w:rPr>
      </w:pPr>
      <w:bookmarkStart w:id="1437" w:name="_Toc532377362"/>
      <w:bookmarkStart w:id="1438" w:name="_Toc532375626"/>
      <w:r>
        <w:rPr>
          <w:rFonts w:hint="eastAsia"/>
          <w:color w:val="auto"/>
          <w:sz w:val="21"/>
          <w:szCs w:val="21"/>
          <w:highlight w:val="none"/>
        </w:rPr>
        <w:t>8.1发包人供应材料与工程设备</w:t>
      </w:r>
      <w:bookmarkEnd w:id="1437"/>
      <w:bookmarkEnd w:id="1438"/>
    </w:p>
    <w:p w14:paraId="406B5D4E">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材料的名称、规格、数量和价格：</w:t>
      </w:r>
      <w:r>
        <w:rPr>
          <w:rFonts w:hint="eastAsia" w:ascii="宋体" w:hAnsi="宋体"/>
          <w:color w:val="auto"/>
          <w:szCs w:val="21"/>
          <w:highlight w:val="none"/>
          <w:u w:val="single"/>
        </w:rPr>
        <w:t>发包人应提供甲供材料的明细表，结算时按经监理人、承包人共同确认的供应数量乘以招标时甲供材料暂定价格，在支付工程款时扣除</w:t>
      </w:r>
      <w:r>
        <w:rPr>
          <w:rFonts w:hint="eastAsia" w:ascii="宋体" w:hAnsi="宋体"/>
          <w:color w:val="auto"/>
          <w:szCs w:val="21"/>
          <w:highlight w:val="none"/>
        </w:rPr>
        <w:t>。</w:t>
      </w:r>
    </w:p>
    <w:p w14:paraId="20F1A5CD">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发包人按约定的内容提供材料设备并对提供的材料设备质量负责，承包人按施工规范和检测规范对一切进场材料进行质量检验，承包人有权退回检验不合格的材料；承包人对投入使用的材料质量负责</w:t>
      </w:r>
      <w:r>
        <w:rPr>
          <w:rFonts w:hint="eastAsia" w:ascii="宋体" w:hAnsi="宋体"/>
          <w:color w:val="auto"/>
          <w:szCs w:val="21"/>
          <w:highlight w:val="none"/>
        </w:rPr>
        <w:t>。</w:t>
      </w:r>
    </w:p>
    <w:p w14:paraId="2A4587C6">
      <w:pPr>
        <w:pStyle w:val="7"/>
        <w:spacing w:before="0" w:beforeAutospacing="0" w:after="0" w:afterAutospacing="0" w:line="360" w:lineRule="auto"/>
        <w:ind w:firstLine="422" w:firstLineChars="200"/>
        <w:rPr>
          <w:color w:val="auto"/>
          <w:sz w:val="21"/>
          <w:szCs w:val="21"/>
          <w:highlight w:val="none"/>
        </w:rPr>
      </w:pPr>
      <w:bookmarkStart w:id="1439" w:name="_Toc532375627"/>
      <w:bookmarkStart w:id="1440" w:name="_Toc532377363"/>
      <w:bookmarkStart w:id="1441" w:name="_Toc351203554"/>
      <w:r>
        <w:rPr>
          <w:rFonts w:hint="eastAsia"/>
          <w:color w:val="auto"/>
          <w:sz w:val="21"/>
          <w:szCs w:val="21"/>
          <w:highlight w:val="none"/>
        </w:rPr>
        <w:t>8</w:t>
      </w:r>
      <w:bookmarkStart w:id="1442" w:name="_Toc296346561"/>
      <w:bookmarkStart w:id="1443" w:name="_Toc337558778"/>
      <w:bookmarkStart w:id="1444" w:name="_Toc296503060"/>
      <w:r>
        <w:rPr>
          <w:rFonts w:hint="eastAsia"/>
          <w:color w:val="auto"/>
          <w:sz w:val="21"/>
          <w:szCs w:val="21"/>
          <w:highlight w:val="none"/>
        </w:rPr>
        <w:t>.2 承包人采购材料与工程设备</w:t>
      </w:r>
      <w:bookmarkEnd w:id="1439"/>
      <w:bookmarkEnd w:id="1440"/>
      <w:bookmarkEnd w:id="1441"/>
    </w:p>
    <w:bookmarkEnd w:id="1442"/>
    <w:bookmarkEnd w:id="1443"/>
    <w:bookmarkEnd w:id="1444"/>
    <w:p w14:paraId="5DDDE2A1">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8.2.1承包人负责采购、运输和保管的材料、工程设备：</w:t>
      </w:r>
      <w:r>
        <w:rPr>
          <w:rFonts w:hint="eastAsia" w:ascii="宋体" w:hAnsi="宋体"/>
          <w:color w:val="auto"/>
          <w:szCs w:val="21"/>
          <w:highlight w:val="none"/>
          <w:u w:val="single"/>
        </w:rPr>
        <w:t>由承包人自行采购。承包人采购材料设备必须经监理人和发包人批准，结算时由监理人和发包人按招标文件规定审核的数量和合同约定</w:t>
      </w:r>
      <w:r>
        <w:rPr>
          <w:rFonts w:ascii="宋体" w:hAnsi="宋体"/>
          <w:color w:val="auto"/>
          <w:szCs w:val="21"/>
          <w:highlight w:val="none"/>
          <w:u w:val="single"/>
        </w:rPr>
        <w:t>价格</w:t>
      </w:r>
      <w:r>
        <w:rPr>
          <w:rFonts w:hint="eastAsia" w:ascii="宋体" w:hAnsi="宋体"/>
          <w:color w:val="auto"/>
          <w:szCs w:val="21"/>
          <w:highlight w:val="none"/>
          <w:u w:val="single"/>
        </w:rPr>
        <w:t>计算</w:t>
      </w:r>
      <w:r>
        <w:rPr>
          <w:rFonts w:hint="eastAsia" w:ascii="宋体" w:hAnsi="宋体"/>
          <w:color w:val="auto"/>
          <w:szCs w:val="21"/>
          <w:highlight w:val="none"/>
        </w:rPr>
        <w:t>。</w:t>
      </w:r>
    </w:p>
    <w:p w14:paraId="12A5AF22">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8.2.2承包人报送监理人审批的时间：</w:t>
      </w:r>
      <w:r>
        <w:rPr>
          <w:rFonts w:hint="eastAsia" w:ascii="宋体" w:hAnsi="宋体"/>
          <w:color w:val="auto"/>
          <w:szCs w:val="21"/>
          <w:highlight w:val="none"/>
          <w:u w:val="single"/>
        </w:rPr>
        <w:t>按发包人及监理单位的相关规定执行</w:t>
      </w:r>
      <w:r>
        <w:rPr>
          <w:rFonts w:hint="eastAsia" w:ascii="宋体" w:hAnsi="宋体"/>
          <w:color w:val="auto"/>
          <w:szCs w:val="21"/>
          <w:highlight w:val="none"/>
        </w:rPr>
        <w:t>。</w:t>
      </w:r>
    </w:p>
    <w:p w14:paraId="20308ADF">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8.2.3承包人选择的生产厂家或供应商满足下列条件：</w:t>
      </w:r>
    </w:p>
    <w:p w14:paraId="53ABA4AD">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A.承包人选择的混凝土供应商应满足下列条件：</w:t>
      </w:r>
      <w:r>
        <w:rPr>
          <w:rFonts w:hint="eastAsia" w:ascii="宋体"/>
          <w:color w:val="auto"/>
          <w:szCs w:val="21"/>
          <w:highlight w:val="none"/>
          <w:u w:val="single"/>
        </w:rPr>
        <w:t>以招标人核定为准</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14:paraId="59BFAA94">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B.承包人选择的钢材供应商应满足下列条件：</w:t>
      </w:r>
      <w:r>
        <w:rPr>
          <w:rFonts w:hint="eastAsia" w:ascii="宋体"/>
          <w:color w:val="auto"/>
          <w:szCs w:val="21"/>
          <w:highlight w:val="none"/>
          <w:u w:val="single"/>
        </w:rPr>
        <w:t>以招标人核定为准</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14:paraId="49045280">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C.承包人选择的水泥供应商应满足下列条件：</w:t>
      </w:r>
      <w:r>
        <w:rPr>
          <w:rFonts w:hint="eastAsia" w:ascii="宋体"/>
          <w:color w:val="auto"/>
          <w:szCs w:val="21"/>
          <w:highlight w:val="none"/>
          <w:u w:val="single"/>
        </w:rPr>
        <w:t>以招标人核定为准</w:t>
      </w:r>
      <w:r>
        <w:rPr>
          <w:rFonts w:hint="eastAsia" w:ascii="宋体" w:hAnsi="宋体"/>
          <w:color w:val="auto"/>
          <w:szCs w:val="21"/>
          <w:highlight w:val="none"/>
        </w:rPr>
        <w:t>；</w:t>
      </w:r>
    </w:p>
    <w:p w14:paraId="46520C1A">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D.承包人采购的材料与设计或标准要求不符时，承包人应按发包人和监理人要求的时间运出施工场地，并重新采购符合要求的产品，并承担由此发生的费用，因此延误的工期不予顺延。</w:t>
      </w:r>
    </w:p>
    <w:p w14:paraId="44C02EDF">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E.承包人采购的材料在使用前，应按发包人和监理人的要求进行检验或试验，不合格的不得使用。</w:t>
      </w:r>
    </w:p>
    <w:p w14:paraId="4294689B">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F.</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14:paraId="15A996AB">
      <w:pPr>
        <w:pStyle w:val="7"/>
        <w:spacing w:before="0" w:beforeAutospacing="0" w:after="0" w:afterAutospacing="0" w:line="360" w:lineRule="auto"/>
        <w:ind w:firstLine="422" w:firstLineChars="200"/>
        <w:rPr>
          <w:color w:val="auto"/>
          <w:sz w:val="21"/>
          <w:szCs w:val="21"/>
          <w:highlight w:val="none"/>
        </w:rPr>
      </w:pPr>
      <w:bookmarkStart w:id="1445" w:name="_Toc532377364"/>
      <w:bookmarkStart w:id="1446" w:name="_Toc532375628"/>
      <w:r>
        <w:rPr>
          <w:rFonts w:hint="eastAsia"/>
          <w:color w:val="auto"/>
          <w:sz w:val="21"/>
          <w:szCs w:val="21"/>
          <w:highlight w:val="none"/>
        </w:rPr>
        <w:t>8</w:t>
      </w:r>
      <w:bookmarkStart w:id="1447" w:name="_Toc300934979"/>
      <w:bookmarkStart w:id="1448" w:name="_Toc296944506"/>
      <w:bookmarkStart w:id="1449" w:name="_Toc296891207"/>
      <w:bookmarkStart w:id="1450" w:name="_Toc296346668"/>
      <w:bookmarkStart w:id="1451" w:name="_Toc312678019"/>
      <w:bookmarkStart w:id="1452" w:name="_Toc304295556"/>
      <w:bookmarkStart w:id="1453" w:name="_Toc303539136"/>
      <w:bookmarkStart w:id="1454" w:name="_Toc280868654"/>
      <w:bookmarkStart w:id="1455" w:name="_Toc297216186"/>
      <w:bookmarkStart w:id="1456" w:name="_Toc297120467"/>
      <w:bookmarkStart w:id="1457" w:name="_Toc296347166"/>
      <w:bookmarkStart w:id="1458" w:name="_Toc292559372"/>
      <w:bookmarkStart w:id="1459" w:name="_Toc296890995"/>
      <w:bookmarkStart w:id="1460" w:name="_Toc312677493"/>
      <w:bookmarkStart w:id="1461" w:name="_Toc297048353"/>
      <w:bookmarkStart w:id="1462" w:name="_Toc297123527"/>
      <w:bookmarkStart w:id="1463" w:name="_Toc296503167"/>
      <w:bookmarkStart w:id="1464" w:name="_Toc292559877"/>
      <w:bookmarkStart w:id="1465" w:name="_Toc280868656"/>
      <w:bookmarkStart w:id="1466" w:name="_Toc267251424"/>
      <w:bookmarkStart w:id="1467" w:name="_Toc280868655"/>
      <w:r>
        <w:rPr>
          <w:rFonts w:hint="eastAsia"/>
          <w:color w:val="auto"/>
          <w:sz w:val="21"/>
          <w:szCs w:val="21"/>
          <w:highlight w:val="none"/>
        </w:rPr>
        <w:t>.4 材料与工程设备的保管与使用</w:t>
      </w:r>
      <w:bookmarkEnd w:id="1445"/>
      <w:bookmarkEnd w:id="1446"/>
    </w:p>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p w14:paraId="5BBBF2A4">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8</w:t>
      </w:r>
      <w:bookmarkStart w:id="1468" w:name="_Toc292559878"/>
      <w:bookmarkStart w:id="1469" w:name="_Toc292559373"/>
      <w:bookmarkStart w:id="1470" w:name="_Toc296891208"/>
      <w:bookmarkStart w:id="1471" w:name="_Toc296944507"/>
      <w:bookmarkStart w:id="1472" w:name="_Toc312678020"/>
      <w:bookmarkStart w:id="1473" w:name="_Toc297123528"/>
      <w:bookmarkStart w:id="1474" w:name="_Toc297048354"/>
      <w:bookmarkStart w:id="1475" w:name="_Toc312677494"/>
      <w:bookmarkStart w:id="1476" w:name="_Toc296503168"/>
      <w:bookmarkStart w:id="1477" w:name="_Toc296346669"/>
      <w:bookmarkStart w:id="1478" w:name="_Toc296890996"/>
      <w:bookmarkStart w:id="1479" w:name="_Toc318581173"/>
      <w:bookmarkStart w:id="1480" w:name="_Toc300934980"/>
      <w:bookmarkStart w:id="1481" w:name="_Toc304295557"/>
      <w:bookmarkStart w:id="1482" w:name="_Toc303539137"/>
      <w:bookmarkStart w:id="1483" w:name="_Toc296347167"/>
      <w:bookmarkStart w:id="1484" w:name="_Toc297216187"/>
      <w:bookmarkStart w:id="1485" w:name="_Toc297120468"/>
      <w:r>
        <w:rPr>
          <w:rFonts w:hint="eastAsia" w:ascii="宋体" w:hAnsi="宋体"/>
          <w:color w:val="auto"/>
          <w:szCs w:val="21"/>
          <w:highlight w:val="none"/>
        </w:rPr>
        <w:t>.4.1 发包人供应的材料设备的保管费用的承担：</w:t>
      </w:r>
      <w:r>
        <w:rPr>
          <w:rFonts w:hint="eastAsia" w:ascii="宋体" w:hAnsi="宋体"/>
          <w:color w:val="auto"/>
          <w:szCs w:val="21"/>
          <w:highlight w:val="none"/>
          <w:u w:val="single"/>
        </w:rPr>
        <w:t xml:space="preserve"> 由承包人承担  </w:t>
      </w:r>
      <w:r>
        <w:rPr>
          <w:rFonts w:hint="eastAsia" w:ascii="宋体" w:hAnsi="宋体"/>
          <w:color w:val="auto"/>
          <w:szCs w:val="21"/>
          <w:highlight w:val="none"/>
        </w:rPr>
        <w:t>。</w:t>
      </w:r>
      <w:bookmarkEnd w:id="1468"/>
      <w:bookmarkEnd w:id="1469"/>
    </w:p>
    <w:p w14:paraId="6D5E9A04">
      <w:pPr>
        <w:pStyle w:val="7"/>
        <w:spacing w:before="0" w:beforeAutospacing="0" w:after="0" w:afterAutospacing="0" w:line="360" w:lineRule="auto"/>
        <w:ind w:firstLine="422" w:firstLineChars="200"/>
        <w:rPr>
          <w:color w:val="auto"/>
          <w:sz w:val="21"/>
          <w:szCs w:val="21"/>
          <w:highlight w:val="none"/>
        </w:rPr>
      </w:pPr>
      <w:bookmarkStart w:id="1486" w:name="_Toc532377365"/>
      <w:bookmarkStart w:id="1487" w:name="_Toc532375629"/>
      <w:r>
        <w:rPr>
          <w:rFonts w:hint="eastAsia"/>
          <w:color w:val="auto"/>
          <w:sz w:val="21"/>
          <w:szCs w:val="21"/>
          <w:highlight w:val="none"/>
        </w:rPr>
        <w:t>8.6 样品</w:t>
      </w:r>
      <w:bookmarkEnd w:id="1486"/>
      <w:bookmarkEnd w:id="1487"/>
    </w:p>
    <w:p w14:paraId="2A1BA9D2">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8.6.1 样品的报送与封存</w:t>
      </w:r>
    </w:p>
    <w:p w14:paraId="46474F80">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需要承包人报送样品的材料或工程设备，样品的种类、名称、规格、数量要求：</w:t>
      </w:r>
      <w:r>
        <w:rPr>
          <w:rFonts w:hint="eastAsia" w:ascii="宋体"/>
          <w:color w:val="auto"/>
          <w:szCs w:val="21"/>
          <w:highlight w:val="none"/>
          <w:u w:val="single"/>
        </w:rPr>
        <w:t>按相关规定执行</w:t>
      </w:r>
      <w:r>
        <w:rPr>
          <w:rFonts w:hint="eastAsia" w:ascii="宋体" w:hAnsi="宋体"/>
          <w:color w:val="auto"/>
          <w:szCs w:val="21"/>
          <w:highlight w:val="none"/>
        </w:rPr>
        <w:t>。</w:t>
      </w:r>
    </w:p>
    <w:p w14:paraId="78A4270F">
      <w:pPr>
        <w:pStyle w:val="7"/>
        <w:spacing w:before="0" w:beforeAutospacing="0" w:after="0" w:afterAutospacing="0" w:line="360" w:lineRule="auto"/>
        <w:ind w:firstLine="422" w:firstLineChars="200"/>
        <w:rPr>
          <w:color w:val="auto"/>
          <w:sz w:val="21"/>
          <w:szCs w:val="21"/>
          <w:highlight w:val="none"/>
        </w:rPr>
      </w:pPr>
      <w:bookmarkStart w:id="1488" w:name="_Toc532377366"/>
      <w:bookmarkStart w:id="1489" w:name="_Toc532375630"/>
      <w:r>
        <w:rPr>
          <w:rFonts w:hint="eastAsia"/>
          <w:color w:val="auto"/>
          <w:sz w:val="21"/>
          <w:szCs w:val="21"/>
          <w:highlight w:val="none"/>
        </w:rPr>
        <w:t>8.8 施工设备和临时设施</w:t>
      </w:r>
      <w:bookmarkEnd w:id="1488"/>
      <w:bookmarkEnd w:id="1489"/>
    </w:p>
    <w:p w14:paraId="6F836CC2">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8.8.1 承包人提供的施工设备和临时设施</w:t>
      </w:r>
    </w:p>
    <w:p w14:paraId="7DB701BB">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关于修建临时设施费用承担的约定：</w:t>
      </w:r>
      <w:r>
        <w:rPr>
          <w:rFonts w:hint="eastAsia" w:ascii="宋体" w:hAnsi="宋体"/>
          <w:color w:val="auto"/>
          <w:szCs w:val="21"/>
          <w:highlight w:val="none"/>
          <w:u w:val="single"/>
        </w:rPr>
        <w:t>由承包人承担</w:t>
      </w:r>
      <w:r>
        <w:rPr>
          <w:rFonts w:hint="eastAsia" w:ascii="宋体" w:hAnsi="宋体"/>
          <w:color w:val="auto"/>
          <w:szCs w:val="21"/>
          <w:highlight w:val="none"/>
        </w:rPr>
        <w:t>。</w:t>
      </w:r>
    </w:p>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p w14:paraId="2DDF8570">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1490" w:name="_Toc532375631"/>
      <w:bookmarkStart w:id="1491" w:name="_Toc532377367"/>
      <w:bookmarkStart w:id="1492" w:name="_Toc351203641"/>
      <w:r>
        <w:rPr>
          <w:rFonts w:hint="eastAsia"/>
          <w:color w:val="auto"/>
          <w:kern w:val="2"/>
          <w:sz w:val="21"/>
          <w:szCs w:val="21"/>
          <w:highlight w:val="none"/>
        </w:rPr>
        <w:t>9</w:t>
      </w:r>
      <w:bookmarkEnd w:id="1465"/>
      <w:bookmarkEnd w:id="1466"/>
      <w:bookmarkEnd w:id="1467"/>
      <w:bookmarkStart w:id="1493" w:name="_Toc312678021"/>
      <w:bookmarkStart w:id="1494" w:name="_Toc312677495"/>
      <w:bookmarkStart w:id="1495" w:name="_Toc304295559"/>
      <w:bookmarkStart w:id="1496" w:name="_Toc297216192"/>
      <w:bookmarkStart w:id="1497" w:name="_Toc300934982"/>
      <w:bookmarkStart w:id="1498" w:name="_Toc297123533"/>
      <w:bookmarkStart w:id="1499" w:name="_Toc303539139"/>
      <w:r>
        <w:rPr>
          <w:rFonts w:hint="eastAsia"/>
          <w:color w:val="auto"/>
          <w:kern w:val="2"/>
          <w:sz w:val="21"/>
          <w:szCs w:val="21"/>
          <w:highlight w:val="none"/>
        </w:rPr>
        <w:t>. 试验与检验</w:t>
      </w:r>
      <w:bookmarkEnd w:id="1490"/>
      <w:bookmarkEnd w:id="1491"/>
      <w:bookmarkEnd w:id="1492"/>
    </w:p>
    <w:bookmarkEnd w:id="1493"/>
    <w:bookmarkEnd w:id="1494"/>
    <w:bookmarkEnd w:id="1495"/>
    <w:bookmarkEnd w:id="1496"/>
    <w:bookmarkEnd w:id="1497"/>
    <w:bookmarkEnd w:id="1498"/>
    <w:bookmarkEnd w:id="1499"/>
    <w:p w14:paraId="44DF9604">
      <w:pPr>
        <w:pStyle w:val="7"/>
        <w:spacing w:before="0" w:beforeAutospacing="0" w:after="0" w:afterAutospacing="0" w:line="360" w:lineRule="auto"/>
        <w:ind w:firstLine="422" w:firstLineChars="200"/>
        <w:rPr>
          <w:color w:val="auto"/>
          <w:sz w:val="21"/>
          <w:szCs w:val="21"/>
          <w:highlight w:val="none"/>
        </w:rPr>
      </w:pPr>
      <w:bookmarkStart w:id="1500" w:name="_Toc532377368"/>
      <w:bookmarkStart w:id="1501" w:name="_Toc532375632"/>
      <w:r>
        <w:rPr>
          <w:rFonts w:hint="eastAsia"/>
          <w:color w:val="auto"/>
          <w:sz w:val="21"/>
          <w:szCs w:val="21"/>
          <w:highlight w:val="none"/>
        </w:rPr>
        <w:t>9</w:t>
      </w:r>
      <w:bookmarkStart w:id="1502" w:name="_Toc312678022"/>
      <w:bookmarkStart w:id="1503" w:name="_Toc312677496"/>
      <w:bookmarkStart w:id="1504" w:name="_Toc300934983"/>
      <w:bookmarkStart w:id="1505" w:name="_Toc297123534"/>
      <w:bookmarkStart w:id="1506" w:name="_Toc297216193"/>
      <w:bookmarkStart w:id="1507" w:name="_Toc303539140"/>
      <w:bookmarkStart w:id="1508" w:name="_Toc304295560"/>
      <w:r>
        <w:rPr>
          <w:rFonts w:hint="eastAsia"/>
          <w:color w:val="auto"/>
          <w:sz w:val="21"/>
          <w:szCs w:val="21"/>
          <w:highlight w:val="none"/>
        </w:rPr>
        <w:t>.1 试验设备与试验人员</w:t>
      </w:r>
      <w:bookmarkEnd w:id="1500"/>
      <w:bookmarkEnd w:id="1501"/>
    </w:p>
    <w:bookmarkEnd w:id="1502"/>
    <w:bookmarkEnd w:id="1503"/>
    <w:bookmarkEnd w:id="1504"/>
    <w:bookmarkEnd w:id="1505"/>
    <w:bookmarkEnd w:id="1506"/>
    <w:bookmarkEnd w:id="1507"/>
    <w:bookmarkEnd w:id="1508"/>
    <w:p w14:paraId="1F2183C3">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9</w:t>
      </w:r>
      <w:bookmarkStart w:id="1509" w:name="_Toc297216194"/>
      <w:bookmarkStart w:id="1510" w:name="_Toc300934984"/>
      <w:bookmarkStart w:id="1511" w:name="_Toc312677497"/>
      <w:bookmarkStart w:id="1512" w:name="_Toc297123535"/>
      <w:bookmarkStart w:id="1513" w:name="_Toc304295561"/>
      <w:bookmarkStart w:id="1514" w:name="_Toc303539141"/>
      <w:bookmarkStart w:id="1515" w:name="_Toc312678023"/>
      <w:bookmarkStart w:id="1516" w:name="_Toc318581174"/>
      <w:r>
        <w:rPr>
          <w:rFonts w:hint="eastAsia" w:ascii="宋体" w:hAnsi="宋体"/>
          <w:color w:val="auto"/>
          <w:szCs w:val="21"/>
          <w:highlight w:val="none"/>
        </w:rPr>
        <w:t>.1.2 试验设备</w:t>
      </w:r>
    </w:p>
    <w:p w14:paraId="369C7A32">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施工现场需要配置的试验场所：</w:t>
      </w:r>
      <w:bookmarkEnd w:id="1509"/>
      <w:bookmarkEnd w:id="1510"/>
      <w:bookmarkEnd w:id="1511"/>
      <w:bookmarkEnd w:id="1512"/>
      <w:bookmarkEnd w:id="1513"/>
      <w:bookmarkEnd w:id="1514"/>
      <w:bookmarkEnd w:id="1515"/>
      <w:bookmarkStart w:id="1517" w:name="_Toc312677498"/>
      <w:bookmarkStart w:id="1518" w:name="_Toc297216195"/>
      <w:bookmarkStart w:id="1519" w:name="_Toc297123536"/>
      <w:bookmarkStart w:id="1520" w:name="_Toc300934985"/>
      <w:bookmarkStart w:id="1521" w:name="_Toc303539142"/>
      <w:bookmarkStart w:id="1522" w:name="_Toc312678024"/>
      <w:bookmarkStart w:id="1523" w:name="_Toc304295562"/>
      <w:r>
        <w:rPr>
          <w:rFonts w:hint="eastAsia" w:ascii="宋体" w:hAnsi="宋体"/>
          <w:color w:val="auto"/>
          <w:szCs w:val="21"/>
          <w:highlight w:val="none"/>
          <w:u w:val="single"/>
        </w:rPr>
        <w:t>满足工程施工的需要</w:t>
      </w:r>
      <w:r>
        <w:rPr>
          <w:rFonts w:hint="eastAsia" w:ascii="宋体" w:hAnsi="宋体"/>
          <w:color w:val="auto"/>
          <w:szCs w:val="21"/>
          <w:highlight w:val="none"/>
        </w:rPr>
        <w:t>。</w:t>
      </w:r>
    </w:p>
    <w:p w14:paraId="030F0912">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施工现场需要配备的试验设备：</w:t>
      </w:r>
      <w:r>
        <w:rPr>
          <w:rFonts w:hint="eastAsia" w:ascii="宋体" w:hAnsi="宋体"/>
          <w:color w:val="auto"/>
          <w:szCs w:val="21"/>
          <w:highlight w:val="none"/>
          <w:u w:val="single"/>
        </w:rPr>
        <w:t>满足工程施工的需要</w:t>
      </w:r>
      <w:r>
        <w:rPr>
          <w:rFonts w:hint="eastAsia" w:ascii="宋体" w:hAnsi="宋体"/>
          <w:color w:val="auto"/>
          <w:szCs w:val="21"/>
          <w:highlight w:val="none"/>
        </w:rPr>
        <w:t>。</w:t>
      </w:r>
    </w:p>
    <w:p w14:paraId="44F2BE82">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施工现场需要具备的其他试验条件：</w:t>
      </w:r>
      <w:r>
        <w:rPr>
          <w:rFonts w:hint="eastAsia" w:ascii="宋体" w:hAnsi="宋体"/>
          <w:color w:val="auto"/>
          <w:szCs w:val="21"/>
          <w:highlight w:val="none"/>
          <w:u w:val="single"/>
        </w:rPr>
        <w:t>满足工程施工的需要</w:t>
      </w:r>
      <w:r>
        <w:rPr>
          <w:rFonts w:hint="eastAsia" w:ascii="宋体" w:hAnsi="宋体"/>
          <w:color w:val="auto"/>
          <w:szCs w:val="21"/>
          <w:highlight w:val="none"/>
        </w:rPr>
        <w:t>。</w:t>
      </w:r>
    </w:p>
    <w:p w14:paraId="1D869678">
      <w:pPr>
        <w:pStyle w:val="7"/>
        <w:spacing w:before="0" w:beforeAutospacing="0" w:after="0" w:afterAutospacing="0" w:line="360" w:lineRule="auto"/>
        <w:ind w:firstLine="422" w:firstLineChars="200"/>
        <w:rPr>
          <w:color w:val="auto"/>
          <w:sz w:val="21"/>
          <w:szCs w:val="21"/>
          <w:highlight w:val="none"/>
        </w:rPr>
      </w:pPr>
      <w:bookmarkStart w:id="1524" w:name="_Toc532377369"/>
      <w:bookmarkStart w:id="1525" w:name="_Toc532375633"/>
      <w:r>
        <w:rPr>
          <w:rFonts w:hint="eastAsia"/>
          <w:color w:val="auto"/>
          <w:sz w:val="21"/>
          <w:szCs w:val="21"/>
          <w:highlight w:val="none"/>
        </w:rPr>
        <w:t>9.4 现场工艺试验</w:t>
      </w:r>
      <w:bookmarkEnd w:id="1524"/>
      <w:bookmarkEnd w:id="1525"/>
    </w:p>
    <w:p w14:paraId="53933157">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本款补充9.4.1～9.4.5项：</w:t>
      </w:r>
    </w:p>
    <w:bookmarkEnd w:id="1516"/>
    <w:bookmarkEnd w:id="1517"/>
    <w:bookmarkEnd w:id="1518"/>
    <w:bookmarkEnd w:id="1519"/>
    <w:bookmarkEnd w:id="1520"/>
    <w:bookmarkEnd w:id="1521"/>
    <w:bookmarkEnd w:id="1522"/>
    <w:bookmarkEnd w:id="1523"/>
    <w:p w14:paraId="082357BA">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9.4.1一般检验试验：</w:t>
      </w:r>
    </w:p>
    <w:p w14:paraId="54FB1C88">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根据《建设工程质量检测管理办法》（建设部令第141号）、关于实施《建设工程质量检测管理办法》有关问题的通知（建质〔2009〕25号）、《重庆市建设工程质量检测管理规定》（渝建发〔2009〕123号）、《关于加强我市建设工程质量检测委托管理的通知》（渝建〔2015〕420号）和有关施工规范、验收标准及施工图的规定或要求，对工程材料、构件、建筑安装物、半成品、成品进行的一般质量鉴定、检测和试验，由发包人委托的第三方检测试验机构实施，所发生的鉴定、检测和试验费用由发包人承担，不包含在合同价格中。</w:t>
      </w:r>
    </w:p>
    <w:p w14:paraId="12E0C6A4">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实施前，由发包人、第三方检测试验机构签订合同，第三方检测试验机构向发包人出具相应的检测试验报告。根据渝建〔2015〕420号文和有关施工规范、验收标准及施工图的规定或要求，所做的上述检测试验所需的试件取样、制作、送检，试件制作需要提供的材料以及检测、试验的配合工作由承包人负责完成并承担由此产生的所有相关费用。</w:t>
      </w:r>
    </w:p>
    <w:p w14:paraId="0912C529">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9.4.2特殊检验试验：</w:t>
      </w:r>
    </w:p>
    <w:p w14:paraId="0FF201E7">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（1）除“施工措施的检测、试验”外，包括但不限于路基弯沉值试验、路面承载力试验、桥梁荷载试验、锚固试验、桩基检测、锚杆抗拔检验、锚索预应力检测、外墙面砖抗粘接试验、室内有害物质检测、门窗 （幕墙）三性检测、石材放射性检测、石膏板阻燃检测、挡土墙抗渗试验、保温层隔热检测等（根据项目实际情况增减）设计施工规范及其他法律法规规范规定的特殊检验试验项目，根据渝建〔2015〕420号文的规定，均由发包人委托相应的第三方检测试验机构进行检测，所发生的特殊检验试验费由发包人承担，不包含在合同价格中。</w:t>
      </w:r>
    </w:p>
    <w:p w14:paraId="44DC9525">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发包人委托的第三方检测试验机构检测试验的试件所需的材料、取样、送检及相关配合工作由承包人负责完成并承担由此产生的所有相关费用。</w:t>
      </w:r>
    </w:p>
    <w:p w14:paraId="6A1BEA34">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（2）施工措施的检测、试验：因施工措施需要而做的相关检测、试验由承包人负责实施，其费用由承包人承担。</w:t>
      </w:r>
    </w:p>
    <w:p w14:paraId="02FBAB32">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9.4.3专项检测：</w:t>
      </w:r>
      <w:r>
        <w:rPr>
          <w:rFonts w:hint="eastAsia" w:ascii="宋体"/>
          <w:color w:val="auto"/>
          <w:szCs w:val="21"/>
          <w:highlight w:val="none"/>
          <w:u w:val="single"/>
        </w:rPr>
        <w:t xml:space="preserve">满足相关规范要求 </w:t>
      </w:r>
      <w:r>
        <w:rPr>
          <w:rFonts w:hint="eastAsia" w:ascii="宋体" w:hAnsi="宋体"/>
          <w:color w:val="auto"/>
          <w:szCs w:val="21"/>
          <w:highlight w:val="none"/>
        </w:rPr>
        <w:t>。</w:t>
      </w:r>
    </w:p>
    <w:p w14:paraId="764D665B">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9.4.4若因承包人取样、制样、送检及相关配合不及时而导致工程的工期和费用增加，影响的工期不予延长，增加费用由承包人承担。</w:t>
      </w:r>
    </w:p>
    <w:p w14:paraId="10D81907">
      <w:pPr>
        <w:tabs>
          <w:tab w:val="left" w:pos="711"/>
          <w:tab w:val="left" w:pos="2580"/>
        </w:tabs>
        <w:spacing w:line="360" w:lineRule="auto"/>
        <w:ind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rPr>
        <w:t>9.4.5检测试验不合格的项目，其缺陷处理和复测费用由承包人承担，工期不予延长。</w:t>
      </w:r>
    </w:p>
    <w:bookmarkEnd w:id="1362"/>
    <w:bookmarkEnd w:id="1363"/>
    <w:bookmarkEnd w:id="1364"/>
    <w:bookmarkEnd w:id="1365"/>
    <w:bookmarkEnd w:id="1366"/>
    <w:bookmarkEnd w:id="1367"/>
    <w:bookmarkEnd w:id="1368"/>
    <w:bookmarkEnd w:id="1369"/>
    <w:bookmarkEnd w:id="1370"/>
    <w:bookmarkEnd w:id="1371"/>
    <w:bookmarkEnd w:id="1372"/>
    <w:bookmarkEnd w:id="1373"/>
    <w:bookmarkEnd w:id="1374"/>
    <w:p w14:paraId="3C44E7CB">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1526" w:name="_Toc532377370"/>
      <w:bookmarkStart w:id="1527" w:name="_Toc532375634"/>
      <w:bookmarkStart w:id="1528" w:name="_Toc267251490"/>
      <w:bookmarkStart w:id="1529" w:name="_Toc267251484"/>
      <w:bookmarkStart w:id="1530" w:name="_Toc267251488"/>
      <w:bookmarkStart w:id="1531" w:name="_Toc267251486"/>
      <w:bookmarkStart w:id="1532" w:name="_Hlk524298112"/>
      <w:bookmarkStart w:id="1533" w:name="_Toc267251482"/>
      <w:bookmarkStart w:id="1534" w:name="_Toc267251485"/>
      <w:bookmarkStart w:id="1535" w:name="_Toc267251489"/>
      <w:bookmarkStart w:id="1536" w:name="_Toc267251504"/>
      <w:bookmarkStart w:id="1537" w:name="_Toc267251513"/>
      <w:bookmarkStart w:id="1538" w:name="_Toc267251507"/>
      <w:bookmarkStart w:id="1539" w:name="_Toc267251515"/>
      <w:bookmarkStart w:id="1540" w:name="_Toc267251510"/>
      <w:bookmarkStart w:id="1541" w:name="_Toc267251493"/>
      <w:bookmarkStart w:id="1542" w:name="_Toc267251497"/>
      <w:bookmarkStart w:id="1543" w:name="_Toc267251509"/>
      <w:bookmarkStart w:id="1544" w:name="_Toc267251506"/>
      <w:bookmarkStart w:id="1545" w:name="_Toc267251495"/>
      <w:bookmarkStart w:id="1546" w:name="_Toc267251496"/>
      <w:bookmarkStart w:id="1547" w:name="_Toc267251508"/>
      <w:bookmarkStart w:id="1548" w:name="_Toc267251501"/>
      <w:bookmarkStart w:id="1549" w:name="_Toc267251491"/>
      <w:bookmarkStart w:id="1550" w:name="_Toc267251499"/>
      <w:bookmarkStart w:id="1551" w:name="_Toc267251502"/>
      <w:bookmarkStart w:id="1552" w:name="_Toc267251514"/>
      <w:bookmarkStart w:id="1553" w:name="_Toc267251511"/>
      <w:bookmarkStart w:id="1554" w:name="_Toc267251494"/>
      <w:bookmarkStart w:id="1555" w:name="_Toc267251492"/>
      <w:bookmarkStart w:id="1556" w:name="_Toc267251503"/>
      <w:bookmarkStart w:id="1557" w:name="_Toc267251498"/>
      <w:r>
        <w:rPr>
          <w:rFonts w:hint="eastAsia"/>
          <w:color w:val="auto"/>
          <w:kern w:val="2"/>
          <w:sz w:val="21"/>
          <w:szCs w:val="21"/>
          <w:highlight w:val="none"/>
        </w:rPr>
        <w:t>1</w:t>
      </w:r>
      <w:bookmarkStart w:id="1558" w:name="_Toc297120493"/>
      <w:bookmarkStart w:id="1559" w:name="_Toc300934989"/>
      <w:bookmarkStart w:id="1560" w:name="_Toc296503193"/>
      <w:bookmarkStart w:id="1561" w:name="_Toc296891021"/>
      <w:bookmarkStart w:id="1562" w:name="_Toc292559903"/>
      <w:bookmarkStart w:id="1563" w:name="_Toc296944532"/>
      <w:bookmarkStart w:id="1564" w:name="_Toc297216199"/>
      <w:bookmarkStart w:id="1565" w:name="_Toc296346694"/>
      <w:bookmarkStart w:id="1566" w:name="_Toc304295566"/>
      <w:bookmarkStart w:id="1567" w:name="_Toc292559398"/>
      <w:bookmarkStart w:id="1568" w:name="_Toc296891233"/>
      <w:bookmarkStart w:id="1569" w:name="_Toc296347192"/>
      <w:bookmarkStart w:id="1570" w:name="_Toc297048379"/>
      <w:bookmarkStart w:id="1571" w:name="_Toc303539146"/>
      <w:bookmarkStart w:id="1572" w:name="_Toc297123540"/>
      <w:bookmarkStart w:id="1573" w:name="_Toc312677499"/>
      <w:bookmarkStart w:id="1574" w:name="_Toc312678025"/>
      <w:bookmarkStart w:id="1575" w:name="_Toc267251433"/>
      <w:bookmarkStart w:id="1576" w:name="_Toc267251439"/>
      <w:bookmarkStart w:id="1577" w:name="_Toc267251441"/>
      <w:bookmarkStart w:id="1578" w:name="_Toc267251440"/>
      <w:bookmarkStart w:id="1579" w:name="_Toc267251437"/>
      <w:bookmarkStart w:id="1580" w:name="_Toc267251435"/>
      <w:r>
        <w:rPr>
          <w:rFonts w:hint="eastAsia"/>
          <w:color w:val="auto"/>
          <w:kern w:val="2"/>
          <w:sz w:val="21"/>
          <w:szCs w:val="21"/>
          <w:highlight w:val="none"/>
        </w:rPr>
        <w:t>0. 变更</w:t>
      </w:r>
      <w:bookmarkEnd w:id="1526"/>
      <w:bookmarkEnd w:id="152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p>
    <w:bookmarkEnd w:id="1573"/>
    <w:bookmarkEnd w:id="1574"/>
    <w:p w14:paraId="4CE77060">
      <w:pPr>
        <w:pStyle w:val="7"/>
        <w:spacing w:before="0" w:beforeAutospacing="0" w:after="0" w:afterAutospacing="0" w:line="360" w:lineRule="auto"/>
        <w:ind w:firstLine="422" w:firstLineChars="200"/>
        <w:rPr>
          <w:color w:val="auto"/>
          <w:sz w:val="21"/>
          <w:szCs w:val="21"/>
          <w:highlight w:val="none"/>
        </w:rPr>
      </w:pPr>
      <w:bookmarkStart w:id="1581" w:name="_Toc532375635"/>
      <w:bookmarkStart w:id="1582" w:name="_Toc532377371"/>
      <w:r>
        <w:rPr>
          <w:rFonts w:hint="eastAsia"/>
          <w:color w:val="auto"/>
          <w:sz w:val="21"/>
          <w:szCs w:val="21"/>
          <w:highlight w:val="none"/>
        </w:rPr>
        <w:t>1</w:t>
      </w:r>
      <w:bookmarkStart w:id="1583" w:name="_Toc312677500"/>
      <w:bookmarkStart w:id="1584" w:name="_Toc292559904"/>
      <w:bookmarkStart w:id="1585" w:name="_Toc300934990"/>
      <w:bookmarkStart w:id="1586" w:name="_Toc296346695"/>
      <w:bookmarkStart w:id="1587" w:name="_Toc297123541"/>
      <w:bookmarkStart w:id="1588" w:name="_Toc312678026"/>
      <w:bookmarkStart w:id="1589" w:name="_Toc297048380"/>
      <w:bookmarkStart w:id="1590" w:name="_Toc304295567"/>
      <w:bookmarkStart w:id="1591" w:name="_Toc296503194"/>
      <w:bookmarkStart w:id="1592" w:name="_Toc296891234"/>
      <w:bookmarkStart w:id="1593" w:name="_Toc297120494"/>
      <w:bookmarkStart w:id="1594" w:name="_Toc303539147"/>
      <w:bookmarkStart w:id="1595" w:name="_Toc296944533"/>
      <w:bookmarkStart w:id="1596" w:name="_Toc292559399"/>
      <w:bookmarkStart w:id="1597" w:name="_Toc296347193"/>
      <w:bookmarkStart w:id="1598" w:name="_Toc297216200"/>
      <w:bookmarkStart w:id="1599" w:name="_Toc296891022"/>
      <w:r>
        <w:rPr>
          <w:rFonts w:hint="eastAsia"/>
          <w:color w:val="auto"/>
          <w:sz w:val="21"/>
          <w:szCs w:val="21"/>
          <w:highlight w:val="none"/>
        </w:rPr>
        <w:t>0.1变更的范围</w:t>
      </w:r>
      <w:bookmarkEnd w:id="1581"/>
      <w:bookmarkEnd w:id="1582"/>
    </w:p>
    <w:p w14:paraId="4552DD43">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关于变更范围的约定：</w:t>
      </w:r>
    </w:p>
    <w:p w14:paraId="1DA8410B">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（1）增加或减少合同中任何工作，或追加额外的工作；</w:t>
      </w:r>
    </w:p>
    <w:p w14:paraId="72099048">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（2）取消合同中任何工作；</w:t>
      </w:r>
    </w:p>
    <w:p w14:paraId="379DAADB">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（3）改变合同中任何工作的质量标准或其他特性；</w:t>
      </w:r>
    </w:p>
    <w:p w14:paraId="31E9DFB6">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（4）改变工程的基线、标高、位置和尺寸；</w:t>
      </w:r>
    </w:p>
    <w:p w14:paraId="0E3BB75C">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（5）适用于工程的标准和（或）规范变化导致需要对工程进行改变，且该改变导致工期和（或）费用变化的；</w:t>
      </w:r>
    </w:p>
    <w:p w14:paraId="596716EA">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（6）勘察设计变更；</w:t>
      </w:r>
    </w:p>
    <w:p w14:paraId="0BD262DC">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（7）实施内容变更，包括因设计变更和非设计变更引起的实施地点、投资规模、结构型式、采购数量、服务内容等进行的调整，以及因此导致的合同价格、工期变更；</w:t>
      </w:r>
    </w:p>
    <w:p w14:paraId="1F11997F">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（8）项目管理人员变更；</w:t>
      </w:r>
    </w:p>
    <w:p w14:paraId="56ED2968">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（9）因人工、原材料等价格变化导致的合同总价变更；</w:t>
      </w:r>
    </w:p>
    <w:p w14:paraId="45EF158F">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（10）非实施内容变化导致的工期变更；</w:t>
      </w:r>
    </w:p>
    <w:p w14:paraId="3D5E3A15">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14:paraId="567D85D2">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合同变更应当符合国家法律法规、强制标准和技术规范的要求，且合同变更后更加有利于工程的建设、运营、安全、节约资金、保护生态环境或者实现功能要求。发包人对项目合同变更承担主体责任。项目合同变更后，发包人应当与承包人签订补充协议。项目合同变更应当按照《重庆市政府投资项目合同变更管理暂行办法》要求进行信息公开。项目合同变更未获得通过的，发包人和承包人均不得擅自变更原合同约定事项，且不得就同一理由同一事项再提出变更。</w:t>
      </w:r>
    </w:p>
    <w:p w14:paraId="7E902D4A">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承包人对其提供的材料、工程设备、施工、无负荷试车、热负荷试车及图纸参数存在的缺陷，自费修正、调整和完善，不属于变更。</w:t>
      </w:r>
    </w:p>
    <w:p w14:paraId="48153EF8">
      <w:pPr>
        <w:pStyle w:val="7"/>
        <w:spacing w:before="0" w:beforeAutospacing="0" w:after="0" w:afterAutospacing="0" w:line="360" w:lineRule="auto"/>
        <w:ind w:firstLine="422" w:firstLineChars="200"/>
        <w:rPr>
          <w:color w:val="auto"/>
          <w:sz w:val="21"/>
          <w:szCs w:val="21"/>
          <w:highlight w:val="none"/>
        </w:rPr>
      </w:pPr>
      <w:bookmarkStart w:id="1600" w:name="_Toc351203569"/>
      <w:bookmarkStart w:id="1601" w:name="_Toc532375636"/>
      <w:bookmarkStart w:id="1602" w:name="_Toc532377372"/>
      <w:r>
        <w:rPr>
          <w:rFonts w:hint="eastAsia"/>
          <w:color w:val="auto"/>
          <w:sz w:val="21"/>
          <w:szCs w:val="21"/>
          <w:highlight w:val="none"/>
        </w:rPr>
        <w:t>1</w:t>
      </w:r>
      <w:bookmarkStart w:id="1603" w:name="_Toc337558789"/>
      <w:bookmarkStart w:id="1604" w:name="_Toc296503085"/>
      <w:bookmarkStart w:id="1605" w:name="_Toc296346586"/>
      <w:r>
        <w:rPr>
          <w:rFonts w:hint="eastAsia"/>
          <w:color w:val="auto"/>
          <w:sz w:val="21"/>
          <w:szCs w:val="21"/>
          <w:highlight w:val="none"/>
        </w:rPr>
        <w:t>0.2变更权</w:t>
      </w:r>
      <w:bookmarkEnd w:id="1600"/>
      <w:bookmarkEnd w:id="1601"/>
      <w:bookmarkEnd w:id="1602"/>
    </w:p>
    <w:bookmarkEnd w:id="1603"/>
    <w:bookmarkEnd w:id="1604"/>
    <w:bookmarkEnd w:id="1605"/>
    <w:p w14:paraId="01812DA2">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10.2.1发包人和监理人提出变更</w:t>
      </w:r>
    </w:p>
    <w:p w14:paraId="6DE17FC7">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发包人和监理人均可以提出变更。变更指示均通过监理人以书面形式发出，监理人发出变更指示前应征得发包人同意。承包人收到经发包人签认的变更指示后，方可实施变更。未取得经发包人签认的变更指示，承包人不得实施任何变更。</w:t>
      </w:r>
    </w:p>
    <w:p w14:paraId="4E317510">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涉及设计变更的，应由设计人提供变更后的图纸和说明，交由发包人同意后由监理人以书面形式发出。如变更超过原设计标准或批准的建设规模时，由发包人及时办理规划、设计变更等审批手续。</w:t>
      </w:r>
    </w:p>
    <w:p w14:paraId="34254BFD">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若出现重大设计变更，变更后的内容超出承包人资质或能力范围的，发包人将另行依法招标选择承包单位，无需征得承包人同意。</w:t>
      </w:r>
    </w:p>
    <w:p w14:paraId="293F383E">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10.2.2 承包人提出变更建议</w:t>
      </w:r>
    </w:p>
    <w:p w14:paraId="7A7D5601">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可以向发包人提交书面变更建议，应当以承包人单位名义书面向发包人提出申请，详细说明变更的内容、理由，以及该变更对项目的工期、投资、质量、安全、运营管理、生态环境等的影响，客观反映项目合同变更的必要性和可行性，包括：</w:t>
      </w:r>
      <w:r>
        <w:rPr>
          <w:rFonts w:hint="eastAsia" w:ascii="宋体" w:hAnsi="宋体"/>
          <w:color w:val="auto"/>
          <w:szCs w:val="21"/>
          <w:highlight w:val="none"/>
          <w:u w:val="single"/>
        </w:rPr>
        <w:t>缩短工期，降低发包人的工程、施工、维护、营运的费用，提高竣工工程的效率或价值，给发包人带来的长远利益和其他利益。发包人接到此类建议后，可以选择：不采纳/采纳/补充进一步资料的书面通知</w:t>
      </w:r>
      <w:r>
        <w:rPr>
          <w:rFonts w:hint="eastAsia" w:ascii="宋体" w:hAnsi="宋体"/>
          <w:color w:val="auto"/>
          <w:szCs w:val="21"/>
          <w:highlight w:val="none"/>
        </w:rPr>
        <w:t>。</w:t>
      </w:r>
    </w:p>
    <w:p w14:paraId="5DD17594">
      <w:pPr>
        <w:autoSpaceDE w:val="0"/>
        <w:autoSpaceDN w:val="0"/>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如果发包人对承包人已实施的施工项目在发出重大设计变更之前要求承包人提出一份建议，那么，承包人应尽快提出：</w:t>
      </w:r>
    </w:p>
    <w:p w14:paraId="2D4CDE66">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（1）对所提方案和（或）待做工作及其实施计划的说明</w:t>
      </w:r>
      <w:r>
        <w:rPr>
          <w:rFonts w:hint="eastAsia" w:ascii="宋体" w:hAnsi="宋体"/>
          <w:color w:val="auto"/>
          <w:szCs w:val="21"/>
          <w:highlight w:val="none"/>
        </w:rPr>
        <w:t>；</w:t>
      </w:r>
    </w:p>
    <w:p w14:paraId="18599983">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（2）承包人按照对工程进度计划进行必要修改的建议</w:t>
      </w:r>
      <w:r>
        <w:rPr>
          <w:rFonts w:hint="eastAsia" w:ascii="宋体" w:hAnsi="宋体"/>
          <w:color w:val="auto"/>
          <w:szCs w:val="21"/>
          <w:highlight w:val="none"/>
        </w:rPr>
        <w:t>；</w:t>
      </w:r>
    </w:p>
    <w:p w14:paraId="73B780D7">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（3）承包人发生较大返工损失增加费用的建议</w:t>
      </w:r>
      <w:r>
        <w:rPr>
          <w:rFonts w:hint="eastAsia" w:ascii="宋体" w:hAnsi="宋体"/>
          <w:color w:val="auto"/>
          <w:szCs w:val="21"/>
          <w:highlight w:val="none"/>
        </w:rPr>
        <w:t>。</w:t>
      </w:r>
    </w:p>
    <w:p w14:paraId="33F2D317">
      <w:pPr>
        <w:autoSpaceDE w:val="0"/>
        <w:autoSpaceDN w:val="0"/>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发包人在收到上述建议书后，应尽快给予批准、否决或提出意见</w:t>
      </w:r>
      <w:r>
        <w:rPr>
          <w:rFonts w:hint="eastAsia" w:ascii="宋体" w:hAnsi="宋体"/>
          <w:color w:val="auto"/>
          <w:szCs w:val="21"/>
          <w:highlight w:val="none"/>
        </w:rPr>
        <w:t>。</w:t>
      </w:r>
    </w:p>
    <w:p w14:paraId="00A4FE31">
      <w:pPr>
        <w:pStyle w:val="7"/>
        <w:spacing w:before="0" w:beforeAutospacing="0" w:after="0" w:afterAutospacing="0" w:line="360" w:lineRule="auto"/>
        <w:ind w:firstLine="422" w:firstLineChars="200"/>
        <w:rPr>
          <w:color w:val="auto"/>
          <w:sz w:val="21"/>
          <w:szCs w:val="21"/>
          <w:highlight w:val="none"/>
        </w:rPr>
      </w:pPr>
      <w:bookmarkStart w:id="1606" w:name="_Toc532377373"/>
      <w:bookmarkStart w:id="1607" w:name="_Toc532375637"/>
      <w:bookmarkStart w:id="1608" w:name="_Toc351203570"/>
      <w:bookmarkStart w:id="1609" w:name="_Hlk528928195"/>
      <w:r>
        <w:rPr>
          <w:rFonts w:hint="eastAsia"/>
          <w:color w:val="auto"/>
          <w:sz w:val="21"/>
          <w:szCs w:val="21"/>
          <w:highlight w:val="none"/>
        </w:rPr>
        <w:t>1</w:t>
      </w:r>
      <w:bookmarkStart w:id="1610" w:name="_Toc337558790"/>
      <w:bookmarkStart w:id="1611" w:name="_Toc296503086"/>
      <w:bookmarkStart w:id="1612" w:name="_Toc296346587"/>
      <w:r>
        <w:rPr>
          <w:rFonts w:hint="eastAsia"/>
          <w:color w:val="auto"/>
          <w:sz w:val="21"/>
          <w:szCs w:val="21"/>
          <w:highlight w:val="none"/>
        </w:rPr>
        <w:t>0.3变更程序</w:t>
      </w:r>
      <w:bookmarkEnd w:id="1606"/>
      <w:bookmarkEnd w:id="1607"/>
    </w:p>
    <w:bookmarkEnd w:id="1610"/>
    <w:bookmarkEnd w:id="1611"/>
    <w:bookmarkEnd w:id="1612"/>
    <w:p w14:paraId="68FB6801">
      <w:pPr>
        <w:autoSpaceDE w:val="0"/>
        <w:autoSpaceDN w:val="0"/>
        <w:spacing w:line="360" w:lineRule="auto"/>
        <w:ind w:firstLine="420" w:firstLineChars="200"/>
        <w:jc w:val="left"/>
        <w:rPr>
          <w:rFonts w:ascii="宋体" w:hAnsi="宋体"/>
          <w:color w:val="auto"/>
          <w:szCs w:val="21"/>
          <w:highlight w:val="none"/>
        </w:rPr>
      </w:pPr>
      <w:bookmarkStart w:id="1613" w:name="_Hlk524353972"/>
      <w:r>
        <w:rPr>
          <w:rFonts w:hint="eastAsia" w:ascii="宋体" w:hAnsi="宋体"/>
          <w:color w:val="auto"/>
          <w:szCs w:val="21"/>
          <w:highlight w:val="none"/>
        </w:rPr>
        <w:t>10.3.3 变更执行</w:t>
      </w:r>
    </w:p>
    <w:p w14:paraId="1BD515EE">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一般设计变更：承包人收到监理人下达的变更指示后，应按照监理人下达的变更指示执行，并书面说明实施该变更指示对合同价格和工期的影响，按照第10.4.1项〔变更估价原则〕约定执行。</w:t>
      </w:r>
    </w:p>
    <w:p w14:paraId="77C9008A">
      <w:pPr>
        <w:autoSpaceDE w:val="0"/>
        <w:autoSpaceDN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重大设计变更：需经设计人、监理人和发包人三方签名认可并报相关行业部门审查同意后实施。</w:t>
      </w:r>
    </w:p>
    <w:p w14:paraId="2E8E950A">
      <w:pPr>
        <w:autoSpaceDE w:val="0"/>
        <w:autoSpaceDN w:val="0"/>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10.3.3 项增加以下内容：</w:t>
      </w:r>
    </w:p>
    <w:p w14:paraId="522DFE83">
      <w:pPr>
        <w:autoSpaceDE w:val="0"/>
        <w:autoSpaceDN w:val="0"/>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合同变更提出后，应当首先由发包人组织相关单位、专家进行论证。经论证确需变更的，发包人按照《重庆市政府投资项目合同变更管理暂行办法》规定的程序自行决策或者报批；经论证不需要变更的，继续按合同执行。</w:t>
      </w:r>
    </w:p>
    <w:p w14:paraId="1B93673E">
      <w:pPr>
        <w:autoSpaceDE w:val="0"/>
        <w:autoSpaceDN w:val="0"/>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项目的勘察设计、实施内容等作较大变更的，应当按照规定的程序报原审批部门审批；变更导致总投资超概的，应当报原投资概算核定部门核定。</w:t>
      </w:r>
    </w:p>
    <w:p w14:paraId="4B00F72F">
      <w:pPr>
        <w:autoSpaceDE w:val="0"/>
        <w:autoSpaceDN w:val="0"/>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项目管理人员变更的，应当经发包人领导班子集体决策同意，并将变更信息推送给行业主管部门。变更后的项目管理人员应当符合招标文件和行业主管部门的相关规定。</w:t>
      </w:r>
    </w:p>
    <w:p w14:paraId="480FEDE8">
      <w:pPr>
        <w:autoSpaceDE w:val="0"/>
        <w:autoSpaceDN w:val="0"/>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因人工、原材料市场价格发生大幅度变化导致的合同总价变更，由发包人与承包人按照合同进行变更，并将变更信息推送给行业主管部门。</w:t>
      </w:r>
    </w:p>
    <w:p w14:paraId="5C1D79CB">
      <w:pPr>
        <w:autoSpaceDE w:val="0"/>
        <w:autoSpaceDN w:val="0"/>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项目实施内容无变更，因不可抗力导致的工期变更，由发包人领导班子集体决策同意，并将变更信息推送给行业主管部门；因项目实施内容变更导致的工期变更，与项目实施内容变更一并办理。</w:t>
      </w:r>
    </w:p>
    <w:p w14:paraId="66E278E5">
      <w:pPr>
        <w:autoSpaceDE w:val="0"/>
        <w:autoSpaceDN w:val="0"/>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项目合同变更后，增加的实施内容达到依法必须招标的规模标准的，增加的部分应当依法通过招标选择承包单位。</w:t>
      </w:r>
    </w:p>
    <w:bookmarkEnd w:id="1608"/>
    <w:bookmarkEnd w:id="1609"/>
    <w:bookmarkEnd w:id="1613"/>
    <w:p w14:paraId="13D6F278">
      <w:pPr>
        <w:pStyle w:val="7"/>
        <w:spacing w:before="0" w:beforeAutospacing="0" w:after="0" w:afterAutospacing="0" w:line="360" w:lineRule="auto"/>
        <w:ind w:firstLine="422" w:firstLineChars="200"/>
        <w:rPr>
          <w:color w:val="auto"/>
          <w:sz w:val="21"/>
          <w:szCs w:val="21"/>
          <w:highlight w:val="none"/>
        </w:rPr>
      </w:pPr>
      <w:bookmarkStart w:id="1614" w:name="_Toc532375638"/>
      <w:bookmarkStart w:id="1615" w:name="_Toc532377374"/>
      <w:r>
        <w:rPr>
          <w:rFonts w:hint="eastAsia"/>
          <w:color w:val="auto"/>
          <w:sz w:val="21"/>
          <w:szCs w:val="21"/>
          <w:highlight w:val="none"/>
        </w:rPr>
        <w:t>10.4 变更估价</w:t>
      </w:r>
      <w:bookmarkEnd w:id="1614"/>
      <w:bookmarkEnd w:id="1615"/>
    </w:p>
    <w:p w14:paraId="23E84264">
      <w:pPr>
        <w:spacing w:line="360" w:lineRule="auto"/>
        <w:ind w:firstLine="420" w:firstLineChars="200"/>
        <w:jc w:val="left"/>
        <w:rPr>
          <w:rFonts w:ascii="宋体" w:hAnsi="宋体"/>
          <w:color w:val="auto"/>
          <w:szCs w:val="21"/>
          <w:highlight w:val="none"/>
        </w:rPr>
      </w:pPr>
      <w:bookmarkStart w:id="1616" w:name="_Hlk524296629"/>
      <w:r>
        <w:rPr>
          <w:rFonts w:hint="eastAsia" w:ascii="宋体" w:hAnsi="宋体"/>
          <w:color w:val="auto"/>
          <w:szCs w:val="21"/>
          <w:highlight w:val="none"/>
        </w:rPr>
        <w:t>10.4.1 变更估价原则</w:t>
      </w:r>
    </w:p>
    <w:p w14:paraId="04639B37">
      <w:pPr>
        <w:pStyle w:val="2"/>
        <w:spacing w:after="0"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当发生工程变更时，工程量按</w:t>
      </w:r>
      <w:r>
        <w:rPr>
          <w:rFonts w:hint="eastAsia" w:ascii="宋体" w:hAnsi="宋体"/>
          <w:color w:val="auto"/>
          <w:szCs w:val="21"/>
          <w:highlight w:val="none"/>
          <w:u w:val="single"/>
        </w:rPr>
        <w:t xml:space="preserve"> </w:t>
      </w:r>
      <w:r>
        <w:rPr>
          <w:rFonts w:hint="eastAsia" w:ascii="宋体"/>
          <w:color w:val="auto"/>
          <w:szCs w:val="21"/>
          <w:highlight w:val="none"/>
          <w:u w:val="single"/>
        </w:rPr>
        <w:t xml:space="preserve"> 《重庆市建设工程工程量计算规则》（CQJLGZ-2013）</w:t>
      </w:r>
      <w:r>
        <w:rPr>
          <w:rFonts w:hint="eastAsia" w:ascii="宋体" w:hAnsi="宋体"/>
          <w:color w:val="auto"/>
          <w:szCs w:val="21"/>
          <w:highlight w:val="none"/>
        </w:rPr>
        <w:t>规定的计算规则及已标价工程量清单规定的工程量计算规则计量，按以下办法计价：</w:t>
      </w:r>
      <w:bookmarkStart w:id="1617" w:name="_Hlk524770102"/>
    </w:p>
    <w:bookmarkEnd w:id="1617"/>
    <w:p w14:paraId="5BD2B3B4">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10.4.1.1已标价工程量清单中有相同项目的，按照相同项目单价计算；</w:t>
      </w:r>
    </w:p>
    <w:p w14:paraId="580315AC">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10.4.1.2已标价工程量清单中有类似项目的，参考类似项目单价计算；</w:t>
      </w:r>
    </w:p>
    <w:p w14:paraId="5645D059">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10.4.1.3已标价工程量清单中无相同项目亦无类似项目的，按照以下原则执行：</w:t>
      </w:r>
    </w:p>
    <w:p w14:paraId="0D4D4D3F">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按《重庆市房屋建筑与装饰工程计价定额》（CQJZZSDE-2018）、《重庆市仿古建筑工程计价定额》（CQFGDE-2018）、《重庆市通用安装工程计价定额》（CQAZDE-2018） 、《重庆市市政工程计价定额》（CQSZDE-2018）、《重庆市园林绿化工程计价定额》（CQYLLHDE-2018）、《重庆市构筑物工程计价定额》（CQGZWDE-2018）、《重庆市城市轨道交通工程计价定额》（CQGDDE-2018）、《重庆市爆破工程计价定额》（CQBPDE-2018）、《重庆市房屋修缮工程计价定额》（CQXSDE-2018）、《重庆市绿色建筑工程计价定额》（CQLSJZDE-2018）、《重庆市建设工程施工机械台班定额》（CQJXDE-2018）、《重庆市建设工程施工仪器仪表台班定额》（CQYQYBDE-2018）、《重庆市建设工程混凝土及砂浆配合比表》（CQPHBB-2018）、《重庆市建设工程费用定额》（CQFYDE-2018）及相关配套文件进行组价并按承包人报价浮动率下浮（认质核价的设备和材料不参与浮动），经监理人、跟审单位、发包人审定后执行</w:t>
      </w:r>
      <w:r>
        <w:rPr>
          <w:rFonts w:hint="eastAsia" w:ascii="宋体" w:hAnsi="宋体"/>
          <w:color w:val="auto"/>
          <w:szCs w:val="21"/>
          <w:highlight w:val="none"/>
        </w:rPr>
        <w:t>。</w:t>
      </w:r>
    </w:p>
    <w:p w14:paraId="4104DCD7">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承包人报价浮动率按下列公式计算：承包人报价浮动率=（1-中标价/最高限价）×100%。</w:t>
      </w:r>
    </w:p>
    <w:p w14:paraId="1985A4DD">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（1）人工单价：按开标当期《重庆工程造价信息》发布的项目所在地的人工单价执行。</w:t>
      </w:r>
    </w:p>
    <w:p w14:paraId="34B284C4">
      <w:pPr>
        <w:spacing w:line="360" w:lineRule="auto"/>
        <w:ind w:firstLine="420" w:firstLineChars="200"/>
        <w:jc w:val="left"/>
        <w:rPr>
          <w:rFonts w:ascii="宋体" w:hAnsi="宋体"/>
          <w:color w:val="auto"/>
          <w:szCs w:val="21"/>
          <w:highlight w:val="none"/>
        </w:rPr>
      </w:pPr>
      <w:bookmarkStart w:id="1618" w:name="_Hlk529023896"/>
      <w:r>
        <w:rPr>
          <w:rFonts w:hint="eastAsia" w:ascii="宋体" w:hAnsi="宋体"/>
          <w:color w:val="auto"/>
          <w:szCs w:val="21"/>
          <w:highlight w:val="none"/>
        </w:rPr>
        <w:t>（2）材料单价：</w:t>
      </w:r>
    </w:p>
    <w:p w14:paraId="06DAEE3B">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①按</w:t>
      </w:r>
      <w:bookmarkStart w:id="1619" w:name="_Hlk529023354"/>
      <w:r>
        <w:rPr>
          <w:rFonts w:hint="eastAsia" w:ascii="宋体" w:hAnsi="宋体"/>
          <w:color w:val="auto"/>
          <w:szCs w:val="21"/>
          <w:highlight w:val="none"/>
        </w:rPr>
        <w:t>开标当期《重庆工程造价信息》发布的项目所在地的信息价</w:t>
      </w:r>
      <w:bookmarkEnd w:id="1619"/>
      <w:r>
        <w:rPr>
          <w:rFonts w:hint="eastAsia" w:ascii="宋体" w:hAnsi="宋体"/>
          <w:color w:val="auto"/>
          <w:szCs w:val="21"/>
          <w:highlight w:val="none"/>
        </w:rPr>
        <w:t>执行；</w:t>
      </w:r>
    </w:p>
    <w:p w14:paraId="49672689">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②开标当期《重庆工程造价信息》中没有的，承包人投标报价中有的，按承包人投标报价中相同材料单价的最低值执行；</w:t>
      </w:r>
    </w:p>
    <w:p w14:paraId="561167FE">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③开标当期《重庆工程造价信息》和承包人投标报价没有的，由承包人申报、监理人会同跟审单位、发包人根据市场行情认质核价确定。</w:t>
      </w:r>
    </w:p>
    <w:bookmarkEnd w:id="1618"/>
    <w:p w14:paraId="3721970A">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企业管理费和利润：按承包人投标报价中相同工程分类的费用标准执行（投标报价中费用标准高于《重庆市建设工程费用定额》（CQFYDE-2018）费用标准的，按《重庆市建设工程费用定额》（CQFYDE-2018）费用标准执行）。</w:t>
      </w:r>
    </w:p>
    <w:p w14:paraId="3AB16482">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（4）规费：按《重庆市建设工程费用定额》（CQFYDE-2018）费用标准进行计算。</w:t>
      </w:r>
    </w:p>
    <w:p w14:paraId="324A3D95">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（5）税金：包含增值税、城市维护建设税、教育费附加、地方教育附加以及环境保护税。其中增值税按《重庆市建设工程费用定额》（CQFYDE-2018）规定及配套文件执行。</w:t>
      </w:r>
    </w:p>
    <w:p w14:paraId="3CD42712">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10.4.1.4已标价工程量清单中无相同项目亦无类似项目，也无定额可套用的，由承包人会同监理人、跟审单位、发包人按相关原则、编制方法编制补充定额（人工、材料、机械基价执行2018年计价定额的基价，2018年计价定额没有的基价，按市场价计），按照第10.4.1.3目约定执行；或参照重庆市场相同工作的市场价格上报监理人，最终价格按承包人、监理人、跟审单位、发包人共同询价确认的价格执行。</w:t>
      </w:r>
    </w:p>
    <w:p w14:paraId="495FFE9B">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本款补充10.4.3项：</w:t>
      </w:r>
    </w:p>
    <w:p w14:paraId="18D8F59C">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10.4.3工程变更引起施工方案改变并使措施项目发生变化时，承包人提出调整措施项目费的，应事前将拟实施的方案提交监理人审核报发包人确认，并应详细说明与原方案措施项目相比的变化情况。拟实施的方案经发承包双方确认后执行，并应按照下列规定调整措施项目费：</w:t>
      </w:r>
    </w:p>
    <w:p w14:paraId="572D787C">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u w:val="single"/>
        </w:rPr>
        <w:t>安全文明施工费应按照实际发生变化的措施项目依据现行安全文明施工费计取及管理政策规定及《重庆市建设工程费用定额》（CQFYDE-2018）规定执行</w:t>
      </w:r>
      <w:r>
        <w:rPr>
          <w:rFonts w:hint="eastAsia" w:ascii="宋体" w:hAnsi="宋体"/>
          <w:color w:val="auto"/>
          <w:szCs w:val="21"/>
          <w:highlight w:val="none"/>
        </w:rPr>
        <w:t>；</w:t>
      </w:r>
    </w:p>
    <w:p w14:paraId="0834CF48">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u w:val="single"/>
        </w:rPr>
        <w:t>按照单价计算的措施项目费，应按照实际发生变化的措施项目，按照第10.4.1项〔变更估价原则〕约定执行</w:t>
      </w:r>
      <w:r>
        <w:rPr>
          <w:rFonts w:hint="eastAsia" w:ascii="宋体" w:hAnsi="宋体"/>
          <w:color w:val="auto"/>
          <w:szCs w:val="21"/>
          <w:highlight w:val="none"/>
        </w:rPr>
        <w:t>；</w:t>
      </w:r>
    </w:p>
    <w:p w14:paraId="7B59C387">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w:t>
      </w:r>
      <w:r>
        <w:rPr>
          <w:rFonts w:hint="eastAsia" w:ascii="宋体" w:hAnsi="宋体"/>
          <w:color w:val="auto"/>
          <w:szCs w:val="21"/>
          <w:highlight w:val="none"/>
          <w:u w:val="single"/>
        </w:rPr>
        <w:t>按总价（或系数）计算的措施项目费，应按照实际发生变化的措施项目费按承包人报价浮动率下浮后的金额计算</w:t>
      </w:r>
      <w:r>
        <w:rPr>
          <w:rFonts w:hint="eastAsia" w:ascii="宋体" w:hAnsi="宋体"/>
          <w:color w:val="auto"/>
          <w:szCs w:val="21"/>
          <w:highlight w:val="none"/>
        </w:rPr>
        <w:t>；</w:t>
      </w:r>
    </w:p>
    <w:p w14:paraId="5E6D5F7F">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（4）</w:t>
      </w:r>
      <w:r>
        <w:rPr>
          <w:rFonts w:hint="eastAsia" w:ascii="宋体" w:hAnsi="宋体"/>
          <w:color w:val="auto"/>
          <w:szCs w:val="21"/>
          <w:highlight w:val="none"/>
          <w:u w:val="single"/>
        </w:rPr>
        <w:t>如果承包人未事前将拟实施的方案提交给发包人确认，则应视为工程变更不引起措施项目费的调整或承包人放弃调整措施项目费的权利</w:t>
      </w:r>
      <w:r>
        <w:rPr>
          <w:rFonts w:hint="eastAsia" w:ascii="宋体" w:hAnsi="宋体"/>
          <w:color w:val="auto"/>
          <w:szCs w:val="21"/>
          <w:highlight w:val="none"/>
        </w:rPr>
        <w:t>。</w:t>
      </w:r>
    </w:p>
    <w:bookmarkEnd w:id="1616"/>
    <w:p w14:paraId="07F15DD9">
      <w:pPr>
        <w:pStyle w:val="7"/>
        <w:spacing w:before="0" w:beforeAutospacing="0" w:after="0" w:afterAutospacing="0" w:line="360" w:lineRule="auto"/>
        <w:ind w:firstLine="422" w:firstLineChars="200"/>
        <w:rPr>
          <w:color w:val="auto"/>
          <w:sz w:val="21"/>
          <w:szCs w:val="21"/>
          <w:highlight w:val="none"/>
        </w:rPr>
      </w:pPr>
      <w:bookmarkStart w:id="1620" w:name="_Toc532377375"/>
      <w:bookmarkStart w:id="1621" w:name="_Toc532375639"/>
      <w:r>
        <w:rPr>
          <w:rFonts w:hint="eastAsia"/>
          <w:color w:val="auto"/>
          <w:sz w:val="21"/>
          <w:szCs w:val="21"/>
          <w:highlight w:val="none"/>
        </w:rPr>
        <w:t>1</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Start w:id="1622" w:name="_Toc297048383"/>
      <w:bookmarkStart w:id="1623" w:name="_Toc297216203"/>
      <w:bookmarkStart w:id="1624" w:name="_Toc296891237"/>
      <w:bookmarkStart w:id="1625" w:name="_Toc292559402"/>
      <w:bookmarkStart w:id="1626" w:name="_Toc292559907"/>
      <w:bookmarkStart w:id="1627" w:name="_Toc296346698"/>
      <w:bookmarkStart w:id="1628" w:name="_Toc296944536"/>
      <w:bookmarkStart w:id="1629" w:name="_Toc303539150"/>
      <w:bookmarkStart w:id="1630" w:name="_Toc296347196"/>
      <w:bookmarkStart w:id="1631" w:name="_Toc296503197"/>
      <w:bookmarkStart w:id="1632" w:name="_Toc297123544"/>
      <w:bookmarkStart w:id="1633" w:name="_Toc296891025"/>
      <w:bookmarkStart w:id="1634" w:name="_Toc297120497"/>
      <w:bookmarkStart w:id="1635" w:name="_Toc300934993"/>
      <w:bookmarkStart w:id="1636" w:name="_Toc312678029"/>
      <w:bookmarkStart w:id="1637" w:name="_Toc304295570"/>
      <w:bookmarkStart w:id="1638" w:name="_Toc312677503"/>
      <w:r>
        <w:rPr>
          <w:rFonts w:hint="eastAsia"/>
          <w:color w:val="auto"/>
          <w:sz w:val="21"/>
          <w:szCs w:val="21"/>
          <w:highlight w:val="none"/>
        </w:rPr>
        <w:t>0.5承</w:t>
      </w:r>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Start w:id="1639" w:name="_Toc297216204"/>
      <w:bookmarkStart w:id="1640" w:name="_Toc296891031"/>
      <w:bookmarkStart w:id="1641" w:name="_Toc296503203"/>
      <w:bookmarkStart w:id="1642" w:name="_Toc292559408"/>
      <w:bookmarkStart w:id="1643" w:name="_Toc303539151"/>
      <w:bookmarkStart w:id="1644" w:name="_Toc296891243"/>
      <w:bookmarkStart w:id="1645" w:name="_Toc297120503"/>
      <w:bookmarkStart w:id="1646" w:name="_Toc296346704"/>
      <w:bookmarkStart w:id="1647" w:name="_Toc292559913"/>
      <w:bookmarkStart w:id="1648" w:name="_Toc296944542"/>
      <w:bookmarkStart w:id="1649" w:name="_Toc296347202"/>
      <w:bookmarkStart w:id="1650" w:name="_Toc300934994"/>
      <w:bookmarkStart w:id="1651" w:name="_Toc297123545"/>
      <w:bookmarkStart w:id="1652" w:name="_Toc297048389"/>
      <w:r>
        <w:rPr>
          <w:rFonts w:hint="eastAsia"/>
          <w:color w:val="auto"/>
          <w:sz w:val="21"/>
          <w:szCs w:val="21"/>
          <w:highlight w:val="none"/>
        </w:rPr>
        <w:t>包人的合理化建议</w:t>
      </w:r>
      <w:bookmarkEnd w:id="1620"/>
      <w:bookmarkEnd w:id="1621"/>
    </w:p>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p w14:paraId="4AF0C6BD">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承包人提出合理化建议的，应向监理人提交合理化建议说明，说明建议的内容和理由，以及实施该建议对合同价格和（或）工期和（或）工程经济效益的影响。</w:t>
      </w:r>
    </w:p>
    <w:p w14:paraId="1A548558">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监理人审查承包人合理化建议的期限：</w:t>
      </w:r>
      <w:r>
        <w:rPr>
          <w:rFonts w:hint="eastAsia" w:ascii="宋体" w:hAnsi="宋体"/>
          <w:color w:val="auto"/>
          <w:szCs w:val="21"/>
          <w:highlight w:val="none"/>
          <w:u w:val="single"/>
        </w:rPr>
        <w:t>不超过14天</w:t>
      </w:r>
      <w:r>
        <w:rPr>
          <w:rFonts w:hint="eastAsia" w:ascii="宋体" w:hAnsi="宋体"/>
          <w:color w:val="auto"/>
          <w:szCs w:val="21"/>
          <w:highlight w:val="none"/>
        </w:rPr>
        <w:t>。</w:t>
      </w:r>
    </w:p>
    <w:p w14:paraId="3B1EFF23">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发包人审批承包人合理化建议的期限：</w:t>
      </w:r>
      <w:r>
        <w:rPr>
          <w:rFonts w:hint="eastAsia" w:ascii="宋体" w:hAnsi="宋体"/>
          <w:color w:val="auto"/>
          <w:szCs w:val="21"/>
          <w:highlight w:val="none"/>
          <w:u w:val="single"/>
        </w:rPr>
        <w:t>不超过14天</w:t>
      </w:r>
      <w:r>
        <w:rPr>
          <w:rFonts w:hint="eastAsia" w:ascii="宋体" w:hAnsi="宋体"/>
          <w:color w:val="auto"/>
          <w:szCs w:val="21"/>
          <w:highlight w:val="none"/>
        </w:rPr>
        <w:t>。</w:t>
      </w:r>
    </w:p>
    <w:p w14:paraId="63112526">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承</w:t>
      </w:r>
      <w:bookmarkStart w:id="1653" w:name="_Toc292559914"/>
      <w:bookmarkStart w:id="1654" w:name="_Toc296891244"/>
      <w:bookmarkStart w:id="1655" w:name="_Toc297216205"/>
      <w:bookmarkStart w:id="1656" w:name="_Toc296944543"/>
      <w:bookmarkStart w:id="1657" w:name="_Toc300934995"/>
      <w:bookmarkStart w:id="1658" w:name="_Toc296503204"/>
      <w:bookmarkStart w:id="1659" w:name="_Toc297120504"/>
      <w:bookmarkStart w:id="1660" w:name="_Toc297123546"/>
      <w:bookmarkStart w:id="1661" w:name="_Toc292559409"/>
      <w:bookmarkStart w:id="1662" w:name="_Toc312678030"/>
      <w:bookmarkStart w:id="1663" w:name="_Toc296347203"/>
      <w:bookmarkStart w:id="1664" w:name="_Toc297048390"/>
      <w:bookmarkStart w:id="1665" w:name="_Toc304295571"/>
      <w:bookmarkStart w:id="1666" w:name="_Toc318581175"/>
      <w:bookmarkStart w:id="1667" w:name="_Toc312677504"/>
      <w:bookmarkStart w:id="1668" w:name="_Toc296346705"/>
      <w:bookmarkStart w:id="1669" w:name="_Toc303539152"/>
      <w:bookmarkStart w:id="1670" w:name="_Toc296891032"/>
      <w:r>
        <w:rPr>
          <w:rFonts w:hint="eastAsia" w:ascii="宋体" w:hAnsi="宋体"/>
          <w:color w:val="auto"/>
          <w:szCs w:val="21"/>
          <w:highlight w:val="none"/>
        </w:rPr>
        <w:t>包人提出的合理化建议降低了合同价格或缩短了工期或者提高了工程经济效益的奖励的方法和金额为：</w:t>
      </w:r>
      <w:r>
        <w:rPr>
          <w:rFonts w:hint="eastAsia" w:ascii="宋体" w:hAnsi="宋体"/>
          <w:color w:val="auto"/>
          <w:szCs w:val="21"/>
          <w:highlight w:val="none"/>
          <w:u w:val="single"/>
        </w:rPr>
        <w:t>不奖励</w:t>
      </w:r>
      <w:r>
        <w:rPr>
          <w:rFonts w:hint="eastAsia" w:ascii="宋体" w:hAnsi="宋体"/>
          <w:color w:val="auto"/>
          <w:szCs w:val="21"/>
          <w:highlight w:val="none"/>
        </w:rPr>
        <w:t>。</w:t>
      </w:r>
    </w:p>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p w14:paraId="43929480">
      <w:pPr>
        <w:pStyle w:val="7"/>
        <w:spacing w:before="0" w:beforeAutospacing="0" w:after="0" w:afterAutospacing="0" w:line="360" w:lineRule="auto"/>
        <w:ind w:firstLine="422" w:firstLineChars="200"/>
        <w:rPr>
          <w:color w:val="auto"/>
          <w:sz w:val="21"/>
          <w:szCs w:val="21"/>
          <w:highlight w:val="none"/>
        </w:rPr>
      </w:pPr>
      <w:bookmarkStart w:id="1671" w:name="_Toc532377376"/>
      <w:bookmarkStart w:id="1672" w:name="_Toc532375640"/>
      <w:r>
        <w:rPr>
          <w:rFonts w:hint="eastAsia"/>
          <w:color w:val="auto"/>
          <w:sz w:val="21"/>
          <w:szCs w:val="21"/>
          <w:highlight w:val="none"/>
        </w:rPr>
        <w:t>1</w:t>
      </w:r>
      <w:bookmarkStart w:id="1673" w:name="_Toc296944538"/>
      <w:bookmarkStart w:id="1674" w:name="_Toc296347198"/>
      <w:bookmarkStart w:id="1675" w:name="_Toc297120499"/>
      <w:bookmarkStart w:id="1676" w:name="_Toc312678033"/>
      <w:bookmarkStart w:id="1677" w:name="_Toc303539154"/>
      <w:bookmarkStart w:id="1678" w:name="_Toc297216207"/>
      <w:bookmarkStart w:id="1679" w:name="_Toc292559404"/>
      <w:bookmarkStart w:id="1680" w:name="_Toc296503199"/>
      <w:bookmarkStart w:id="1681" w:name="_Toc297048385"/>
      <w:bookmarkStart w:id="1682" w:name="_Toc296346700"/>
      <w:bookmarkStart w:id="1683" w:name="_Toc300934997"/>
      <w:bookmarkStart w:id="1684" w:name="_Toc304295574"/>
      <w:bookmarkStart w:id="1685" w:name="_Toc296891239"/>
      <w:bookmarkStart w:id="1686" w:name="_Toc292559909"/>
      <w:bookmarkStart w:id="1687" w:name="_Toc312677507"/>
      <w:bookmarkStart w:id="1688" w:name="_Toc296891027"/>
      <w:bookmarkStart w:id="1689" w:name="_Toc297123548"/>
      <w:r>
        <w:rPr>
          <w:rFonts w:hint="eastAsia"/>
          <w:color w:val="auto"/>
          <w:sz w:val="21"/>
          <w:szCs w:val="21"/>
          <w:highlight w:val="none"/>
        </w:rPr>
        <w:t>0.7 暂估价</w:t>
      </w:r>
      <w:bookmarkEnd w:id="1671"/>
      <w:bookmarkEnd w:id="1672"/>
    </w:p>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p w14:paraId="72BE75AE">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专业工程暂估价：</w:t>
      </w:r>
      <w:r>
        <w:rPr>
          <w:rFonts w:hint="eastAsia" w:ascii="宋体" w:hAnsi="宋体"/>
          <w:color w:val="auto"/>
          <w:szCs w:val="21"/>
          <w:highlight w:val="none"/>
          <w:u w:val="single"/>
        </w:rPr>
        <w:t xml:space="preserve">        </w:t>
      </w:r>
      <w:r>
        <w:rPr>
          <w:rFonts w:hint="eastAsia" w:ascii="宋体" w:hAnsi="宋体"/>
          <w:color w:val="auto"/>
          <w:szCs w:val="21"/>
          <w:highlight w:val="none"/>
        </w:rPr>
        <w:t>万元。</w:t>
      </w:r>
    </w:p>
    <w:p w14:paraId="25FF945E">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单项合同估算价在国家相关法律法规规定必须招标规模以下的，符合可以不招标相关规定的，由承包人采取交钥匙工程模式实施，发包人配合。承包人（需在允许资质范围内）或承包人委托的有资质的专业分包单位实施。费用估价按照第10.4.1项〔变更估价原则〕执行，承包人申报，经监理人、跟审单位、发包人共同审定。审定后根据承包人签订的相关合同（需经监理人、跟审单位、发包人共同确认）约定，由承包人申报，随进度款按与相关单位签订的合同约定一并支付。</w:t>
      </w:r>
    </w:p>
    <w:p w14:paraId="359E6CD9">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单项合同暂估价在国家相关法律法规规定必须招标规模以上的，需依法必须招标的，由承包人、发包人共同招标确定。</w:t>
      </w:r>
    </w:p>
    <w:p w14:paraId="0F86A2F5">
      <w:pPr>
        <w:pStyle w:val="7"/>
        <w:spacing w:before="0" w:beforeAutospacing="0" w:after="0" w:afterAutospacing="0" w:line="360" w:lineRule="auto"/>
        <w:ind w:firstLine="422" w:firstLineChars="200"/>
        <w:rPr>
          <w:color w:val="auto"/>
          <w:sz w:val="21"/>
          <w:szCs w:val="21"/>
          <w:highlight w:val="none"/>
        </w:rPr>
      </w:pPr>
      <w:bookmarkStart w:id="1690" w:name="_Toc532375641"/>
      <w:bookmarkStart w:id="1691" w:name="_Toc532377377"/>
      <w:r>
        <w:rPr>
          <w:rFonts w:hint="eastAsia"/>
          <w:color w:val="auto"/>
          <w:sz w:val="21"/>
          <w:szCs w:val="21"/>
          <w:highlight w:val="none"/>
        </w:rPr>
        <w:t>10.8 暂列金额</w:t>
      </w:r>
      <w:bookmarkEnd w:id="1690"/>
      <w:bookmarkEnd w:id="1691"/>
    </w:p>
    <w:p w14:paraId="5B2F1D79">
      <w:pPr>
        <w:autoSpaceDE w:val="0"/>
        <w:autoSpaceDN w:val="0"/>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合同当事人关于暂列金额使用的约定：</w:t>
      </w:r>
      <w:r>
        <w:rPr>
          <w:rFonts w:hint="eastAsia" w:ascii="宋体"/>
          <w:color w:val="auto"/>
          <w:szCs w:val="21"/>
          <w:highlight w:val="none"/>
          <w:u w:val="single"/>
        </w:rPr>
        <w:t>按照发包人的要求使用，发包人的要求应通过监理人发出，具体费用估价按照合同专用条款第10.4.1项〔变更估价原则〕执行，承包人申报，经监理人、造价跟审单位（若有）、发包人共同审定</w:t>
      </w:r>
      <w:r>
        <w:rPr>
          <w:rFonts w:hint="eastAsia" w:ascii="宋体" w:hAnsi="宋体"/>
          <w:color w:val="auto"/>
          <w:szCs w:val="21"/>
          <w:highlight w:val="none"/>
          <w:u w:val="single"/>
        </w:rPr>
        <w:t>。</w:t>
      </w:r>
    </w:p>
    <w:p w14:paraId="2E8398E4">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1692" w:name="_Toc351203643"/>
      <w:bookmarkStart w:id="1693" w:name="_Toc532377378"/>
      <w:bookmarkStart w:id="1694" w:name="_Toc532375642"/>
      <w:r>
        <w:rPr>
          <w:rFonts w:hint="eastAsia"/>
          <w:color w:val="auto"/>
          <w:kern w:val="2"/>
          <w:sz w:val="21"/>
          <w:szCs w:val="21"/>
          <w:highlight w:val="none"/>
        </w:rPr>
        <w:t>11. 价格调整</w:t>
      </w:r>
      <w:bookmarkEnd w:id="1692"/>
      <w:bookmarkEnd w:id="1693"/>
      <w:bookmarkEnd w:id="1694"/>
    </w:p>
    <w:p w14:paraId="679ABE03">
      <w:pPr>
        <w:pStyle w:val="7"/>
        <w:spacing w:before="0" w:beforeAutospacing="0" w:after="0" w:afterAutospacing="0" w:line="360" w:lineRule="auto"/>
        <w:ind w:firstLine="422" w:firstLineChars="200"/>
        <w:rPr>
          <w:color w:val="auto"/>
          <w:sz w:val="21"/>
          <w:szCs w:val="21"/>
          <w:highlight w:val="none"/>
        </w:rPr>
      </w:pPr>
      <w:bookmarkStart w:id="1695" w:name="_Toc532375643"/>
      <w:bookmarkStart w:id="1696" w:name="_Toc532377379"/>
      <w:bookmarkStart w:id="1697" w:name="_Toc296503201"/>
      <w:bookmarkStart w:id="1698" w:name="_Toc296891241"/>
      <w:bookmarkStart w:id="1699" w:name="_Toc297216209"/>
      <w:bookmarkStart w:id="1700" w:name="_Toc297120501"/>
      <w:bookmarkStart w:id="1701" w:name="_Toc292559911"/>
      <w:bookmarkStart w:id="1702" w:name="_Toc296347200"/>
      <w:bookmarkStart w:id="1703" w:name="_Toc296944540"/>
      <w:bookmarkStart w:id="1704" w:name="_Toc300935000"/>
      <w:bookmarkStart w:id="1705" w:name="_Toc297123550"/>
      <w:bookmarkStart w:id="1706" w:name="_Toc292559406"/>
      <w:bookmarkStart w:id="1707" w:name="_Toc304295577"/>
      <w:bookmarkStart w:id="1708" w:name="_Toc296346702"/>
      <w:bookmarkStart w:id="1709" w:name="_Toc303539157"/>
      <w:bookmarkStart w:id="1710" w:name="_Toc296891029"/>
      <w:bookmarkStart w:id="1711" w:name="_Toc297048387"/>
      <w:bookmarkStart w:id="1712" w:name="_Toc312678039"/>
      <w:r>
        <w:rPr>
          <w:rFonts w:hint="eastAsia"/>
          <w:color w:val="auto"/>
          <w:sz w:val="21"/>
          <w:szCs w:val="21"/>
          <w:highlight w:val="none"/>
        </w:rPr>
        <w:t>11.1 市场价格波动引起的调整</w:t>
      </w:r>
      <w:bookmarkEnd w:id="1695"/>
      <w:bookmarkEnd w:id="1696"/>
    </w:p>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p w14:paraId="6A933CA3">
      <w:pPr>
        <w:spacing w:line="360" w:lineRule="auto"/>
        <w:ind w:firstLine="420" w:firstLineChars="200"/>
        <w:jc w:val="left"/>
        <w:rPr>
          <w:rFonts w:ascii="宋体" w:hAnsi="宋体"/>
          <w:color w:val="auto"/>
          <w:szCs w:val="21"/>
          <w:highlight w:val="none"/>
        </w:rPr>
      </w:pPr>
      <w:bookmarkStart w:id="1713" w:name="_Toc466913963"/>
      <w:bookmarkStart w:id="1714" w:name="_Toc466913513"/>
      <w:bookmarkStart w:id="1715" w:name="_Toc467689641"/>
      <w:bookmarkStart w:id="1716" w:name="_Toc466911545"/>
      <w:r>
        <w:rPr>
          <w:rFonts w:hint="eastAsia" w:ascii="宋体" w:hAnsi="宋体"/>
          <w:color w:val="auto"/>
          <w:szCs w:val="21"/>
          <w:highlight w:val="none"/>
        </w:rPr>
        <w:t>市场价格波动是否调整合同价格的约定：</w:t>
      </w:r>
      <w:r>
        <w:rPr>
          <w:rFonts w:hint="eastAsia" w:ascii="宋体" w:hAnsi="宋体"/>
          <w:color w:val="auto"/>
          <w:szCs w:val="21"/>
          <w:highlight w:val="none"/>
          <w:u w:val="single"/>
        </w:rPr>
        <w:t>合同工期一年以上（含一年），且市场价格波动幅度符合第11.1.1项〔人工费价差调整办法〕和（或）第11.1.2项〔材料费价差调整办法〕约定的，按第11.1.1项〔人工费价差调整办法〕和（或）第11.1.2项〔材料费价差调整办法〕约定调整合同价格；第11.1.1项〔人工费价差调整办法〕和（或）第11.1.2项〔材料费价差调整办法〕约定的调差条件之外的市场价格波动风险不调整合同价格，风险费用由承包人自行考虑后纳入签约合同价格中，包干使用</w:t>
      </w:r>
      <w:r>
        <w:rPr>
          <w:rFonts w:hint="eastAsia" w:ascii="宋体" w:hAnsi="宋体"/>
          <w:color w:val="auto"/>
          <w:szCs w:val="21"/>
          <w:highlight w:val="none"/>
        </w:rPr>
        <w:t>。</w:t>
      </w:r>
    </w:p>
    <w:p w14:paraId="5F7BF12C">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因市场价格波动调整合同价格，采用以下</w:t>
      </w:r>
      <w:r>
        <w:rPr>
          <w:rFonts w:hint="eastAsia" w:ascii="宋体" w:hAnsi="宋体"/>
          <w:color w:val="auto"/>
          <w:szCs w:val="21"/>
          <w:highlight w:val="none"/>
          <w:u w:val="single"/>
        </w:rPr>
        <w:t>第3种</w:t>
      </w:r>
      <w:r>
        <w:rPr>
          <w:rFonts w:hint="eastAsia" w:ascii="宋体" w:hAnsi="宋体"/>
          <w:color w:val="auto"/>
          <w:szCs w:val="21"/>
          <w:highlight w:val="none"/>
        </w:rPr>
        <w:t>方式对合同价格进行调整：</w:t>
      </w:r>
    </w:p>
    <w:p w14:paraId="78405C34">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第1种方式：采用价格指数进行价格调整。</w:t>
      </w:r>
    </w:p>
    <w:p w14:paraId="7D36548C">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关于各可调因子、定值和变值权重，以及基本价格指数及其来源的约定：</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14:paraId="7F4F90EE">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第2种方式：采用造价信息进行价格调整，调整方法如下：</w:t>
      </w:r>
    </w:p>
    <w:p w14:paraId="5FC9420C">
      <w:pPr>
        <w:spacing w:line="360" w:lineRule="auto"/>
        <w:ind w:firstLine="420" w:firstLineChars="200"/>
        <w:jc w:val="left"/>
        <w:rPr>
          <w:rFonts w:ascii="宋体" w:hAnsi="宋体"/>
          <w:color w:val="auto"/>
          <w:szCs w:val="21"/>
          <w:highlight w:val="none"/>
        </w:rPr>
      </w:pPr>
      <w:bookmarkStart w:id="1717" w:name="_Hlk524296901"/>
      <w:r>
        <w:rPr>
          <w:rFonts w:hint="eastAsia" w:ascii="宋体" w:hAnsi="宋体"/>
          <w:color w:val="auto"/>
          <w:szCs w:val="21"/>
          <w:highlight w:val="none"/>
        </w:rPr>
        <w:t>11.1.1人工费价差调整办法</w:t>
      </w:r>
      <w:bookmarkEnd w:id="1713"/>
      <w:bookmarkEnd w:id="1714"/>
      <w:bookmarkEnd w:id="1715"/>
      <w:bookmarkEnd w:id="1716"/>
    </w:p>
    <w:p w14:paraId="02166137">
      <w:pPr>
        <w:tabs>
          <w:tab w:val="left" w:pos="711"/>
          <w:tab w:val="left" w:pos="2580"/>
        </w:tabs>
        <w:spacing w:line="360" w:lineRule="auto"/>
        <w:ind w:firstLine="420" w:firstLineChars="200"/>
        <w:jc w:val="left"/>
        <w:textAlignment w:val="baseline"/>
        <w:rPr>
          <w:rFonts w:ascii="宋体" w:hAnsi="宋体"/>
          <w:color w:val="auto"/>
          <w:szCs w:val="21"/>
          <w:highlight w:val="none"/>
        </w:rPr>
      </w:pPr>
      <w:bookmarkStart w:id="1718" w:name="_Toc467689644"/>
      <w:bookmarkStart w:id="1719" w:name="_Toc466913966"/>
      <w:bookmarkStart w:id="1720" w:name="_Toc466913516"/>
      <w:bookmarkStart w:id="1721" w:name="_Toc466911548"/>
      <w:r>
        <w:rPr>
          <w:rFonts w:hint="eastAsia" w:ascii="宋体" w:hAnsi="宋体"/>
          <w:color w:val="auto"/>
          <w:szCs w:val="21"/>
          <w:highlight w:val="none"/>
        </w:rPr>
        <w:t>（1）自实际开工时间起至合同约定的工期结束时间止，期间《重庆工程造价信息》发布人工单价的算术平均值较开标当期《重庆工程造价信息》发布的人工单价变化超过</w:t>
      </w:r>
      <w:r>
        <w:rPr>
          <w:rFonts w:hint="eastAsia" w:ascii="宋体" w:hAnsi="宋体"/>
          <w:color w:val="auto"/>
          <w:szCs w:val="21"/>
          <w:highlight w:val="none"/>
          <w:u w:val="single"/>
        </w:rPr>
        <w:t>±5%</w:t>
      </w:r>
      <w:r>
        <w:rPr>
          <w:rFonts w:hint="eastAsia" w:ascii="宋体" w:hAnsi="宋体"/>
          <w:color w:val="auto"/>
          <w:szCs w:val="21"/>
          <w:highlight w:val="none"/>
        </w:rPr>
        <w:t>时，按以下约定调整：</w:t>
      </w:r>
    </w:p>
    <w:p w14:paraId="6CF9E732">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①已标价工程量清单中载明人工单价不高于开标当期《重庆工程造价信息》发布的人工单价的：按期间《重庆工程造价信息》发布人工单价的算术平均值减去开标当期《重庆工程造价信息》发布的人工单价乘以</w:t>
      </w:r>
      <w:r>
        <w:rPr>
          <w:rFonts w:hint="eastAsia" w:ascii="宋体" w:hAnsi="宋体"/>
          <w:color w:val="auto"/>
          <w:szCs w:val="21"/>
          <w:highlight w:val="none"/>
          <w:u w:val="single"/>
        </w:rPr>
        <w:t>（1±5%）</w:t>
      </w:r>
      <w:r>
        <w:rPr>
          <w:rFonts w:hint="eastAsia" w:ascii="宋体" w:hAnsi="宋体"/>
          <w:color w:val="auto"/>
          <w:szCs w:val="21"/>
          <w:highlight w:val="none"/>
        </w:rPr>
        <w:t>调差。</w:t>
      </w:r>
    </w:p>
    <w:p w14:paraId="67FF223B">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②已标价工程量清单中载明人工单价高于开标当期《重庆工程造价信息》发布的人工单价的，按期间《重庆工程造价信息》发布人工单价的算术平均值减去已标价工程量清单中载明人工单价乘以</w:t>
      </w:r>
      <w:r>
        <w:rPr>
          <w:rFonts w:hint="eastAsia" w:ascii="宋体" w:hAnsi="宋体"/>
          <w:color w:val="auto"/>
          <w:szCs w:val="21"/>
          <w:highlight w:val="none"/>
          <w:u w:val="single"/>
        </w:rPr>
        <w:t>（1±5%）</w:t>
      </w:r>
      <w:r>
        <w:rPr>
          <w:rFonts w:hint="eastAsia" w:ascii="宋体" w:hAnsi="宋体"/>
          <w:color w:val="auto"/>
          <w:szCs w:val="21"/>
          <w:highlight w:val="none"/>
        </w:rPr>
        <w:t>调差。</w:t>
      </w:r>
    </w:p>
    <w:p w14:paraId="1E34E05E">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2）工程量按照第12.3.1项〔计量原则〕约定计算，单位工程的人工消耗量按承包人投标报价的消耗量执行（承包人投标报价的单位工程人工消耗量高于定额单位工程人工消耗量的，按定额单位工程的人工消耗量执行）。</w:t>
      </w:r>
    </w:p>
    <w:p w14:paraId="733DE09A">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（3）</w:t>
      </w:r>
      <w:r>
        <w:rPr>
          <w:rFonts w:hint="eastAsia" w:ascii="宋体" w:hAnsi="宋体"/>
          <w:color w:val="auto"/>
          <w:szCs w:val="21"/>
          <w:highlight w:val="none"/>
          <w:u w:val="single"/>
        </w:rPr>
        <w:t xml:space="preserve">        </w:t>
      </w:r>
      <w:r>
        <w:rPr>
          <w:rFonts w:hint="eastAsia" w:ascii="宋体" w:hAnsi="宋体"/>
          <w:color w:val="auto"/>
          <w:szCs w:val="21"/>
          <w:highlight w:val="none"/>
        </w:rPr>
        <w:t>。</w:t>
      </w:r>
    </w:p>
    <w:bookmarkEnd w:id="1717"/>
    <w:p w14:paraId="39808BA5">
      <w:pPr>
        <w:spacing w:line="360" w:lineRule="auto"/>
        <w:ind w:firstLine="420" w:firstLineChars="200"/>
        <w:jc w:val="left"/>
        <w:rPr>
          <w:rFonts w:ascii="宋体" w:hAnsi="宋体"/>
          <w:color w:val="auto"/>
          <w:szCs w:val="21"/>
          <w:highlight w:val="none"/>
        </w:rPr>
      </w:pPr>
      <w:bookmarkStart w:id="1722" w:name="_Hlk524297138"/>
      <w:r>
        <w:rPr>
          <w:rFonts w:hint="eastAsia" w:ascii="宋体" w:hAnsi="宋体"/>
          <w:color w:val="auto"/>
          <w:szCs w:val="21"/>
          <w:highlight w:val="none"/>
        </w:rPr>
        <w:t>11.1.2 材料费价差调整</w:t>
      </w:r>
      <w:bookmarkEnd w:id="1718"/>
      <w:bookmarkEnd w:id="1719"/>
      <w:bookmarkEnd w:id="1720"/>
      <w:bookmarkEnd w:id="1721"/>
      <w:r>
        <w:rPr>
          <w:rFonts w:hint="eastAsia" w:ascii="宋体" w:hAnsi="宋体"/>
          <w:color w:val="auto"/>
          <w:szCs w:val="21"/>
          <w:highlight w:val="none"/>
        </w:rPr>
        <w:t>办法</w:t>
      </w:r>
    </w:p>
    <w:p w14:paraId="528D2456">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可调价差材料：</w:t>
      </w:r>
      <w:r>
        <w:rPr>
          <w:rFonts w:hint="eastAsia" w:ascii="宋体" w:hAnsi="宋体"/>
          <w:color w:val="auto"/>
          <w:szCs w:val="21"/>
          <w:highlight w:val="none"/>
          <w:u w:val="single"/>
        </w:rPr>
        <w:t>水泥、商品砼、碎石、砂、钢筋、型钢、条石、片石、预应力钢绞线、沥青混凝土、水泥稳定碎石拌和料、预拌商品砂浆、砌筑材料等主要材料（可按工程使用的具体材料确定）</w:t>
      </w:r>
      <w:r>
        <w:rPr>
          <w:rFonts w:hint="eastAsia" w:ascii="宋体" w:hAnsi="宋体"/>
          <w:color w:val="auto"/>
          <w:szCs w:val="21"/>
          <w:highlight w:val="none"/>
        </w:rPr>
        <w:t>。</w:t>
      </w:r>
    </w:p>
    <w:p w14:paraId="1B0F8186">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可调价差材料的价差调整办法如下：</w:t>
      </w:r>
    </w:p>
    <w:bookmarkEnd w:id="1575"/>
    <w:bookmarkEnd w:id="1576"/>
    <w:bookmarkEnd w:id="1577"/>
    <w:bookmarkEnd w:id="1578"/>
    <w:bookmarkEnd w:id="1579"/>
    <w:bookmarkEnd w:id="1580"/>
    <w:p w14:paraId="536E48E4">
      <w:pPr>
        <w:tabs>
          <w:tab w:val="left" w:pos="711"/>
          <w:tab w:val="left" w:pos="2580"/>
        </w:tabs>
        <w:spacing w:line="360" w:lineRule="auto"/>
        <w:ind w:firstLine="420" w:firstLineChars="200"/>
        <w:jc w:val="left"/>
        <w:textAlignment w:val="baseline"/>
        <w:rPr>
          <w:rFonts w:ascii="宋体" w:hAnsi="宋体"/>
          <w:color w:val="auto"/>
          <w:szCs w:val="21"/>
          <w:highlight w:val="none"/>
        </w:rPr>
      </w:pPr>
      <w:bookmarkStart w:id="1723" w:name="_Toc296891033"/>
      <w:bookmarkStart w:id="1724" w:name="_Toc292559410"/>
      <w:bookmarkStart w:id="1725" w:name="_Toc296346706"/>
      <w:bookmarkStart w:id="1726" w:name="_Toc292559915"/>
      <w:bookmarkStart w:id="1727" w:name="_Toc296944544"/>
      <w:bookmarkStart w:id="1728" w:name="_Toc296891245"/>
      <w:bookmarkStart w:id="1729" w:name="_Toc297048391"/>
      <w:bookmarkStart w:id="1730" w:name="_Toc296347204"/>
      <w:bookmarkStart w:id="1731" w:name="_Toc296503205"/>
      <w:bookmarkStart w:id="1732" w:name="_Toc297120505"/>
      <w:bookmarkStart w:id="1733" w:name="_Toc351203644"/>
      <w:bookmarkStart w:id="1734" w:name="_Toc312678040"/>
      <w:bookmarkStart w:id="1735" w:name="_Toc297216211"/>
      <w:bookmarkStart w:id="1736" w:name="_Toc304295579"/>
      <w:bookmarkStart w:id="1737" w:name="_Toc297123552"/>
      <w:bookmarkStart w:id="1738" w:name="_Toc303539159"/>
      <w:bookmarkStart w:id="1739" w:name="_Toc300935002"/>
      <w:r>
        <w:rPr>
          <w:rFonts w:hint="eastAsia" w:ascii="宋体" w:hAnsi="宋体"/>
          <w:color w:val="auto"/>
          <w:szCs w:val="21"/>
          <w:highlight w:val="none"/>
        </w:rPr>
        <w:t>（1）自实际开工时间起至合同约定的工期结束时间止，期间《重庆工程造价信息》发布的信息价的算术平均值较开标当期《重庆工程造价信息》发布的信息价变化超过</w:t>
      </w:r>
      <w:r>
        <w:rPr>
          <w:rFonts w:hint="eastAsia" w:ascii="宋体" w:hAnsi="宋体"/>
          <w:color w:val="auto"/>
          <w:szCs w:val="21"/>
          <w:highlight w:val="none"/>
          <w:u w:val="single"/>
        </w:rPr>
        <w:t>±5%</w:t>
      </w:r>
      <w:r>
        <w:rPr>
          <w:rFonts w:hint="eastAsia" w:ascii="宋体" w:hAnsi="宋体"/>
          <w:color w:val="auto"/>
          <w:szCs w:val="21"/>
          <w:highlight w:val="none"/>
        </w:rPr>
        <w:t>时，按以下约定调整：</w:t>
      </w:r>
    </w:p>
    <w:p w14:paraId="41B830DD">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①已标价工程量清单中载明材料单价不高于开标当期《重庆工程造价信息》发布的信息价的按期间《重庆工程造价信息》发布信息价的算术平均值减去开标当期《重庆工程造价信息》发布的信息价乘以</w:t>
      </w:r>
      <w:r>
        <w:rPr>
          <w:rFonts w:hint="eastAsia" w:ascii="宋体" w:hAnsi="宋体"/>
          <w:color w:val="auto"/>
          <w:szCs w:val="21"/>
          <w:highlight w:val="none"/>
          <w:u w:val="single"/>
        </w:rPr>
        <w:t>（1±5%）</w:t>
      </w:r>
      <w:r>
        <w:rPr>
          <w:rFonts w:hint="eastAsia" w:ascii="宋体" w:hAnsi="宋体"/>
          <w:color w:val="auto"/>
          <w:szCs w:val="21"/>
          <w:highlight w:val="none"/>
        </w:rPr>
        <w:t>调差。</w:t>
      </w:r>
    </w:p>
    <w:p w14:paraId="7EA26F99">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②已标价工程量清单中载明材料单价高于开标当期《重庆工程造价信息》发布的信息价的，按期间《重庆工程造价信息》发布信息价的算术平均值减去已标价工程量清单中载明材料单价乘以</w:t>
      </w:r>
      <w:r>
        <w:rPr>
          <w:rFonts w:hint="eastAsia" w:ascii="宋体" w:hAnsi="宋体"/>
          <w:color w:val="auto"/>
          <w:szCs w:val="21"/>
          <w:highlight w:val="none"/>
          <w:u w:val="single"/>
        </w:rPr>
        <w:t>（1±5%）</w:t>
      </w:r>
      <w:r>
        <w:rPr>
          <w:rFonts w:hint="eastAsia" w:ascii="宋体" w:hAnsi="宋体"/>
          <w:color w:val="auto"/>
          <w:szCs w:val="21"/>
          <w:highlight w:val="none"/>
        </w:rPr>
        <w:t>调差。</w:t>
      </w:r>
    </w:p>
    <w:p w14:paraId="0C54440F">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2）工程量按照第12.3.1项〔计量原则〕约定计算，单位工程的材料消耗量按承包人投标报价的消耗量执行（承包人投标报价的单位工程材料消耗量高于定额单位工程材料消耗量的，按定额单位工程的材料消耗量执行）。</w:t>
      </w:r>
    </w:p>
    <w:p w14:paraId="0AABB285">
      <w:pPr>
        <w:tabs>
          <w:tab w:val="left" w:pos="711"/>
          <w:tab w:val="left" w:pos="2580"/>
        </w:tabs>
        <w:spacing w:line="360" w:lineRule="auto"/>
        <w:ind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（3）</w:t>
      </w:r>
      <w:r>
        <w:rPr>
          <w:rFonts w:hint="eastAsia" w:ascii="宋体" w:hAnsi="宋体"/>
          <w:color w:val="auto"/>
          <w:szCs w:val="21"/>
          <w:highlight w:val="none"/>
          <w:u w:val="single"/>
        </w:rPr>
        <w:t xml:space="preserve">        </w:t>
      </w:r>
      <w:r>
        <w:rPr>
          <w:rFonts w:hint="eastAsia" w:ascii="宋体" w:hAnsi="宋体"/>
          <w:color w:val="auto"/>
          <w:szCs w:val="21"/>
          <w:highlight w:val="none"/>
        </w:rPr>
        <w:t>。</w:t>
      </w:r>
    </w:p>
    <w:bookmarkEnd w:id="1722"/>
    <w:p w14:paraId="02E110B0">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第3种方式：其他价格调整方式：</w:t>
      </w:r>
      <w:r>
        <w:rPr>
          <w:rFonts w:hint="eastAsia" w:ascii="宋体" w:hAnsi="宋体"/>
          <w:color w:val="auto"/>
          <w:szCs w:val="21"/>
          <w:highlight w:val="none"/>
          <w:u w:val="single"/>
        </w:rPr>
        <w:t xml:space="preserve"> 不调整 </w:t>
      </w:r>
      <w:r>
        <w:rPr>
          <w:rFonts w:hint="eastAsia" w:ascii="宋体" w:hAnsi="宋体"/>
          <w:color w:val="auto"/>
          <w:szCs w:val="21"/>
          <w:highlight w:val="none"/>
        </w:rPr>
        <w:t>。</w:t>
      </w:r>
    </w:p>
    <w:p w14:paraId="5B6E073E">
      <w:pPr>
        <w:pStyle w:val="7"/>
        <w:spacing w:before="0" w:beforeAutospacing="0" w:after="0" w:afterAutospacing="0" w:line="360" w:lineRule="auto"/>
        <w:ind w:firstLine="422" w:firstLineChars="200"/>
        <w:rPr>
          <w:color w:val="auto"/>
          <w:sz w:val="21"/>
          <w:szCs w:val="21"/>
          <w:highlight w:val="none"/>
        </w:rPr>
      </w:pPr>
      <w:bookmarkStart w:id="1740" w:name="_Toc532377380"/>
      <w:bookmarkStart w:id="1741" w:name="_Toc532375644"/>
      <w:bookmarkStart w:id="1742" w:name="_Hlk528928232"/>
      <w:r>
        <w:rPr>
          <w:rFonts w:hint="eastAsia"/>
          <w:color w:val="auto"/>
          <w:sz w:val="21"/>
          <w:szCs w:val="21"/>
          <w:highlight w:val="none"/>
        </w:rPr>
        <w:t>11.2 法律变化引起的调整</w:t>
      </w:r>
      <w:bookmarkEnd w:id="1740"/>
      <w:bookmarkEnd w:id="1741"/>
    </w:p>
    <w:p w14:paraId="1938D06C">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项目投标基准日至竣工验收合格之日，国家或相关行政主管部门发布直接影响项目的新法规、新政策、新文件、新标准，属强制执行的，自执行之日执行，由此增减的费用由发包人承担，估价照第10.4.1项〔变更估价原则〕执行；属选择性执行的，发包人与承包人协商解决。</w:t>
      </w:r>
    </w:p>
    <w:p w14:paraId="2CE9A2F2">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本条补充11.3款</w:t>
      </w:r>
    </w:p>
    <w:bookmarkEnd w:id="1742"/>
    <w:p w14:paraId="5924F3DE">
      <w:pPr>
        <w:pStyle w:val="7"/>
        <w:spacing w:before="0" w:beforeAutospacing="0" w:after="0" w:afterAutospacing="0" w:line="360" w:lineRule="auto"/>
        <w:ind w:firstLine="422" w:firstLineChars="200"/>
        <w:rPr>
          <w:color w:val="auto"/>
          <w:sz w:val="21"/>
          <w:szCs w:val="21"/>
          <w:highlight w:val="none"/>
        </w:rPr>
      </w:pPr>
      <w:bookmarkStart w:id="1743" w:name="_Toc532375645"/>
      <w:bookmarkStart w:id="1744" w:name="_Toc532377381"/>
      <w:r>
        <w:rPr>
          <w:rFonts w:hint="eastAsia"/>
          <w:color w:val="auto"/>
          <w:sz w:val="21"/>
          <w:szCs w:val="21"/>
          <w:highlight w:val="none"/>
        </w:rPr>
        <w:t>11.3 严重不平衡报价引起的调整</w:t>
      </w:r>
      <w:bookmarkEnd w:id="1743"/>
      <w:bookmarkEnd w:id="1744"/>
    </w:p>
    <w:p w14:paraId="6AF6FA61">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合同履行期间，当按第12.3.1项〔计量原则〕约定确认的完成工程量比已标价工程量清单载明工程量增加超过15%，且发包人发现承包人的已标价工程量清单相关清单子目中有严重不平衡报价的。超过已标价工程量清单载明工程量15%的部分，发包人将对严重不平衡报价的清单子目综合单价进行修正，并按修正综合单价办理竣工结算，修正综合单价按照第10.4.1项〔变更估价原则〕（3）目约定执行</w:t>
      </w:r>
      <w:r>
        <w:rPr>
          <w:rFonts w:hint="eastAsia" w:ascii="宋体" w:hAnsi="宋体"/>
          <w:color w:val="auto"/>
          <w:szCs w:val="21"/>
          <w:highlight w:val="none"/>
        </w:rPr>
        <w:t>。</w:t>
      </w:r>
    </w:p>
    <w:p w14:paraId="752C0A37">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严重不平衡报价是指：清单子目综合单价与发包人按照第10.4.1项〔变更估价原则〕（3）目约定确定的综合单价相比，高于50%（即严重不平衡报价清单子目综合单价 - 按照第10.4.1项〔变更估价原则〕（3）目约定确定的综合单价）/按照第10.4.1项〔变更估价原则〕（3）目约定确定的综合单价×100%</w:t>
      </w:r>
      <w:r>
        <w:rPr>
          <w:rFonts w:hint="eastAsia" w:ascii="宋体" w:hAnsi="宋体"/>
          <w:color w:val="auto"/>
          <w:szCs w:val="21"/>
          <w:highlight w:val="none"/>
        </w:rPr>
        <w:t>。</w:t>
      </w:r>
    </w:p>
    <w:p w14:paraId="7B031080">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1745" w:name="_Toc532377382"/>
      <w:bookmarkStart w:id="1746" w:name="_Toc532375646"/>
      <w:r>
        <w:rPr>
          <w:rFonts w:hint="eastAsia"/>
          <w:color w:val="auto"/>
          <w:kern w:val="2"/>
          <w:sz w:val="21"/>
          <w:szCs w:val="21"/>
          <w:highlight w:val="none"/>
        </w:rPr>
        <w:t xml:space="preserve">12. </w:t>
      </w:r>
      <w:bookmarkEnd w:id="1723"/>
      <w:bookmarkEnd w:id="1724"/>
      <w:bookmarkEnd w:id="1725"/>
      <w:bookmarkEnd w:id="1726"/>
      <w:bookmarkEnd w:id="1727"/>
      <w:bookmarkEnd w:id="1728"/>
      <w:bookmarkEnd w:id="1729"/>
      <w:bookmarkEnd w:id="1730"/>
      <w:bookmarkEnd w:id="1731"/>
      <w:bookmarkEnd w:id="1732"/>
      <w:r>
        <w:rPr>
          <w:rFonts w:hint="eastAsia"/>
          <w:color w:val="auto"/>
          <w:kern w:val="2"/>
          <w:sz w:val="21"/>
          <w:szCs w:val="21"/>
          <w:highlight w:val="none"/>
        </w:rPr>
        <w:t>合同价格、计量与支付</w:t>
      </w:r>
      <w:bookmarkEnd w:id="1733"/>
      <w:bookmarkEnd w:id="1745"/>
      <w:bookmarkEnd w:id="1746"/>
    </w:p>
    <w:bookmarkEnd w:id="1734"/>
    <w:bookmarkEnd w:id="1735"/>
    <w:bookmarkEnd w:id="1736"/>
    <w:bookmarkEnd w:id="1737"/>
    <w:bookmarkEnd w:id="1738"/>
    <w:bookmarkEnd w:id="1739"/>
    <w:p w14:paraId="459787AA">
      <w:pPr>
        <w:pStyle w:val="7"/>
        <w:spacing w:before="0" w:beforeAutospacing="0" w:after="0" w:afterAutospacing="0" w:line="360" w:lineRule="auto"/>
        <w:ind w:firstLine="422" w:firstLineChars="200"/>
        <w:rPr>
          <w:color w:val="auto"/>
          <w:sz w:val="21"/>
          <w:szCs w:val="21"/>
          <w:highlight w:val="none"/>
        </w:rPr>
      </w:pPr>
      <w:bookmarkStart w:id="1747" w:name="_Toc292559916"/>
      <w:bookmarkStart w:id="1748" w:name="_Toc292559411"/>
      <w:bookmarkStart w:id="1749" w:name="_Toc267251461"/>
      <w:bookmarkStart w:id="1750" w:name="_Toc296347205"/>
      <w:bookmarkStart w:id="1751" w:name="_Toc296891034"/>
      <w:bookmarkStart w:id="1752" w:name="_Toc296944545"/>
      <w:bookmarkStart w:id="1753" w:name="_Toc296503206"/>
      <w:bookmarkStart w:id="1754" w:name="_Toc297120506"/>
      <w:bookmarkStart w:id="1755" w:name="_Toc297048392"/>
      <w:bookmarkStart w:id="1756" w:name="_Toc296891246"/>
      <w:bookmarkStart w:id="1757" w:name="_Toc296346707"/>
      <w:bookmarkStart w:id="1758" w:name="_Toc532377383"/>
      <w:bookmarkStart w:id="1759" w:name="_Toc532375647"/>
      <w:bookmarkStart w:id="1760" w:name="_Toc297216212"/>
      <w:bookmarkStart w:id="1761" w:name="_Toc303539160"/>
      <w:bookmarkStart w:id="1762" w:name="_Toc312678041"/>
      <w:bookmarkStart w:id="1763" w:name="_Toc297123553"/>
      <w:bookmarkStart w:id="1764" w:name="_Toc304295580"/>
      <w:bookmarkStart w:id="1765" w:name="_Toc300935003"/>
      <w:r>
        <w:rPr>
          <w:rFonts w:hint="eastAsia"/>
          <w:color w:val="auto"/>
          <w:sz w:val="21"/>
          <w:szCs w:val="21"/>
          <w:highlight w:val="none"/>
        </w:rPr>
        <w:t>12.1 合</w:t>
      </w:r>
      <w:bookmarkEnd w:id="1747"/>
      <w:bookmarkEnd w:id="1748"/>
      <w:bookmarkEnd w:id="1749"/>
      <w:r>
        <w:rPr>
          <w:rFonts w:hint="eastAsia"/>
          <w:color w:val="auto"/>
          <w:sz w:val="21"/>
          <w:szCs w:val="21"/>
          <w:highlight w:val="none"/>
        </w:rPr>
        <w:t>同价</w:t>
      </w:r>
      <w:bookmarkEnd w:id="1750"/>
      <w:bookmarkEnd w:id="1751"/>
      <w:bookmarkEnd w:id="1752"/>
      <w:bookmarkEnd w:id="1753"/>
      <w:bookmarkEnd w:id="1754"/>
      <w:bookmarkEnd w:id="1755"/>
      <w:bookmarkEnd w:id="1756"/>
      <w:bookmarkEnd w:id="1757"/>
      <w:r>
        <w:rPr>
          <w:rFonts w:hint="eastAsia"/>
          <w:color w:val="auto"/>
          <w:sz w:val="21"/>
          <w:szCs w:val="21"/>
          <w:highlight w:val="none"/>
        </w:rPr>
        <w:t>格形式</w:t>
      </w:r>
      <w:bookmarkEnd w:id="1758"/>
      <w:bookmarkEnd w:id="1759"/>
    </w:p>
    <w:bookmarkEnd w:id="1760"/>
    <w:bookmarkEnd w:id="1761"/>
    <w:bookmarkEnd w:id="1762"/>
    <w:bookmarkEnd w:id="1763"/>
    <w:bookmarkEnd w:id="1764"/>
    <w:bookmarkEnd w:id="1765"/>
    <w:p w14:paraId="6E61DEF6">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1、单价合同。</w:t>
      </w:r>
    </w:p>
    <w:p w14:paraId="4F7F4BB7">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综合单价包含的风险范围：</w:t>
      </w:r>
      <w:r>
        <w:rPr>
          <w:rFonts w:hint="eastAsia" w:ascii="宋体" w:hAnsi="宋体"/>
          <w:color w:val="auto"/>
          <w:szCs w:val="21"/>
          <w:highlight w:val="none"/>
          <w:u w:val="single"/>
        </w:rPr>
        <w:t>包括但不限于为实施和完成合同工程所需的人工费、材料费、施工机具使用费、企业管理费、利润、风险费、施工技术措施项目费、施工组织措施项目费及缺陷修复等费用，以及</w:t>
      </w:r>
      <w:bookmarkStart w:id="1766" w:name="_Hlk528508096"/>
      <w:r>
        <w:rPr>
          <w:rFonts w:hint="eastAsia" w:ascii="宋体" w:hAnsi="宋体"/>
          <w:color w:val="auto"/>
          <w:szCs w:val="21"/>
          <w:highlight w:val="none"/>
          <w:u w:val="single"/>
        </w:rPr>
        <w:t>第11.1款〔市场价格波动引起的调整〕约定范围内的市场价格波动风险、政策性文件规定的各项应有费用、</w:t>
      </w:r>
      <w:bookmarkEnd w:id="1766"/>
      <w:r>
        <w:rPr>
          <w:rFonts w:hint="eastAsia" w:ascii="宋体" w:hAnsi="宋体"/>
          <w:color w:val="auto"/>
          <w:szCs w:val="21"/>
          <w:highlight w:val="none"/>
          <w:u w:val="single"/>
        </w:rPr>
        <w:t>招标文件和合同明示或暗示的应由承包人承担的所有责任、义务和风险等所需的费用</w:t>
      </w:r>
      <w:r>
        <w:rPr>
          <w:rFonts w:hint="eastAsia" w:ascii="宋体" w:hAnsi="宋体"/>
          <w:color w:val="auto"/>
          <w:szCs w:val="21"/>
          <w:highlight w:val="none"/>
        </w:rPr>
        <w:t>。</w:t>
      </w:r>
    </w:p>
    <w:p w14:paraId="52BCF69F">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风险费用的计算方法：</w:t>
      </w:r>
      <w:r>
        <w:rPr>
          <w:rFonts w:hint="eastAsia" w:ascii="宋体" w:hAnsi="宋体"/>
          <w:color w:val="auto"/>
          <w:szCs w:val="21"/>
          <w:highlight w:val="none"/>
          <w:u w:val="single"/>
        </w:rPr>
        <w:t>由承包人自行考虑并计入签约合同价格中，包干使用</w:t>
      </w:r>
      <w:r>
        <w:rPr>
          <w:rFonts w:hint="eastAsia" w:ascii="宋体" w:hAnsi="宋体"/>
          <w:color w:val="auto"/>
          <w:szCs w:val="21"/>
          <w:highlight w:val="none"/>
        </w:rPr>
        <w:t>。</w:t>
      </w:r>
    </w:p>
    <w:p w14:paraId="62E1C175">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风险范围以外合同价格的调整方法：</w:t>
      </w:r>
      <w:r>
        <w:rPr>
          <w:rFonts w:hint="eastAsia" w:ascii="宋体" w:hAnsi="宋体"/>
          <w:color w:val="auto"/>
          <w:szCs w:val="21"/>
          <w:highlight w:val="none"/>
          <w:u w:val="single"/>
        </w:rPr>
        <w:t>按照合同相关条款约定执行</w:t>
      </w:r>
      <w:r>
        <w:rPr>
          <w:rFonts w:hint="eastAsia" w:ascii="宋体" w:hAnsi="宋体"/>
          <w:color w:val="auto"/>
          <w:szCs w:val="21"/>
          <w:highlight w:val="none"/>
        </w:rPr>
        <w:t>。</w:t>
      </w:r>
    </w:p>
    <w:p w14:paraId="17AB2B72">
      <w:pPr>
        <w:pStyle w:val="7"/>
        <w:spacing w:before="0" w:beforeAutospacing="0" w:after="0" w:afterAutospacing="0" w:line="360" w:lineRule="auto"/>
        <w:ind w:firstLine="422" w:firstLineChars="200"/>
        <w:rPr>
          <w:color w:val="auto"/>
          <w:sz w:val="21"/>
          <w:szCs w:val="21"/>
          <w:highlight w:val="none"/>
        </w:rPr>
      </w:pPr>
      <w:bookmarkStart w:id="1767" w:name="_Toc532375648"/>
      <w:bookmarkStart w:id="1768" w:name="_Toc532377384"/>
      <w:bookmarkStart w:id="1769" w:name="_Toc304295581"/>
      <w:bookmarkStart w:id="1770" w:name="_Toc303539161"/>
      <w:bookmarkStart w:id="1771" w:name="_Toc300935004"/>
      <w:bookmarkStart w:id="1772" w:name="_Toc297123554"/>
      <w:bookmarkStart w:id="1773" w:name="_Toc312678042"/>
      <w:bookmarkStart w:id="1774" w:name="_Toc297216213"/>
      <w:bookmarkStart w:id="1775" w:name="_Toc296891247"/>
      <w:bookmarkStart w:id="1776" w:name="_Toc292559412"/>
      <w:bookmarkStart w:id="1777" w:name="_Toc297120507"/>
      <w:bookmarkStart w:id="1778" w:name="_Toc296503207"/>
      <w:bookmarkStart w:id="1779" w:name="_Toc296347206"/>
      <w:bookmarkStart w:id="1780" w:name="_Toc292559917"/>
      <w:bookmarkStart w:id="1781" w:name="_Toc296891035"/>
      <w:bookmarkStart w:id="1782" w:name="_Toc296346708"/>
      <w:bookmarkStart w:id="1783" w:name="_Toc297048393"/>
      <w:bookmarkStart w:id="1784" w:name="_Toc296944546"/>
      <w:r>
        <w:rPr>
          <w:rFonts w:hint="eastAsia"/>
          <w:color w:val="auto"/>
          <w:sz w:val="21"/>
          <w:szCs w:val="21"/>
          <w:highlight w:val="none"/>
        </w:rPr>
        <w:t>12.2 预付款</w:t>
      </w:r>
      <w:bookmarkEnd w:id="1767"/>
      <w:bookmarkEnd w:id="1768"/>
    </w:p>
    <w:bookmarkEnd w:id="1769"/>
    <w:bookmarkEnd w:id="1770"/>
    <w:bookmarkEnd w:id="1771"/>
    <w:bookmarkEnd w:id="1772"/>
    <w:bookmarkEnd w:id="1773"/>
    <w:bookmarkEnd w:id="1774"/>
    <w:p w14:paraId="5BAC833E">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12.2.1 预付款的支付</w:t>
      </w:r>
    </w:p>
    <w:p w14:paraId="52F98B89">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预付款支付比例或金额：</w:t>
      </w:r>
      <w:r>
        <w:rPr>
          <w:rFonts w:hint="eastAsia" w:ascii="宋体" w:hAnsi="宋体"/>
          <w:color w:val="auto"/>
          <w:szCs w:val="21"/>
          <w:highlight w:val="none"/>
          <w:u w:val="single"/>
        </w:rPr>
        <w:t xml:space="preserve"> 10%  </w:t>
      </w:r>
      <w:r>
        <w:rPr>
          <w:rFonts w:hint="eastAsia" w:ascii="宋体" w:hAnsi="宋体"/>
          <w:color w:val="auto"/>
          <w:szCs w:val="21"/>
          <w:highlight w:val="none"/>
        </w:rPr>
        <w:t>。</w:t>
      </w:r>
    </w:p>
    <w:p w14:paraId="61B59CB3">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预付款支付期限：</w:t>
      </w:r>
      <w:r>
        <w:rPr>
          <w:rFonts w:hint="eastAsia" w:ascii="宋体" w:hAnsi="宋体"/>
          <w:color w:val="auto"/>
          <w:szCs w:val="21"/>
          <w:highlight w:val="none"/>
          <w:u w:val="single"/>
        </w:rPr>
        <w:t>预付款担保提交后7天内</w:t>
      </w:r>
      <w:r>
        <w:rPr>
          <w:rFonts w:hint="eastAsia" w:ascii="宋体" w:hAnsi="宋体"/>
          <w:color w:val="auto"/>
          <w:szCs w:val="21"/>
          <w:highlight w:val="none"/>
        </w:rPr>
        <w:t>。</w:t>
      </w:r>
    </w:p>
    <w:p w14:paraId="0CBE053A">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预付款扣回的方式：</w:t>
      </w:r>
      <w:r>
        <w:rPr>
          <w:rFonts w:hint="eastAsia" w:ascii="宋体" w:hAnsi="宋体"/>
          <w:color w:val="auto"/>
          <w:szCs w:val="21"/>
          <w:highlight w:val="none"/>
          <w:u w:val="single"/>
        </w:rPr>
        <w:t>第一次和第二次进度款支付时等额（按50%）抵扣进度款</w:t>
      </w:r>
      <w:r>
        <w:rPr>
          <w:rFonts w:hint="eastAsia" w:ascii="宋体" w:hAnsi="宋体"/>
          <w:color w:val="auto"/>
          <w:szCs w:val="21"/>
          <w:highlight w:val="none"/>
        </w:rPr>
        <w:t>。</w:t>
      </w:r>
    </w:p>
    <w:p w14:paraId="1F7FA7EF">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12.2.2 预付款担保</w:t>
      </w:r>
    </w:p>
    <w:bookmarkEnd w:id="1775"/>
    <w:bookmarkEnd w:id="1776"/>
    <w:bookmarkEnd w:id="1777"/>
    <w:bookmarkEnd w:id="1778"/>
    <w:bookmarkEnd w:id="1779"/>
    <w:bookmarkEnd w:id="1780"/>
    <w:bookmarkEnd w:id="1781"/>
    <w:bookmarkEnd w:id="1782"/>
    <w:bookmarkEnd w:id="1783"/>
    <w:bookmarkEnd w:id="1784"/>
    <w:p w14:paraId="2700B1F1">
      <w:pPr>
        <w:spacing w:line="360" w:lineRule="auto"/>
        <w:ind w:firstLine="420" w:firstLineChars="200"/>
        <w:jc w:val="left"/>
        <w:rPr>
          <w:rFonts w:ascii="宋体" w:hAnsi="宋体"/>
          <w:color w:val="auto"/>
          <w:szCs w:val="21"/>
          <w:highlight w:val="none"/>
        </w:rPr>
      </w:pPr>
      <w:bookmarkStart w:id="1785" w:name="_Toc532377385"/>
      <w:bookmarkStart w:id="1786" w:name="_Toc532375649"/>
      <w:r>
        <w:rPr>
          <w:rFonts w:hint="eastAsia" w:ascii="宋体" w:hAnsi="宋体"/>
          <w:color w:val="auto"/>
          <w:szCs w:val="21"/>
          <w:highlight w:val="none"/>
        </w:rPr>
        <w:t>承包人提交预付款担保的期限：</w:t>
      </w:r>
      <w:r>
        <w:rPr>
          <w:rFonts w:hint="eastAsia" w:ascii="宋体" w:hAnsi="宋体"/>
          <w:color w:val="auto"/>
          <w:szCs w:val="21"/>
          <w:highlight w:val="none"/>
          <w:u w:val="single"/>
        </w:rPr>
        <w:t>合同签订后7天内</w:t>
      </w:r>
      <w:r>
        <w:rPr>
          <w:rFonts w:hint="eastAsia" w:ascii="宋体" w:hAnsi="宋体"/>
          <w:color w:val="auto"/>
          <w:szCs w:val="21"/>
          <w:highlight w:val="none"/>
        </w:rPr>
        <w:t>。</w:t>
      </w:r>
    </w:p>
    <w:p w14:paraId="377BA513">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预付款担保的形式为：</w:t>
      </w:r>
      <w:r>
        <w:rPr>
          <w:rFonts w:hint="eastAsia" w:ascii="宋体" w:hAnsi="宋体"/>
          <w:color w:val="auto"/>
          <w:szCs w:val="21"/>
          <w:highlight w:val="none"/>
          <w:u w:val="single"/>
        </w:rPr>
        <w:t>不可撤销见索即付银行保函</w:t>
      </w:r>
      <w:r>
        <w:rPr>
          <w:rFonts w:hint="eastAsia" w:ascii="宋体" w:hAnsi="宋体"/>
          <w:color w:val="auto"/>
          <w:szCs w:val="21"/>
          <w:highlight w:val="none"/>
        </w:rPr>
        <w:t>。</w:t>
      </w:r>
    </w:p>
    <w:p w14:paraId="34C46EB9">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预付款担保的金额：</w:t>
      </w:r>
      <w:r>
        <w:rPr>
          <w:rFonts w:hint="eastAsia" w:ascii="宋体" w:hAnsi="宋体"/>
          <w:color w:val="auto"/>
          <w:szCs w:val="21"/>
          <w:highlight w:val="none"/>
          <w:u w:val="single"/>
        </w:rPr>
        <w:t>合同金额的10%</w:t>
      </w:r>
      <w:r>
        <w:rPr>
          <w:rFonts w:hint="eastAsia" w:ascii="宋体" w:hAnsi="宋体"/>
          <w:color w:val="auto"/>
          <w:szCs w:val="21"/>
          <w:highlight w:val="none"/>
        </w:rPr>
        <w:t>。</w:t>
      </w:r>
    </w:p>
    <w:p w14:paraId="0B6ECD5A">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预付款担保的时间：</w:t>
      </w:r>
      <w:r>
        <w:rPr>
          <w:rFonts w:hint="eastAsia" w:ascii="宋体" w:hAnsi="宋体"/>
          <w:color w:val="auto"/>
          <w:szCs w:val="21"/>
          <w:highlight w:val="none"/>
          <w:u w:val="single"/>
        </w:rPr>
        <w:t>合同签订时</w:t>
      </w:r>
      <w:r>
        <w:rPr>
          <w:rFonts w:hint="eastAsia" w:ascii="宋体" w:hAnsi="宋体"/>
          <w:color w:val="auto"/>
          <w:szCs w:val="21"/>
          <w:highlight w:val="none"/>
        </w:rPr>
        <w:t>。</w:t>
      </w:r>
    </w:p>
    <w:p w14:paraId="515EB83F">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预付款担保的期限：</w:t>
      </w:r>
      <w:r>
        <w:rPr>
          <w:rFonts w:hint="eastAsia" w:ascii="宋体" w:hAnsi="宋体"/>
          <w:color w:val="auto"/>
          <w:szCs w:val="21"/>
          <w:highlight w:val="none"/>
          <w:u w:val="single"/>
        </w:rPr>
        <w:t>至预付款全部扣回时</w:t>
      </w:r>
      <w:r>
        <w:rPr>
          <w:rFonts w:hint="eastAsia" w:ascii="宋体" w:hAnsi="宋体"/>
          <w:color w:val="auto"/>
          <w:szCs w:val="21"/>
          <w:highlight w:val="none"/>
        </w:rPr>
        <w:t>。</w:t>
      </w:r>
    </w:p>
    <w:p w14:paraId="00734B9F">
      <w:pPr>
        <w:pStyle w:val="7"/>
        <w:spacing w:before="0" w:beforeAutospacing="0" w:after="0" w:afterAutospacing="0" w:line="360" w:lineRule="auto"/>
        <w:ind w:firstLine="400" w:firstLineChars="200"/>
        <w:rPr>
          <w:b w:val="0"/>
          <w:bCs w:val="0"/>
          <w:color w:val="auto"/>
          <w:sz w:val="21"/>
          <w:szCs w:val="21"/>
          <w:highlight w:val="none"/>
        </w:rPr>
      </w:pPr>
      <w:r>
        <w:rPr>
          <w:rFonts w:hint="eastAsia"/>
          <w:b w:val="0"/>
          <w:bCs w:val="0"/>
          <w:color w:val="auto"/>
          <w:szCs w:val="21"/>
          <w:highlight w:val="none"/>
        </w:rPr>
        <w:t>预付款担保的退还时间：</w:t>
      </w:r>
      <w:r>
        <w:rPr>
          <w:rFonts w:hint="eastAsia"/>
          <w:b w:val="0"/>
          <w:bCs w:val="0"/>
          <w:color w:val="auto"/>
          <w:szCs w:val="21"/>
          <w:highlight w:val="none"/>
          <w:u w:val="single"/>
        </w:rPr>
        <w:t>至预付款全部扣回时。</w:t>
      </w:r>
    </w:p>
    <w:p w14:paraId="51621769">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12.3 计量</w:t>
      </w:r>
      <w:bookmarkEnd w:id="1785"/>
      <w:bookmarkEnd w:id="1786"/>
    </w:p>
    <w:p w14:paraId="3CF00914">
      <w:pPr>
        <w:spacing w:line="360" w:lineRule="auto"/>
        <w:ind w:firstLine="420" w:firstLineChars="200"/>
        <w:jc w:val="left"/>
        <w:rPr>
          <w:rFonts w:ascii="宋体" w:hAnsi="宋体"/>
          <w:color w:val="auto"/>
          <w:szCs w:val="21"/>
          <w:highlight w:val="none"/>
        </w:rPr>
      </w:pPr>
      <w:bookmarkStart w:id="1787" w:name="_Hlk528928260"/>
      <w:r>
        <w:rPr>
          <w:rFonts w:hint="eastAsia" w:ascii="宋体" w:hAnsi="宋体"/>
          <w:color w:val="auto"/>
          <w:szCs w:val="21"/>
          <w:highlight w:val="none"/>
        </w:rPr>
        <w:t>12.3.1 计量原则</w:t>
      </w:r>
    </w:p>
    <w:p w14:paraId="5118E985">
      <w:pPr>
        <w:tabs>
          <w:tab w:val="left" w:pos="1134"/>
        </w:tabs>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工程量按《房屋建筑与装饰工程工程量计算规范》（GB50854-2013）、《仿古建筑工程工程量计算规范》（GB50855-2013）、《通用安装工程工程量计算规范》（GB50856-2013）、《市政工程工程量计算规范》（GB50857-2013）、《园林绿化工程工程量计算规范》（GB50858-2013）、《矿山工程工程量计算规范》（GB50859-2013）、《构筑物工程工程量计算规范》（GB50860-2013）、《城市轨道交通工程工程量计算规范》（GB50861-2013）和《爆破工程工程量计算规范》（GB50862-2013）《重庆市建设工程工程量清单计价规则》（CQJJGZ-2013）、《重庆市建设工程工程量计算规则》（CQJLGZ-2013）等规定的计算规则及已标价工程量清单规定的工程量计算规则计量。</w:t>
      </w:r>
    </w:p>
    <w:bookmarkEnd w:id="1787"/>
    <w:p w14:paraId="0DB03727">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12.3.2 计量周期</w:t>
      </w:r>
    </w:p>
    <w:p w14:paraId="7C8EA7A6">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关于计量周期的约定：</w:t>
      </w:r>
      <w:r>
        <w:rPr>
          <w:rFonts w:hint="eastAsia" w:ascii="宋体" w:hAnsi="宋体"/>
          <w:color w:val="auto"/>
          <w:szCs w:val="21"/>
          <w:highlight w:val="none"/>
          <w:u w:val="single"/>
        </w:rPr>
        <w:t>按月计量根据具体项目实际情况可以按月、按进度、按节点等形式计量，按进度、按节点计量的参考按月计量原则执行）</w:t>
      </w:r>
      <w:r>
        <w:rPr>
          <w:rFonts w:hint="eastAsia" w:ascii="宋体" w:hAnsi="宋体"/>
          <w:color w:val="auto"/>
          <w:szCs w:val="21"/>
          <w:highlight w:val="none"/>
        </w:rPr>
        <w:t>。</w:t>
      </w:r>
    </w:p>
    <w:p w14:paraId="5427E1CC">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12.3.3 单价合同的计量</w:t>
      </w:r>
    </w:p>
    <w:p w14:paraId="3361C1A1">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关于单价合同计量的约定：</w:t>
      </w:r>
    </w:p>
    <w:p w14:paraId="57D899C5">
      <w:pPr>
        <w:spacing w:line="360" w:lineRule="auto"/>
        <w:ind w:firstLine="420" w:firstLineChars="200"/>
        <w:jc w:val="left"/>
        <w:rPr>
          <w:rFonts w:ascii="宋体" w:hAnsi="宋体"/>
          <w:color w:val="auto"/>
          <w:szCs w:val="21"/>
          <w:highlight w:val="none"/>
          <w:u w:val="single"/>
        </w:rPr>
      </w:pPr>
      <w:bookmarkStart w:id="1788" w:name="_Hlk528926162"/>
      <w:r>
        <w:rPr>
          <w:rFonts w:hint="eastAsia" w:ascii="宋体" w:hAnsi="宋体"/>
          <w:color w:val="auto"/>
          <w:szCs w:val="21"/>
          <w:highlight w:val="none"/>
          <w:u w:val="single"/>
        </w:rPr>
        <w:t>（1）承包人应于当月</w:t>
      </w:r>
      <w:r>
        <w:rPr>
          <w:rFonts w:ascii="宋体" w:hAnsi="宋体"/>
          <w:color w:val="auto"/>
          <w:szCs w:val="21"/>
          <w:highlight w:val="none"/>
          <w:u w:val="single"/>
        </w:rPr>
        <w:t>25</w:t>
      </w:r>
      <w:r>
        <w:rPr>
          <w:rFonts w:hint="eastAsia" w:ascii="宋体" w:hAnsi="宋体"/>
          <w:color w:val="auto"/>
          <w:szCs w:val="21"/>
          <w:highlight w:val="none"/>
          <w:u w:val="single"/>
        </w:rPr>
        <w:t>日前向监理人报送上月已完成的工程量，并附进度付款申请单、已完成工程量报表和其他有关资料</w:t>
      </w:r>
      <w:r>
        <w:rPr>
          <w:rFonts w:hint="eastAsia" w:ascii="宋体" w:hAnsi="宋体"/>
          <w:color w:val="auto"/>
          <w:szCs w:val="21"/>
          <w:highlight w:val="none"/>
        </w:rPr>
        <w:t>。</w:t>
      </w:r>
    </w:p>
    <w:bookmarkEnd w:id="1788"/>
    <w:p w14:paraId="70B385E5">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（2）承包人未在已标价的工程量清单中填入单价和（或）总价的子目，视为该子目的费用已包含合同工程的其他子目的单价或总价中，不再另行计量支付</w:t>
      </w:r>
      <w:r>
        <w:rPr>
          <w:rFonts w:hint="eastAsia" w:ascii="宋体" w:hAnsi="宋体"/>
          <w:color w:val="auto"/>
          <w:szCs w:val="21"/>
          <w:highlight w:val="none"/>
        </w:rPr>
        <w:t>。</w:t>
      </w:r>
    </w:p>
    <w:p w14:paraId="44F1B377">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3）监理人应在收到承包人提交的工程量报表后7天内完成对承包人提交的工程量报表的审核并报送发包人；发包人收到监理人报送资料后7天内完成审批，以确定当月实际完成的工程量。监理人、跟审单位、发包人任一方对工程量有异议的，均有权要求承包人进行共同复核或抽样复测。承包人应协助监理人、跟审单位进行复核或抽样复测，并按监理人要求提供补充计量资料。承包人未按监理人要求参加复核或抽样复测的，监理人复核或修正的工程量视为承包人实际完成的工程量</w:t>
      </w:r>
      <w:r>
        <w:rPr>
          <w:rFonts w:hint="eastAsia" w:ascii="宋体" w:hAnsi="宋体"/>
          <w:color w:val="auto"/>
          <w:szCs w:val="21"/>
          <w:highlight w:val="none"/>
        </w:rPr>
        <w:t>。</w:t>
      </w:r>
    </w:p>
    <w:p w14:paraId="7C01964F">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（4）工程量的计量仅作为进度付款和工程施工进度控制的依据，不应认为是承包人履行合同义务完成工程的实际和准确的工程量，实际和准确工程量按竣工图和第12.3.1项〔计量原则〕约定确认的工程量为准</w:t>
      </w:r>
      <w:r>
        <w:rPr>
          <w:rFonts w:hint="eastAsia" w:ascii="宋体" w:hAnsi="宋体"/>
          <w:color w:val="auto"/>
          <w:szCs w:val="21"/>
          <w:highlight w:val="none"/>
        </w:rPr>
        <w:t>。</w:t>
      </w:r>
    </w:p>
    <w:p w14:paraId="75D2CD93">
      <w:pPr>
        <w:pStyle w:val="7"/>
        <w:spacing w:before="0" w:beforeAutospacing="0" w:after="0" w:afterAutospacing="0" w:line="360" w:lineRule="auto"/>
        <w:ind w:firstLine="422" w:firstLineChars="200"/>
        <w:rPr>
          <w:color w:val="auto"/>
          <w:sz w:val="21"/>
          <w:szCs w:val="21"/>
          <w:highlight w:val="none"/>
        </w:rPr>
      </w:pPr>
      <w:bookmarkStart w:id="1789" w:name="_Toc532377386"/>
      <w:bookmarkStart w:id="1790" w:name="_Toc532375650"/>
      <w:bookmarkStart w:id="1791" w:name="_Hlk528928289"/>
      <w:r>
        <w:rPr>
          <w:rFonts w:hint="eastAsia"/>
          <w:color w:val="auto"/>
          <w:sz w:val="21"/>
          <w:szCs w:val="21"/>
          <w:highlight w:val="none"/>
        </w:rPr>
        <w:t>12.4 工程进度款支付</w:t>
      </w:r>
      <w:bookmarkEnd w:id="1789"/>
      <w:bookmarkEnd w:id="1790"/>
    </w:p>
    <w:bookmarkEnd w:id="1791"/>
    <w:p w14:paraId="76B16E78">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12.4.1 付款周期</w:t>
      </w:r>
    </w:p>
    <w:p w14:paraId="5D74F574">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关于付款周期的约定：</w:t>
      </w:r>
      <w:r>
        <w:rPr>
          <w:rFonts w:hint="eastAsia" w:ascii="宋体" w:hAnsi="宋体"/>
          <w:color w:val="auto"/>
          <w:szCs w:val="21"/>
          <w:highlight w:val="none"/>
          <w:u w:val="single"/>
        </w:rPr>
        <w:t>按进度支付进度款，当工程完成至总工程量的20%、40%、60%、80%、初步验收合格，支付比例为完成合格工程量造价80%</w:t>
      </w:r>
      <w:r>
        <w:rPr>
          <w:rFonts w:hint="eastAsia" w:ascii="宋体" w:hAnsi="宋体"/>
          <w:color w:val="auto"/>
          <w:szCs w:val="21"/>
          <w:highlight w:val="none"/>
          <w:u w:val="single"/>
          <w:lang w:val="en-US" w:eastAsia="zh-CN"/>
        </w:rPr>
        <w:t>。</w:t>
      </w:r>
      <w:r>
        <w:rPr>
          <w:rFonts w:hint="eastAsia" w:ascii="宋体" w:hAnsi="宋体"/>
          <w:color w:val="auto"/>
          <w:szCs w:val="21"/>
          <w:highlight w:val="none"/>
          <w:u w:val="single"/>
        </w:rPr>
        <w:t>按12.4.4条款支付工程进度款原则执行</w:t>
      </w:r>
      <w:r>
        <w:rPr>
          <w:rFonts w:hint="eastAsia" w:ascii="宋体" w:hAnsi="宋体"/>
          <w:color w:val="auto"/>
          <w:szCs w:val="21"/>
          <w:highlight w:val="none"/>
        </w:rPr>
        <w:t>。</w:t>
      </w:r>
    </w:p>
    <w:p w14:paraId="1EBFAE77">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12.4.2 进度付款申请单的编制</w:t>
      </w:r>
    </w:p>
    <w:p w14:paraId="625D4021">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进度付款申请单应包括下列内容：</w:t>
      </w:r>
    </w:p>
    <w:p w14:paraId="0DCBB769">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（1）截至本次付款周期已完成工作对应的金额</w:t>
      </w:r>
      <w:r>
        <w:rPr>
          <w:rFonts w:hint="eastAsia" w:ascii="宋体" w:hAnsi="宋体"/>
          <w:color w:val="auto"/>
          <w:szCs w:val="21"/>
          <w:highlight w:val="none"/>
        </w:rPr>
        <w:t>；</w:t>
      </w:r>
    </w:p>
    <w:p w14:paraId="5B1A5F8D">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（2）根据第10条〔变更〕应增加和扣减的已审定变更金额</w:t>
      </w:r>
      <w:r>
        <w:rPr>
          <w:rFonts w:hint="eastAsia" w:ascii="宋体" w:hAnsi="宋体"/>
          <w:color w:val="auto"/>
          <w:szCs w:val="21"/>
          <w:highlight w:val="none"/>
        </w:rPr>
        <w:t>；</w:t>
      </w:r>
    </w:p>
    <w:p w14:paraId="7B9BBF95">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（3）根据第12.2款〔预付款〕约定应支付的预付款和扣减的返还预付款</w:t>
      </w:r>
      <w:r>
        <w:rPr>
          <w:rFonts w:hint="eastAsia" w:ascii="宋体" w:hAnsi="宋体"/>
          <w:color w:val="auto"/>
          <w:szCs w:val="21"/>
          <w:highlight w:val="none"/>
        </w:rPr>
        <w:t>；</w:t>
      </w:r>
    </w:p>
    <w:p w14:paraId="1F14637E">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（4）根据第15.3款〔质量保证金〕约定应扣减的质量保证金</w:t>
      </w:r>
      <w:r>
        <w:rPr>
          <w:rFonts w:hint="eastAsia" w:ascii="宋体" w:hAnsi="宋体"/>
          <w:color w:val="auto"/>
          <w:szCs w:val="21"/>
          <w:highlight w:val="none"/>
        </w:rPr>
        <w:t>；</w:t>
      </w:r>
    </w:p>
    <w:p w14:paraId="0C69C98F">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（5）根据第19条〔索赔〕应增加和扣减的已审定索赔金额</w:t>
      </w:r>
      <w:r>
        <w:rPr>
          <w:rFonts w:hint="eastAsia" w:ascii="宋体" w:hAnsi="宋体"/>
          <w:color w:val="auto"/>
          <w:szCs w:val="21"/>
          <w:highlight w:val="none"/>
        </w:rPr>
        <w:t>；</w:t>
      </w:r>
    </w:p>
    <w:p w14:paraId="304CEBEF">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（6）根据第11条〔价格调整〕应增加和扣减的价格调整金额</w:t>
      </w:r>
      <w:r>
        <w:rPr>
          <w:rFonts w:hint="eastAsia" w:ascii="宋体" w:hAnsi="宋体"/>
          <w:color w:val="auto"/>
          <w:szCs w:val="21"/>
          <w:highlight w:val="none"/>
        </w:rPr>
        <w:t>；</w:t>
      </w:r>
    </w:p>
    <w:p w14:paraId="1C17EF5C">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（7）对已签发的进度款支付证书中出现错误的修正，应在本次进度付款中支付或扣除的金额</w:t>
      </w:r>
      <w:r>
        <w:rPr>
          <w:rFonts w:hint="eastAsia" w:ascii="宋体" w:hAnsi="宋体"/>
          <w:color w:val="auto"/>
          <w:szCs w:val="21"/>
          <w:highlight w:val="none"/>
        </w:rPr>
        <w:t>；</w:t>
      </w:r>
    </w:p>
    <w:p w14:paraId="64BAC69A">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（8）根据合同约定承包人应向发包人支付的违约金</w:t>
      </w:r>
      <w:r>
        <w:rPr>
          <w:rFonts w:hint="eastAsia" w:ascii="宋体" w:hAnsi="宋体"/>
          <w:color w:val="auto"/>
          <w:szCs w:val="21"/>
          <w:highlight w:val="none"/>
        </w:rPr>
        <w:t>；</w:t>
      </w:r>
    </w:p>
    <w:p w14:paraId="0912EE7F">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（9）根据合同约定发包人应向承包人支付的违约金和（或）奖励</w:t>
      </w:r>
      <w:r>
        <w:rPr>
          <w:rFonts w:hint="eastAsia" w:ascii="宋体" w:hAnsi="宋体"/>
          <w:color w:val="auto"/>
          <w:szCs w:val="21"/>
          <w:highlight w:val="none"/>
        </w:rPr>
        <w:t>；</w:t>
      </w:r>
    </w:p>
    <w:p w14:paraId="6F0D9D6C">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u w:val="single"/>
        </w:rPr>
        <w:t>（10）根据合同约定应增加和扣减的其他金额</w:t>
      </w:r>
      <w:r>
        <w:rPr>
          <w:rFonts w:hint="eastAsia" w:ascii="宋体" w:hAnsi="宋体"/>
          <w:color w:val="auto"/>
          <w:szCs w:val="21"/>
          <w:highlight w:val="none"/>
        </w:rPr>
        <w:t>；</w:t>
      </w:r>
    </w:p>
    <w:p w14:paraId="7A6FA712">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（11）当月应支付的人工费（工资款）金额</w:t>
      </w:r>
      <w:r>
        <w:rPr>
          <w:rFonts w:hint="eastAsia" w:ascii="宋体" w:hAnsi="宋体"/>
          <w:color w:val="auto"/>
          <w:szCs w:val="21"/>
          <w:highlight w:val="none"/>
        </w:rPr>
        <w:t>。</w:t>
      </w:r>
    </w:p>
    <w:p w14:paraId="4342CCB7">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12.4.3 进度付款申请单的提交</w:t>
      </w:r>
    </w:p>
    <w:p w14:paraId="7A4657F8">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（1）单价合同进度付款申请单提交的约定：</w:t>
      </w:r>
      <w:r>
        <w:rPr>
          <w:rFonts w:hint="eastAsia" w:ascii="宋体" w:hAnsi="宋体"/>
          <w:color w:val="auto"/>
          <w:szCs w:val="21"/>
          <w:highlight w:val="none"/>
          <w:u w:val="single"/>
        </w:rPr>
        <w:t>按照第12.3.3项〔单价合同的计量〕约定的时间按月向监理人提交，并附上已完成工程量报表、经审核的农民工工资发放的情况说明及有关资料。单价合同中的总价子目按工程形象进度分月计量后汇总列入当期进度付款申请单</w:t>
      </w:r>
      <w:r>
        <w:rPr>
          <w:rFonts w:hint="eastAsia" w:ascii="宋体" w:hAnsi="宋体"/>
          <w:color w:val="auto"/>
          <w:szCs w:val="21"/>
          <w:highlight w:val="none"/>
        </w:rPr>
        <w:t>。</w:t>
      </w:r>
    </w:p>
    <w:p w14:paraId="70C5DA5A">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（2）总价合同进度付款申请单提交的约定：</w:t>
      </w:r>
      <w:r>
        <w:rPr>
          <w:rFonts w:hint="eastAsia" w:ascii="宋体" w:hAnsi="宋体"/>
          <w:color w:val="auto"/>
          <w:szCs w:val="21"/>
          <w:highlight w:val="none"/>
          <w:u w:val="single"/>
        </w:rPr>
        <w:t>按照合同约定的形象进度的计量约定的时间向监理人提交，并附上已完成工程量报表、经审核的农民工工资发放的情况说明及有关资料</w:t>
      </w:r>
      <w:r>
        <w:rPr>
          <w:rFonts w:hint="eastAsia" w:ascii="宋体" w:hAnsi="宋体"/>
          <w:color w:val="auto"/>
          <w:szCs w:val="21"/>
          <w:highlight w:val="none"/>
        </w:rPr>
        <w:t>。</w:t>
      </w:r>
    </w:p>
    <w:p w14:paraId="434E4D71">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（3）其他价格形式合同进度付款申请单提交的约定：</w:t>
      </w:r>
      <w:r>
        <w:rPr>
          <w:rFonts w:hint="eastAsia" w:ascii="宋体" w:hAnsi="宋体"/>
          <w:color w:val="auto"/>
          <w:szCs w:val="21"/>
          <w:highlight w:val="none"/>
          <w:u w:val="single"/>
        </w:rPr>
        <w:t>不采用</w:t>
      </w:r>
      <w:r>
        <w:rPr>
          <w:rFonts w:hint="eastAsia" w:ascii="宋体" w:hAnsi="宋体"/>
          <w:color w:val="auto"/>
          <w:szCs w:val="21"/>
          <w:highlight w:val="none"/>
        </w:rPr>
        <w:t>。</w:t>
      </w:r>
    </w:p>
    <w:p w14:paraId="642E0717">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12.4.4 进度款审核和支付</w:t>
      </w:r>
    </w:p>
    <w:p w14:paraId="2C0218D0">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（1）监理人审查并报送发包人的期限：</w:t>
      </w:r>
      <w:r>
        <w:rPr>
          <w:rFonts w:hint="eastAsia" w:ascii="宋体" w:hAnsi="宋体"/>
          <w:color w:val="auto"/>
          <w:szCs w:val="21"/>
          <w:highlight w:val="none"/>
          <w:u w:val="single"/>
        </w:rPr>
        <w:t>收到完整资料后7天内</w:t>
      </w:r>
      <w:r>
        <w:rPr>
          <w:rFonts w:hint="eastAsia" w:ascii="宋体" w:hAnsi="宋体"/>
          <w:color w:val="auto"/>
          <w:szCs w:val="21"/>
          <w:highlight w:val="none"/>
        </w:rPr>
        <w:t>。</w:t>
      </w:r>
    </w:p>
    <w:p w14:paraId="430744A9">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发包人完成审批并签发进度款支付证书的期限：</w:t>
      </w:r>
      <w:r>
        <w:rPr>
          <w:rFonts w:hint="eastAsia" w:ascii="宋体" w:hAnsi="宋体"/>
          <w:color w:val="auto"/>
          <w:szCs w:val="21"/>
          <w:highlight w:val="none"/>
          <w:u w:val="single"/>
        </w:rPr>
        <w:t>发包人收到监理人报送资料后7天内完成审批并签发进度款支付证书</w:t>
      </w:r>
      <w:r>
        <w:rPr>
          <w:rFonts w:hint="eastAsia" w:ascii="宋体" w:hAnsi="宋体"/>
          <w:color w:val="auto"/>
          <w:szCs w:val="21"/>
          <w:highlight w:val="none"/>
        </w:rPr>
        <w:t>。</w:t>
      </w:r>
    </w:p>
    <w:p w14:paraId="6FEC1A71">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监理人、跟审单位和发包人中任一方对承包人的进度付款申请单有异议的，均有权要求承包人修正和提供补充资料，承包人应提交修正后的进度付款申请单。监理人应在收到承包人修正后的进度付款申请单及相关资料后7天内完成审查并报送发包人，发包人收到监理人报送资料后7天内完成审批并向承包人签发无异议部分的临时进度款支付证书。存在争议的部分，按照合同约定的争议解决的约定处理。</w:t>
      </w:r>
    </w:p>
    <w:p w14:paraId="69E23E90">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发包人签发进度款支付证书或临时进度款支付证书，不表明发包人已同意、批准或接受了承包人完成的相应部分的工作。</w:t>
      </w:r>
    </w:p>
    <w:p w14:paraId="209C2F43">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（2）进度款支付：</w:t>
      </w:r>
    </w:p>
    <w:p w14:paraId="30B6F3B4">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①发包人将上月农民工工资支付凭证作为当月进度款支付的前置条件。</w:t>
      </w:r>
    </w:p>
    <w:p w14:paraId="5BEB04B6">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rPr>
        <w:t>②安全文明施工费：</w:t>
      </w:r>
      <w:r>
        <w:rPr>
          <w:rFonts w:hint="eastAsia" w:ascii="宋体" w:hAnsi="宋体"/>
          <w:color w:val="auto"/>
          <w:szCs w:val="21"/>
          <w:highlight w:val="none"/>
          <w:u w:val="single"/>
        </w:rPr>
        <w:t>合同签订后，发包人在开工前按签约合同价中安全文明施工费的50％支付承包人，用于现场安全文明施工建设，余下安全文明施工费按施工进度支付</w:t>
      </w:r>
      <w:r>
        <w:rPr>
          <w:rFonts w:hint="eastAsia" w:ascii="宋体" w:hAnsi="宋体"/>
          <w:color w:val="auto"/>
          <w:szCs w:val="21"/>
          <w:highlight w:val="none"/>
        </w:rPr>
        <w:t>。</w:t>
      </w:r>
    </w:p>
    <w:p w14:paraId="29854443">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③工程完工20%工程量时，发包人向承包人支付已完成合格工程80%工程款；</w:t>
      </w:r>
    </w:p>
    <w:p w14:paraId="1DCFDAE6">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④工程完工40%工程量时，发包人向承包人支付已完成合格工程80%工程款；</w:t>
      </w:r>
    </w:p>
    <w:p w14:paraId="52E402C5">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⑤工程完工60%工程量时，发包人向承包人支付已完成合格工程80%工程款；</w:t>
      </w:r>
    </w:p>
    <w:p w14:paraId="3DE57BFF">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⑥工程完工80%工程量时，发包人向承包人支付已完成合格工程80%工程款，支付至合同金额的80%后不再支付；</w:t>
      </w:r>
    </w:p>
    <w:p w14:paraId="380A2BAA">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⑦工程完工初步验收合格后，发包人向承包人支付已完成合格工程80%工程款，支付至合同金额的80%后不再支付；</w:t>
      </w:r>
    </w:p>
    <w:p w14:paraId="36DE8330">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⑧工程竣工验收合格且经结算审计后，由承包人先按结算审计金额的3%向发包人缴纳质量保证金后，发包人向承包人支付至结算审计价款的100%。</w:t>
      </w:r>
    </w:p>
    <w:p w14:paraId="36F3F458">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⑨缺陷责任期24个月满后且无质量问题的，发包人在10个工作日内无息退还承包人的质量保证金。</w:t>
      </w:r>
    </w:p>
    <w:p w14:paraId="61D65AAF">
      <w:pPr>
        <w:pStyle w:val="7"/>
        <w:spacing w:before="0" w:beforeAutospacing="0" w:after="0" w:afterAutospacing="0" w:line="360" w:lineRule="auto"/>
        <w:ind w:firstLine="632" w:firstLineChars="300"/>
        <w:rPr>
          <w:color w:val="auto"/>
          <w:sz w:val="21"/>
          <w:szCs w:val="21"/>
          <w:highlight w:val="none"/>
        </w:rPr>
      </w:pPr>
      <w:bookmarkStart w:id="1792" w:name="_Toc532377387"/>
      <w:bookmarkStart w:id="1793" w:name="_Toc351203585"/>
      <w:r>
        <w:rPr>
          <w:rFonts w:hint="eastAsia"/>
          <w:color w:val="auto"/>
          <w:sz w:val="21"/>
          <w:szCs w:val="21"/>
          <w:highlight w:val="none"/>
        </w:rPr>
        <w:t>12.5支付账户</w:t>
      </w:r>
      <w:bookmarkEnd w:id="1792"/>
      <w:bookmarkEnd w:id="1793"/>
    </w:p>
    <w:p w14:paraId="152E043A">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发包人应将合同价款支付至如下承包人指定的开户银行及银行账户：</w:t>
      </w:r>
    </w:p>
    <w:p w14:paraId="650BE9E0">
      <w:pPr>
        <w:spacing w:line="360" w:lineRule="auto"/>
        <w:ind w:firstLine="420" w:firstLineChars="200"/>
        <w:jc w:val="left"/>
        <w:rPr>
          <w:rFonts w:ascii="宋体" w:hAnsi="宋体"/>
          <w:color w:val="auto"/>
          <w:kern w:val="0"/>
          <w:szCs w:val="21"/>
          <w:highlight w:val="none"/>
          <w:u w:val="single"/>
        </w:rPr>
      </w:pPr>
      <w:r>
        <w:rPr>
          <w:rFonts w:hint="eastAsia" w:ascii="宋体" w:hAnsi="宋体"/>
          <w:color w:val="auto"/>
          <w:kern w:val="0"/>
          <w:szCs w:val="21"/>
          <w:highlight w:val="none"/>
        </w:rPr>
        <w:t>收款单位名称：</w:t>
      </w:r>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p>
    <w:p w14:paraId="550386BD">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收款账号：</w:t>
      </w:r>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p>
    <w:p w14:paraId="76E8D86F">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收款开户银行：</w:t>
      </w:r>
      <w:r>
        <w:rPr>
          <w:rFonts w:ascii="宋体" w:hAnsi="宋体"/>
          <w:color w:val="auto"/>
          <w:kern w:val="0"/>
          <w:szCs w:val="21"/>
          <w:highlight w:val="none"/>
          <w:u w:val="single"/>
        </w:rPr>
        <w:t xml:space="preserve">                              </w:t>
      </w:r>
      <w:r>
        <w:rPr>
          <w:rFonts w:hint="eastAsia" w:ascii="宋体" w:hAnsi="宋体"/>
          <w:color w:val="auto"/>
          <w:kern w:val="0"/>
          <w:szCs w:val="21"/>
          <w:highlight w:val="none"/>
        </w:rPr>
        <w:t>。</w:t>
      </w:r>
    </w:p>
    <w:p w14:paraId="33431C4C">
      <w:pPr>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发包人应按行业主管部门的相关规定将人工费（工资款）支付至承包人指定的农民工工资专用账户。</w:t>
      </w:r>
    </w:p>
    <w:p w14:paraId="1B857C9D">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1794" w:name="_Toc351203645"/>
      <w:bookmarkStart w:id="1795" w:name="_Toc532377388"/>
      <w:bookmarkStart w:id="1796" w:name="_Toc532375651"/>
      <w:bookmarkStart w:id="1797" w:name="_Toc292559424"/>
      <w:bookmarkStart w:id="1798" w:name="_Toc297123564"/>
      <w:bookmarkStart w:id="1799" w:name="_Toc297216223"/>
      <w:bookmarkStart w:id="1800" w:name="_Toc297048405"/>
      <w:bookmarkStart w:id="1801" w:name="_Toc292559929"/>
      <w:bookmarkStart w:id="1802" w:name="_Toc297120519"/>
      <w:bookmarkStart w:id="1803" w:name="_Toc296503219"/>
      <w:bookmarkStart w:id="1804" w:name="_Toc300935015"/>
      <w:bookmarkStart w:id="1805" w:name="_Toc296347218"/>
      <w:bookmarkStart w:id="1806" w:name="_Toc296944558"/>
      <w:bookmarkStart w:id="1807" w:name="_Toc312678053"/>
      <w:bookmarkStart w:id="1808" w:name="_Toc303539172"/>
      <w:bookmarkStart w:id="1809" w:name="_Toc304295593"/>
      <w:bookmarkStart w:id="1810" w:name="_Toc296891259"/>
      <w:bookmarkStart w:id="1811" w:name="_Toc296891047"/>
      <w:bookmarkStart w:id="1812" w:name="_Toc296346720"/>
      <w:r>
        <w:rPr>
          <w:rFonts w:hint="eastAsia"/>
          <w:color w:val="auto"/>
          <w:kern w:val="2"/>
          <w:sz w:val="21"/>
          <w:szCs w:val="21"/>
          <w:highlight w:val="none"/>
        </w:rPr>
        <w:t>13. 验收和工程试车</w:t>
      </w:r>
      <w:bookmarkEnd w:id="1794"/>
      <w:bookmarkEnd w:id="1795"/>
      <w:bookmarkEnd w:id="1796"/>
    </w:p>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p w14:paraId="4474C10C">
      <w:pPr>
        <w:pStyle w:val="7"/>
        <w:spacing w:before="0" w:beforeAutospacing="0" w:after="0" w:afterAutospacing="0" w:line="360" w:lineRule="auto"/>
        <w:ind w:firstLine="422" w:firstLineChars="200"/>
        <w:rPr>
          <w:color w:val="auto"/>
          <w:sz w:val="21"/>
          <w:szCs w:val="21"/>
          <w:highlight w:val="none"/>
        </w:rPr>
      </w:pPr>
      <w:bookmarkStart w:id="1813" w:name="_Toc532377389"/>
      <w:bookmarkStart w:id="1814" w:name="_Toc532375652"/>
      <w:bookmarkStart w:id="1815" w:name="_Toc280868704"/>
      <w:bookmarkStart w:id="1816" w:name="_Toc280868705"/>
      <w:bookmarkStart w:id="1817" w:name="_Toc280868706"/>
      <w:bookmarkStart w:id="1818" w:name="_Toc280868707"/>
      <w:bookmarkStart w:id="1819" w:name="_Toc280868708"/>
      <w:bookmarkStart w:id="1820" w:name="_Toc280868709"/>
      <w:bookmarkStart w:id="1821" w:name="_Toc267251473"/>
      <w:bookmarkStart w:id="1822" w:name="_Toc267251475"/>
      <w:bookmarkStart w:id="1823" w:name="_Toc267251470"/>
      <w:bookmarkStart w:id="1824" w:name="_Toc267251472"/>
      <w:bookmarkStart w:id="1825" w:name="_Toc267251471"/>
      <w:bookmarkStart w:id="1826" w:name="_Toc267251476"/>
      <w:bookmarkStart w:id="1827" w:name="_Toc267251474"/>
      <w:r>
        <w:rPr>
          <w:rFonts w:hint="eastAsia"/>
          <w:color w:val="auto"/>
          <w:sz w:val="21"/>
          <w:szCs w:val="21"/>
          <w:highlight w:val="none"/>
        </w:rPr>
        <w:t>13.1 分部分项工程验收</w:t>
      </w:r>
      <w:bookmarkEnd w:id="1813"/>
      <w:bookmarkEnd w:id="1814"/>
    </w:p>
    <w:p w14:paraId="1B902AD1">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13.1.2 监理人不能按时进行验收时，应提前</w:t>
      </w:r>
      <w:r>
        <w:rPr>
          <w:rFonts w:hint="eastAsia" w:ascii="宋体" w:hAnsi="宋体"/>
          <w:color w:val="auto"/>
          <w:szCs w:val="21"/>
          <w:highlight w:val="none"/>
          <w:u w:val="single"/>
        </w:rPr>
        <w:t>24</w:t>
      </w:r>
      <w:r>
        <w:rPr>
          <w:rFonts w:hint="eastAsia" w:ascii="宋体" w:hAnsi="宋体"/>
          <w:color w:val="auto"/>
          <w:szCs w:val="21"/>
          <w:highlight w:val="none"/>
        </w:rPr>
        <w:t>小时提交书面延期要求。</w:t>
      </w:r>
    </w:p>
    <w:p w14:paraId="252B4F88">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关于延期最长不得超过：</w:t>
      </w:r>
      <w:r>
        <w:rPr>
          <w:rFonts w:hint="eastAsia" w:ascii="宋体" w:hAnsi="宋体"/>
          <w:color w:val="auto"/>
          <w:szCs w:val="21"/>
          <w:highlight w:val="none"/>
          <w:u w:val="single"/>
        </w:rPr>
        <w:t>48</w:t>
      </w:r>
      <w:r>
        <w:rPr>
          <w:rFonts w:hint="eastAsia" w:ascii="宋体" w:hAnsi="宋体"/>
          <w:color w:val="auto"/>
          <w:szCs w:val="21"/>
          <w:highlight w:val="none"/>
        </w:rPr>
        <w:t>小时。</w:t>
      </w:r>
    </w:p>
    <w:p w14:paraId="178E0C49">
      <w:pPr>
        <w:pStyle w:val="7"/>
        <w:spacing w:before="0" w:beforeAutospacing="0" w:after="0" w:afterAutospacing="0" w:line="360" w:lineRule="auto"/>
        <w:ind w:firstLine="422" w:firstLineChars="200"/>
        <w:rPr>
          <w:color w:val="auto"/>
          <w:sz w:val="21"/>
          <w:szCs w:val="21"/>
          <w:highlight w:val="none"/>
        </w:rPr>
      </w:pPr>
      <w:bookmarkStart w:id="1828" w:name="_Toc532375653"/>
      <w:bookmarkStart w:id="1829" w:name="_Toc532377390"/>
      <w:bookmarkStart w:id="1830" w:name="_Toc296891263"/>
      <w:bookmarkStart w:id="1831" w:name="_Toc292559933"/>
      <w:bookmarkStart w:id="1832" w:name="_Toc304295596"/>
      <w:bookmarkStart w:id="1833" w:name="_Toc300935016"/>
      <w:bookmarkStart w:id="1834" w:name="_Toc296346724"/>
      <w:bookmarkStart w:id="1835" w:name="_Toc297048409"/>
      <w:bookmarkStart w:id="1836" w:name="_Toc312678056"/>
      <w:bookmarkStart w:id="1837" w:name="_Toc297123565"/>
      <w:bookmarkStart w:id="1838" w:name="_Toc296503223"/>
      <w:bookmarkStart w:id="1839" w:name="_Toc297120523"/>
      <w:bookmarkStart w:id="1840" w:name="_Toc296347222"/>
      <w:bookmarkStart w:id="1841" w:name="_Toc297216224"/>
      <w:bookmarkStart w:id="1842" w:name="_Toc303539173"/>
      <w:bookmarkStart w:id="1843" w:name="_Toc296891051"/>
      <w:bookmarkStart w:id="1844" w:name="_Toc292559428"/>
      <w:bookmarkStart w:id="1845" w:name="_Toc296944562"/>
      <w:r>
        <w:rPr>
          <w:rFonts w:hint="eastAsia"/>
          <w:color w:val="auto"/>
          <w:sz w:val="21"/>
          <w:szCs w:val="21"/>
          <w:highlight w:val="none"/>
        </w:rPr>
        <w:t>13.2 竣工验收</w:t>
      </w:r>
      <w:bookmarkEnd w:id="1828"/>
      <w:bookmarkEnd w:id="1829"/>
    </w:p>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p w14:paraId="12DCD9D4">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13.2.2竣工验收程序</w:t>
      </w:r>
    </w:p>
    <w:bookmarkEnd w:id="1815"/>
    <w:p w14:paraId="3F38BD3B">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关于竣工验收程序的约定：工程完工且符合下列条件时，承包人可向发包人提供竣工报告，并要求验收：</w:t>
      </w:r>
    </w:p>
    <w:p w14:paraId="7CE3D29F">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（1）除发包人同意的甩项工作和缺陷修补工作外，合同范围内的全部工程以及有关工作，包括合同要求的试验、试运行以及检验均已完成，并符合合同要求；</w:t>
      </w:r>
    </w:p>
    <w:p w14:paraId="19361065">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（2）已按合同约定编制了甩项工作和缺陷修补工作清单以及相应的施工计划；</w:t>
      </w:r>
    </w:p>
    <w:p w14:paraId="264828A6">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（3）已按合同约定的内容和份数备齐竣工资料。</w:t>
      </w:r>
    </w:p>
    <w:p w14:paraId="34DB32E3">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工程竣工及竣工资料：</w:t>
      </w:r>
    </w:p>
    <w:p w14:paraId="3365255B">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u w:val="single"/>
        </w:rPr>
        <w:t>（1）发包人应在收到承包人竣工报告后14天内组织设计单位、监理单位、质监等其他部门进行验收，竣工日期以最后一次整改后通过竣工验收的时间为准</w:t>
      </w:r>
      <w:r>
        <w:rPr>
          <w:rFonts w:hint="eastAsia" w:ascii="宋体" w:hAnsi="宋体"/>
          <w:color w:val="auto"/>
          <w:szCs w:val="21"/>
          <w:highlight w:val="none"/>
        </w:rPr>
        <w:t>。</w:t>
      </w:r>
    </w:p>
    <w:p w14:paraId="435D03D3">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u w:val="single"/>
        </w:rPr>
        <w:t>（2）当工程具备竣工验收条件时，承包人应及时向发包人提交竣工报告及竣工资料、办理移交手续。否则发包人有权依据监理人出具的鉴定结论书，自行组织有关部门验收，并提出整改意见。承包人必须按要求整改，并承担整改费用；如承包人拒绝按发包人提出的要求整改，发包人有权请第三方整改，由此发生的整改费用从未付工程款中扣除，不足部分发包人有权向承包人追偿。当验收通过后具备交付使用条件时，承包人不得以任何借口拒绝移交工程，否则，发包人有权强行使用，由此发生的一切后果，由承包人负责</w:t>
      </w:r>
      <w:r>
        <w:rPr>
          <w:rFonts w:hint="eastAsia" w:ascii="宋体" w:hAnsi="宋体"/>
          <w:color w:val="auto"/>
          <w:szCs w:val="21"/>
          <w:highlight w:val="none"/>
        </w:rPr>
        <w:t>。</w:t>
      </w:r>
    </w:p>
    <w:p w14:paraId="060051D5">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rPr>
        <w:t>（3）承包人提供竣工资料的约定：</w:t>
      </w:r>
      <w:r>
        <w:rPr>
          <w:rFonts w:hint="eastAsia" w:ascii="宋体" w:hAnsi="宋体"/>
          <w:color w:val="auto"/>
          <w:szCs w:val="21"/>
          <w:highlight w:val="none"/>
          <w:u w:val="single"/>
        </w:rPr>
        <w:t>承包人提供纸质版竣工图三套，电子版竣工图二套（刻光盘）</w:t>
      </w:r>
      <w:r>
        <w:rPr>
          <w:rFonts w:hint="eastAsia" w:ascii="宋体" w:hAnsi="宋体"/>
          <w:color w:val="auto"/>
          <w:szCs w:val="21"/>
          <w:highlight w:val="none"/>
        </w:rPr>
        <w:t>。</w:t>
      </w:r>
    </w:p>
    <w:bookmarkEnd w:id="1816"/>
    <w:p w14:paraId="0A057F75">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13.2.5 移交、接收全部与部分工程</w:t>
      </w:r>
    </w:p>
    <w:bookmarkEnd w:id="1817"/>
    <w:p w14:paraId="2388C710">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rPr>
        <w:t>承包人向发包人移交工程的期限：</w:t>
      </w:r>
      <w:r>
        <w:rPr>
          <w:rFonts w:hint="eastAsia" w:ascii="宋体" w:hAnsi="宋体"/>
          <w:color w:val="auto"/>
          <w:szCs w:val="21"/>
          <w:highlight w:val="none"/>
          <w:u w:val="single"/>
        </w:rPr>
        <w:t>颁发工程接收证书后7天内完成工程的移交</w:t>
      </w:r>
      <w:r>
        <w:rPr>
          <w:rFonts w:hint="eastAsia" w:ascii="宋体" w:hAnsi="宋体"/>
          <w:color w:val="auto"/>
          <w:szCs w:val="21"/>
          <w:highlight w:val="none"/>
        </w:rPr>
        <w:t>。</w:t>
      </w:r>
    </w:p>
    <w:p w14:paraId="35D53AEC">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发包人未按合同约定接收全部或部分工程的，违约金的计算方法为：发包人自应当接收工程之日起承担工程照管、成品保护、保管等与工程有关的各项费用。</w:t>
      </w:r>
    </w:p>
    <w:bookmarkEnd w:id="1818"/>
    <w:p w14:paraId="1022BE07">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rPr>
        <w:t>因承包人自身原因未按时移交工程的，违约金的计算方法为：</w:t>
      </w:r>
      <w:r>
        <w:rPr>
          <w:rFonts w:hint="eastAsia" w:ascii="宋体" w:hAnsi="宋体"/>
          <w:color w:val="auto"/>
          <w:szCs w:val="21"/>
          <w:highlight w:val="none"/>
          <w:u w:val="single"/>
        </w:rPr>
        <w:t>承包人应承担工程照管、成品保护、保管等与工程有关的各项费用，并按经审定结算金额的0.5‰/天支付违约金</w:t>
      </w:r>
      <w:r>
        <w:rPr>
          <w:rFonts w:hint="eastAsia" w:ascii="宋体" w:hAnsi="宋体"/>
          <w:color w:val="auto"/>
          <w:szCs w:val="21"/>
          <w:highlight w:val="none"/>
        </w:rPr>
        <w:t>。</w:t>
      </w:r>
    </w:p>
    <w:p w14:paraId="0D93FC0A">
      <w:pPr>
        <w:pStyle w:val="7"/>
        <w:spacing w:before="0" w:beforeAutospacing="0" w:after="0" w:afterAutospacing="0" w:line="360" w:lineRule="auto"/>
        <w:ind w:firstLine="422" w:firstLineChars="200"/>
        <w:rPr>
          <w:color w:val="auto"/>
          <w:sz w:val="21"/>
          <w:szCs w:val="21"/>
          <w:highlight w:val="none"/>
        </w:rPr>
      </w:pPr>
      <w:bookmarkStart w:id="1846" w:name="_Toc532377391"/>
      <w:bookmarkStart w:id="1847" w:name="_Toc532375654"/>
      <w:r>
        <w:rPr>
          <w:rFonts w:hint="eastAsia"/>
          <w:color w:val="auto"/>
          <w:sz w:val="21"/>
          <w:szCs w:val="21"/>
          <w:highlight w:val="none"/>
        </w:rPr>
        <w:t>13.3 工程试车</w:t>
      </w:r>
      <w:bookmarkEnd w:id="1846"/>
      <w:bookmarkEnd w:id="1847"/>
    </w:p>
    <w:p w14:paraId="588C9D09">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13.3.1 试车程序</w:t>
      </w:r>
    </w:p>
    <w:p w14:paraId="030F2094">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工程试车内容：</w:t>
      </w:r>
      <w:r>
        <w:rPr>
          <w:rFonts w:hint="eastAsia" w:ascii="宋体" w:hAnsi="宋体"/>
          <w:color w:val="auto"/>
          <w:szCs w:val="21"/>
          <w:highlight w:val="none"/>
          <w:u w:val="single"/>
        </w:rPr>
        <w:t>按通用合同条款执行</w:t>
      </w:r>
      <w:r>
        <w:rPr>
          <w:rFonts w:hint="eastAsia" w:ascii="宋体" w:hAnsi="宋体"/>
          <w:color w:val="auto"/>
          <w:szCs w:val="21"/>
          <w:highlight w:val="none"/>
        </w:rPr>
        <w:t>。</w:t>
      </w:r>
    </w:p>
    <w:p w14:paraId="4194DEE8">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（1）单机无负荷试车费用由</w:t>
      </w:r>
      <w:r>
        <w:rPr>
          <w:rFonts w:hint="eastAsia" w:ascii="宋体" w:hAnsi="宋体"/>
          <w:color w:val="auto"/>
          <w:szCs w:val="21"/>
          <w:highlight w:val="none"/>
          <w:u w:val="single"/>
        </w:rPr>
        <w:t>承包人</w:t>
      </w:r>
      <w:r>
        <w:rPr>
          <w:rFonts w:hint="eastAsia" w:ascii="宋体" w:hAnsi="宋体"/>
          <w:color w:val="auto"/>
          <w:szCs w:val="21"/>
          <w:highlight w:val="none"/>
        </w:rPr>
        <w:t>承担；</w:t>
      </w:r>
    </w:p>
    <w:p w14:paraId="54267E06">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（2）无负荷联动试车费用由</w:t>
      </w:r>
      <w:r>
        <w:rPr>
          <w:rFonts w:hint="eastAsia" w:ascii="宋体" w:hAnsi="宋体"/>
          <w:color w:val="auto"/>
          <w:szCs w:val="21"/>
          <w:highlight w:val="none"/>
          <w:u w:val="single"/>
        </w:rPr>
        <w:t>承包人</w:t>
      </w:r>
      <w:r>
        <w:rPr>
          <w:rFonts w:hint="eastAsia" w:ascii="宋体" w:hAnsi="宋体"/>
          <w:color w:val="auto"/>
          <w:szCs w:val="21"/>
          <w:highlight w:val="none"/>
        </w:rPr>
        <w:t>承担。</w:t>
      </w:r>
    </w:p>
    <w:p w14:paraId="3C409F46">
      <w:pPr>
        <w:pStyle w:val="7"/>
        <w:spacing w:before="0" w:beforeAutospacing="0" w:after="0" w:afterAutospacing="0" w:line="360" w:lineRule="auto"/>
        <w:ind w:firstLine="422" w:firstLineChars="200"/>
        <w:rPr>
          <w:color w:val="auto"/>
          <w:sz w:val="21"/>
          <w:szCs w:val="21"/>
          <w:highlight w:val="none"/>
        </w:rPr>
      </w:pPr>
      <w:bookmarkStart w:id="1848" w:name="_Toc532375655"/>
      <w:bookmarkStart w:id="1849" w:name="_Toc532377392"/>
      <w:r>
        <w:rPr>
          <w:rFonts w:hint="eastAsia"/>
          <w:color w:val="auto"/>
          <w:sz w:val="21"/>
          <w:szCs w:val="21"/>
          <w:highlight w:val="none"/>
        </w:rPr>
        <w:t>13.6 竣工退场</w:t>
      </w:r>
      <w:bookmarkEnd w:id="1848"/>
      <w:bookmarkEnd w:id="1849"/>
    </w:p>
    <w:p w14:paraId="686BAF8D">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13.6.1 竣工退场</w:t>
      </w:r>
    </w:p>
    <w:p w14:paraId="4D9065C8">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rPr>
        <w:t>承包人完成竣工退场的期限：</w:t>
      </w:r>
      <w:r>
        <w:rPr>
          <w:rFonts w:hint="eastAsia" w:ascii="宋体" w:hAnsi="宋体"/>
          <w:color w:val="auto"/>
          <w:szCs w:val="21"/>
          <w:highlight w:val="none"/>
          <w:u w:val="single"/>
        </w:rPr>
        <w:t>工程接收证书颁发后28天内，承包人的施工人员、剩余材料、施工设备和临时工程应完全撤离施工场地并对施工场地进行清理、平整、复原，直至监理人检验合格为止，由此发生的费用已包含在签约合同价内。承包人未在限期内拆除的，发包人可委托其他单位代为拆除，由此发生的费用（发包人可从应付承包人的款项中扣除）由承包人承担，承包人还应按审定结算金额的0.5‰/天的标准向发包人支付违约金。因工程维修需要部分人员必须留在施工现场的，需征得发包人同意</w:t>
      </w:r>
      <w:r>
        <w:rPr>
          <w:rFonts w:hint="eastAsia" w:ascii="宋体" w:hAnsi="宋体"/>
          <w:color w:val="auto"/>
          <w:szCs w:val="21"/>
          <w:highlight w:val="none"/>
        </w:rPr>
        <w:t>。</w:t>
      </w:r>
    </w:p>
    <w:bookmarkEnd w:id="1819"/>
    <w:p w14:paraId="5C3C9EDB">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1850" w:name="_Toc532375656"/>
      <w:bookmarkStart w:id="1851" w:name="_Toc351203646"/>
      <w:bookmarkStart w:id="1852" w:name="_Toc532377393"/>
      <w:r>
        <w:rPr>
          <w:rFonts w:hint="eastAsia"/>
          <w:color w:val="auto"/>
          <w:kern w:val="2"/>
          <w:sz w:val="21"/>
          <w:szCs w:val="21"/>
          <w:highlight w:val="none"/>
        </w:rPr>
        <w:t>14. 竣工结算</w:t>
      </w:r>
      <w:bookmarkEnd w:id="1850"/>
      <w:bookmarkEnd w:id="1851"/>
      <w:bookmarkEnd w:id="1852"/>
    </w:p>
    <w:p w14:paraId="14EB02F9">
      <w:pPr>
        <w:pStyle w:val="7"/>
        <w:spacing w:before="0" w:beforeAutospacing="0" w:after="0" w:afterAutospacing="0" w:line="360" w:lineRule="auto"/>
        <w:ind w:firstLine="422" w:firstLineChars="200"/>
        <w:rPr>
          <w:color w:val="auto"/>
          <w:sz w:val="21"/>
          <w:szCs w:val="21"/>
          <w:highlight w:val="none"/>
        </w:rPr>
      </w:pPr>
      <w:bookmarkStart w:id="1853" w:name="_Toc532377394"/>
      <w:bookmarkStart w:id="1854" w:name="_Toc532375657"/>
      <w:r>
        <w:rPr>
          <w:rFonts w:hint="eastAsia"/>
          <w:color w:val="auto"/>
          <w:sz w:val="21"/>
          <w:szCs w:val="21"/>
          <w:highlight w:val="none"/>
        </w:rPr>
        <w:t>14.1 竣工结算申请</w:t>
      </w:r>
      <w:bookmarkEnd w:id="1853"/>
      <w:bookmarkEnd w:id="1854"/>
    </w:p>
    <w:p w14:paraId="7865EB85">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rPr>
        <w:t>承包人提交竣工结算申请单的期限：</w:t>
      </w:r>
      <w:r>
        <w:rPr>
          <w:rFonts w:hint="eastAsia" w:ascii="宋体" w:hAnsi="宋体"/>
          <w:color w:val="auto"/>
          <w:szCs w:val="21"/>
          <w:highlight w:val="none"/>
          <w:u w:val="single"/>
        </w:rPr>
        <w:t>承包人应在工程竣工验收合格且报送</w:t>
      </w:r>
      <w:r>
        <w:rPr>
          <w:rFonts w:ascii="宋体" w:hAnsi="宋体"/>
          <w:color w:val="auto"/>
          <w:szCs w:val="21"/>
          <w:highlight w:val="none"/>
          <w:u w:val="single"/>
        </w:rPr>
        <w:t>完整工程竣工资料</w:t>
      </w:r>
      <w:r>
        <w:rPr>
          <w:rFonts w:hint="eastAsia" w:ascii="宋体" w:hAnsi="宋体"/>
          <w:color w:val="auto"/>
          <w:szCs w:val="21"/>
          <w:highlight w:val="none"/>
          <w:u w:val="single"/>
        </w:rPr>
        <w:t>之日起28天内向监理人、发包人提交竣工结算申请单，并向发包人报送完整的工程竣工资料及经监理人初审确认的完整的竣工结算资料</w:t>
      </w:r>
      <w:bookmarkStart w:id="1855" w:name="_Hlk524297994"/>
      <w:r>
        <w:rPr>
          <w:rFonts w:hint="eastAsia" w:ascii="宋体" w:hAnsi="宋体"/>
          <w:color w:val="auto"/>
          <w:szCs w:val="21"/>
          <w:highlight w:val="none"/>
          <w:u w:val="single"/>
        </w:rPr>
        <w:t>。监理人或发包人对竣工结算申请单有异议的，应在接到竣工结算申请单后14天内要求承包人进行修正和提供补充资料，承包人在接到监理人或发包人提出的审核意见后，应在28天内按监理人或发包人提出的合理要求补充资料、修改竣工结算资料，并再次提交监理人或发包人审核。承包人未在规定时间内报送竣工结算资料给发包人造成经济损失的，承包人应承担赔偿责任。</w:t>
      </w:r>
    </w:p>
    <w:p w14:paraId="4EFB5519">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竣工结算申请单包括但不限于以下内容：</w:t>
      </w:r>
    </w:p>
    <w:p w14:paraId="59B6CF2C">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（1）竣工结算合同价格；</w:t>
      </w:r>
    </w:p>
    <w:p w14:paraId="1CF8E918">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（2）变更增减金额；</w:t>
      </w:r>
    </w:p>
    <w:p w14:paraId="582F8774">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（3）现场签证增减金额；</w:t>
      </w:r>
    </w:p>
    <w:p w14:paraId="7E05E643">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（4）索赔增减金额；</w:t>
      </w:r>
    </w:p>
    <w:p w14:paraId="5DBFDE31">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（5）奖励、罚金及违约金；</w:t>
      </w:r>
    </w:p>
    <w:p w14:paraId="41FA5CF1">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（6）发包人已支付承包人的款项；</w:t>
      </w:r>
    </w:p>
    <w:p w14:paraId="72A3624A">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（7）应扣留的质量保证金；</w:t>
      </w:r>
    </w:p>
    <w:p w14:paraId="54DCC62B">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（8）发包人应支付承包人的合同价款。</w:t>
      </w:r>
      <w:bookmarkEnd w:id="1855"/>
    </w:p>
    <w:p w14:paraId="0992DF84">
      <w:pPr>
        <w:pStyle w:val="7"/>
        <w:spacing w:before="0" w:beforeAutospacing="0" w:after="0" w:afterAutospacing="0" w:line="360" w:lineRule="auto"/>
        <w:ind w:firstLine="422" w:firstLineChars="200"/>
        <w:rPr>
          <w:color w:val="auto"/>
          <w:sz w:val="21"/>
          <w:szCs w:val="21"/>
          <w:highlight w:val="none"/>
        </w:rPr>
      </w:pPr>
      <w:bookmarkStart w:id="1856" w:name="_Toc532375658"/>
      <w:bookmarkStart w:id="1857" w:name="_Toc532377395"/>
      <w:r>
        <w:rPr>
          <w:rFonts w:hint="eastAsia"/>
          <w:color w:val="auto"/>
          <w:sz w:val="21"/>
          <w:szCs w:val="21"/>
          <w:highlight w:val="none"/>
        </w:rPr>
        <w:t>14.2 竣工结算审核</w:t>
      </w:r>
      <w:bookmarkEnd w:id="1856"/>
      <w:bookmarkEnd w:id="1857"/>
    </w:p>
    <w:p w14:paraId="1574C4B6">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14.2.1 竣工结算办法</w:t>
      </w:r>
    </w:p>
    <w:p w14:paraId="418845C7">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14.2.1.1计量原则</w:t>
      </w:r>
    </w:p>
    <w:p w14:paraId="25CC028C">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rPr>
        <w:t>按照第12.3.1项〔计量原则〕约定执行。</w:t>
      </w:r>
    </w:p>
    <w:p w14:paraId="5D74013F">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14.2.1.2计价原则</w:t>
      </w:r>
    </w:p>
    <w:p w14:paraId="44877B1D">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合同竣工结算价=Σ分部分项工程结算价+Σ措施项目结算价+Σ其他项目结算价±Σ价格调整（如有）±Σ变更、索赔与现场签证结算价±Σ奖励、罚金、违约金及其他费用+Σ规费+Σ税金</w:t>
      </w:r>
      <w:r>
        <w:rPr>
          <w:rFonts w:hint="eastAsia" w:ascii="宋体" w:hAnsi="宋体"/>
          <w:color w:val="auto"/>
          <w:szCs w:val="21"/>
          <w:highlight w:val="none"/>
        </w:rPr>
        <w:t>。</w:t>
      </w:r>
    </w:p>
    <w:p w14:paraId="47F5E1E5">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具体结算办法如下：</w:t>
      </w:r>
    </w:p>
    <w:p w14:paraId="6E0250C1">
      <w:pPr>
        <w:tabs>
          <w:tab w:val="left" w:pos="711"/>
          <w:tab w:val="left" w:pos="2580"/>
        </w:tabs>
        <w:spacing w:line="360" w:lineRule="auto"/>
        <w:ind w:right="105" w:rightChars="50"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（1）分部分项工程：</w:t>
      </w:r>
    </w:p>
    <w:p w14:paraId="7B0AE23E">
      <w:pPr>
        <w:tabs>
          <w:tab w:val="left" w:pos="711"/>
          <w:tab w:val="left" w:pos="2580"/>
        </w:tabs>
        <w:spacing w:line="360" w:lineRule="auto"/>
        <w:ind w:right="105" w:rightChars="50"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u w:val="single"/>
        </w:rPr>
        <w:t>①已标价工程量清单子目综合单价按合同约定无需调整的，以按照竣工图和第12.3.1项〔计量原则〕约定确定的工程量乘以相应的已标价工程量清单子目综合单价确定该部分分部分项工程结算价</w:t>
      </w:r>
      <w:r>
        <w:rPr>
          <w:rFonts w:hint="eastAsia" w:ascii="宋体" w:hAnsi="宋体"/>
          <w:color w:val="auto"/>
          <w:szCs w:val="21"/>
          <w:highlight w:val="none"/>
        </w:rPr>
        <w:t>；</w:t>
      </w:r>
    </w:p>
    <w:p w14:paraId="51B1F44A">
      <w:pPr>
        <w:tabs>
          <w:tab w:val="left" w:pos="711"/>
          <w:tab w:val="left" w:pos="2580"/>
        </w:tabs>
        <w:spacing w:line="360" w:lineRule="auto"/>
        <w:ind w:right="105" w:rightChars="50"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u w:val="single"/>
        </w:rPr>
        <w:t>②已标价工程量清单子目综合单价按第11.3款〔严重不平衡报价引起的调整〕约定需要修正综合单价的，结算工程量超过已标价工程量15%的，超出部分工程量乘以按第11.3款〔严重不平衡报价引起的调整〕约定修正综合单价确定该部分分部分项工程结算价</w:t>
      </w:r>
      <w:r>
        <w:rPr>
          <w:rFonts w:hint="eastAsia" w:ascii="宋体" w:hAnsi="宋体"/>
          <w:color w:val="auto"/>
          <w:szCs w:val="21"/>
          <w:highlight w:val="none"/>
        </w:rPr>
        <w:t>；</w:t>
      </w:r>
    </w:p>
    <w:p w14:paraId="0D1655F7">
      <w:pPr>
        <w:tabs>
          <w:tab w:val="left" w:pos="711"/>
          <w:tab w:val="left" w:pos="2580"/>
        </w:tabs>
        <w:spacing w:line="360" w:lineRule="auto"/>
        <w:ind w:right="105" w:rightChars="50"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u w:val="single"/>
        </w:rPr>
        <w:t>③需要对没有填入综合单价或总额价的子目项目进行扣减的，第12.3.1项〔计量原则〕约定确定的工程量乘以按照10.4.1〔变更估价原则〕（3）目约定的综合单价进行扣减</w:t>
      </w:r>
      <w:r>
        <w:rPr>
          <w:rFonts w:hint="eastAsia" w:ascii="宋体" w:hAnsi="宋体"/>
          <w:color w:val="auto"/>
          <w:szCs w:val="21"/>
          <w:highlight w:val="none"/>
        </w:rPr>
        <w:t>；</w:t>
      </w:r>
    </w:p>
    <w:p w14:paraId="14EC2F8C">
      <w:pPr>
        <w:tabs>
          <w:tab w:val="left" w:pos="711"/>
          <w:tab w:val="left" w:pos="2580"/>
        </w:tabs>
        <w:spacing w:line="360" w:lineRule="auto"/>
        <w:ind w:right="105" w:rightChars="50"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u w:val="single"/>
        </w:rPr>
        <w:t>④合同、已标价工程量清单和招标文件另有约定的，按照其约定执行</w:t>
      </w:r>
      <w:r>
        <w:rPr>
          <w:rFonts w:hint="eastAsia" w:ascii="宋体" w:hAnsi="宋体"/>
          <w:color w:val="auto"/>
          <w:szCs w:val="21"/>
          <w:highlight w:val="none"/>
        </w:rPr>
        <w:t>。</w:t>
      </w:r>
    </w:p>
    <w:p w14:paraId="7FEF0FA3">
      <w:pPr>
        <w:tabs>
          <w:tab w:val="left" w:pos="711"/>
          <w:tab w:val="left" w:pos="2580"/>
        </w:tabs>
        <w:spacing w:line="360" w:lineRule="auto"/>
        <w:ind w:right="105" w:rightChars="50"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（2）措施项目：</w:t>
      </w:r>
    </w:p>
    <w:p w14:paraId="288F4CE7">
      <w:pPr>
        <w:tabs>
          <w:tab w:val="left" w:pos="711"/>
          <w:tab w:val="left" w:pos="2580"/>
        </w:tabs>
        <w:spacing w:line="360" w:lineRule="auto"/>
        <w:ind w:right="105" w:rightChars="50"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u w:val="single"/>
        </w:rPr>
        <w:t>①已标价工程量清单范围内以项为计量单位的措施项目费（安全文明施工费除外）包干使用；不以项为计量单位的措施项目费按第14.2.1项〔竣工结算办理办法〕分部分项约定执行</w:t>
      </w:r>
      <w:r>
        <w:rPr>
          <w:rFonts w:hint="eastAsia" w:ascii="宋体" w:hAnsi="宋体"/>
          <w:color w:val="auto"/>
          <w:szCs w:val="21"/>
          <w:highlight w:val="none"/>
        </w:rPr>
        <w:t>。</w:t>
      </w:r>
    </w:p>
    <w:p w14:paraId="08D4CBBE">
      <w:pPr>
        <w:tabs>
          <w:tab w:val="left" w:pos="711"/>
          <w:tab w:val="left" w:pos="2580"/>
        </w:tabs>
        <w:spacing w:line="360" w:lineRule="auto"/>
        <w:ind w:right="105" w:rightChars="50"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u w:val="single"/>
        </w:rPr>
        <w:t>②工程变更引起施工方案改变使措施项目发生变化的，经监理人、发包人确定后可对按第10.4.3项约定执行</w:t>
      </w:r>
      <w:r>
        <w:rPr>
          <w:rFonts w:hint="eastAsia" w:ascii="宋体" w:hAnsi="宋体"/>
          <w:color w:val="auto"/>
          <w:szCs w:val="21"/>
          <w:highlight w:val="none"/>
        </w:rPr>
        <w:t>。</w:t>
      </w:r>
    </w:p>
    <w:p w14:paraId="4E9AD985">
      <w:pPr>
        <w:tabs>
          <w:tab w:val="left" w:pos="711"/>
          <w:tab w:val="left" w:pos="2580"/>
        </w:tabs>
        <w:spacing w:line="360" w:lineRule="auto"/>
        <w:ind w:right="105" w:rightChars="50"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u w:val="single"/>
        </w:rPr>
        <w:t>③安全文明施工费按照《重庆市建设工程安全文明施工费计取及使用管理规定》（渝建发〔2014〕25号）、《重庆市住房和城乡建设委员会关于调整建设施工现场形象品质提升安全文明施工费计取的通知》（渝建管〔2020〕97号）、《重庆市建设工程费用定额》（CQFYDE-2018）、《重庆市城乡建设委员会关于适用增值税新税率调整建设工程计价依据的通知》（渝建〔2019〕143号）的规定进行结算</w:t>
      </w:r>
      <w:r>
        <w:rPr>
          <w:rFonts w:hint="eastAsia" w:ascii="宋体" w:hAnsi="宋体"/>
          <w:color w:val="auto"/>
          <w:szCs w:val="21"/>
          <w:highlight w:val="none"/>
        </w:rPr>
        <w:t>。</w:t>
      </w:r>
    </w:p>
    <w:p w14:paraId="45C7672F">
      <w:pPr>
        <w:tabs>
          <w:tab w:val="left" w:pos="711"/>
          <w:tab w:val="left" w:pos="2580"/>
        </w:tabs>
        <w:spacing w:line="360" w:lineRule="auto"/>
        <w:ind w:right="105" w:rightChars="50"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（3）其他项目：</w:t>
      </w:r>
    </w:p>
    <w:p w14:paraId="662F2B19">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①材料（工程设备）暂估价：</w:t>
      </w:r>
      <w:r>
        <w:rPr>
          <w:rFonts w:hint="eastAsia" w:ascii="宋体" w:hAnsi="宋体"/>
          <w:color w:val="auto"/>
          <w:szCs w:val="21"/>
          <w:highlight w:val="none"/>
          <w:u w:val="single"/>
        </w:rPr>
        <w:t>按照第12.3.1项〔计量原则〕约定及对应定额消耗量确定的数量乘以监理人、跟审单位、发包人根据市场行情认质核价确定的价格进行结算</w:t>
      </w:r>
      <w:r>
        <w:rPr>
          <w:rFonts w:hint="eastAsia" w:ascii="宋体" w:hAnsi="宋体"/>
          <w:color w:val="auto"/>
          <w:szCs w:val="21"/>
          <w:highlight w:val="none"/>
        </w:rPr>
        <w:t>。</w:t>
      </w:r>
    </w:p>
    <w:p w14:paraId="2BC0C69C">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②专业工程暂估价：</w:t>
      </w:r>
    </w:p>
    <w:p w14:paraId="3CE1FABF">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u w:val="single"/>
        </w:rPr>
        <w:t>1）对于不属于依法必须招标的暂估价项目：按发包人审定的价格进行结算</w:t>
      </w:r>
      <w:r>
        <w:rPr>
          <w:rFonts w:hint="eastAsia" w:ascii="宋体" w:hAnsi="宋体"/>
          <w:color w:val="auto"/>
          <w:szCs w:val="21"/>
          <w:highlight w:val="none"/>
        </w:rPr>
        <w:t>。</w:t>
      </w:r>
    </w:p>
    <w:p w14:paraId="19CE6BAE">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u w:val="single"/>
        </w:rPr>
        <w:t>2）对于依法必须招标的暂估价项目：达到招标规模标准的暂估价内容，包括专业工程暂估价和材料设备暂估价均应招标确定，并按暂估价招标文件约定结算</w:t>
      </w:r>
      <w:r>
        <w:rPr>
          <w:rFonts w:hint="eastAsia" w:ascii="宋体" w:hAnsi="宋体"/>
          <w:color w:val="auto"/>
          <w:szCs w:val="21"/>
          <w:highlight w:val="none"/>
        </w:rPr>
        <w:t>。</w:t>
      </w:r>
    </w:p>
    <w:p w14:paraId="4AF7E959">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u w:val="single"/>
        </w:rPr>
        <w:t>3）总承包服务费：总承包服务费包干使用，结算时不作调整</w:t>
      </w:r>
      <w:r>
        <w:rPr>
          <w:rFonts w:hint="eastAsia" w:ascii="宋体" w:hAnsi="宋体"/>
          <w:color w:val="auto"/>
          <w:szCs w:val="21"/>
          <w:highlight w:val="none"/>
        </w:rPr>
        <w:t>。</w:t>
      </w:r>
    </w:p>
    <w:p w14:paraId="4BC5DAF0">
      <w:pPr>
        <w:tabs>
          <w:tab w:val="left" w:pos="711"/>
          <w:tab w:val="left" w:pos="2580"/>
        </w:tabs>
        <w:spacing w:line="360" w:lineRule="auto"/>
        <w:ind w:right="105" w:rightChars="50" w:firstLine="420" w:firstLineChars="200"/>
        <w:jc w:val="left"/>
        <w:textAlignment w:val="baseline"/>
        <w:rPr>
          <w:rFonts w:ascii="宋体" w:hAnsi="宋体"/>
          <w:color w:val="auto"/>
          <w:szCs w:val="21"/>
          <w:highlight w:val="none"/>
        </w:rPr>
      </w:pPr>
      <w:r>
        <w:rPr>
          <w:rFonts w:hint="eastAsia" w:ascii="宋体" w:hAnsi="宋体"/>
          <w:color w:val="auto"/>
          <w:szCs w:val="21"/>
          <w:highlight w:val="none"/>
        </w:rPr>
        <w:t>（4）价格调整：</w:t>
      </w:r>
      <w:r>
        <w:rPr>
          <w:rFonts w:hint="eastAsia" w:ascii="宋体" w:hAnsi="宋体"/>
          <w:color w:val="auto"/>
          <w:szCs w:val="21"/>
          <w:highlight w:val="none"/>
          <w:u w:val="single"/>
        </w:rPr>
        <w:t>按照第11条〔价格调整〕约定约定执行</w:t>
      </w:r>
      <w:r>
        <w:rPr>
          <w:rFonts w:hint="eastAsia" w:ascii="宋体" w:hAnsi="宋体"/>
          <w:color w:val="auto"/>
          <w:szCs w:val="21"/>
          <w:highlight w:val="none"/>
        </w:rPr>
        <w:t>。</w:t>
      </w:r>
    </w:p>
    <w:p w14:paraId="3E5351C3">
      <w:pPr>
        <w:tabs>
          <w:tab w:val="left" w:pos="711"/>
          <w:tab w:val="left" w:pos="2580"/>
        </w:tabs>
        <w:spacing w:line="360" w:lineRule="auto"/>
        <w:ind w:right="105" w:rightChars="50"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rPr>
        <w:t>（5）工程变更、索赔与现场签证：</w:t>
      </w:r>
    </w:p>
    <w:p w14:paraId="3EA7FF1C">
      <w:pPr>
        <w:tabs>
          <w:tab w:val="left" w:pos="711"/>
          <w:tab w:val="left" w:pos="2580"/>
        </w:tabs>
        <w:spacing w:line="360" w:lineRule="auto"/>
        <w:ind w:right="105" w:rightChars="50"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rPr>
        <w:t>1）工程变更：按照第10.4.1项〔变更估价原则〕约定确定为总价包干的，按审定包干总价计入结算；其余项目按照有效的竣工结算资料和第12.3.1项〔计量原则〕约定确定的工程量乘以相应的按照第10.4.1项〔变更估价原则〕约定确定综合单价来确定该部分结算价。</w:t>
      </w:r>
    </w:p>
    <w:p w14:paraId="24F29C64">
      <w:pPr>
        <w:tabs>
          <w:tab w:val="left" w:pos="711"/>
          <w:tab w:val="left" w:pos="2580"/>
        </w:tabs>
        <w:spacing w:line="360" w:lineRule="auto"/>
        <w:ind w:right="105" w:rightChars="50"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rPr>
        <w:t>2）索赔：按照第10.4.1项〔变更估价原则〕和第14.2.1项〔竣工结算办法〕约定执行。</w:t>
      </w:r>
    </w:p>
    <w:p w14:paraId="6389382F">
      <w:pPr>
        <w:tabs>
          <w:tab w:val="left" w:pos="711"/>
          <w:tab w:val="left" w:pos="2580"/>
        </w:tabs>
        <w:spacing w:line="360" w:lineRule="auto"/>
        <w:ind w:right="105" w:rightChars="50"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rPr>
        <w:t>3）现场签证：按照第10.4.1项〔变更估价原则〕和第14.2.1项〔竣工结算办法〕约定执行。</w:t>
      </w:r>
    </w:p>
    <w:p w14:paraId="4B950BAA">
      <w:pPr>
        <w:tabs>
          <w:tab w:val="left" w:pos="711"/>
          <w:tab w:val="left" w:pos="2580"/>
        </w:tabs>
        <w:spacing w:line="360" w:lineRule="auto"/>
        <w:ind w:right="105" w:rightChars="50"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rPr>
        <w:t>（6）奖励、罚金、违约金及其他费用：</w:t>
      </w:r>
      <w:r>
        <w:rPr>
          <w:rFonts w:hint="eastAsia" w:ascii="宋体" w:hAnsi="宋体"/>
          <w:color w:val="auto"/>
          <w:szCs w:val="21"/>
          <w:highlight w:val="none"/>
          <w:u w:val="single"/>
        </w:rPr>
        <w:t>按实进行结算</w:t>
      </w:r>
      <w:r>
        <w:rPr>
          <w:rFonts w:hint="eastAsia" w:ascii="宋体" w:hAnsi="宋体"/>
          <w:color w:val="auto"/>
          <w:szCs w:val="21"/>
          <w:highlight w:val="none"/>
        </w:rPr>
        <w:t>。</w:t>
      </w:r>
    </w:p>
    <w:p w14:paraId="49EFB9B4">
      <w:pPr>
        <w:tabs>
          <w:tab w:val="left" w:pos="711"/>
          <w:tab w:val="left" w:pos="2580"/>
        </w:tabs>
        <w:spacing w:line="360" w:lineRule="auto"/>
        <w:ind w:right="105" w:rightChars="50"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rPr>
        <w:t>（7）规费：已标价工程量清单中规费费用按《重庆市建设工程费用定额》（CQFYDE-2018）执行。</w:t>
      </w:r>
    </w:p>
    <w:p w14:paraId="290B530C">
      <w:pPr>
        <w:tabs>
          <w:tab w:val="left" w:pos="711"/>
          <w:tab w:val="left" w:pos="2580"/>
        </w:tabs>
        <w:spacing w:line="360" w:lineRule="auto"/>
        <w:ind w:right="105" w:rightChars="50" w:firstLine="420" w:firstLineChars="200"/>
        <w:jc w:val="left"/>
        <w:textAlignment w:val="baseline"/>
        <w:rPr>
          <w:rFonts w:ascii="宋体" w:hAnsi="宋体"/>
          <w:color w:val="auto"/>
          <w:szCs w:val="21"/>
          <w:highlight w:val="none"/>
          <w:u w:val="single"/>
        </w:rPr>
      </w:pPr>
      <w:r>
        <w:rPr>
          <w:rFonts w:hint="eastAsia" w:ascii="宋体" w:hAnsi="宋体"/>
          <w:color w:val="auto"/>
          <w:szCs w:val="21"/>
          <w:highlight w:val="none"/>
        </w:rPr>
        <w:t>（8）税金：包含增值税、城市维护建设税、教育费附加、地方教育附加以及环境保护税。其中增值税按《重庆市建设工程费用定额》（CQFYDE-2018）、《重庆市城乡建设委员会关于适用增值税新税率调整建设工程计价依据的通知》（渝建〔2019〕143号）规定执行，环境保护税按实结算。</w:t>
      </w:r>
    </w:p>
    <w:p w14:paraId="3DAC7917">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14.2.1.3竣工结算价</w:t>
      </w:r>
    </w:p>
    <w:p w14:paraId="776AFA87">
      <w:pPr>
        <w:tabs>
          <w:tab w:val="left" w:pos="711"/>
          <w:tab w:val="left" w:pos="2580"/>
        </w:tabs>
        <w:spacing w:line="360" w:lineRule="auto"/>
        <w:ind w:right="105" w:rightChars="50" w:firstLine="420" w:firstLineChars="200"/>
        <w:jc w:val="left"/>
        <w:textAlignment w:val="baseline"/>
        <w:rPr>
          <w:rFonts w:ascii="宋体" w:hAnsi="宋体"/>
          <w:color w:val="auto"/>
          <w:szCs w:val="21"/>
          <w:highlight w:val="none"/>
          <w:u w:val="single"/>
        </w:rPr>
      </w:pPr>
      <w:bookmarkStart w:id="1858" w:name="_Hlk528660512"/>
      <w:bookmarkStart w:id="1859" w:name="_Toc532375659"/>
      <w:bookmarkStart w:id="1860" w:name="_Toc532377396"/>
      <w:r>
        <w:rPr>
          <w:rFonts w:hint="eastAsia" w:ascii="宋体" w:hAnsi="宋体"/>
          <w:color w:val="auto"/>
          <w:szCs w:val="21"/>
          <w:highlight w:val="none"/>
          <w:u w:val="single"/>
        </w:rPr>
        <w:t>工程竣工验收合格，承包人向发包人提供经重庆市城建档案馆档案专项验收合格的完整竣工档案资料、竣工验收报告和竣工图（含相应的电子文档），由重庆市体育局委托的第三方审计机构进行结算审核，最终以重庆市体育局委托的第三方审计机构出具的审核报告金额作为本工程结算依据。</w:t>
      </w:r>
    </w:p>
    <w:bookmarkEnd w:id="1858"/>
    <w:p w14:paraId="16A9FE94">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14.2.2 竣工结算审核期限</w:t>
      </w:r>
    </w:p>
    <w:p w14:paraId="398124C9">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监理人审核竣工付款申请单的期限：</w:t>
      </w:r>
      <w:r>
        <w:rPr>
          <w:rFonts w:hint="eastAsia" w:ascii="宋体" w:hAnsi="宋体"/>
          <w:color w:val="auto"/>
          <w:szCs w:val="21"/>
          <w:highlight w:val="none"/>
          <w:u w:val="single"/>
        </w:rPr>
        <w:t>不超过14日</w:t>
      </w:r>
      <w:r>
        <w:rPr>
          <w:rFonts w:hint="eastAsia" w:ascii="宋体" w:hAnsi="宋体"/>
          <w:color w:val="auto"/>
          <w:szCs w:val="21"/>
          <w:highlight w:val="none"/>
        </w:rPr>
        <w:t>。</w:t>
      </w:r>
    </w:p>
    <w:p w14:paraId="07828BE1">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发包人审核竣工付款申请单的期限：</w:t>
      </w:r>
      <w:r>
        <w:rPr>
          <w:rFonts w:hint="eastAsia" w:ascii="宋体" w:hAnsi="宋体"/>
          <w:color w:val="auto"/>
          <w:szCs w:val="21"/>
          <w:highlight w:val="none"/>
          <w:u w:val="single"/>
        </w:rPr>
        <w:t>不超过14日</w:t>
      </w:r>
      <w:r>
        <w:rPr>
          <w:rFonts w:hint="eastAsia" w:ascii="宋体" w:hAnsi="宋体"/>
          <w:color w:val="auto"/>
          <w:szCs w:val="21"/>
          <w:highlight w:val="none"/>
        </w:rPr>
        <w:t>。</w:t>
      </w:r>
    </w:p>
    <w:p w14:paraId="7A77CCD0">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发包人完成竣工付款的期限：</w:t>
      </w:r>
      <w:r>
        <w:rPr>
          <w:rFonts w:hint="eastAsia" w:ascii="宋体" w:hAnsi="宋体"/>
          <w:color w:val="auto"/>
          <w:szCs w:val="21"/>
          <w:highlight w:val="none"/>
          <w:u w:val="single"/>
        </w:rPr>
        <w:t>完成竣工付款申请单审核后30天内</w:t>
      </w:r>
      <w:r>
        <w:rPr>
          <w:rFonts w:hint="eastAsia" w:ascii="宋体" w:hAnsi="宋体"/>
          <w:color w:val="auto"/>
          <w:szCs w:val="21"/>
          <w:highlight w:val="none"/>
        </w:rPr>
        <w:t>。</w:t>
      </w:r>
    </w:p>
    <w:p w14:paraId="6775BA2B">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关于竣工付款证书异议部分复核的方式和程序： 按照第20条〔争议解决〕约定处理。</w:t>
      </w:r>
    </w:p>
    <w:p w14:paraId="7F944F7E">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14.4 最终结清</w:t>
      </w:r>
      <w:bookmarkEnd w:id="1859"/>
      <w:bookmarkEnd w:id="1860"/>
    </w:p>
    <w:p w14:paraId="024225A0">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14.4.1 最终结清申请单</w:t>
      </w:r>
    </w:p>
    <w:p w14:paraId="30D3A878">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承包人提交最终结清申请单的份数：</w:t>
      </w:r>
      <w:r>
        <w:rPr>
          <w:rFonts w:hint="eastAsia" w:ascii="宋体" w:hAnsi="宋体"/>
          <w:color w:val="auto"/>
          <w:szCs w:val="21"/>
          <w:highlight w:val="none"/>
          <w:u w:val="single"/>
        </w:rPr>
        <w:t>3份</w:t>
      </w:r>
      <w:r>
        <w:rPr>
          <w:rFonts w:hint="eastAsia" w:ascii="宋体" w:hAnsi="宋体"/>
          <w:color w:val="auto"/>
          <w:szCs w:val="21"/>
          <w:highlight w:val="none"/>
        </w:rPr>
        <w:t>。</w:t>
      </w:r>
    </w:p>
    <w:p w14:paraId="2935CDF0">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承包人提交最终结算申请单的期限：</w:t>
      </w:r>
      <w:r>
        <w:rPr>
          <w:rFonts w:hint="eastAsia" w:ascii="宋体" w:hAnsi="宋体"/>
          <w:color w:val="auto"/>
          <w:szCs w:val="21"/>
          <w:highlight w:val="none"/>
          <w:u w:val="single"/>
        </w:rPr>
        <w:t>缺陷责任期终止证书颁发后14天内</w:t>
      </w:r>
      <w:r>
        <w:rPr>
          <w:rFonts w:hint="eastAsia" w:ascii="宋体" w:hAnsi="宋体"/>
          <w:color w:val="auto"/>
          <w:szCs w:val="21"/>
          <w:highlight w:val="none"/>
        </w:rPr>
        <w:t>。</w:t>
      </w:r>
    </w:p>
    <w:p w14:paraId="3FB68751">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14.4.2 最终结清证书和支付</w:t>
      </w:r>
    </w:p>
    <w:p w14:paraId="0626C0CF">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（1）发包人完成最终结清申请单的审批并颁发最终结清证书的期限：</w:t>
      </w:r>
      <w:r>
        <w:rPr>
          <w:rFonts w:hint="eastAsia" w:ascii="宋体" w:hAnsi="宋体"/>
          <w:color w:val="auto"/>
          <w:szCs w:val="21"/>
          <w:highlight w:val="none"/>
          <w:u w:val="single"/>
        </w:rPr>
        <w:t>发包人收到完整资料后14天内完成审批并颁发最终结清证书</w:t>
      </w:r>
      <w:r>
        <w:rPr>
          <w:rFonts w:hint="eastAsia" w:ascii="宋体" w:hAnsi="宋体"/>
          <w:color w:val="auto"/>
          <w:szCs w:val="21"/>
          <w:highlight w:val="none"/>
        </w:rPr>
        <w:t>。</w:t>
      </w:r>
    </w:p>
    <w:p w14:paraId="2CF00898">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（2）发包人完成支付的期限：</w:t>
      </w:r>
      <w:r>
        <w:rPr>
          <w:rFonts w:hint="eastAsia" w:ascii="宋体" w:hAnsi="宋体"/>
          <w:color w:val="auto"/>
          <w:szCs w:val="21"/>
          <w:highlight w:val="none"/>
          <w:u w:val="single"/>
        </w:rPr>
        <w:t>颁发最终结清证书的14天内</w:t>
      </w:r>
      <w:r>
        <w:rPr>
          <w:rFonts w:hint="eastAsia" w:ascii="宋体" w:hAnsi="宋体"/>
          <w:color w:val="auto"/>
          <w:szCs w:val="21"/>
          <w:highlight w:val="none"/>
        </w:rPr>
        <w:t>。</w:t>
      </w:r>
    </w:p>
    <w:p w14:paraId="2DB23634">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本条补充14.5款：</w:t>
      </w:r>
    </w:p>
    <w:bookmarkEnd w:id="1820"/>
    <w:bookmarkEnd w:id="1821"/>
    <w:bookmarkEnd w:id="1822"/>
    <w:bookmarkEnd w:id="1823"/>
    <w:bookmarkEnd w:id="1824"/>
    <w:bookmarkEnd w:id="1825"/>
    <w:bookmarkEnd w:id="1826"/>
    <w:bookmarkEnd w:id="1827"/>
    <w:p w14:paraId="55BA9999">
      <w:pPr>
        <w:pStyle w:val="7"/>
        <w:spacing w:before="0" w:beforeAutospacing="0" w:after="0" w:afterAutospacing="0" w:line="360" w:lineRule="auto"/>
        <w:ind w:firstLine="422" w:firstLineChars="200"/>
        <w:rPr>
          <w:color w:val="auto"/>
          <w:sz w:val="21"/>
          <w:szCs w:val="21"/>
          <w:highlight w:val="none"/>
        </w:rPr>
      </w:pPr>
      <w:bookmarkStart w:id="1861" w:name="_Toc532377397"/>
      <w:bookmarkStart w:id="1862" w:name="_Toc532375660"/>
      <w:r>
        <w:rPr>
          <w:rFonts w:hint="eastAsia"/>
          <w:color w:val="auto"/>
          <w:sz w:val="21"/>
          <w:szCs w:val="21"/>
          <w:highlight w:val="none"/>
        </w:rPr>
        <w:t>14.5 逾期办理或不配合办理竣工结算的处理</w:t>
      </w:r>
      <w:bookmarkEnd w:id="1861"/>
      <w:bookmarkEnd w:id="1862"/>
    </w:p>
    <w:p w14:paraId="5D15C480">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有下列情形之一的，视为承包人放弃与发包人共同办理竣工结算的权利，发包人有权会同跟审单位、监理人根据有效资料共同确定竣工结算金额。</w:t>
      </w:r>
    </w:p>
    <w:p w14:paraId="691E165B">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（1）承包人逾期未报送竣工结算资料，亦未获得发包人批准延期报送，经发包人两</w:t>
      </w:r>
      <w:bookmarkStart w:id="1863" w:name="_Hlk529133622"/>
      <w:r>
        <w:rPr>
          <w:rFonts w:hint="eastAsia" w:ascii="宋体" w:hAnsi="宋体"/>
          <w:color w:val="auto"/>
          <w:szCs w:val="21"/>
          <w:highlight w:val="none"/>
        </w:rPr>
        <w:t>次书面催告仍未在限期内报送的</w:t>
      </w:r>
      <w:bookmarkEnd w:id="1863"/>
      <w:r>
        <w:rPr>
          <w:rFonts w:hint="eastAsia" w:ascii="宋体" w:hAnsi="宋体"/>
          <w:color w:val="auto"/>
          <w:szCs w:val="21"/>
          <w:highlight w:val="none"/>
        </w:rPr>
        <w:t>；</w:t>
      </w:r>
    </w:p>
    <w:p w14:paraId="7C3324AF">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2）承包人在接到监理人或发包人对竣工结算申请单提出的审核意见后，未在限期内按监理人或发包人提出的合理要求补充资料和（或）修改竣工结算资料，亦未获得发包人批准延期报送，经发包人两次书面催告仍未在限期内报送的；</w:t>
      </w:r>
    </w:p>
    <w:p w14:paraId="48E164CE">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（3）承包人不配合发包人、跟审单位、监理人、发包人委托的工程造价咨询服务单位办理竣工结算的，经发包人两次书面函告仍未改正的。</w:t>
      </w:r>
    </w:p>
    <w:p w14:paraId="22C29A1F">
      <w:pPr>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发包人应在竣工结算定案表确定后28天内，以书面函件形式将竣工结算定案表函告承包人，该定案表自送达之日起生效。该书面函件应采用直接送达方式送达，双方应办理书面签收手续，承包人实际签收日期为送达之日；若承包人拒绝签收的，视为已经送达，以该书面函件载明的签发日期为送达之日</w:t>
      </w:r>
      <w:r>
        <w:rPr>
          <w:rFonts w:hint="eastAsia" w:ascii="宋体" w:hAnsi="宋体"/>
          <w:color w:val="auto"/>
          <w:szCs w:val="21"/>
          <w:highlight w:val="none"/>
        </w:rPr>
        <w:t>。</w:t>
      </w:r>
    </w:p>
    <w:bookmarkEnd w:id="1528"/>
    <w:bookmarkEnd w:id="1529"/>
    <w:bookmarkEnd w:id="1530"/>
    <w:bookmarkEnd w:id="1531"/>
    <w:bookmarkEnd w:id="1532"/>
    <w:bookmarkEnd w:id="1533"/>
    <w:bookmarkEnd w:id="1534"/>
    <w:bookmarkEnd w:id="1535"/>
    <w:p w14:paraId="46376C4E">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1864" w:name="_Toc532375661"/>
      <w:bookmarkStart w:id="1865" w:name="_Toc351203647"/>
      <w:bookmarkStart w:id="1866" w:name="_Toc532377398"/>
      <w:bookmarkStart w:id="1867" w:name="_Toc267251483"/>
      <w:bookmarkStart w:id="1868" w:name="_Toc280868717"/>
      <w:bookmarkStart w:id="1869" w:name="_Toc280868718"/>
      <w:r>
        <w:rPr>
          <w:rFonts w:hint="eastAsia"/>
          <w:color w:val="auto"/>
          <w:kern w:val="2"/>
          <w:sz w:val="21"/>
          <w:szCs w:val="21"/>
          <w:highlight w:val="none"/>
        </w:rPr>
        <w:t>15. 缺陷责任期与保修</w:t>
      </w:r>
      <w:bookmarkEnd w:id="1864"/>
      <w:bookmarkEnd w:id="1865"/>
      <w:bookmarkEnd w:id="1866"/>
    </w:p>
    <w:bookmarkEnd w:id="1867"/>
    <w:p w14:paraId="1EEDABC1">
      <w:pPr>
        <w:pStyle w:val="7"/>
        <w:spacing w:before="0" w:beforeAutospacing="0" w:after="0" w:afterAutospacing="0" w:line="360" w:lineRule="auto"/>
        <w:ind w:firstLine="422" w:firstLineChars="200"/>
        <w:rPr>
          <w:color w:val="auto"/>
          <w:sz w:val="21"/>
          <w:szCs w:val="21"/>
          <w:highlight w:val="none"/>
        </w:rPr>
      </w:pPr>
      <w:bookmarkStart w:id="1870" w:name="_Toc532375662"/>
      <w:bookmarkStart w:id="1871" w:name="_Toc532377399"/>
      <w:r>
        <w:rPr>
          <w:rFonts w:hint="eastAsia"/>
          <w:color w:val="auto"/>
          <w:sz w:val="21"/>
          <w:szCs w:val="21"/>
          <w:highlight w:val="none"/>
        </w:rPr>
        <w:t>15.3 质量保证金</w:t>
      </w:r>
      <w:bookmarkEnd w:id="1870"/>
      <w:bookmarkEnd w:id="1871"/>
    </w:p>
    <w:p w14:paraId="40A5F2C2">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15.3.1 承包人提供质量保证金的方式</w:t>
      </w:r>
    </w:p>
    <w:p w14:paraId="1E5A2BEF">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质量保证金采用以下第</w:t>
      </w:r>
      <w:r>
        <w:rPr>
          <w:rFonts w:hint="eastAsia" w:ascii="宋体" w:hAnsi="宋体"/>
          <w:color w:val="auto"/>
          <w:szCs w:val="21"/>
          <w:highlight w:val="none"/>
          <w:u w:val="single"/>
        </w:rPr>
        <w:t xml:space="preserve"> （2） </w:t>
      </w:r>
      <w:r>
        <w:rPr>
          <w:rFonts w:hint="eastAsia" w:ascii="宋体" w:hAnsi="宋体"/>
          <w:color w:val="auto"/>
          <w:szCs w:val="21"/>
          <w:highlight w:val="none"/>
        </w:rPr>
        <w:t>种方式：</w:t>
      </w:r>
    </w:p>
    <w:p w14:paraId="30B9199F">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（1）质量保证金保函</w:t>
      </w:r>
    </w:p>
    <w:p w14:paraId="78725E49">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1）缴纳形式：质量保证金保函包括银行保函、保证保险和担保保函，其示范文本详见合同附件。承包人提交的质量保证金保函应严格执行其示范文本，不得对示范文本中的实质性内容进行修改。</w:t>
      </w:r>
    </w:p>
    <w:p w14:paraId="1E16281F">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2）具体要求：质量保证金保函的开立人应当是具有相应资格的银行、保险机构、融资担保公司，其信用资质、履约能力、担保能力、赔付流程、安全保密等应符合工程保函业务条件。质量保证金保函应合法合规，符合招投标行政监督部门、行业主管部门和金融监管部门的相关规定，满足招标文件约定要求。承包人应选择在渝依法设立总部或者设有分支机构的金融机构开具质量保证金保函（包括纸质保函或电子保函）。质量保证金保函为纸质保函的，纸质保函应注明在重庆市辖区范围内的核验地址和核验方式，并确保该纸质保函能在开立人在渝的总部或者分支机构进行核验。承包人对所提交的质量保证金保函的真实性、合法性、有效性负责。</w:t>
      </w:r>
    </w:p>
    <w:p w14:paraId="73AE2CF2">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3）保函金额为：竣工结算价的3%。</w:t>
      </w:r>
    </w:p>
    <w:p w14:paraId="1AE9D7C9">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4）提交时间：工程竣工验收合格后14天内。</w:t>
      </w:r>
    </w:p>
    <w:p w14:paraId="6F80F843">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u w:val="single"/>
        </w:rPr>
        <w:t>承包人提交质量保证金保函的，发包人应同时退还（若有）扣留的作为质量保证金的工程价款、履约担保、低价风险担保；保函金额不得超过工程价款结算总额的3%</w:t>
      </w:r>
      <w:r>
        <w:rPr>
          <w:rFonts w:hint="eastAsia" w:ascii="宋体" w:hAnsi="宋体"/>
          <w:color w:val="auto"/>
          <w:szCs w:val="21"/>
          <w:highlight w:val="none"/>
        </w:rPr>
        <w:t>。</w:t>
      </w:r>
    </w:p>
    <w:p w14:paraId="1FEEEDD1">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（2）竣工结算价的</w:t>
      </w:r>
      <w:r>
        <w:rPr>
          <w:rFonts w:hint="eastAsia" w:ascii="宋体" w:hAnsi="宋体"/>
          <w:color w:val="auto"/>
          <w:szCs w:val="21"/>
          <w:highlight w:val="none"/>
          <w:u w:val="single"/>
        </w:rPr>
        <w:t xml:space="preserve"> 3% </w:t>
      </w:r>
      <w:r>
        <w:rPr>
          <w:rFonts w:hint="eastAsia" w:ascii="宋体" w:hAnsi="宋体"/>
          <w:color w:val="auto"/>
          <w:szCs w:val="21"/>
          <w:highlight w:val="none"/>
        </w:rPr>
        <w:t>；</w:t>
      </w:r>
    </w:p>
    <w:p w14:paraId="11FAC7E2">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（3）其他方式：</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14:paraId="18CA41D8">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15.3.2 质量保证金的扣留</w:t>
      </w:r>
    </w:p>
    <w:p w14:paraId="7E505FE3">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质量保证金的扣留采取以下第</w:t>
      </w:r>
      <w:r>
        <w:rPr>
          <w:rFonts w:hint="eastAsia" w:ascii="宋体" w:hAnsi="宋体"/>
          <w:color w:val="auto"/>
          <w:szCs w:val="21"/>
          <w:highlight w:val="none"/>
          <w:u w:val="single"/>
        </w:rPr>
        <w:t>（3）</w:t>
      </w:r>
      <w:r>
        <w:rPr>
          <w:rFonts w:hint="eastAsia" w:ascii="宋体" w:hAnsi="宋体"/>
          <w:color w:val="auto"/>
          <w:szCs w:val="21"/>
          <w:highlight w:val="none"/>
        </w:rPr>
        <w:t>种方式：</w:t>
      </w:r>
    </w:p>
    <w:p w14:paraId="490E3FA0">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（1）在支付工程进度款时逐次扣留，在此情形下，质量保证金的计算基数不包括预付款的支付、扣回以及价格调整的金额；</w:t>
      </w:r>
    </w:p>
    <w:p w14:paraId="6B0AE2ED">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（2）工程竣工结算时一次性扣留质量保证金；</w:t>
      </w:r>
    </w:p>
    <w:p w14:paraId="2F2F1DCD">
      <w:pPr>
        <w:autoSpaceDE w:val="0"/>
        <w:autoSpaceDN w:val="0"/>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（3）</w:t>
      </w:r>
      <w:r>
        <w:rPr>
          <w:rFonts w:hint="eastAsia" w:ascii="宋体" w:hAnsi="宋体"/>
          <w:color w:val="auto"/>
          <w:szCs w:val="21"/>
          <w:highlight w:val="none"/>
          <w:u w:val="single"/>
        </w:rPr>
        <w:t>其他扣留方式：工程竣工验收合格且经结算审计后，由承包人先按结算审计金额的3%向发包人缴纳质量保证金后，发包人向承包人支付至结算审计价款的100%</w:t>
      </w:r>
      <w:r>
        <w:rPr>
          <w:rFonts w:hint="eastAsia" w:ascii="宋体" w:hAnsi="宋体"/>
          <w:color w:val="auto"/>
          <w:szCs w:val="21"/>
          <w:highlight w:val="none"/>
        </w:rPr>
        <w:t>。</w:t>
      </w:r>
    </w:p>
    <w:p w14:paraId="58947356">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15.3.3质量保证金的退还</w:t>
      </w:r>
    </w:p>
    <w:p w14:paraId="67D41D77">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（1）在发包人颁发缺陷责任期终止证书之日起14天内退还。</w:t>
      </w:r>
    </w:p>
    <w:p w14:paraId="2FE3CF0B">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（2）缺陷责任期内，承包人认真履行合同约定的责任，到期后，承包人可向发包人申请返还质量保证金。</w:t>
      </w:r>
    </w:p>
    <w:p w14:paraId="3BB974C0">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（3）质量保证金是否支付利息采取以下</w:t>
      </w:r>
      <w:r>
        <w:rPr>
          <w:rFonts w:hint="eastAsia" w:ascii="宋体" w:hAnsi="宋体"/>
          <w:color w:val="auto"/>
          <w:szCs w:val="21"/>
          <w:highlight w:val="none"/>
          <w:u w:val="single"/>
        </w:rPr>
        <w:t>第②种</w:t>
      </w:r>
      <w:r>
        <w:rPr>
          <w:rFonts w:hint="eastAsia" w:ascii="宋体" w:hAnsi="宋体"/>
          <w:color w:val="auto"/>
          <w:szCs w:val="21"/>
          <w:highlight w:val="none"/>
        </w:rPr>
        <w:t>方式：</w:t>
      </w:r>
    </w:p>
    <w:p w14:paraId="54D4E766">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u w:val="single"/>
        </w:rPr>
        <w:t>①按照中国人民银行  年  月公布的5年期贷款市场报价利率支付利息</w:t>
      </w:r>
      <w:r>
        <w:rPr>
          <w:rFonts w:hint="eastAsia" w:ascii="宋体" w:hAnsi="宋体"/>
          <w:color w:val="auto"/>
          <w:szCs w:val="21"/>
          <w:highlight w:val="none"/>
        </w:rPr>
        <w:t>。</w:t>
      </w:r>
    </w:p>
    <w:p w14:paraId="3AE80A10">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u w:val="single"/>
        </w:rPr>
        <w:t>②不采用</w:t>
      </w:r>
      <w:r>
        <w:rPr>
          <w:rFonts w:hint="eastAsia" w:ascii="宋体" w:hAnsi="宋体"/>
          <w:color w:val="auto"/>
          <w:szCs w:val="21"/>
          <w:highlight w:val="none"/>
        </w:rPr>
        <w:t>。</w:t>
      </w:r>
    </w:p>
    <w:p w14:paraId="19C3D05E">
      <w:pPr>
        <w:pStyle w:val="7"/>
        <w:spacing w:before="0" w:beforeAutospacing="0" w:after="0" w:afterAutospacing="0" w:line="360" w:lineRule="auto"/>
        <w:ind w:firstLine="422" w:firstLineChars="200"/>
        <w:rPr>
          <w:color w:val="auto"/>
          <w:sz w:val="21"/>
          <w:szCs w:val="21"/>
          <w:highlight w:val="none"/>
        </w:rPr>
      </w:pPr>
      <w:bookmarkStart w:id="1872" w:name="_Toc532375663"/>
      <w:bookmarkStart w:id="1873" w:name="_Toc532377400"/>
      <w:r>
        <w:rPr>
          <w:rFonts w:hint="eastAsia"/>
          <w:color w:val="auto"/>
          <w:sz w:val="21"/>
          <w:szCs w:val="21"/>
          <w:highlight w:val="none"/>
        </w:rPr>
        <w:t>15.4 保修</w:t>
      </w:r>
      <w:bookmarkEnd w:id="1872"/>
      <w:bookmarkEnd w:id="1873"/>
    </w:p>
    <w:p w14:paraId="172AC123">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15.4.1 保修责任</w:t>
      </w:r>
    </w:p>
    <w:p w14:paraId="5BDC01B8">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工程保修期为：</w:t>
      </w:r>
      <w:bookmarkStart w:id="1874" w:name="_Hlk524381274"/>
      <w:r>
        <w:rPr>
          <w:rFonts w:hint="eastAsia" w:ascii="宋体" w:hAnsi="宋体"/>
          <w:color w:val="auto"/>
          <w:szCs w:val="21"/>
          <w:highlight w:val="none"/>
        </w:rPr>
        <w:t>按照附件1《工程质量保修书》的规定执行。</w:t>
      </w:r>
      <w:bookmarkEnd w:id="1874"/>
    </w:p>
    <w:p w14:paraId="324E5C26">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15.4.3 修复通知</w:t>
      </w:r>
    </w:p>
    <w:p w14:paraId="43FC62B6">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承包人收到保修通知并到达工程现场的合理时间：</w:t>
      </w:r>
      <w:r>
        <w:rPr>
          <w:rFonts w:hint="eastAsia" w:ascii="宋体" w:hAnsi="宋体"/>
          <w:color w:val="auto"/>
          <w:szCs w:val="21"/>
          <w:highlight w:val="none"/>
          <w:u w:val="single"/>
        </w:rPr>
        <w:t>48小时内，最长不能超过</w:t>
      </w:r>
      <w:r>
        <w:rPr>
          <w:rFonts w:ascii="宋体" w:hAnsi="宋体"/>
          <w:color w:val="auto"/>
          <w:szCs w:val="21"/>
          <w:highlight w:val="none"/>
          <w:u w:val="single"/>
        </w:rPr>
        <w:t>72</w:t>
      </w:r>
      <w:r>
        <w:rPr>
          <w:rFonts w:hint="eastAsia" w:ascii="宋体" w:hAnsi="宋体"/>
          <w:color w:val="auto"/>
          <w:szCs w:val="21"/>
          <w:highlight w:val="none"/>
          <w:u w:val="single"/>
        </w:rPr>
        <w:t>小时</w:t>
      </w:r>
      <w:r>
        <w:rPr>
          <w:rFonts w:hint="eastAsia" w:ascii="宋体" w:hAnsi="宋体"/>
          <w:color w:val="auto"/>
          <w:szCs w:val="21"/>
          <w:highlight w:val="none"/>
        </w:rPr>
        <w:t>。</w:t>
      </w:r>
    </w:p>
    <w:p w14:paraId="6AE08244">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1875" w:name="_Toc532375664"/>
      <w:bookmarkStart w:id="1876" w:name="_Toc351203648"/>
      <w:bookmarkStart w:id="1877" w:name="_Toc532377401"/>
      <w:r>
        <w:rPr>
          <w:rFonts w:hint="eastAsia"/>
          <w:color w:val="auto"/>
          <w:kern w:val="2"/>
          <w:sz w:val="21"/>
          <w:szCs w:val="21"/>
          <w:highlight w:val="none"/>
        </w:rPr>
        <w:t>16. 违约</w:t>
      </w:r>
      <w:bookmarkEnd w:id="1875"/>
      <w:bookmarkEnd w:id="1876"/>
      <w:bookmarkEnd w:id="1877"/>
    </w:p>
    <w:p w14:paraId="4F9D73D1">
      <w:pPr>
        <w:pStyle w:val="7"/>
        <w:spacing w:before="0" w:beforeAutospacing="0" w:after="0" w:afterAutospacing="0" w:line="360" w:lineRule="auto"/>
        <w:ind w:firstLine="422" w:firstLineChars="200"/>
        <w:rPr>
          <w:color w:val="auto"/>
          <w:sz w:val="21"/>
          <w:szCs w:val="21"/>
          <w:highlight w:val="none"/>
        </w:rPr>
      </w:pPr>
      <w:bookmarkStart w:id="1878" w:name="_Toc532377402"/>
      <w:r>
        <w:rPr>
          <w:rFonts w:hint="eastAsia"/>
          <w:color w:val="auto"/>
          <w:sz w:val="21"/>
          <w:szCs w:val="21"/>
          <w:highlight w:val="none"/>
        </w:rPr>
        <w:t>16.1 发包人违约</w:t>
      </w:r>
      <w:bookmarkEnd w:id="1878"/>
    </w:p>
    <w:p w14:paraId="77574853">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16.1.1 发包人违约的情形</w:t>
      </w:r>
    </w:p>
    <w:p w14:paraId="3887FF1C">
      <w:pPr>
        <w:spacing w:line="360" w:lineRule="auto"/>
        <w:ind w:firstLine="420" w:firstLineChars="200"/>
        <w:rPr>
          <w:rFonts w:ascii="宋体" w:hAnsi="宋体"/>
          <w:color w:val="auto"/>
          <w:szCs w:val="21"/>
          <w:highlight w:val="none"/>
        </w:rPr>
      </w:pPr>
      <w:r>
        <w:rPr>
          <w:rFonts w:hint="eastAsia" w:ascii="宋体" w:hAnsi="宋体" w:cs="Microsoft Sans Serif"/>
          <w:color w:val="auto"/>
          <w:kern w:val="0"/>
          <w:szCs w:val="21"/>
          <w:highlight w:val="none"/>
        </w:rPr>
        <w:t>除通用合同条款约定外，发包人违约的其他情形：</w:t>
      </w:r>
    </w:p>
    <w:p w14:paraId="6B5BFA3E">
      <w:pPr>
        <w:spacing w:line="360" w:lineRule="auto"/>
        <w:ind w:firstLine="420" w:firstLineChars="200"/>
        <w:rPr>
          <w:rFonts w:ascii="宋体" w:hAnsi="宋体"/>
          <w:color w:val="auto"/>
          <w:szCs w:val="21"/>
          <w:highlight w:val="none"/>
        </w:rPr>
      </w:pPr>
      <w:r>
        <w:rPr>
          <w:rFonts w:hint="eastAsia" w:ascii="宋体" w:hAnsi="宋体" w:cs="Microsoft Sans Serif"/>
          <w:color w:val="auto"/>
          <w:kern w:val="0"/>
          <w:szCs w:val="21"/>
          <w:highlight w:val="none"/>
        </w:rPr>
        <w:t>（1）根据专用合同条款7.5.1项因发包人原因导致工期延误的；</w:t>
      </w:r>
    </w:p>
    <w:p w14:paraId="4F3401E7">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（2）因发包人原因未能及时办理完毕合同约定的许可、批准或备案的；</w:t>
      </w:r>
    </w:p>
    <w:p w14:paraId="1B791DC7">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（3）因监理人未能按合同约定发出指示、指示延误或发出了错误指示而导致承包人费用增加和（或）工期延误的；</w:t>
      </w:r>
    </w:p>
    <w:p w14:paraId="0A4C2771">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（4）根据5.3.3发包人或监理人要求重新检查的，经检查证明工程质量符合合同要求的，并由此产生增加的费用和（或）延误的工期的；</w:t>
      </w:r>
    </w:p>
    <w:p w14:paraId="30EDDC69">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（5）因发包人原因造成工程质量未达到合同约定标准的；</w:t>
      </w:r>
    </w:p>
    <w:p w14:paraId="46175274">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（6）由于发包人原因对承包人造成的人员人身伤亡和财产损失的；</w:t>
      </w:r>
    </w:p>
    <w:p w14:paraId="1217198A">
      <w:pPr>
        <w:pStyle w:val="108"/>
        <w:spacing w:line="360" w:lineRule="auto"/>
        <w:jc w:val="left"/>
        <w:rPr>
          <w:rFonts w:ascii="宋体" w:hAnsi="宋体" w:cs="Microsoft Sans Serif"/>
          <w:color w:val="auto"/>
          <w:kern w:val="0"/>
          <w:sz w:val="21"/>
          <w:szCs w:val="21"/>
          <w:highlight w:val="none"/>
        </w:rPr>
      </w:pPr>
      <w:r>
        <w:rPr>
          <w:rFonts w:hint="eastAsia" w:ascii="宋体" w:hAnsi="宋体" w:cs="Microsoft Sans Serif"/>
          <w:color w:val="auto"/>
          <w:kern w:val="0"/>
          <w:sz w:val="21"/>
          <w:szCs w:val="21"/>
          <w:highlight w:val="none"/>
        </w:rPr>
        <w:t>（7）因发包人原因导致工程无法按期办理竣工验收或竣工结算的；</w:t>
      </w:r>
    </w:p>
    <w:p w14:paraId="2B6785E0">
      <w:pPr>
        <w:pStyle w:val="108"/>
        <w:spacing w:line="360" w:lineRule="auto"/>
        <w:jc w:val="left"/>
        <w:rPr>
          <w:rFonts w:ascii="宋体" w:hAnsi="宋体" w:cs="Microsoft Sans Serif"/>
          <w:color w:val="auto"/>
          <w:kern w:val="0"/>
          <w:sz w:val="21"/>
          <w:szCs w:val="21"/>
          <w:highlight w:val="none"/>
        </w:rPr>
      </w:pPr>
      <w:r>
        <w:rPr>
          <w:rFonts w:hint="eastAsia" w:ascii="宋体" w:hAnsi="宋体" w:cs="Microsoft Sans Serif"/>
          <w:color w:val="auto"/>
          <w:kern w:val="0"/>
          <w:sz w:val="21"/>
          <w:szCs w:val="21"/>
          <w:highlight w:val="none"/>
        </w:rPr>
        <w:t>（8）发包人无正当理由未按约定退还履约担保、低价风险担保、预付款担保或质量保证金的；</w:t>
      </w:r>
    </w:p>
    <w:p w14:paraId="2470EBA4">
      <w:pPr>
        <w:pStyle w:val="108"/>
        <w:spacing w:line="360" w:lineRule="auto"/>
        <w:jc w:val="left"/>
        <w:rPr>
          <w:rFonts w:ascii="宋体" w:hAnsi="宋体" w:cs="Microsoft Sans Serif"/>
          <w:color w:val="auto"/>
          <w:kern w:val="0"/>
          <w:sz w:val="21"/>
          <w:szCs w:val="21"/>
          <w:highlight w:val="none"/>
        </w:rPr>
      </w:pPr>
      <w:r>
        <w:rPr>
          <w:rFonts w:hint="eastAsia" w:ascii="宋体" w:hAnsi="宋体" w:cs="Microsoft Sans Serif"/>
          <w:color w:val="auto"/>
          <w:kern w:val="0"/>
          <w:sz w:val="21"/>
          <w:szCs w:val="21"/>
          <w:highlight w:val="none"/>
        </w:rPr>
        <w:t>（9）发包人不当提取履约担保、低价风险担保或质量保证金的；</w:t>
      </w:r>
    </w:p>
    <w:p w14:paraId="117CBF63">
      <w:pPr>
        <w:pStyle w:val="108"/>
        <w:spacing w:line="360" w:lineRule="auto"/>
        <w:jc w:val="left"/>
        <w:rPr>
          <w:rFonts w:ascii="宋体" w:hAnsi="宋体" w:cs="Microsoft Sans Serif"/>
          <w:color w:val="auto"/>
          <w:kern w:val="0"/>
          <w:sz w:val="21"/>
          <w:szCs w:val="21"/>
          <w:highlight w:val="none"/>
        </w:rPr>
      </w:pPr>
      <w:r>
        <w:rPr>
          <w:rFonts w:hint="eastAsia" w:ascii="宋体" w:hAnsi="宋体" w:cs="Microsoft Sans Serif"/>
          <w:color w:val="auto"/>
          <w:kern w:val="0"/>
          <w:sz w:val="21"/>
          <w:szCs w:val="21"/>
          <w:highlight w:val="none"/>
        </w:rPr>
        <w:t>（10）发包人未按合同约定接收全部或部分工作的；</w:t>
      </w:r>
    </w:p>
    <w:p w14:paraId="296E665C">
      <w:pPr>
        <w:pStyle w:val="108"/>
        <w:spacing w:line="360" w:lineRule="auto"/>
        <w:jc w:val="left"/>
        <w:rPr>
          <w:rFonts w:ascii="宋体" w:hAnsi="宋体" w:cs="Microsoft Sans Serif"/>
          <w:color w:val="auto"/>
          <w:kern w:val="0"/>
          <w:sz w:val="21"/>
          <w:szCs w:val="21"/>
          <w:highlight w:val="none"/>
          <w:u w:val="single"/>
        </w:rPr>
      </w:pPr>
      <w:r>
        <w:rPr>
          <w:rFonts w:hint="eastAsia" w:ascii="宋体" w:hAnsi="宋体" w:cs="Microsoft Sans Serif"/>
          <w:color w:val="auto"/>
          <w:kern w:val="0"/>
          <w:sz w:val="21"/>
          <w:szCs w:val="21"/>
          <w:highlight w:val="none"/>
        </w:rPr>
        <w:t>（11）发包人未按合同约定办理保险的；</w:t>
      </w:r>
    </w:p>
    <w:p w14:paraId="51D08AE7">
      <w:pPr>
        <w:pStyle w:val="108"/>
        <w:spacing w:line="360" w:lineRule="auto"/>
        <w:rPr>
          <w:rFonts w:ascii="宋体" w:hAnsi="宋体"/>
          <w:color w:val="auto"/>
          <w:sz w:val="21"/>
          <w:szCs w:val="21"/>
          <w:highlight w:val="none"/>
        </w:rPr>
      </w:pPr>
      <w:r>
        <w:rPr>
          <w:rFonts w:hint="eastAsia" w:ascii="宋体" w:hAnsi="宋体"/>
          <w:color w:val="auto"/>
          <w:sz w:val="21"/>
          <w:szCs w:val="21"/>
          <w:highlight w:val="none"/>
        </w:rPr>
        <w:t>16.1.2发包人违约的责任</w:t>
      </w:r>
    </w:p>
    <w:p w14:paraId="5E5CDB81">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（1）因发包人原因未能及时办理完毕前述许可、批准或备案的违约责任：由发包人承担由此增加的费用和（或）顺延工期，并支付合理利润，具体索赔程序按照第19条〔索赔〕约定执行。</w:t>
      </w:r>
    </w:p>
    <w:p w14:paraId="26B7B21E">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2）因监理人未能按合同约定发出指示、指示延误或发出了错误指示而导致承包人费用增加和（或）工期延误的，由发包人承担由此增加的费用和（或）顺延工期，并支付合理利润，具体索赔程序按照第19条〔索赔〕约定执行。</w:t>
      </w:r>
    </w:p>
    <w:p w14:paraId="0F89D681">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（3）因发包人原因导致工期延误的违约责任：由发包人承担由此增加的费用和（或）顺延工期，并支付合理利润，具体索赔程序按照第19条〔索赔〕约定执行。</w:t>
      </w:r>
    </w:p>
    <w:p w14:paraId="7A6B666E">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（4）因发包人原因未能在计划开工日期前7天内下达开工通知的违约责任：由发包人承担由此增加的费用和（或）顺延工期，并支付合理利润，具体索赔程序按照第19条〔索赔〕约定执行。</w:t>
      </w:r>
    </w:p>
    <w:p w14:paraId="31090033">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（5）根据5.3.3项发包人或监理人要求重新检查的，经检查证明工程质量符合合同要求的，由发包人承担由此增加的费用和（或）顺延工期，并支付合理利润，具体索赔程序按照第19条〔索赔〕约定执行。</w:t>
      </w:r>
    </w:p>
    <w:p w14:paraId="42E6247C">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（6）因发包人原因未按合同约定支付合同价款的违约责任：发包人应向承包人支付违约金，自应当支付之日起28天后开始计算违约金，计算公式：</w:t>
      </w:r>
      <w:r>
        <w:rPr>
          <w:rFonts w:hint="eastAsia" w:ascii="宋体" w:hAnsi="宋体" w:cs="Microsoft Sans Serif"/>
          <w:color w:val="auto"/>
          <w:kern w:val="0"/>
          <w:szCs w:val="21"/>
          <w:highlight w:val="none"/>
          <w:u w:val="single"/>
        </w:rPr>
        <w:t>违约金=应付未付金额×中国人民银行  年  月公布的5年期贷款市场报价利率/360天×逾期天数</w:t>
      </w:r>
      <w:r>
        <w:rPr>
          <w:rFonts w:hint="eastAsia" w:ascii="宋体" w:hAnsi="宋体"/>
          <w:color w:val="auto"/>
          <w:szCs w:val="21"/>
          <w:highlight w:val="none"/>
          <w:u w:val="single"/>
        </w:rPr>
        <w:t>（自第29天起计算）</w:t>
      </w:r>
      <w:r>
        <w:rPr>
          <w:rFonts w:hint="eastAsia" w:ascii="宋体" w:hAnsi="宋体" w:cs="Microsoft Sans Serif"/>
          <w:color w:val="auto"/>
          <w:kern w:val="0"/>
          <w:szCs w:val="21"/>
          <w:highlight w:val="none"/>
          <w:u w:val="single"/>
        </w:rPr>
        <w:t>；逾期天数超过56天的，超过部分天数按上述利率的两倍计算并支付违约金</w:t>
      </w:r>
      <w:r>
        <w:rPr>
          <w:rFonts w:hint="eastAsia" w:ascii="宋体" w:hAnsi="宋体" w:cs="Microsoft Sans Serif"/>
          <w:color w:val="auto"/>
          <w:kern w:val="0"/>
          <w:szCs w:val="21"/>
          <w:highlight w:val="none"/>
        </w:rPr>
        <w:t>。</w:t>
      </w:r>
    </w:p>
    <w:p w14:paraId="4DA17EB0">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（7）发包人违反合同约定，自行实施或转由他人实施被取消的合同工作内容的违约责任：由发包人承担由此给承包人造成的实际损失并支付合理利润。</w:t>
      </w:r>
    </w:p>
    <w:p w14:paraId="786470DC">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8）发包人提供的基准资料错误并导致承包人测量放线工作返工或造成工程损失的，以及发包人提供的材料、工程设备的规格、数量或质量不符合合同约定，或因发包人原因导致交货日期延误或交货地点变更等情况的违约责任：由发包人承担由此增加的费用和（或）顺延工期，并支付合理利润，具体索赔程序按照第19条〔索赔〕约定执行。</w:t>
      </w:r>
    </w:p>
    <w:p w14:paraId="5444C57B">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（9）因发包人原因造成工程质量未达到合同约定标准的，由发包人承担由此增加的费用和（或）延误的工期，并支付合理利润。</w:t>
      </w:r>
    </w:p>
    <w:p w14:paraId="691BF16E">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（10）因发包人违反合同约定造成暂停施工的违约责任：由发包人承担由此增加的费用和（或）顺延工期，并支付合理利润，具体索赔程序按照第19条〔索赔〕约定执行。</w:t>
      </w:r>
    </w:p>
    <w:p w14:paraId="15B395D9">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（11）发包人无正当理由没有在约定期限内发出复工指示，导致承包人无法复工的违约责任：由发包人承担由此增加的费用和（或）顺延工期，并支付合理利润，具体索赔程序按照第19条〔索赔〕约定执行。</w:t>
      </w:r>
    </w:p>
    <w:p w14:paraId="488F74FF">
      <w:pPr>
        <w:spacing w:line="360" w:lineRule="auto"/>
        <w:ind w:firstLine="420" w:firstLineChars="200"/>
        <w:jc w:val="left"/>
        <w:rPr>
          <w:rFonts w:ascii="宋体" w:hAnsi="宋体" w:cs="Microsoft Sans Serif"/>
          <w:color w:val="auto"/>
          <w:kern w:val="0"/>
          <w:szCs w:val="21"/>
          <w:highlight w:val="none"/>
          <w:u w:val="single"/>
        </w:rPr>
      </w:pPr>
      <w:r>
        <w:rPr>
          <w:rFonts w:hint="eastAsia" w:ascii="宋体" w:hAnsi="宋体" w:cs="Microsoft Sans Serif"/>
          <w:color w:val="auto"/>
          <w:kern w:val="0"/>
          <w:szCs w:val="21"/>
          <w:highlight w:val="none"/>
        </w:rPr>
        <w:t>（12）因发包人原因导致工程无法按期办理竣工验收或竣工结算的违约责任：由发包人承担由此增加的费用和（或）顺延工期，并支付合理利润，具体索赔程序按照第19条〔索赔〕约定执行。</w:t>
      </w:r>
    </w:p>
    <w:p w14:paraId="7DC867C9">
      <w:pPr>
        <w:spacing w:line="360" w:lineRule="auto"/>
        <w:ind w:firstLine="420" w:firstLineChars="200"/>
        <w:jc w:val="left"/>
        <w:rPr>
          <w:rFonts w:ascii="宋体" w:hAnsi="宋体" w:cs="Microsoft Sans Serif"/>
          <w:color w:val="auto"/>
          <w:kern w:val="0"/>
          <w:szCs w:val="21"/>
          <w:highlight w:val="none"/>
          <w:u w:val="single"/>
        </w:rPr>
      </w:pPr>
      <w:r>
        <w:rPr>
          <w:rFonts w:hint="eastAsia" w:ascii="宋体" w:hAnsi="宋体"/>
          <w:color w:val="auto"/>
          <w:szCs w:val="21"/>
          <w:highlight w:val="none"/>
        </w:rPr>
        <w:t>（13）</w:t>
      </w:r>
      <w:r>
        <w:rPr>
          <w:rFonts w:hint="eastAsia" w:ascii="宋体" w:hAnsi="宋体" w:cs="Microsoft Sans Serif"/>
          <w:color w:val="auto"/>
          <w:kern w:val="0"/>
          <w:szCs w:val="21"/>
          <w:highlight w:val="none"/>
        </w:rPr>
        <w:t>发包人无正当理由未按约定退还履约担保、低价风险担保、预付款担保或质量保证金的违约责任：发包人应向承包人支付违约金，自应当退还之日起28天后开始计算违约金，</w:t>
      </w:r>
      <w:r>
        <w:rPr>
          <w:rFonts w:hint="eastAsia" w:ascii="宋体" w:hAnsi="宋体" w:cs="Microsoft Sans Serif"/>
          <w:color w:val="auto"/>
          <w:kern w:val="0"/>
          <w:szCs w:val="21"/>
          <w:highlight w:val="none"/>
          <w:u w:val="single"/>
        </w:rPr>
        <w:t>计算公式：违约金=应退未退担保金额×中国人民银行  年  月公布的5年期贷款市场报价利率/360天×逾期天数</w:t>
      </w:r>
      <w:r>
        <w:rPr>
          <w:rFonts w:hint="eastAsia" w:ascii="宋体" w:hAnsi="宋体"/>
          <w:color w:val="auto"/>
          <w:szCs w:val="21"/>
          <w:highlight w:val="none"/>
          <w:u w:val="single"/>
        </w:rPr>
        <w:t>（自第29天起计算）</w:t>
      </w:r>
      <w:r>
        <w:rPr>
          <w:rFonts w:hint="eastAsia" w:ascii="宋体" w:hAnsi="宋体" w:cs="Microsoft Sans Serif"/>
          <w:color w:val="auto"/>
          <w:kern w:val="0"/>
          <w:szCs w:val="21"/>
          <w:highlight w:val="none"/>
        </w:rPr>
        <w:t>。</w:t>
      </w:r>
    </w:p>
    <w:p w14:paraId="2E5BF19A">
      <w:pPr>
        <w:pStyle w:val="2"/>
        <w:spacing w:after="0" w:line="360" w:lineRule="auto"/>
        <w:ind w:firstLine="420" w:firstLineChars="200"/>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（14）</w:t>
      </w:r>
      <w:r>
        <w:rPr>
          <w:rFonts w:hint="eastAsia" w:ascii="宋体" w:hAnsi="宋体"/>
          <w:color w:val="auto"/>
          <w:szCs w:val="21"/>
          <w:highlight w:val="none"/>
        </w:rPr>
        <w:t>发包人不当提取履约担保、低价风险担保、预付款担保或质量保证金的，应及时予以退还，若不当提取超过28天的，应承担违约责任：发包人应向承包人支付违约金，</w:t>
      </w:r>
      <w:r>
        <w:rPr>
          <w:rFonts w:hint="eastAsia" w:ascii="宋体" w:hAnsi="宋体"/>
          <w:color w:val="auto"/>
          <w:szCs w:val="21"/>
          <w:highlight w:val="none"/>
          <w:u w:val="single"/>
        </w:rPr>
        <w:t>计算公式：违约金=不当提取的担保金额×中国人民银行  年  月公布的5年期贷款市场报价利率/360天×逾期天数（自第29天起计算）</w:t>
      </w:r>
      <w:r>
        <w:rPr>
          <w:rFonts w:hint="eastAsia" w:ascii="宋体" w:hAnsi="宋体"/>
          <w:color w:val="auto"/>
          <w:szCs w:val="21"/>
          <w:highlight w:val="none"/>
        </w:rPr>
        <w:t>。</w:t>
      </w:r>
    </w:p>
    <w:p w14:paraId="3F5A4FAA">
      <w:pPr>
        <w:pStyle w:val="2"/>
        <w:spacing w:after="0" w:line="360" w:lineRule="auto"/>
        <w:ind w:firstLine="420" w:firstLineChars="200"/>
        <w:rPr>
          <w:rFonts w:ascii="宋体" w:hAnsi="宋体"/>
          <w:color w:val="auto"/>
          <w:szCs w:val="21"/>
          <w:highlight w:val="none"/>
        </w:rPr>
      </w:pPr>
      <w:r>
        <w:rPr>
          <w:rFonts w:hint="eastAsia" w:ascii="宋体" w:hAnsi="宋体" w:cs="Microsoft Sans Serif"/>
          <w:color w:val="auto"/>
          <w:kern w:val="0"/>
          <w:szCs w:val="21"/>
          <w:highlight w:val="none"/>
        </w:rPr>
        <w:t>（15）发包人未按合同约定接收全部或部分工作的违约责任：由发包人承担自应当接收工程之日起的工程照管、成品保护、保管等与工程有关的各项费用。</w:t>
      </w:r>
    </w:p>
    <w:p w14:paraId="7B4ABFBB">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（16）由于发包人原因对承包人造成的人员人身伤亡和财产损失的，由发包人负责赔偿，并承担由此增加的费用和（或）延误的工期，并支付合理利润。</w:t>
      </w:r>
    </w:p>
    <w:p w14:paraId="1D98B14F">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（17）发包人未按合同约定办理保险的违约责任：除按18.6.1项约定执行外，每延迟1天，按</w:t>
      </w:r>
      <w:r>
        <w:rPr>
          <w:rFonts w:hint="eastAsia" w:ascii="宋体" w:hAnsi="宋体" w:cs="Microsoft Sans Serif"/>
          <w:color w:val="auto"/>
          <w:kern w:val="0"/>
          <w:szCs w:val="21"/>
          <w:highlight w:val="none"/>
          <w:u w:val="single"/>
        </w:rPr>
        <w:t>500元/天</w:t>
      </w:r>
      <w:r>
        <w:rPr>
          <w:rFonts w:hint="eastAsia" w:ascii="宋体" w:hAnsi="宋体" w:cs="Microsoft Sans Serif"/>
          <w:color w:val="auto"/>
          <w:kern w:val="0"/>
          <w:szCs w:val="21"/>
          <w:highlight w:val="none"/>
        </w:rPr>
        <w:t>支付违约金。</w:t>
      </w:r>
    </w:p>
    <w:p w14:paraId="3CAC95F1">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（18）其他：</w:t>
      </w:r>
      <w:r>
        <w:rPr>
          <w:rFonts w:hint="eastAsia" w:ascii="宋体" w:hAnsi="宋体" w:cs="Microsoft Sans Serif"/>
          <w:color w:val="auto"/>
          <w:kern w:val="0"/>
          <w:szCs w:val="21"/>
          <w:highlight w:val="none"/>
          <w:u w:val="single"/>
        </w:rPr>
        <w:t xml:space="preserve">        </w:t>
      </w:r>
      <w:r>
        <w:rPr>
          <w:rFonts w:hint="eastAsia" w:ascii="宋体" w:hAnsi="宋体" w:cs="Microsoft Sans Serif"/>
          <w:color w:val="auto"/>
          <w:kern w:val="0"/>
          <w:szCs w:val="21"/>
          <w:highlight w:val="none"/>
        </w:rPr>
        <w:t>。</w:t>
      </w:r>
    </w:p>
    <w:p w14:paraId="49B4CF36">
      <w:pPr>
        <w:autoSpaceDE w:val="0"/>
        <w:autoSpaceDN w:val="0"/>
        <w:adjustRightIn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发包人发生除通用条款第16.1.1项第（7）目以外的违约情况时，承包人可向发包人发出通知，要求发包人采取有效措施纠正违约行为。发包人收到承包人通知后的28天内仍不履行合同义务，承包人有权暂停施工，并通知监理人。</w:t>
      </w:r>
    </w:p>
    <w:p w14:paraId="1579A109">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16.1.3 因发包人违约解除合同</w:t>
      </w:r>
    </w:p>
    <w:p w14:paraId="30C5A33D">
      <w:pPr>
        <w:autoSpaceDE w:val="0"/>
        <w:autoSpaceDN w:val="0"/>
        <w:adjustRightIn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因发包人违约并致使合同目的不能实现的，承包人有权解除合同：</w:t>
      </w:r>
    </w:p>
    <w:p w14:paraId="11180B2E">
      <w:pPr>
        <w:autoSpaceDE w:val="0"/>
        <w:autoSpaceDN w:val="0"/>
        <w:adjustRightIn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（1）因发包人原因延迟支付合同价款超过180天的；</w:t>
      </w:r>
    </w:p>
    <w:p w14:paraId="4FD2D1EC">
      <w:pPr>
        <w:autoSpaceDE w:val="0"/>
        <w:autoSpaceDN w:val="0"/>
        <w:adjustRightIn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（2）因发包人原因导致工期延误超过90天的；</w:t>
      </w:r>
    </w:p>
    <w:p w14:paraId="495DDA4F">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（3）因发包人第16.1.2（5）违约情形导致暂停施工满56天，且发包人仍未纠正其违约行为的；</w:t>
      </w:r>
    </w:p>
    <w:p w14:paraId="017262B1">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（4）其他未履行合同项下的义务构成对合同的实质性违约，并且在收到承包人要求说明其违约并予以补救的通知后56天内仍未补救该实质性违约的；</w:t>
      </w:r>
    </w:p>
    <w:p w14:paraId="458CB9D2">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（5）</w:t>
      </w:r>
      <w:r>
        <w:rPr>
          <w:rFonts w:hint="eastAsia" w:ascii="宋体" w:hAnsi="宋体" w:cs="Microsoft Sans Serif"/>
          <w:color w:val="auto"/>
          <w:kern w:val="0"/>
          <w:szCs w:val="21"/>
          <w:highlight w:val="none"/>
          <w:u w:val="single"/>
        </w:rPr>
        <w:t>合同约定的承包人有权解除合同的其他情形</w:t>
      </w:r>
      <w:r>
        <w:rPr>
          <w:rFonts w:hint="eastAsia" w:ascii="宋体" w:hAnsi="宋体" w:cs="Microsoft Sans Serif"/>
          <w:color w:val="auto"/>
          <w:kern w:val="0"/>
          <w:szCs w:val="21"/>
          <w:highlight w:val="none"/>
        </w:rPr>
        <w:t>。</w:t>
      </w:r>
    </w:p>
    <w:p w14:paraId="6F590327">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16.1.4 因发包人违约解除合同后的付款</w:t>
      </w:r>
    </w:p>
    <w:p w14:paraId="78BE864B">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承包人按照本款约定解除合同的，发包人应在解除合同后28天内支付下列款项，并解除履约担保、低价风险担保、预付款担保：</w:t>
      </w:r>
    </w:p>
    <w:p w14:paraId="4153ADCF">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（1）合同解除前所完成工作的价款；</w:t>
      </w:r>
    </w:p>
    <w:p w14:paraId="16C8E825">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（2）承包人为工程施工订购并已付款的材料、工程设备和其他物品的价款；</w:t>
      </w:r>
    </w:p>
    <w:p w14:paraId="3A5B02D1">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（3）承包人撤离施工现场以及遣散承包人人员的款项；</w:t>
      </w:r>
    </w:p>
    <w:p w14:paraId="60173350">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（4）按照合同约定在合同解除前应支付的违约金；</w:t>
      </w:r>
    </w:p>
    <w:p w14:paraId="6946C899">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（5）按照合同约定应当支付给承包人的其他款项；</w:t>
      </w:r>
    </w:p>
    <w:p w14:paraId="4DE244C4">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（6）按照合同约定应退还的质量保证金；</w:t>
      </w:r>
    </w:p>
    <w:p w14:paraId="1434A1AB">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（7）因解除合同给承包人造成的损失；</w:t>
      </w:r>
    </w:p>
    <w:p w14:paraId="3B0E763D">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合同当事人未能就解除合同后的结清达成一致的，按照第20条〔争议解决〕的约定处理。</w:t>
      </w:r>
    </w:p>
    <w:p w14:paraId="34DCA12A">
      <w:pPr>
        <w:snapToGrid w:val="0"/>
        <w:spacing w:line="360" w:lineRule="auto"/>
        <w:ind w:firstLine="420" w:firstLineChars="200"/>
        <w:jc w:val="left"/>
        <w:rPr>
          <w:rFonts w:ascii="宋体" w:hAnsi="宋体" w:cs="Microsoft Sans Serif"/>
          <w:color w:val="auto"/>
          <w:kern w:val="0"/>
          <w:szCs w:val="21"/>
          <w:highlight w:val="none"/>
          <w:u w:val="single"/>
        </w:rPr>
      </w:pPr>
      <w:r>
        <w:rPr>
          <w:rFonts w:hint="eastAsia" w:ascii="宋体" w:hAnsi="宋体" w:cs="Microsoft Sans Serif"/>
          <w:color w:val="auto"/>
          <w:kern w:val="0"/>
          <w:szCs w:val="21"/>
          <w:highlight w:val="none"/>
        </w:rPr>
        <w:t>承包人应妥善做好已完工程和与工程有关的已购材料、工程设备的保护和移交工作，并将施工设备和人员撤出施工现场，发包人应为承包人撤出提供必要条件。</w:t>
      </w:r>
    </w:p>
    <w:p w14:paraId="271AD3DB">
      <w:pPr>
        <w:pStyle w:val="7"/>
        <w:spacing w:before="0" w:beforeAutospacing="0" w:after="0" w:afterAutospacing="0" w:line="360" w:lineRule="auto"/>
        <w:ind w:firstLine="422" w:firstLineChars="200"/>
        <w:rPr>
          <w:color w:val="auto"/>
          <w:sz w:val="21"/>
          <w:szCs w:val="21"/>
          <w:highlight w:val="none"/>
        </w:rPr>
      </w:pPr>
      <w:bookmarkStart w:id="1879" w:name="_Toc532377403"/>
      <w:r>
        <w:rPr>
          <w:rFonts w:hint="eastAsia"/>
          <w:color w:val="auto"/>
          <w:sz w:val="21"/>
          <w:szCs w:val="21"/>
          <w:highlight w:val="none"/>
        </w:rPr>
        <w:t>16.2 承包人违约</w:t>
      </w:r>
      <w:bookmarkEnd w:id="1879"/>
    </w:p>
    <w:p w14:paraId="795F8138">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16.2.1 承包人违约的情形</w:t>
      </w:r>
    </w:p>
    <w:p w14:paraId="3EB7C056">
      <w:pPr>
        <w:snapToGrid w:val="0"/>
        <w:spacing w:line="360" w:lineRule="auto"/>
        <w:ind w:firstLine="420" w:firstLineChars="200"/>
        <w:jc w:val="left"/>
        <w:rPr>
          <w:rFonts w:ascii="宋体" w:hAnsi="宋体" w:cs="Microsoft Sans Serif"/>
          <w:color w:val="auto"/>
          <w:kern w:val="0"/>
          <w:szCs w:val="21"/>
          <w:highlight w:val="none"/>
          <w:u w:val="single"/>
        </w:rPr>
      </w:pPr>
      <w:r>
        <w:rPr>
          <w:rFonts w:hint="eastAsia" w:ascii="宋体" w:hAnsi="宋体" w:cs="Microsoft Sans Serif"/>
          <w:color w:val="auto"/>
          <w:kern w:val="0"/>
          <w:szCs w:val="21"/>
          <w:highlight w:val="none"/>
        </w:rPr>
        <w:t>除通用合同条款约定外，承包人违约的其他情形：</w:t>
      </w:r>
    </w:p>
    <w:p w14:paraId="1ECAAA18">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（1）承包人未按合同约定提交履约担保或质量保证金的；</w:t>
      </w:r>
    </w:p>
    <w:p w14:paraId="373AEB7B">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（2）承包人未能按期开工的；</w:t>
      </w:r>
    </w:p>
    <w:p w14:paraId="0A2DB6F6">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（3）承包人未按投标文件或监理人的要求及时配备称职的主要管理人员，或承包人未按经审定的施工组织设计配备或更换关键施工设备的；</w:t>
      </w:r>
    </w:p>
    <w:p w14:paraId="401C63D5">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（4）承包人有安全问题或有违反安全管理规章制度情况的；</w:t>
      </w:r>
    </w:p>
    <w:p w14:paraId="0A14C15C">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（5）承包人在缺陷责任期及保修期内，未能在合理期限对工程缺陷进行修复，或拒绝按发包人要求进行修复的；</w:t>
      </w:r>
    </w:p>
    <w:p w14:paraId="3E4ED782">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（6）承包人拖欠其工人或所雇人员工资或报酬，导致其工人或所雇人员向有关部门投诉、控告、检举或以聚集等方式讨要工资或报酬的；</w:t>
      </w:r>
    </w:p>
    <w:p w14:paraId="1E70F066">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（7）承包人不配合发包人、监理人及发包人委托的工程造价咨询服务单位结算审核或承包人其他原因导致未按期完成工程竣工结算的；</w:t>
      </w:r>
    </w:p>
    <w:p w14:paraId="50BE0199">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（8）承包人违反合同约定进行转包或违法分包的；</w:t>
      </w:r>
    </w:p>
    <w:p w14:paraId="70C0DBF2">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（9）承包人未按合同约定移交全部或部分工作的；</w:t>
      </w:r>
    </w:p>
    <w:p w14:paraId="6778D3B7">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（10）承包人未按合同约定购买保险的；</w:t>
      </w:r>
    </w:p>
    <w:p w14:paraId="689F8D41">
      <w:pPr>
        <w:snapToGrid w:val="0"/>
        <w:spacing w:line="360" w:lineRule="auto"/>
        <w:ind w:firstLine="420" w:firstLineChars="200"/>
        <w:jc w:val="left"/>
        <w:rPr>
          <w:rFonts w:ascii="宋体" w:hAnsi="宋体"/>
          <w:color w:val="auto"/>
          <w:szCs w:val="21"/>
          <w:highlight w:val="none"/>
        </w:rPr>
      </w:pPr>
      <w:r>
        <w:rPr>
          <w:rFonts w:hint="eastAsia" w:ascii="宋体" w:hAnsi="宋体" w:cs="Microsoft Sans Serif"/>
          <w:color w:val="auto"/>
          <w:kern w:val="0"/>
          <w:szCs w:val="21"/>
          <w:highlight w:val="none"/>
        </w:rPr>
        <w:t>（11）项目经理若有以下情形，属于承包人违约：</w:t>
      </w:r>
    </w:p>
    <w:p w14:paraId="7887B5CB">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1）项目经理不按承诺到岗的；</w:t>
      </w:r>
    </w:p>
    <w:p w14:paraId="4F456FE8">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2）每月在施工现场的天数少于约定天数的；</w:t>
      </w:r>
    </w:p>
    <w:p w14:paraId="1D12A2AA">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3）承包人未提交项目经理劳动合同和社会保险证明的；</w:t>
      </w:r>
    </w:p>
    <w:p w14:paraId="009070CF">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4）未经批准，擅自离开施工现场（超过约定时间）的；</w:t>
      </w:r>
    </w:p>
    <w:p w14:paraId="2ED8F030">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5）未经批准，擅自变更项目经理的；</w:t>
      </w:r>
    </w:p>
    <w:p w14:paraId="077BDA96">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6）按照渝建发〔2015〕35号文的要求，施工期间，项目经理因在一个记分周期内累计记分达到12分，被建设行政主管部门依法责令停止执业的；</w:t>
      </w:r>
    </w:p>
    <w:p w14:paraId="000D0976">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7）发包人有正当理由认为项目经理不称职/不履职，且承包人在约定时间内不予更换的；</w:t>
      </w:r>
    </w:p>
    <w:p w14:paraId="2E740378">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8）其他双方约定的情形：。</w:t>
      </w:r>
    </w:p>
    <w:p w14:paraId="11FC7C42">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（12）技术负责人若有以下情形，属于承包人违约：</w:t>
      </w:r>
    </w:p>
    <w:p w14:paraId="04ED294D">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1）每月在施工现场的天数少于约定天数的；</w:t>
      </w:r>
    </w:p>
    <w:p w14:paraId="2B5A0F9F">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2）承包人未提交技术负责人劳动合同和社会保险证明的；</w:t>
      </w:r>
    </w:p>
    <w:p w14:paraId="0D1621CC">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3）未经批准，擅自离开施工现场（超过约定时间）的；</w:t>
      </w:r>
    </w:p>
    <w:p w14:paraId="0EBA3893">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4）未经批准，擅自变更技术负责人的；</w:t>
      </w:r>
    </w:p>
    <w:p w14:paraId="7B3A46AD">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5）发包人有正当理由认为技术负责人不称职/不履职，且承包人在约定时间内不予更换的；</w:t>
      </w:r>
    </w:p>
    <w:p w14:paraId="28457225">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6）其他双方约定的情形：。</w:t>
      </w:r>
    </w:p>
    <w:p w14:paraId="2711AD7A">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（13）主要施工管理人员若有以下情形，属于承包人违约：</w:t>
      </w:r>
    </w:p>
    <w:p w14:paraId="683C7F7A">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1）承包人未提交主要施工管理人员劳动合同和社会保险证明的；</w:t>
      </w:r>
    </w:p>
    <w:p w14:paraId="7A6643CA">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2）未经批准，擅自离开施工现场（超过约定时间）的；</w:t>
      </w:r>
    </w:p>
    <w:p w14:paraId="4E938543">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3）未经批准，擅自变更主要施工管理人员的；</w:t>
      </w:r>
    </w:p>
    <w:p w14:paraId="6C708565">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4）发包人有正当理由认为主要施工管理人员不称职/不履职，且承包人在约定时间内不予更换的；</w:t>
      </w:r>
    </w:p>
    <w:p w14:paraId="5D00132D">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5）其他双方约定的情形：。</w:t>
      </w:r>
    </w:p>
    <w:p w14:paraId="3A8D52B4">
      <w:pPr>
        <w:adjustRightInd w:val="0"/>
        <w:snapToGrid w:val="0"/>
        <w:spacing w:line="360" w:lineRule="auto"/>
        <w:ind w:firstLine="420" w:firstLineChars="200"/>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14）发包人在合同签订前对承包人已标价工程量清单清标时发现承包人的工程量清单综合单价报价超过招标时给出的工程量清单综合单价最高限价，结算时拒不接受发包人以发出的工程量清单综合单价最高限价为基础，按照承包人的中标总报价与本工程的总价最高限价的下浮比例进行同比例下调的。</w:t>
      </w:r>
    </w:p>
    <w:p w14:paraId="1F7D168A">
      <w:pPr>
        <w:adjustRightInd w:val="0"/>
        <w:snapToGrid w:val="0"/>
        <w:spacing w:line="360" w:lineRule="auto"/>
        <w:ind w:firstLine="420" w:firstLineChars="200"/>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（15）</w:t>
      </w:r>
      <w:r>
        <w:rPr>
          <w:rFonts w:hint="eastAsia" w:ascii="宋体" w:hAnsi="宋体" w:cs="Microsoft Sans Serif"/>
          <w:color w:val="auto"/>
          <w:kern w:val="0"/>
          <w:szCs w:val="21"/>
          <w:highlight w:val="none"/>
          <w:u w:val="single"/>
        </w:rPr>
        <w:t>/</w:t>
      </w:r>
      <w:r>
        <w:rPr>
          <w:rFonts w:ascii="宋体" w:hAnsi="宋体" w:cs="Microsoft Sans Serif"/>
          <w:color w:val="auto"/>
          <w:kern w:val="0"/>
          <w:szCs w:val="21"/>
          <w:highlight w:val="none"/>
          <w:u w:val="single"/>
        </w:rPr>
        <w:t xml:space="preserve"> </w:t>
      </w:r>
      <w:r>
        <w:rPr>
          <w:rFonts w:hint="eastAsia" w:ascii="宋体" w:hAnsi="宋体" w:cs="Microsoft Sans Serif"/>
          <w:color w:val="auto"/>
          <w:kern w:val="0"/>
          <w:szCs w:val="21"/>
          <w:highlight w:val="none"/>
        </w:rPr>
        <w:t>。</w:t>
      </w:r>
    </w:p>
    <w:p w14:paraId="26D1A1A7">
      <w:pPr>
        <w:adjustRightInd w:val="0"/>
        <w:snapToGrid w:val="0"/>
        <w:spacing w:line="360" w:lineRule="auto"/>
        <w:ind w:firstLine="420" w:firstLineChars="200"/>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16.2.2 承包人违约的责任</w:t>
      </w:r>
    </w:p>
    <w:p w14:paraId="0BDDF526">
      <w:pPr>
        <w:adjustRightInd w:val="0"/>
        <w:snapToGrid w:val="0"/>
        <w:spacing w:line="360" w:lineRule="auto"/>
        <w:ind w:firstLine="420" w:firstLineChars="200"/>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承包人违约责任的承担方式和计算方法：</w:t>
      </w:r>
    </w:p>
    <w:p w14:paraId="0445EC3C">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（1）承包人未按合同约定提交履约担保、质量保证金的违约责任：承包人应支付违约金，</w:t>
      </w:r>
      <w:r>
        <w:rPr>
          <w:rFonts w:hint="eastAsia" w:ascii="宋体" w:hAnsi="宋体" w:cs="Microsoft Sans Serif"/>
          <w:color w:val="auto"/>
          <w:szCs w:val="21"/>
          <w:highlight w:val="none"/>
        </w:rPr>
        <w:t>违约金的计算方法：</w:t>
      </w:r>
      <w:r>
        <w:rPr>
          <w:rFonts w:hint="eastAsia" w:ascii="宋体" w:hAnsi="宋体" w:cs="Microsoft Sans Serif"/>
          <w:color w:val="auto"/>
          <w:kern w:val="0"/>
          <w:szCs w:val="21"/>
          <w:highlight w:val="none"/>
        </w:rPr>
        <w:t>每延误1天，承包人按</w:t>
      </w:r>
      <w:r>
        <w:rPr>
          <w:rFonts w:hint="eastAsia" w:ascii="宋体" w:hAnsi="宋体" w:cs="Microsoft Sans Serif"/>
          <w:color w:val="auto"/>
          <w:kern w:val="0"/>
          <w:szCs w:val="21"/>
          <w:highlight w:val="none"/>
          <w:u w:val="single"/>
        </w:rPr>
        <w:t xml:space="preserve">  5000元/天</w:t>
      </w:r>
      <w:r>
        <w:rPr>
          <w:rFonts w:hint="eastAsia" w:ascii="宋体" w:hAnsi="宋体" w:cs="Microsoft Sans Serif"/>
          <w:color w:val="auto"/>
          <w:kern w:val="0"/>
          <w:szCs w:val="21"/>
          <w:highlight w:val="none"/>
        </w:rPr>
        <w:t>计算违约金，累计违约金上限：</w:t>
      </w:r>
      <w:r>
        <w:rPr>
          <w:rFonts w:hint="eastAsia" w:ascii="宋体" w:hAnsi="宋体" w:cs="Microsoft Sans Serif"/>
          <w:color w:val="auto"/>
          <w:kern w:val="0"/>
          <w:szCs w:val="21"/>
          <w:highlight w:val="none"/>
          <w:u w:val="single"/>
        </w:rPr>
        <w:t>不超过签约合同价的3%</w:t>
      </w:r>
      <w:r>
        <w:rPr>
          <w:rFonts w:hint="eastAsia" w:ascii="宋体" w:hAnsi="宋体" w:cs="Microsoft Sans Serif"/>
          <w:color w:val="auto"/>
          <w:kern w:val="0"/>
          <w:szCs w:val="21"/>
          <w:highlight w:val="none"/>
          <w:lang w:val="zh-CN"/>
        </w:rPr>
        <w:t>。</w:t>
      </w:r>
    </w:p>
    <w:p w14:paraId="4B60EB10">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（2）承包人违反合同约定进行转包或违法分包的违约责任：按照违反合同约定进行转包和（或）违法分包相应转包和（或）分包合同的合同金额的</w:t>
      </w:r>
      <w:r>
        <w:rPr>
          <w:rFonts w:hint="eastAsia" w:ascii="宋体" w:hAnsi="宋体" w:cs="Microsoft Sans Serif"/>
          <w:color w:val="auto"/>
          <w:kern w:val="0"/>
          <w:szCs w:val="21"/>
          <w:highlight w:val="none"/>
          <w:u w:val="single"/>
        </w:rPr>
        <w:t xml:space="preserve"> 5%</w:t>
      </w:r>
      <w:r>
        <w:rPr>
          <w:rFonts w:hint="eastAsia" w:ascii="宋体" w:hAnsi="宋体" w:cs="Microsoft Sans Serif"/>
          <w:color w:val="auto"/>
          <w:kern w:val="0"/>
          <w:szCs w:val="21"/>
          <w:highlight w:val="none"/>
        </w:rPr>
        <w:t>支付违约金，违法转/分包商应在7天内撤离出场。</w:t>
      </w:r>
    </w:p>
    <w:p w14:paraId="3AC7FF0D">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（3）承包人违反合同约定采购和使用不合格的材料和工程设备的违约责任：按照违反合同约定采购和使用不合格的材料和（或）工程设备相应合同金额的</w:t>
      </w:r>
      <w:r>
        <w:rPr>
          <w:rFonts w:hint="eastAsia" w:ascii="宋体" w:hAnsi="宋体" w:cs="Microsoft Sans Serif"/>
          <w:color w:val="auto"/>
          <w:kern w:val="0"/>
          <w:szCs w:val="21"/>
          <w:highlight w:val="none"/>
          <w:u w:val="single"/>
        </w:rPr>
        <w:t xml:space="preserve"> 5%</w:t>
      </w:r>
      <w:r>
        <w:rPr>
          <w:rFonts w:hint="eastAsia" w:ascii="宋体" w:hAnsi="宋体" w:cs="Microsoft Sans Serif"/>
          <w:color w:val="auto"/>
          <w:kern w:val="0"/>
          <w:szCs w:val="21"/>
          <w:highlight w:val="none"/>
        </w:rPr>
        <w:t>支付违约金。</w:t>
      </w:r>
    </w:p>
    <w:p w14:paraId="6B461615">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（4）因承包人原因导致工程质量不符合规定或合同要求的违约责任：承包人退5</w:t>
      </w:r>
      <w:r>
        <w:rPr>
          <w:rFonts w:hint="eastAsia" w:ascii="宋体" w:hAnsi="宋体" w:cs="Microsoft Sans Serif"/>
          <w:color w:val="auto"/>
          <w:kern w:val="0"/>
          <w:szCs w:val="21"/>
          <w:highlight w:val="none"/>
          <w:u w:val="single"/>
        </w:rPr>
        <w:t>%</w:t>
      </w:r>
      <w:r>
        <w:rPr>
          <w:rFonts w:hint="eastAsia" w:ascii="宋体" w:hAnsi="宋体" w:cs="Microsoft Sans Serif"/>
          <w:color w:val="auto"/>
          <w:kern w:val="0"/>
          <w:szCs w:val="21"/>
          <w:highlight w:val="none"/>
        </w:rPr>
        <w:t>支付违约金。</w:t>
      </w:r>
    </w:p>
    <w:p w14:paraId="421D98CC">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（5）承包人违反材料与设备的约定，未经批准，擅自将已按照合同约定进入施工现场的材料或设备撤离施工现场的违约责任：按照承包人擅自撤离施工现场材料和（或）设备相应合同金额的</w:t>
      </w:r>
      <w:r>
        <w:rPr>
          <w:rFonts w:hint="eastAsia" w:ascii="宋体" w:hAnsi="宋体" w:cs="Microsoft Sans Serif"/>
          <w:color w:val="auto"/>
          <w:kern w:val="0"/>
          <w:szCs w:val="21"/>
          <w:highlight w:val="none"/>
          <w:u w:val="single"/>
        </w:rPr>
        <w:t xml:space="preserve"> 1%</w:t>
      </w:r>
      <w:r>
        <w:rPr>
          <w:rFonts w:hint="eastAsia" w:ascii="宋体" w:hAnsi="宋体" w:cs="Microsoft Sans Serif"/>
          <w:color w:val="auto"/>
          <w:kern w:val="0"/>
          <w:szCs w:val="21"/>
          <w:highlight w:val="none"/>
        </w:rPr>
        <w:t>支付违约金。</w:t>
      </w:r>
    </w:p>
    <w:p w14:paraId="2E33BE41">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（6）因承包人原因造成工期延误的违约承担方式和计算方法：由承包人承担由此增加的费用，</w:t>
      </w:r>
      <w:r>
        <w:rPr>
          <w:rFonts w:hint="eastAsia" w:ascii="宋体" w:hAnsi="宋体" w:cs="Microsoft Sans Serif"/>
          <w:color w:val="auto"/>
          <w:szCs w:val="21"/>
          <w:highlight w:val="none"/>
        </w:rPr>
        <w:t>由此导致工期延误的，工期不予顺延；逾期竣工违约金的计算方法：</w:t>
      </w:r>
      <w:r>
        <w:rPr>
          <w:rFonts w:hint="eastAsia" w:ascii="宋体" w:hAnsi="宋体" w:cs="Microsoft Sans Serif"/>
          <w:color w:val="auto"/>
          <w:kern w:val="0"/>
          <w:szCs w:val="21"/>
          <w:highlight w:val="none"/>
        </w:rPr>
        <w:t>每延误1天，承包人按</w:t>
      </w:r>
      <w:r>
        <w:rPr>
          <w:rFonts w:hint="eastAsia" w:ascii="宋体" w:hAnsi="宋体" w:cs="Microsoft Sans Serif"/>
          <w:color w:val="auto"/>
          <w:kern w:val="0"/>
          <w:szCs w:val="21"/>
          <w:highlight w:val="none"/>
          <w:u w:val="single"/>
        </w:rPr>
        <w:t xml:space="preserve"> 5000元/天</w:t>
      </w:r>
      <w:r>
        <w:rPr>
          <w:rFonts w:hint="eastAsia" w:ascii="宋体" w:hAnsi="宋体" w:cs="Microsoft Sans Serif"/>
          <w:color w:val="auto"/>
          <w:kern w:val="0"/>
          <w:szCs w:val="21"/>
          <w:highlight w:val="none"/>
        </w:rPr>
        <w:t>计算逾期竣工违约金，累计违约金上限：万元（不超过签约合同价的3%）</w:t>
      </w:r>
      <w:r>
        <w:rPr>
          <w:rFonts w:hint="eastAsia" w:ascii="宋体" w:hAnsi="宋体" w:cs="Microsoft Sans Serif"/>
          <w:color w:val="auto"/>
          <w:kern w:val="0"/>
          <w:szCs w:val="21"/>
          <w:highlight w:val="none"/>
          <w:lang w:val="zh-CN"/>
        </w:rPr>
        <w:t>；</w:t>
      </w:r>
      <w:r>
        <w:rPr>
          <w:rFonts w:hint="eastAsia" w:ascii="宋体" w:hAnsi="宋体" w:cs="Microsoft Sans Serif"/>
          <w:color w:val="auto"/>
          <w:kern w:val="0"/>
          <w:szCs w:val="21"/>
          <w:highlight w:val="none"/>
        </w:rPr>
        <w:t>承包人支付逾期竣工违约金后，不免除承包人继续完成工程及修补缺陷的义务。</w:t>
      </w:r>
    </w:p>
    <w:p w14:paraId="7EFCAEBE">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（7）承包人在缺陷责任期及保修期内，未能在合理期限对工程缺陷进行修复，或拒绝按发包人要求进行修复的违约责任：按照发包人修复缺陷费用的</w:t>
      </w:r>
      <w:r>
        <w:rPr>
          <w:rFonts w:hint="eastAsia" w:ascii="宋体" w:hAnsi="宋体" w:cs="Microsoft Sans Serif"/>
          <w:color w:val="auto"/>
          <w:kern w:val="0"/>
          <w:szCs w:val="21"/>
          <w:highlight w:val="none"/>
          <w:u w:val="single"/>
        </w:rPr>
        <w:t xml:space="preserve">  2%</w:t>
      </w:r>
      <w:r>
        <w:rPr>
          <w:rFonts w:hint="eastAsia" w:ascii="宋体" w:hAnsi="宋体" w:cs="Microsoft Sans Serif"/>
          <w:color w:val="auto"/>
          <w:kern w:val="0"/>
          <w:szCs w:val="21"/>
          <w:highlight w:val="none"/>
        </w:rPr>
        <w:t>支付违约金。</w:t>
      </w:r>
    </w:p>
    <w:p w14:paraId="34958E82">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（8）承包人明确表示或者以其行为表明不履行合同主要义务的违约责任：按签约合同价的</w:t>
      </w:r>
      <w:r>
        <w:rPr>
          <w:rFonts w:hint="eastAsia" w:ascii="宋体" w:hAnsi="宋体" w:cs="Microsoft Sans Serif"/>
          <w:color w:val="auto"/>
          <w:kern w:val="0"/>
          <w:szCs w:val="21"/>
          <w:highlight w:val="none"/>
          <w:u w:val="single"/>
        </w:rPr>
        <w:t xml:space="preserve">  5%</w:t>
      </w:r>
      <w:r>
        <w:rPr>
          <w:rFonts w:hint="eastAsia" w:ascii="宋体" w:hAnsi="宋体" w:cs="Microsoft Sans Serif"/>
          <w:color w:val="auto"/>
          <w:kern w:val="0"/>
          <w:szCs w:val="21"/>
          <w:highlight w:val="none"/>
        </w:rPr>
        <w:t>支付违约金。</w:t>
      </w:r>
    </w:p>
    <w:p w14:paraId="30EA02CB">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（9）承包人未能按照合同约定履行其他义务的违约责任：按</w:t>
      </w:r>
      <w:r>
        <w:rPr>
          <w:rFonts w:hint="eastAsia" w:ascii="宋体" w:hAnsi="宋体" w:cs="Microsoft Sans Serif"/>
          <w:color w:val="auto"/>
          <w:kern w:val="0"/>
          <w:szCs w:val="21"/>
          <w:highlight w:val="none"/>
          <w:u w:val="single"/>
        </w:rPr>
        <w:t>500元/次</w:t>
      </w:r>
      <w:r>
        <w:rPr>
          <w:rFonts w:hint="eastAsia" w:ascii="宋体" w:hAnsi="宋体" w:cs="Microsoft Sans Serif"/>
          <w:color w:val="auto"/>
          <w:kern w:val="0"/>
          <w:szCs w:val="21"/>
          <w:highlight w:val="none"/>
        </w:rPr>
        <w:t>支付违约金。</w:t>
      </w:r>
    </w:p>
    <w:p w14:paraId="7E8C261C">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（10）承包人未能按期开工的违约责任：按合同价</w:t>
      </w:r>
      <w:r>
        <w:rPr>
          <w:rFonts w:hint="eastAsia" w:ascii="宋体" w:hAnsi="宋体" w:cs="Microsoft Sans Serif"/>
          <w:color w:val="auto"/>
          <w:kern w:val="0"/>
          <w:szCs w:val="21"/>
          <w:highlight w:val="none"/>
          <w:u w:val="single"/>
        </w:rPr>
        <w:t>0.2‰/天</w:t>
      </w:r>
      <w:r>
        <w:rPr>
          <w:rFonts w:hint="eastAsia" w:ascii="宋体" w:hAnsi="宋体" w:cs="Microsoft Sans Serif"/>
          <w:color w:val="auto"/>
          <w:kern w:val="0"/>
          <w:szCs w:val="21"/>
          <w:highlight w:val="none"/>
        </w:rPr>
        <w:t>支付违约金，本项违约金累计限额为签约合同价的</w:t>
      </w:r>
      <w:r>
        <w:rPr>
          <w:rFonts w:hint="eastAsia" w:ascii="宋体" w:hAnsi="宋体" w:cs="Microsoft Sans Serif"/>
          <w:color w:val="auto"/>
          <w:kern w:val="0"/>
          <w:szCs w:val="21"/>
          <w:highlight w:val="none"/>
          <w:u w:val="single"/>
        </w:rPr>
        <w:t xml:space="preserve"> 1 %</w:t>
      </w:r>
      <w:r>
        <w:rPr>
          <w:rFonts w:hint="eastAsia" w:ascii="宋体" w:hAnsi="宋体" w:cs="Microsoft Sans Serif"/>
          <w:color w:val="auto"/>
          <w:kern w:val="0"/>
          <w:szCs w:val="21"/>
          <w:highlight w:val="none"/>
        </w:rPr>
        <w:t>。</w:t>
      </w:r>
    </w:p>
    <w:p w14:paraId="13B477F2">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（11）承包人未按经审定的施工组织设计配备或更换关键施工设备的违约责任：按</w:t>
      </w:r>
      <w:r>
        <w:rPr>
          <w:rFonts w:hint="eastAsia" w:ascii="宋体" w:hAnsi="宋体" w:cs="Microsoft Sans Serif"/>
          <w:color w:val="auto"/>
          <w:kern w:val="0"/>
          <w:szCs w:val="21"/>
          <w:highlight w:val="none"/>
          <w:u w:val="single"/>
        </w:rPr>
        <w:t xml:space="preserve">  5000元/台·次</w:t>
      </w:r>
      <w:r>
        <w:rPr>
          <w:rFonts w:hint="eastAsia" w:ascii="宋体" w:hAnsi="宋体" w:cs="Microsoft Sans Serif"/>
          <w:color w:val="auto"/>
          <w:kern w:val="0"/>
          <w:szCs w:val="21"/>
          <w:highlight w:val="none"/>
        </w:rPr>
        <w:t>支付违约金。</w:t>
      </w:r>
    </w:p>
    <w:p w14:paraId="09BE3454">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（12）承包人有安全问题或有违反安全管理规章制度情况的违约责任：根据具体情节，按签约合同价的</w:t>
      </w:r>
      <w:r>
        <w:rPr>
          <w:rFonts w:hint="eastAsia" w:ascii="宋体" w:hAnsi="宋体" w:cs="Microsoft Sans Serif"/>
          <w:color w:val="auto"/>
          <w:kern w:val="0"/>
          <w:szCs w:val="21"/>
          <w:highlight w:val="none"/>
          <w:u w:val="single"/>
        </w:rPr>
        <w:t>0.5‰～4‰/次</w:t>
      </w:r>
      <w:r>
        <w:rPr>
          <w:rFonts w:hint="eastAsia" w:ascii="宋体" w:hAnsi="宋体" w:cs="Microsoft Sans Serif"/>
          <w:color w:val="auto"/>
          <w:kern w:val="0"/>
          <w:szCs w:val="21"/>
          <w:highlight w:val="none"/>
        </w:rPr>
        <w:t>支付违约金（累计不超过签约合同价的1%，详见附件9安全管理协议）。</w:t>
      </w:r>
    </w:p>
    <w:p w14:paraId="2352EA99">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（13）承包人拖欠其工人或所雇人员工资或报酬，导致其工人或所雇人员向有关部门投诉、控告、检举或以聚集等方式讨要工资或报酬的违约责任：根据具体情节，按违约金额</w:t>
      </w:r>
      <w:r>
        <w:rPr>
          <w:rFonts w:hint="eastAsia" w:ascii="宋体" w:hAnsi="宋体" w:cs="Microsoft Sans Serif"/>
          <w:color w:val="auto"/>
          <w:kern w:val="0"/>
          <w:szCs w:val="21"/>
          <w:highlight w:val="none"/>
          <w:u w:val="single"/>
        </w:rPr>
        <w:t xml:space="preserve">  50000元/次</w:t>
      </w:r>
      <w:r>
        <w:rPr>
          <w:rFonts w:hint="eastAsia" w:ascii="宋体" w:hAnsi="宋体" w:cs="Microsoft Sans Serif"/>
          <w:color w:val="auto"/>
          <w:kern w:val="0"/>
          <w:szCs w:val="21"/>
          <w:highlight w:val="none"/>
        </w:rPr>
        <w:t>支付违约金。</w:t>
      </w:r>
    </w:p>
    <w:p w14:paraId="243C4144">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（14）承包人不配合发包人、监理人及发包人委托的工程造价咨询服务单位结算审核的违约责任：根据具体情节，按</w:t>
      </w:r>
      <w:r>
        <w:rPr>
          <w:rFonts w:hint="eastAsia" w:ascii="宋体" w:hAnsi="宋体" w:cs="Microsoft Sans Serif"/>
          <w:color w:val="auto"/>
          <w:kern w:val="0"/>
          <w:szCs w:val="21"/>
          <w:highlight w:val="none"/>
          <w:u w:val="single"/>
        </w:rPr>
        <w:t xml:space="preserve">  10000元/次</w:t>
      </w:r>
      <w:r>
        <w:rPr>
          <w:rFonts w:hint="eastAsia" w:ascii="宋体" w:hAnsi="宋体" w:cs="Microsoft Sans Serif"/>
          <w:color w:val="auto"/>
          <w:kern w:val="0"/>
          <w:szCs w:val="21"/>
          <w:highlight w:val="none"/>
        </w:rPr>
        <w:t>支付违约金。</w:t>
      </w:r>
    </w:p>
    <w:p w14:paraId="2AA08747">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（15）承包人未按合同约定移交全部和部分工程的违约责任：由承包人承担工程照管、成品保护、保管等与工程有关的各种费用，并按结算金额或违约部分结算金额的</w:t>
      </w:r>
      <w:r>
        <w:rPr>
          <w:rFonts w:hint="eastAsia" w:ascii="宋体" w:hAnsi="宋体" w:cs="Microsoft Sans Serif"/>
          <w:color w:val="auto"/>
          <w:kern w:val="0"/>
          <w:szCs w:val="21"/>
          <w:highlight w:val="none"/>
          <w:u w:val="single"/>
        </w:rPr>
        <w:t>1‰</w:t>
      </w:r>
      <w:r>
        <w:rPr>
          <w:rFonts w:hint="eastAsia" w:ascii="宋体" w:hAnsi="宋体" w:cs="Microsoft Sans Serif"/>
          <w:color w:val="auto"/>
          <w:kern w:val="0"/>
          <w:szCs w:val="21"/>
          <w:highlight w:val="none"/>
        </w:rPr>
        <w:t>支付违约金。</w:t>
      </w:r>
    </w:p>
    <w:p w14:paraId="3B7772E6">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szCs w:val="21"/>
          <w:highlight w:val="none"/>
        </w:rPr>
        <w:t>（16）承包人未按合同约定购买保险的违约责任：除按18.6.2项约定执行外，每延迟1天，按</w:t>
      </w:r>
      <w:r>
        <w:rPr>
          <w:rFonts w:hint="eastAsia" w:ascii="宋体" w:hAnsi="宋体" w:cs="Microsoft Sans Serif"/>
          <w:color w:val="auto"/>
          <w:szCs w:val="21"/>
          <w:highlight w:val="none"/>
          <w:u w:val="single"/>
        </w:rPr>
        <w:t>500元/天</w:t>
      </w:r>
      <w:r>
        <w:rPr>
          <w:rFonts w:hint="eastAsia" w:ascii="宋体" w:hAnsi="宋体" w:cs="Microsoft Sans Serif"/>
          <w:color w:val="auto"/>
          <w:szCs w:val="21"/>
          <w:highlight w:val="none"/>
        </w:rPr>
        <w:t>支付违约金。</w:t>
      </w:r>
    </w:p>
    <w:p w14:paraId="637DB10E">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（17）发生第16.2.1项（11）目、16.2.1项（12）目、16.2.1项（13）目违约情形的违约责任：除承担由此增加的费用和工期延误的责任，承包人应向发包人支付违约金：</w:t>
      </w:r>
    </w:p>
    <w:p w14:paraId="447C1AC8">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1）项目经理违约承担方式和计算方法：对于第16.2.1项（11）目的情形，每发现一次，根据具体情节，按</w:t>
      </w:r>
      <w:r>
        <w:rPr>
          <w:rFonts w:hint="eastAsia" w:ascii="宋体" w:hAnsi="宋体" w:cs="Microsoft Sans Serif"/>
          <w:color w:val="auto"/>
          <w:kern w:val="0"/>
          <w:szCs w:val="21"/>
          <w:highlight w:val="none"/>
          <w:u w:val="single"/>
        </w:rPr>
        <w:t>1000元/天·次</w:t>
      </w:r>
      <w:r>
        <w:rPr>
          <w:rFonts w:hint="eastAsia" w:ascii="宋体" w:hAnsi="宋体" w:cs="Microsoft Sans Serif"/>
          <w:color w:val="auto"/>
          <w:kern w:val="0"/>
          <w:szCs w:val="21"/>
          <w:highlight w:val="none"/>
        </w:rPr>
        <w:t>计算违约金；项目经理不按承诺到岗的（</w:t>
      </w:r>
      <w:r>
        <w:rPr>
          <w:rFonts w:ascii="宋体" w:hAnsi="宋体" w:cs="Microsoft Sans Serif"/>
          <w:color w:val="auto"/>
          <w:kern w:val="0"/>
          <w:szCs w:val="21"/>
          <w:highlight w:val="none"/>
        </w:rPr>
        <w:t>3.2.3项约定的情形除外</w:t>
      </w:r>
      <w:r>
        <w:rPr>
          <w:rFonts w:hint="eastAsia" w:ascii="宋体" w:hAnsi="宋体" w:cs="Microsoft Sans Serif"/>
          <w:color w:val="auto"/>
          <w:kern w:val="0"/>
          <w:szCs w:val="21"/>
          <w:highlight w:val="none"/>
        </w:rPr>
        <w:t>），按履约保证金的</w:t>
      </w:r>
      <w:r>
        <w:rPr>
          <w:rFonts w:hint="eastAsia" w:ascii="宋体" w:hAnsi="宋体" w:cs="Microsoft Sans Serif"/>
          <w:color w:val="auto"/>
          <w:kern w:val="0"/>
          <w:szCs w:val="21"/>
          <w:highlight w:val="none"/>
          <w:u w:val="single"/>
        </w:rPr>
        <w:t>50%</w:t>
      </w:r>
      <w:r>
        <w:rPr>
          <w:rFonts w:hint="eastAsia" w:ascii="宋体" w:hAnsi="宋体" w:cs="Microsoft Sans Serif"/>
          <w:color w:val="auto"/>
          <w:kern w:val="0"/>
          <w:szCs w:val="21"/>
          <w:highlight w:val="none"/>
        </w:rPr>
        <w:t>支付违约金，并解除合同；擅自更换项目经理的，按签约合同价的</w:t>
      </w:r>
      <w:r>
        <w:rPr>
          <w:rFonts w:hint="eastAsia" w:ascii="宋体" w:hAnsi="宋体" w:cs="Microsoft Sans Serif"/>
          <w:color w:val="auto"/>
          <w:kern w:val="0"/>
          <w:szCs w:val="21"/>
          <w:highlight w:val="none"/>
          <w:u w:val="single"/>
        </w:rPr>
        <w:t>0.5%/人·次</w:t>
      </w:r>
      <w:r>
        <w:rPr>
          <w:rFonts w:hint="eastAsia" w:ascii="宋体" w:hAnsi="宋体" w:cs="Microsoft Sans Serif"/>
          <w:color w:val="auto"/>
          <w:kern w:val="0"/>
          <w:szCs w:val="21"/>
          <w:highlight w:val="none"/>
        </w:rPr>
        <w:t>支付违约金，每次不低于</w:t>
      </w:r>
      <w:r>
        <w:rPr>
          <w:rFonts w:hint="eastAsia" w:ascii="宋体" w:hAnsi="宋体" w:cs="Microsoft Sans Serif"/>
          <w:color w:val="auto"/>
          <w:kern w:val="0"/>
          <w:szCs w:val="21"/>
          <w:highlight w:val="none"/>
          <w:u w:val="single"/>
        </w:rPr>
        <w:t>20万</w:t>
      </w:r>
      <w:r>
        <w:rPr>
          <w:rFonts w:hint="eastAsia" w:ascii="宋体" w:hAnsi="宋体" w:cs="Microsoft Sans Serif"/>
          <w:color w:val="auto"/>
          <w:kern w:val="0"/>
          <w:szCs w:val="21"/>
          <w:highlight w:val="none"/>
        </w:rPr>
        <w:t>，累计不超过</w:t>
      </w:r>
      <w:r>
        <w:rPr>
          <w:rFonts w:hint="eastAsia" w:ascii="宋体" w:hAnsi="宋体" w:cs="Microsoft Sans Serif"/>
          <w:color w:val="auto"/>
          <w:kern w:val="0"/>
          <w:szCs w:val="21"/>
          <w:highlight w:val="none"/>
          <w:u w:val="single"/>
        </w:rPr>
        <w:t>200万</w:t>
      </w:r>
      <w:r>
        <w:rPr>
          <w:rFonts w:hint="eastAsia" w:ascii="宋体" w:hAnsi="宋体" w:cs="Microsoft Sans Serif"/>
          <w:color w:val="auto"/>
          <w:kern w:val="0"/>
          <w:szCs w:val="21"/>
          <w:highlight w:val="none"/>
        </w:rPr>
        <w:t>；项目经理被责令停止执业的，按签约合同价的</w:t>
      </w:r>
      <w:r>
        <w:rPr>
          <w:rFonts w:hint="eastAsia" w:ascii="宋体" w:hAnsi="宋体" w:cs="Microsoft Sans Serif"/>
          <w:color w:val="auto"/>
          <w:kern w:val="0"/>
          <w:szCs w:val="21"/>
          <w:highlight w:val="none"/>
          <w:u w:val="single"/>
        </w:rPr>
        <w:t>0.5%/人·次</w:t>
      </w:r>
      <w:r>
        <w:rPr>
          <w:rFonts w:hint="eastAsia" w:ascii="宋体" w:hAnsi="宋体" w:cs="Microsoft Sans Serif"/>
          <w:color w:val="auto"/>
          <w:kern w:val="0"/>
          <w:szCs w:val="21"/>
          <w:highlight w:val="none"/>
        </w:rPr>
        <w:t>支付违约金，每次不低于</w:t>
      </w:r>
      <w:r>
        <w:rPr>
          <w:rFonts w:hint="eastAsia" w:ascii="宋体" w:hAnsi="宋体" w:cs="Microsoft Sans Serif"/>
          <w:color w:val="auto"/>
          <w:kern w:val="0"/>
          <w:szCs w:val="21"/>
          <w:highlight w:val="none"/>
          <w:u w:val="single"/>
        </w:rPr>
        <w:t>20万</w:t>
      </w:r>
      <w:r>
        <w:rPr>
          <w:rFonts w:hint="eastAsia" w:ascii="宋体" w:hAnsi="宋体" w:cs="Microsoft Sans Serif"/>
          <w:color w:val="auto"/>
          <w:kern w:val="0"/>
          <w:szCs w:val="21"/>
          <w:highlight w:val="none"/>
        </w:rPr>
        <w:t>，累计不超过</w:t>
      </w:r>
      <w:r>
        <w:rPr>
          <w:rFonts w:hint="eastAsia" w:ascii="宋体" w:hAnsi="宋体" w:cs="Microsoft Sans Serif"/>
          <w:color w:val="auto"/>
          <w:kern w:val="0"/>
          <w:szCs w:val="21"/>
          <w:highlight w:val="none"/>
          <w:u w:val="single"/>
        </w:rPr>
        <w:t>200万</w:t>
      </w:r>
      <w:r>
        <w:rPr>
          <w:rFonts w:hint="eastAsia" w:ascii="宋体" w:hAnsi="宋体" w:cs="Microsoft Sans Serif"/>
          <w:color w:val="auto"/>
          <w:kern w:val="0"/>
          <w:szCs w:val="21"/>
          <w:highlight w:val="none"/>
        </w:rPr>
        <w:t>；项目经理被责令停止执业的，按签约合同价的</w:t>
      </w:r>
      <w:r>
        <w:rPr>
          <w:rFonts w:hint="eastAsia" w:ascii="宋体" w:hAnsi="宋体" w:cs="Microsoft Sans Serif"/>
          <w:color w:val="auto"/>
          <w:kern w:val="0"/>
          <w:szCs w:val="21"/>
          <w:highlight w:val="none"/>
          <w:u w:val="single"/>
        </w:rPr>
        <w:t>0.5%/人•次</w:t>
      </w:r>
      <w:r>
        <w:rPr>
          <w:rFonts w:hint="eastAsia" w:ascii="宋体" w:hAnsi="宋体" w:cs="Microsoft Sans Serif"/>
          <w:color w:val="auto"/>
          <w:kern w:val="0"/>
          <w:szCs w:val="21"/>
          <w:highlight w:val="none"/>
        </w:rPr>
        <w:t>支付违约金，每次不低于</w:t>
      </w:r>
      <w:r>
        <w:rPr>
          <w:rFonts w:hint="eastAsia" w:ascii="宋体" w:hAnsi="宋体" w:cs="Microsoft Sans Serif"/>
          <w:color w:val="auto"/>
          <w:kern w:val="0"/>
          <w:szCs w:val="21"/>
          <w:highlight w:val="none"/>
          <w:u w:val="single"/>
        </w:rPr>
        <w:t>20</w:t>
      </w:r>
      <w:r>
        <w:rPr>
          <w:rFonts w:hint="eastAsia" w:ascii="宋体" w:hAnsi="宋体" w:cs="Microsoft Sans Serif"/>
          <w:color w:val="auto"/>
          <w:kern w:val="0"/>
          <w:szCs w:val="21"/>
          <w:highlight w:val="none"/>
        </w:rPr>
        <w:t>万，累计不超过</w:t>
      </w:r>
      <w:r>
        <w:rPr>
          <w:rFonts w:hint="eastAsia" w:ascii="宋体" w:hAnsi="宋体" w:cs="Microsoft Sans Serif"/>
          <w:color w:val="auto"/>
          <w:kern w:val="0"/>
          <w:szCs w:val="21"/>
          <w:highlight w:val="none"/>
          <w:u w:val="single"/>
        </w:rPr>
        <w:t>200</w:t>
      </w:r>
      <w:r>
        <w:rPr>
          <w:rFonts w:hint="eastAsia" w:ascii="宋体" w:hAnsi="宋体" w:cs="Microsoft Sans Serif"/>
          <w:color w:val="auto"/>
          <w:kern w:val="0"/>
          <w:szCs w:val="21"/>
          <w:highlight w:val="none"/>
        </w:rPr>
        <w:t>万。</w:t>
      </w:r>
    </w:p>
    <w:p w14:paraId="040646C6">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2）主要技术负责人违约承担方式和计算方法：对于第16.2.1项（12）目的六种情形，每发现一次，根据具体情节，按</w:t>
      </w:r>
      <w:r>
        <w:rPr>
          <w:rFonts w:hint="eastAsia" w:ascii="宋体" w:hAnsi="宋体" w:cs="Microsoft Sans Serif"/>
          <w:color w:val="auto"/>
          <w:kern w:val="0"/>
          <w:szCs w:val="21"/>
          <w:highlight w:val="none"/>
          <w:u w:val="single"/>
        </w:rPr>
        <w:t>1000元/天·次</w:t>
      </w:r>
      <w:r>
        <w:rPr>
          <w:rFonts w:hint="eastAsia" w:ascii="宋体" w:hAnsi="宋体" w:cs="Microsoft Sans Serif"/>
          <w:color w:val="auto"/>
          <w:kern w:val="0"/>
          <w:szCs w:val="21"/>
          <w:highlight w:val="none"/>
        </w:rPr>
        <w:t>计算违约金；擅自更换主要技术负责人的，按签约合同价的</w:t>
      </w:r>
      <w:r>
        <w:rPr>
          <w:rFonts w:hint="eastAsia" w:ascii="宋体" w:hAnsi="宋体" w:cs="Microsoft Sans Serif"/>
          <w:color w:val="auto"/>
          <w:kern w:val="0"/>
          <w:szCs w:val="21"/>
          <w:highlight w:val="none"/>
          <w:u w:val="single"/>
        </w:rPr>
        <w:t>0.5%/人·次</w:t>
      </w:r>
      <w:r>
        <w:rPr>
          <w:rFonts w:hint="eastAsia" w:ascii="宋体" w:hAnsi="宋体" w:cs="Microsoft Sans Serif"/>
          <w:color w:val="auto"/>
          <w:kern w:val="0"/>
          <w:szCs w:val="21"/>
          <w:highlight w:val="none"/>
        </w:rPr>
        <w:t>支付违约金，每次不低于</w:t>
      </w:r>
      <w:r>
        <w:rPr>
          <w:rFonts w:hint="eastAsia" w:ascii="宋体" w:hAnsi="宋体" w:cs="Microsoft Sans Serif"/>
          <w:color w:val="auto"/>
          <w:kern w:val="0"/>
          <w:szCs w:val="21"/>
          <w:highlight w:val="none"/>
          <w:u w:val="single"/>
        </w:rPr>
        <w:t>10万</w:t>
      </w:r>
      <w:r>
        <w:rPr>
          <w:rFonts w:hint="eastAsia" w:ascii="宋体" w:hAnsi="宋体" w:cs="Microsoft Sans Serif"/>
          <w:color w:val="auto"/>
          <w:kern w:val="0"/>
          <w:szCs w:val="21"/>
          <w:highlight w:val="none"/>
        </w:rPr>
        <w:t>，累计不超过</w:t>
      </w:r>
      <w:r>
        <w:rPr>
          <w:rFonts w:hint="eastAsia" w:ascii="宋体" w:hAnsi="宋体" w:cs="Microsoft Sans Serif"/>
          <w:color w:val="auto"/>
          <w:kern w:val="0"/>
          <w:szCs w:val="21"/>
          <w:highlight w:val="none"/>
          <w:u w:val="single"/>
        </w:rPr>
        <w:t>100万</w:t>
      </w:r>
      <w:r>
        <w:rPr>
          <w:rFonts w:hint="eastAsia" w:ascii="宋体" w:hAnsi="宋体" w:cs="Microsoft Sans Serif"/>
          <w:color w:val="auto"/>
          <w:kern w:val="0"/>
          <w:szCs w:val="21"/>
          <w:highlight w:val="none"/>
        </w:rPr>
        <w:t>。</w:t>
      </w:r>
    </w:p>
    <w:p w14:paraId="4AB74DC3">
      <w:pPr>
        <w:snapToGrid w:val="0"/>
        <w:spacing w:line="360" w:lineRule="auto"/>
        <w:ind w:firstLine="420" w:firstLineChars="200"/>
        <w:jc w:val="left"/>
        <w:rPr>
          <w:rFonts w:ascii="宋体" w:hAnsi="宋体"/>
          <w:color w:val="auto"/>
          <w:szCs w:val="21"/>
          <w:highlight w:val="none"/>
        </w:rPr>
      </w:pPr>
      <w:r>
        <w:rPr>
          <w:rFonts w:hint="eastAsia" w:ascii="宋体" w:hAnsi="宋体" w:cs="Microsoft Sans Serif"/>
          <w:color w:val="auto"/>
          <w:kern w:val="0"/>
          <w:szCs w:val="21"/>
          <w:highlight w:val="none"/>
        </w:rPr>
        <w:t>3）主要施工管理人员违约承担方式和计算方法：对于第16.2.1项（13）目的五种情形，每发现一次，根据具体情节，按</w:t>
      </w:r>
      <w:r>
        <w:rPr>
          <w:rFonts w:hint="eastAsia" w:ascii="宋体" w:hAnsi="宋体" w:cs="Microsoft Sans Serif"/>
          <w:color w:val="auto"/>
          <w:kern w:val="0"/>
          <w:szCs w:val="21"/>
          <w:highlight w:val="none"/>
          <w:u w:val="single"/>
        </w:rPr>
        <w:t>500元/天·次</w:t>
      </w:r>
      <w:r>
        <w:rPr>
          <w:rFonts w:hint="eastAsia" w:ascii="宋体" w:hAnsi="宋体" w:cs="Microsoft Sans Serif"/>
          <w:color w:val="auto"/>
          <w:kern w:val="0"/>
          <w:szCs w:val="21"/>
          <w:highlight w:val="none"/>
        </w:rPr>
        <w:t>计算违约金。</w:t>
      </w:r>
    </w:p>
    <w:p w14:paraId="03CD0516">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（18）</w:t>
      </w:r>
      <w:r>
        <w:rPr>
          <w:rFonts w:hint="eastAsia" w:ascii="宋体" w:hAnsi="宋体" w:cs="Microsoft Sans Serif"/>
          <w:color w:val="auto"/>
          <w:szCs w:val="21"/>
          <w:highlight w:val="none"/>
        </w:rPr>
        <w:t>应当由承包人向发包人支付的违约金，发包人可直接提取届时有效的履约担保相应金额，不足部分由承包人支付；若发包人提取履约担保相应金额，则承包人应在提取后7日内补足或提交合同约定的履约担保的金额，否则按专用合同第</w:t>
      </w:r>
      <w:r>
        <w:rPr>
          <w:rFonts w:hint="eastAsia" w:ascii="宋体" w:hAnsi="宋体" w:cs="Microsoft Sans Serif"/>
          <w:color w:val="auto"/>
          <w:kern w:val="0"/>
          <w:szCs w:val="21"/>
          <w:highlight w:val="none"/>
        </w:rPr>
        <w:t>16.2.2项第（1）目承担违约责任</w:t>
      </w:r>
      <w:r>
        <w:rPr>
          <w:rFonts w:hint="eastAsia" w:ascii="宋体" w:hAnsi="宋体" w:cs="Microsoft Sans Serif"/>
          <w:color w:val="auto"/>
          <w:szCs w:val="21"/>
          <w:highlight w:val="none"/>
        </w:rPr>
        <w:t>，并从应付或到期应付给承包人的任何款项中或采用其他方法，扣除该违约金。</w:t>
      </w:r>
    </w:p>
    <w:p w14:paraId="1E44A9CA">
      <w:pPr>
        <w:snapToGrid w:val="0"/>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szCs w:val="21"/>
          <w:highlight w:val="none"/>
        </w:rPr>
        <w:t>承包人必须及时纠正违约行为并采取积极措施，满足合同要求，自行承担与纠正违约行为有关的人身伤亡、罚款、索赔、损失补偿、诉讼费用及其他一切责任，工期不予顺延</w:t>
      </w:r>
      <w:r>
        <w:rPr>
          <w:rFonts w:hint="eastAsia" w:ascii="宋体" w:hAnsi="宋体" w:cs="Microsoft Sans Serif"/>
          <w:color w:val="auto"/>
          <w:kern w:val="0"/>
          <w:szCs w:val="21"/>
          <w:highlight w:val="none"/>
        </w:rPr>
        <w:t>，承担由此给</w:t>
      </w:r>
      <w:r>
        <w:rPr>
          <w:rFonts w:hint="eastAsia" w:ascii="宋体" w:hAnsi="宋体" w:cs="Microsoft Sans Serif"/>
          <w:color w:val="auto"/>
          <w:szCs w:val="21"/>
          <w:highlight w:val="none"/>
        </w:rPr>
        <w:t>发包人造成的经济损失。</w:t>
      </w:r>
    </w:p>
    <w:p w14:paraId="72D08B9C">
      <w:pPr>
        <w:snapToGrid w:val="0"/>
        <w:spacing w:line="360" w:lineRule="auto"/>
        <w:ind w:firstLine="420" w:firstLineChars="200"/>
        <w:jc w:val="left"/>
        <w:rPr>
          <w:rFonts w:ascii="宋体" w:hAnsi="宋体" w:cs="Microsoft Sans Serif"/>
          <w:color w:val="auto"/>
          <w:szCs w:val="21"/>
          <w:highlight w:val="none"/>
        </w:rPr>
      </w:pPr>
      <w:r>
        <w:rPr>
          <w:rFonts w:hint="eastAsia" w:ascii="宋体" w:hAnsi="宋体" w:cs="Microsoft Sans Serif"/>
          <w:color w:val="auto"/>
          <w:szCs w:val="21"/>
          <w:highlight w:val="none"/>
        </w:rPr>
        <w:t>承包人承担承包范围的工程质量、安全、环保责任，因承包人原因引起的质量、安全、环保等事故由承包人承担相应的法律后果。</w:t>
      </w:r>
    </w:p>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868"/>
    <w:bookmarkEnd w:id="1869"/>
    <w:p w14:paraId="27784BD7">
      <w:pPr>
        <w:spacing w:line="360" w:lineRule="auto"/>
        <w:ind w:firstLine="420" w:firstLineChars="200"/>
        <w:jc w:val="left"/>
        <w:rPr>
          <w:rFonts w:ascii="宋体" w:hAnsi="宋体" w:cs="Microsoft Sans Serif"/>
          <w:color w:val="auto"/>
          <w:kern w:val="0"/>
          <w:szCs w:val="21"/>
          <w:highlight w:val="none"/>
        </w:rPr>
      </w:pPr>
      <w:bookmarkStart w:id="1880" w:name="_Toc532375665"/>
      <w:bookmarkStart w:id="1881" w:name="_Toc532377404"/>
      <w:bookmarkStart w:id="1882" w:name="_Toc351203649"/>
      <w:bookmarkStart w:id="1883" w:name="_Hlk528928440"/>
      <w:r>
        <w:rPr>
          <w:rFonts w:hint="eastAsia" w:ascii="宋体" w:hAnsi="宋体" w:cs="Microsoft Sans Serif"/>
          <w:color w:val="auto"/>
          <w:kern w:val="0"/>
          <w:szCs w:val="21"/>
          <w:highlight w:val="none"/>
        </w:rPr>
        <w:t>16.2.3 因承包人违约解除合同</w:t>
      </w:r>
    </w:p>
    <w:p w14:paraId="40593752">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因承包人违约并致使合同目的不能实现的，发包人有权解除合同：</w:t>
      </w:r>
    </w:p>
    <w:p w14:paraId="3E6E8D76">
      <w:pPr>
        <w:pStyle w:val="108"/>
        <w:spacing w:line="360" w:lineRule="auto"/>
        <w:jc w:val="left"/>
        <w:rPr>
          <w:rFonts w:ascii="宋体" w:hAnsi="宋体" w:cs="Microsoft Sans Serif"/>
          <w:color w:val="auto"/>
          <w:kern w:val="0"/>
          <w:sz w:val="21"/>
          <w:szCs w:val="21"/>
          <w:highlight w:val="none"/>
        </w:rPr>
      </w:pPr>
      <w:r>
        <w:rPr>
          <w:rFonts w:hint="eastAsia" w:ascii="宋体" w:hAnsi="宋体" w:cs="Microsoft Sans Serif"/>
          <w:color w:val="auto"/>
          <w:kern w:val="0"/>
          <w:sz w:val="21"/>
          <w:szCs w:val="21"/>
          <w:highlight w:val="none"/>
        </w:rPr>
        <w:t>（1）未按合同约定延迟提供履约担保、质量保证金超过14天的；</w:t>
      </w:r>
    </w:p>
    <w:p w14:paraId="35DA64D6">
      <w:pPr>
        <w:pStyle w:val="108"/>
        <w:spacing w:line="360" w:lineRule="auto"/>
        <w:jc w:val="left"/>
        <w:rPr>
          <w:rFonts w:ascii="宋体" w:hAnsi="宋体" w:cs="Microsoft Sans Serif"/>
          <w:color w:val="auto"/>
          <w:kern w:val="0"/>
          <w:sz w:val="21"/>
          <w:szCs w:val="21"/>
          <w:highlight w:val="none"/>
        </w:rPr>
      </w:pPr>
      <w:r>
        <w:rPr>
          <w:rFonts w:hint="eastAsia" w:ascii="宋体" w:hAnsi="宋体" w:cs="Microsoft Sans Serif"/>
          <w:color w:val="auto"/>
          <w:kern w:val="0"/>
          <w:sz w:val="21"/>
          <w:szCs w:val="21"/>
          <w:highlight w:val="none"/>
        </w:rPr>
        <w:t>（2）未按合同约定购买保险且经催告后超过56天的；</w:t>
      </w:r>
    </w:p>
    <w:p w14:paraId="01F0E2DF">
      <w:pPr>
        <w:pStyle w:val="108"/>
        <w:spacing w:line="360" w:lineRule="auto"/>
        <w:jc w:val="left"/>
        <w:rPr>
          <w:rFonts w:ascii="宋体" w:hAnsi="宋体" w:cs="Microsoft Sans Serif"/>
          <w:color w:val="auto"/>
          <w:kern w:val="0"/>
          <w:sz w:val="21"/>
          <w:szCs w:val="21"/>
          <w:highlight w:val="none"/>
        </w:rPr>
      </w:pPr>
      <w:r>
        <w:rPr>
          <w:rFonts w:hint="eastAsia" w:ascii="宋体" w:hAnsi="宋体" w:cs="Microsoft Sans Serif"/>
          <w:color w:val="auto"/>
          <w:kern w:val="0"/>
          <w:sz w:val="21"/>
          <w:szCs w:val="21"/>
          <w:highlight w:val="none"/>
        </w:rPr>
        <w:t>（3）因承包人原因导致开工时间累计延误超过56天的；</w:t>
      </w:r>
    </w:p>
    <w:p w14:paraId="61E3B0F6">
      <w:pPr>
        <w:pStyle w:val="108"/>
        <w:spacing w:line="360" w:lineRule="auto"/>
        <w:jc w:val="left"/>
        <w:rPr>
          <w:rFonts w:ascii="宋体" w:hAnsi="宋体" w:cs="Microsoft Sans Serif"/>
          <w:color w:val="auto"/>
          <w:kern w:val="0"/>
          <w:sz w:val="21"/>
          <w:szCs w:val="21"/>
          <w:highlight w:val="none"/>
        </w:rPr>
      </w:pPr>
      <w:r>
        <w:rPr>
          <w:rFonts w:hint="eastAsia" w:ascii="宋体" w:hAnsi="宋体" w:cs="Microsoft Sans Serif"/>
          <w:color w:val="auto"/>
          <w:kern w:val="0"/>
          <w:sz w:val="21"/>
          <w:szCs w:val="21"/>
          <w:highlight w:val="none"/>
        </w:rPr>
        <w:t>（4）因承包人原因导致工期延误超过90天的；</w:t>
      </w:r>
    </w:p>
    <w:p w14:paraId="59A396E7">
      <w:pPr>
        <w:pStyle w:val="108"/>
        <w:spacing w:line="360" w:lineRule="auto"/>
        <w:jc w:val="left"/>
        <w:rPr>
          <w:rFonts w:ascii="宋体" w:hAnsi="宋体" w:cs="Microsoft Sans Serif"/>
          <w:color w:val="auto"/>
          <w:kern w:val="0"/>
          <w:sz w:val="21"/>
          <w:szCs w:val="21"/>
          <w:highlight w:val="none"/>
        </w:rPr>
      </w:pPr>
      <w:r>
        <w:rPr>
          <w:rFonts w:hint="eastAsia" w:ascii="宋体" w:hAnsi="宋体" w:cs="Microsoft Sans Serif"/>
          <w:color w:val="auto"/>
          <w:kern w:val="0"/>
          <w:sz w:val="21"/>
          <w:szCs w:val="21"/>
          <w:highlight w:val="none"/>
        </w:rPr>
        <w:t>（5）发生第21.2款〔退出机制〕约定的情形的；</w:t>
      </w:r>
    </w:p>
    <w:p w14:paraId="681090AC">
      <w:pPr>
        <w:pStyle w:val="108"/>
        <w:spacing w:line="360" w:lineRule="auto"/>
        <w:jc w:val="left"/>
        <w:rPr>
          <w:rFonts w:ascii="宋体" w:hAnsi="宋体" w:cs="Microsoft Sans Serif"/>
          <w:color w:val="auto"/>
          <w:kern w:val="0"/>
          <w:sz w:val="21"/>
          <w:szCs w:val="21"/>
          <w:highlight w:val="none"/>
        </w:rPr>
      </w:pPr>
      <w:r>
        <w:rPr>
          <w:rFonts w:hint="eastAsia" w:ascii="宋体" w:hAnsi="宋体" w:cs="Microsoft Sans Serif"/>
          <w:color w:val="auto"/>
          <w:kern w:val="0"/>
          <w:sz w:val="21"/>
          <w:szCs w:val="21"/>
          <w:highlight w:val="none"/>
        </w:rPr>
        <w:t>（6）监理人发出整改通知后，承包人在监理人限定的期限内仍不纠正违约行为的；</w:t>
      </w:r>
    </w:p>
    <w:p w14:paraId="7434A07E">
      <w:pPr>
        <w:pStyle w:val="108"/>
        <w:spacing w:line="360" w:lineRule="auto"/>
        <w:jc w:val="left"/>
        <w:rPr>
          <w:rFonts w:ascii="宋体" w:hAnsi="宋体" w:cs="Microsoft Sans Serif"/>
          <w:color w:val="auto"/>
          <w:kern w:val="0"/>
          <w:sz w:val="21"/>
          <w:szCs w:val="21"/>
          <w:highlight w:val="none"/>
        </w:rPr>
      </w:pPr>
      <w:r>
        <w:rPr>
          <w:rFonts w:hint="eastAsia" w:ascii="宋体" w:hAnsi="宋体" w:cs="Microsoft Sans Serif"/>
          <w:color w:val="auto"/>
          <w:kern w:val="0"/>
          <w:sz w:val="21"/>
          <w:szCs w:val="21"/>
          <w:highlight w:val="none"/>
        </w:rPr>
        <w:t>（7）承包人进入清算或者严重资不抵债且无法履行合同的；</w:t>
      </w:r>
    </w:p>
    <w:p w14:paraId="11353743">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（8）违反适用法律而被相关政府部门依法吊销营业执照、责令停业、清算或宣布破产、责令关闭的；</w:t>
      </w:r>
    </w:p>
    <w:p w14:paraId="17C8B101">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（9）承包人未履行合同项下的义务构成对合同的实质性违约，并且在收到发包人要求说明其违约并予以补救的通知后56天内仍未能补救该实质性违约的；</w:t>
      </w:r>
    </w:p>
    <w:p w14:paraId="51B43E13">
      <w:pPr>
        <w:pStyle w:val="108"/>
        <w:spacing w:line="360" w:lineRule="auto"/>
        <w:jc w:val="left"/>
        <w:rPr>
          <w:rFonts w:ascii="宋体" w:hAnsi="宋体" w:cs="Microsoft Sans Serif"/>
          <w:color w:val="auto"/>
          <w:kern w:val="0"/>
          <w:sz w:val="21"/>
          <w:szCs w:val="21"/>
          <w:highlight w:val="none"/>
        </w:rPr>
      </w:pPr>
      <w:r>
        <w:rPr>
          <w:rFonts w:hint="eastAsia" w:ascii="宋体" w:hAnsi="宋体" w:cs="Microsoft Sans Serif"/>
          <w:color w:val="auto"/>
          <w:kern w:val="0"/>
          <w:sz w:val="21"/>
          <w:szCs w:val="21"/>
          <w:highlight w:val="none"/>
        </w:rPr>
        <w:t>（10）合</w:t>
      </w:r>
      <w:r>
        <w:rPr>
          <w:rFonts w:hint="eastAsia" w:ascii="宋体" w:hAnsi="宋体" w:cs="Microsoft Sans Serif"/>
          <w:color w:val="auto"/>
          <w:kern w:val="0"/>
          <w:sz w:val="21"/>
          <w:szCs w:val="21"/>
          <w:highlight w:val="none"/>
          <w:u w:val="single"/>
        </w:rPr>
        <w:t>同约定的发包人有权解除合同的其他情形</w:t>
      </w:r>
      <w:r>
        <w:rPr>
          <w:rFonts w:hint="eastAsia" w:ascii="宋体" w:hAnsi="宋体" w:cs="Microsoft Sans Serif"/>
          <w:color w:val="auto"/>
          <w:kern w:val="0"/>
          <w:sz w:val="21"/>
          <w:szCs w:val="21"/>
          <w:highlight w:val="none"/>
        </w:rPr>
        <w:t>。</w:t>
      </w:r>
    </w:p>
    <w:p w14:paraId="51A80DC4">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16.2.4因承包人违约解除合同后的处理</w:t>
      </w:r>
    </w:p>
    <w:p w14:paraId="4A36C6A9">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因承包人违约导致合同解除的，合同当事人应在合同解除后56天内完成估价、付款和清算，并按以下约定执行：</w:t>
      </w:r>
    </w:p>
    <w:p w14:paraId="4BC9D003">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（1）合同解除后，按第14.2款结算审定方式确定承包人实际完成工作对应的合同价款，以及承包人已提供的材料、工程设备、施工设备和临时工程等的价值；</w:t>
      </w:r>
    </w:p>
    <w:p w14:paraId="79B03E69">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（2）合同解除后，承包人应支付违约金；</w:t>
      </w:r>
    </w:p>
    <w:p w14:paraId="586872C7">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（3）合同解除后，赔偿因解除合同给发包人造成的损失；</w:t>
      </w:r>
    </w:p>
    <w:p w14:paraId="0A280DF9">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（4）合同解除后，承包人应按照发包人要求和监理人的指示完成现场的清理和撤离。</w:t>
      </w:r>
    </w:p>
    <w:p w14:paraId="77B71511">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（5）因承包人违约导致解除合同的，发包人有权暂停对承包人的付款，查清各项付款和已扣款项。发包人和承包人未能就合同解除后的清算和款项支付达成一致的，按照第20条〔争议解决〕的约定处理。</w:t>
      </w:r>
    </w:p>
    <w:p w14:paraId="47DCCA4F">
      <w:pPr>
        <w:spacing w:line="360" w:lineRule="auto"/>
        <w:ind w:firstLine="420" w:firstLineChars="200"/>
        <w:jc w:val="left"/>
        <w:rPr>
          <w:rFonts w:ascii="宋体" w:hAnsi="宋体" w:cs="Microsoft Sans Serif"/>
          <w:color w:val="auto"/>
          <w:kern w:val="0"/>
          <w:szCs w:val="21"/>
          <w:highlight w:val="none"/>
        </w:rPr>
      </w:pPr>
      <w:r>
        <w:rPr>
          <w:rFonts w:hint="eastAsia" w:ascii="宋体" w:hAnsi="宋体" w:cs="Microsoft Sans Serif"/>
          <w:color w:val="auto"/>
          <w:kern w:val="0"/>
          <w:szCs w:val="21"/>
          <w:highlight w:val="none"/>
        </w:rPr>
        <w:t>合同解除后，发包人可派员进驻施工现场，另行组织人员或委托其他承包人继续完成合同工程；因继续完成工程的需要，发包人有权使用承包人在施工现场的材料、设备、临时工程、承包人文件和由承包人或以其名义编制的其他文件；发包人继续使用承包人在施工现场的材料、设备、临时工程、承包人文件和由承包人或以其名义编制的其他文件的费用承担方式由双方协商确定；发包人继续使用的行为不免除或减轻承包人应承担的违约责任，也不影响发包人根据合同享有的索赔等权利。</w:t>
      </w:r>
    </w:p>
    <w:p w14:paraId="2531387E">
      <w:pPr>
        <w:pStyle w:val="6"/>
        <w:keepNext/>
        <w:keepLines/>
        <w:spacing w:before="156" w:beforeLines="50" w:beforeAutospacing="0" w:after="156" w:afterLines="50" w:afterAutospacing="0" w:line="360" w:lineRule="auto"/>
        <w:jc w:val="both"/>
        <w:rPr>
          <w:bCs w:val="0"/>
          <w:color w:val="auto"/>
          <w:kern w:val="2"/>
          <w:sz w:val="21"/>
          <w:szCs w:val="21"/>
          <w:highlight w:val="none"/>
        </w:rPr>
      </w:pPr>
      <w:r>
        <w:rPr>
          <w:rFonts w:hint="eastAsia"/>
          <w:color w:val="auto"/>
          <w:kern w:val="2"/>
          <w:sz w:val="21"/>
          <w:szCs w:val="21"/>
          <w:highlight w:val="none"/>
        </w:rPr>
        <w:t>17. 不可抗力</w:t>
      </w:r>
      <w:bookmarkEnd w:id="1880"/>
      <w:bookmarkEnd w:id="1881"/>
      <w:bookmarkEnd w:id="1882"/>
    </w:p>
    <w:p w14:paraId="77847F3F">
      <w:pPr>
        <w:pStyle w:val="7"/>
        <w:spacing w:before="0" w:beforeAutospacing="0" w:after="0" w:afterAutospacing="0" w:line="360" w:lineRule="auto"/>
        <w:ind w:firstLine="422" w:firstLineChars="200"/>
        <w:rPr>
          <w:color w:val="auto"/>
          <w:sz w:val="21"/>
          <w:szCs w:val="21"/>
          <w:highlight w:val="none"/>
        </w:rPr>
      </w:pPr>
      <w:bookmarkStart w:id="1884" w:name="_Toc532377405"/>
      <w:bookmarkStart w:id="1885" w:name="_Toc532375666"/>
      <w:r>
        <w:rPr>
          <w:rFonts w:hint="eastAsia"/>
          <w:color w:val="auto"/>
          <w:sz w:val="21"/>
          <w:szCs w:val="21"/>
          <w:highlight w:val="none"/>
        </w:rPr>
        <w:t>17.1 不可抗力的确认</w:t>
      </w:r>
      <w:bookmarkEnd w:id="1884"/>
      <w:bookmarkEnd w:id="1885"/>
    </w:p>
    <w:p w14:paraId="2F75C02C">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除通用合同条款约定的不可抗力事件之外，视为不可抗力的其他情形：</w:t>
      </w:r>
      <w:bookmarkStart w:id="1886" w:name="_Hlk524379638"/>
    </w:p>
    <w:p w14:paraId="4BAA0B80">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（1）洪水、火山爆发、山崩、山体滑坡、泥石流、龙卷风、隧道内不可预测的突发性地质灾害等自然灾害；</w:t>
      </w:r>
    </w:p>
    <w:p w14:paraId="0BC07747">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（2）骚乱、戒严、封锁、禁运、恐怖行为、等社会行为，但承包人或其分包人派遣与雇佣的人员由于合同工程施工原因引起的除外；</w:t>
      </w:r>
    </w:p>
    <w:p w14:paraId="72406CB8">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（3）不能合理预见的重大交通阻滞、停运、交通事故，非双方责任引起的火灾、爆炸、船舶撞击等情形；</w:t>
      </w:r>
    </w:p>
    <w:p w14:paraId="3B8A7219">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（4）化学或放射性污染或核辐射；</w:t>
      </w:r>
    </w:p>
    <w:p w14:paraId="7F1F6C11">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（5）环保治理等政府行为导致项目停工的。</w:t>
      </w:r>
      <w:bookmarkEnd w:id="1886"/>
    </w:p>
    <w:p w14:paraId="6549ED9F">
      <w:pPr>
        <w:pStyle w:val="7"/>
        <w:spacing w:before="0" w:beforeAutospacing="0" w:after="0" w:afterAutospacing="0" w:line="360" w:lineRule="auto"/>
        <w:ind w:firstLine="422" w:firstLineChars="200"/>
        <w:rPr>
          <w:color w:val="auto"/>
          <w:sz w:val="21"/>
          <w:szCs w:val="21"/>
          <w:highlight w:val="none"/>
        </w:rPr>
      </w:pPr>
      <w:bookmarkStart w:id="1887" w:name="_Toc532375667"/>
      <w:bookmarkStart w:id="1888" w:name="_Toc532377406"/>
      <w:bookmarkStart w:id="1889" w:name="_Toc351203610"/>
      <w:bookmarkStart w:id="1890" w:name="_Toc296346620"/>
      <w:bookmarkStart w:id="1891" w:name="_Toc337558826"/>
      <w:bookmarkStart w:id="1892" w:name="_Toc296503119"/>
      <w:r>
        <w:rPr>
          <w:rFonts w:hint="eastAsia"/>
          <w:color w:val="auto"/>
          <w:sz w:val="21"/>
          <w:szCs w:val="21"/>
          <w:highlight w:val="none"/>
        </w:rPr>
        <w:t>17.3 不可抗力后果的承担</w:t>
      </w:r>
      <w:bookmarkEnd w:id="1887"/>
      <w:bookmarkEnd w:id="1888"/>
      <w:bookmarkEnd w:id="1889"/>
    </w:p>
    <w:bookmarkEnd w:id="1890"/>
    <w:bookmarkEnd w:id="1891"/>
    <w:bookmarkEnd w:id="1892"/>
    <w:p w14:paraId="019AA4CA">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17.3.1 不可抗力引起的后果及造成的损失由合同当事人按照法律规定及合同约定各自承担。不可抗力发生前已完成的工程应当按照合同约定进行计量支付。</w:t>
      </w:r>
    </w:p>
    <w:p w14:paraId="471B8C49">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17.3.2 不可抗力导致的人员伤亡、财产损失、费用增加和（或）工期延误等后果，由合同当事人按以下原则承担：</w:t>
      </w:r>
    </w:p>
    <w:p w14:paraId="3C214300">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（1）永久工程、已运至施工现场的施工材料和工程设备的损坏，以及因工程损坏造成的第三方人员伤亡和财产损失由发包人承担；</w:t>
      </w:r>
    </w:p>
    <w:p w14:paraId="07F351EF">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（2）承包人施工设备的损坏由承包人承担；</w:t>
      </w:r>
    </w:p>
    <w:p w14:paraId="518CB5DD">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（3）发包人和承包人承担各自人员伤亡和财产的损失；</w:t>
      </w:r>
    </w:p>
    <w:p w14:paraId="6BB3C010">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（4）因不可抗力影响承包人履行合同约定的义务，已经引起或将引起工期延误的，应当顺延工期，由此导致承包人停工的费用损失由发包人和承包人合理共担；</w:t>
      </w:r>
    </w:p>
    <w:p w14:paraId="030FA6BC">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（5）因不可抗力引起或将引起工期延误，发包人要求赶工的，由此增加的赶工费用由发包人承担；</w:t>
      </w:r>
    </w:p>
    <w:p w14:paraId="04A09C28">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（6）承包人在停工期间按照发包人要求照管、清理和修复工程的费用由发包人承担；</w:t>
      </w:r>
    </w:p>
    <w:p w14:paraId="41BB45FE">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（7）不可抗力事件发生后，合同当事人均应采取措施尽量避免和减少损失的扩大，任何一方当事人没有采取有效措施导致损失扩大的，应对扩大的损失承担责任。</w:t>
      </w:r>
    </w:p>
    <w:p w14:paraId="162BF7CB">
      <w:pPr>
        <w:pStyle w:val="7"/>
        <w:spacing w:before="0" w:beforeAutospacing="0" w:after="0" w:afterAutospacing="0" w:line="360" w:lineRule="auto"/>
        <w:ind w:firstLine="422" w:firstLineChars="200"/>
        <w:rPr>
          <w:color w:val="auto"/>
          <w:sz w:val="21"/>
          <w:szCs w:val="21"/>
          <w:highlight w:val="none"/>
        </w:rPr>
      </w:pPr>
      <w:bookmarkStart w:id="1893" w:name="_Toc532377407"/>
      <w:bookmarkStart w:id="1894" w:name="_Toc532375668"/>
      <w:r>
        <w:rPr>
          <w:rFonts w:hint="eastAsia"/>
          <w:color w:val="auto"/>
          <w:sz w:val="21"/>
          <w:szCs w:val="21"/>
          <w:highlight w:val="none"/>
        </w:rPr>
        <w:t>17.4 因不可抗力解除合同</w:t>
      </w:r>
      <w:bookmarkEnd w:id="1893"/>
      <w:bookmarkEnd w:id="1894"/>
    </w:p>
    <w:p w14:paraId="2F939A6F">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合同解除后，发包人应在商定或确定发包人应支付款项后</w:t>
      </w:r>
      <w:r>
        <w:rPr>
          <w:rFonts w:hint="eastAsia" w:ascii="宋体" w:hAnsi="宋体"/>
          <w:color w:val="auto"/>
          <w:szCs w:val="21"/>
          <w:highlight w:val="none"/>
          <w:u w:val="single"/>
        </w:rPr>
        <w:t>28</w:t>
      </w:r>
      <w:r>
        <w:rPr>
          <w:rFonts w:hint="eastAsia" w:ascii="宋体" w:hAnsi="宋体"/>
          <w:color w:val="auto"/>
          <w:szCs w:val="21"/>
          <w:highlight w:val="none"/>
        </w:rPr>
        <w:t>天内完成款项的支付。</w:t>
      </w:r>
    </w:p>
    <w:p w14:paraId="4E875629">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1895" w:name="_Toc532375669"/>
      <w:bookmarkStart w:id="1896" w:name="_Toc351203650"/>
      <w:bookmarkStart w:id="1897" w:name="_Toc532377408"/>
      <w:r>
        <w:rPr>
          <w:rFonts w:hint="eastAsia"/>
          <w:color w:val="auto"/>
          <w:kern w:val="2"/>
          <w:sz w:val="21"/>
          <w:szCs w:val="21"/>
          <w:highlight w:val="none"/>
        </w:rPr>
        <w:t>18. 保险</w:t>
      </w:r>
      <w:bookmarkEnd w:id="1895"/>
      <w:bookmarkEnd w:id="1896"/>
      <w:bookmarkEnd w:id="1897"/>
    </w:p>
    <w:p w14:paraId="1234B801">
      <w:pPr>
        <w:pStyle w:val="7"/>
        <w:spacing w:before="0" w:beforeAutospacing="0" w:after="0" w:afterAutospacing="0" w:line="360" w:lineRule="auto"/>
        <w:ind w:firstLine="422" w:firstLineChars="200"/>
        <w:rPr>
          <w:color w:val="auto"/>
          <w:sz w:val="21"/>
          <w:szCs w:val="21"/>
          <w:highlight w:val="none"/>
        </w:rPr>
      </w:pPr>
      <w:bookmarkStart w:id="1898" w:name="_Toc532377409"/>
      <w:bookmarkStart w:id="1899" w:name="_Toc532375670"/>
      <w:r>
        <w:rPr>
          <w:rFonts w:hint="eastAsia"/>
          <w:color w:val="auto"/>
          <w:sz w:val="21"/>
          <w:szCs w:val="21"/>
          <w:highlight w:val="none"/>
        </w:rPr>
        <w:t>18.1 工程保险</w:t>
      </w:r>
      <w:bookmarkEnd w:id="1898"/>
      <w:bookmarkEnd w:id="1899"/>
    </w:p>
    <w:p w14:paraId="7304E9AB">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关于工程保险的特别约定：发包人应投保</w:t>
      </w:r>
      <w:r>
        <w:rPr>
          <w:rFonts w:hint="eastAsia" w:ascii="宋体" w:hAnsi="宋体"/>
          <w:color w:val="auto"/>
          <w:szCs w:val="21"/>
          <w:highlight w:val="none"/>
          <w:u w:val="single"/>
        </w:rPr>
        <w:t>建筑工程一切险或安装工程一切险</w:t>
      </w:r>
      <w:r>
        <w:rPr>
          <w:rFonts w:hint="eastAsia" w:ascii="宋体" w:hAnsi="宋体"/>
          <w:color w:val="auto"/>
          <w:szCs w:val="21"/>
          <w:highlight w:val="none"/>
        </w:rPr>
        <w:t>；发包人委托承包人投保的，因投保产生的保险费和其他相关费用由发包人承担。</w:t>
      </w:r>
    </w:p>
    <w:p w14:paraId="00327551">
      <w:pPr>
        <w:pStyle w:val="7"/>
        <w:spacing w:before="0" w:beforeAutospacing="0" w:after="0" w:afterAutospacing="0" w:line="360" w:lineRule="auto"/>
        <w:ind w:firstLine="422" w:firstLineChars="200"/>
        <w:rPr>
          <w:color w:val="auto"/>
          <w:sz w:val="21"/>
          <w:szCs w:val="21"/>
          <w:highlight w:val="none"/>
        </w:rPr>
      </w:pPr>
      <w:bookmarkStart w:id="1900" w:name="_Toc532375671"/>
      <w:bookmarkStart w:id="1901" w:name="_Toc532377410"/>
      <w:r>
        <w:rPr>
          <w:rFonts w:hint="eastAsia"/>
          <w:color w:val="auto"/>
          <w:sz w:val="21"/>
          <w:szCs w:val="21"/>
          <w:highlight w:val="none"/>
        </w:rPr>
        <w:t>18.3 其他保险</w:t>
      </w:r>
      <w:bookmarkEnd w:id="1900"/>
      <w:bookmarkEnd w:id="1901"/>
    </w:p>
    <w:p w14:paraId="0657F4BD">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关于其他保险的约定：</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14:paraId="6D37FD86">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承包人是否应为其施工设备等办理财产保险：</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14:paraId="6FB5BB93">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安全生产责任险：</w:t>
      </w:r>
      <w:r>
        <w:rPr>
          <w:rFonts w:hint="eastAsia" w:ascii="宋体" w:hAnsi="宋体"/>
          <w:color w:val="auto"/>
          <w:szCs w:val="21"/>
          <w:highlight w:val="none"/>
          <w:u w:val="single"/>
        </w:rPr>
        <w:t>承包人应按《重庆市人民政府办公厅关于在高危行业领域强制推行安全生产责任保险的实施意见》（渝府办法〔2017〕182号）的要求办理安全生产责任保险</w:t>
      </w:r>
      <w:r>
        <w:rPr>
          <w:rFonts w:hint="eastAsia" w:ascii="宋体" w:hAnsi="宋体"/>
          <w:color w:val="auto"/>
          <w:szCs w:val="21"/>
          <w:highlight w:val="none"/>
        </w:rPr>
        <w:t>。</w:t>
      </w:r>
    </w:p>
    <w:p w14:paraId="617640C9">
      <w:pPr>
        <w:pStyle w:val="7"/>
        <w:spacing w:before="0" w:beforeAutospacing="0" w:after="0" w:afterAutospacing="0" w:line="360" w:lineRule="auto"/>
        <w:ind w:firstLine="422" w:firstLineChars="200"/>
        <w:rPr>
          <w:color w:val="auto"/>
          <w:sz w:val="21"/>
          <w:szCs w:val="21"/>
          <w:highlight w:val="none"/>
        </w:rPr>
      </w:pPr>
      <w:bookmarkStart w:id="1902" w:name="_Toc532377411"/>
      <w:bookmarkStart w:id="1903" w:name="_Toc532375672"/>
      <w:r>
        <w:rPr>
          <w:rFonts w:hint="eastAsia"/>
          <w:color w:val="auto"/>
          <w:sz w:val="21"/>
          <w:szCs w:val="21"/>
          <w:highlight w:val="none"/>
        </w:rPr>
        <w:t>18.7 通知义务</w:t>
      </w:r>
      <w:bookmarkEnd w:id="1902"/>
      <w:bookmarkEnd w:id="1903"/>
    </w:p>
    <w:p w14:paraId="7A607D2D">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关于变更保险合同时的通知义务的约定：</w:t>
      </w:r>
      <w:r>
        <w:rPr>
          <w:rFonts w:hint="eastAsia" w:ascii="宋体" w:hAnsi="宋体"/>
          <w:color w:val="auto"/>
          <w:szCs w:val="21"/>
          <w:highlight w:val="none"/>
          <w:u w:val="single"/>
        </w:rPr>
        <w:t>按通用合同条款执行</w:t>
      </w:r>
      <w:r>
        <w:rPr>
          <w:rFonts w:hint="eastAsia" w:ascii="宋体" w:hAnsi="宋体"/>
          <w:color w:val="auto"/>
          <w:szCs w:val="21"/>
          <w:highlight w:val="none"/>
        </w:rPr>
        <w:t>。</w:t>
      </w:r>
    </w:p>
    <w:p w14:paraId="1C5997E8">
      <w:pPr>
        <w:pStyle w:val="7"/>
        <w:spacing w:before="0" w:beforeAutospacing="0" w:after="0" w:afterAutospacing="0" w:line="360" w:lineRule="auto"/>
        <w:ind w:firstLine="422" w:firstLineChars="200"/>
        <w:rPr>
          <w:color w:val="auto"/>
          <w:sz w:val="21"/>
          <w:szCs w:val="21"/>
          <w:highlight w:val="none"/>
        </w:rPr>
      </w:pPr>
      <w:bookmarkStart w:id="1904" w:name="_Toc532375673"/>
      <w:bookmarkStart w:id="1905" w:name="_Toc532377412"/>
      <w:r>
        <w:rPr>
          <w:rFonts w:hint="eastAsia"/>
          <w:color w:val="auto"/>
          <w:sz w:val="21"/>
          <w:szCs w:val="21"/>
          <w:highlight w:val="none"/>
        </w:rPr>
        <w:t>18.8 其他</w:t>
      </w:r>
      <w:bookmarkEnd w:id="1904"/>
      <w:bookmarkEnd w:id="1905"/>
    </w:p>
    <w:p w14:paraId="3A369C8A">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18.8.1 工程开工日前，承包人向发包人提交各项生效的保险证据和保险单副本。未按本项约定提交的，每延后1天，承包人按500元/天支付违约金。</w:t>
      </w:r>
    </w:p>
    <w:p w14:paraId="15378D69">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18.8.2 承包人保险赔偿金不足以补偿发包人损失时，</w:t>
      </w:r>
      <w:bookmarkStart w:id="1906" w:name="_Hlk524378346"/>
      <w:r>
        <w:rPr>
          <w:rFonts w:hint="eastAsia" w:ascii="宋体" w:hAnsi="宋体"/>
          <w:color w:val="auto"/>
          <w:szCs w:val="21"/>
          <w:highlight w:val="none"/>
        </w:rPr>
        <w:t>差额由承包人负责补足</w:t>
      </w:r>
      <w:bookmarkEnd w:id="1906"/>
      <w:r>
        <w:rPr>
          <w:rFonts w:hint="eastAsia" w:ascii="宋体" w:hAnsi="宋体"/>
          <w:color w:val="auto"/>
          <w:szCs w:val="21"/>
          <w:highlight w:val="none"/>
        </w:rPr>
        <w:t>。</w:t>
      </w:r>
    </w:p>
    <w:p w14:paraId="1F2D672D">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1907" w:name="_Toc351203620"/>
      <w:bookmarkStart w:id="1908" w:name="_Toc532377413"/>
      <w:bookmarkStart w:id="1909" w:name="_Toc532375674"/>
      <w:bookmarkStart w:id="1910" w:name="_Toc337558835"/>
      <w:bookmarkStart w:id="1911" w:name="_Toc296503140"/>
      <w:bookmarkStart w:id="1912" w:name="_Toc296346641"/>
      <w:r>
        <w:rPr>
          <w:rFonts w:hint="eastAsia"/>
          <w:color w:val="auto"/>
          <w:kern w:val="2"/>
          <w:sz w:val="21"/>
          <w:szCs w:val="21"/>
          <w:highlight w:val="none"/>
        </w:rPr>
        <w:t>19. 索赔</w:t>
      </w:r>
      <w:bookmarkEnd w:id="1907"/>
      <w:bookmarkEnd w:id="1908"/>
      <w:bookmarkEnd w:id="1909"/>
    </w:p>
    <w:bookmarkEnd w:id="1910"/>
    <w:bookmarkEnd w:id="1911"/>
    <w:bookmarkEnd w:id="1912"/>
    <w:p w14:paraId="5C9F6D95">
      <w:pPr>
        <w:pStyle w:val="7"/>
        <w:spacing w:before="0" w:beforeAutospacing="0" w:after="0" w:afterAutospacing="0" w:line="360" w:lineRule="auto"/>
        <w:ind w:firstLine="422" w:firstLineChars="200"/>
        <w:rPr>
          <w:color w:val="auto"/>
          <w:sz w:val="21"/>
          <w:szCs w:val="21"/>
          <w:highlight w:val="none"/>
        </w:rPr>
      </w:pPr>
      <w:bookmarkStart w:id="1913" w:name="_Toc532375675"/>
      <w:bookmarkStart w:id="1914" w:name="_Toc532377414"/>
      <w:bookmarkStart w:id="1915" w:name="_Toc296346642"/>
      <w:bookmarkStart w:id="1916" w:name="_Toc337558836"/>
      <w:bookmarkStart w:id="1917" w:name="_Toc296503141"/>
      <w:bookmarkStart w:id="1918" w:name="_Toc351203621"/>
      <w:r>
        <w:rPr>
          <w:rFonts w:hint="eastAsia"/>
          <w:color w:val="auto"/>
          <w:sz w:val="21"/>
          <w:szCs w:val="21"/>
          <w:highlight w:val="none"/>
        </w:rPr>
        <w:t>19.1 承包人的索赔</w:t>
      </w:r>
      <w:bookmarkEnd w:id="1913"/>
      <w:bookmarkEnd w:id="1914"/>
    </w:p>
    <w:p w14:paraId="61562886">
      <w:pPr>
        <w:autoSpaceDE w:val="0"/>
        <w:autoSpaceDN w:val="0"/>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根据合同约定，承包人认为有权得到追加付款和（或）延长工期的，应按以下程序向发包人提出索赔：</w:t>
      </w:r>
    </w:p>
    <w:p w14:paraId="3E89A6E0">
      <w:pPr>
        <w:autoSpaceDE w:val="0"/>
        <w:autoSpaceDN w:val="0"/>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（1）承包人应在索赔事件发生后28天内，向监理人递交索赔意向通知书，并说明发生索赔事件的事由；承包人未在前述28天内发出索赔意向通知书的，丧失要求追加付款和（或）延长工期的权利；</w:t>
      </w:r>
    </w:p>
    <w:p w14:paraId="53D667F9">
      <w:pPr>
        <w:autoSpaceDE w:val="0"/>
        <w:autoSpaceDN w:val="0"/>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（2）承包人应在发出索赔意向通知书后28天内，向监理人正式递交索赔报告；索赔报告应详细说明索赔理由以及要求追加的付款金额和（或）延长的工期，并附必要的记录和证明材料；</w:t>
      </w:r>
    </w:p>
    <w:p w14:paraId="4AFD8A3A">
      <w:pPr>
        <w:autoSpaceDE w:val="0"/>
        <w:autoSpaceDN w:val="0"/>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（3）索赔事件具有持续影响的，承包人应按监理人要求的合理时间间隔继续递交延续索赔通知，说明持续影响的实际情况和记录，列出累计的追加付款金额和（或）工期延长天数；</w:t>
      </w:r>
    </w:p>
    <w:p w14:paraId="34ED7DAF">
      <w:pPr>
        <w:autoSpaceDE w:val="0"/>
        <w:autoSpaceDN w:val="0"/>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（4）在索赔事件影响结束后28天内，承包人应向监理人递交最终索赔报告，说明最终要求索赔的追加付款金额和（或）延长的工期，并附必要的记录和证明材料。</w:t>
      </w:r>
    </w:p>
    <w:p w14:paraId="1836D86D">
      <w:pPr>
        <w:pStyle w:val="7"/>
        <w:spacing w:before="0" w:beforeAutospacing="0" w:after="0" w:afterAutospacing="0" w:line="360" w:lineRule="auto"/>
        <w:ind w:firstLine="422" w:firstLineChars="200"/>
        <w:rPr>
          <w:color w:val="auto"/>
          <w:sz w:val="21"/>
          <w:szCs w:val="21"/>
          <w:highlight w:val="none"/>
        </w:rPr>
      </w:pPr>
      <w:bookmarkStart w:id="1919" w:name="_Toc532377415"/>
      <w:bookmarkStart w:id="1920" w:name="_Toc532375676"/>
      <w:r>
        <w:rPr>
          <w:rFonts w:hint="eastAsia"/>
          <w:color w:val="auto"/>
          <w:sz w:val="21"/>
          <w:szCs w:val="21"/>
          <w:highlight w:val="none"/>
        </w:rPr>
        <w:t>19.2 对承包人索赔的处理</w:t>
      </w:r>
      <w:bookmarkEnd w:id="1919"/>
      <w:bookmarkEnd w:id="1920"/>
    </w:p>
    <w:p w14:paraId="768B2A84">
      <w:pPr>
        <w:autoSpaceDE w:val="0"/>
        <w:autoSpaceDN w:val="0"/>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对承包人索赔的处理如下：</w:t>
      </w:r>
    </w:p>
    <w:p w14:paraId="1A8AE2DE">
      <w:pPr>
        <w:autoSpaceDE w:val="0"/>
        <w:autoSpaceDN w:val="0"/>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（1）监理人应在收到索赔报告后14天内完成审查并报送发包人。监理人对索赔报告存在异议的，有权要求承包人提交全部原始记录副本</w:t>
      </w:r>
      <w:r>
        <w:rPr>
          <w:rFonts w:hint="eastAsia" w:ascii="宋体" w:hAnsi="宋体"/>
          <w:color w:val="auto"/>
          <w:szCs w:val="21"/>
          <w:highlight w:val="none"/>
        </w:rPr>
        <w:t>；</w:t>
      </w:r>
    </w:p>
    <w:p w14:paraId="40BD35FC">
      <w:pPr>
        <w:autoSpaceDE w:val="0"/>
        <w:autoSpaceDN w:val="0"/>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2）发包人应在监理人收到索赔报告或有关索赔的进一步证明材料后的28天内，由监理人向承包人出具经发包人签认的索赔处理结果。发包人逾期未答复的，承包人应以书面形式催告发包人，经承包人三次（每次间隔不少于3天）书面催告后，发包人仍未按期限答复的，则视为认可承包人的索赔要求</w:t>
      </w:r>
      <w:r>
        <w:rPr>
          <w:rFonts w:hint="eastAsia" w:ascii="宋体" w:hAnsi="宋体"/>
          <w:color w:val="auto"/>
          <w:szCs w:val="21"/>
          <w:highlight w:val="none"/>
        </w:rPr>
        <w:t>；</w:t>
      </w:r>
    </w:p>
    <w:p w14:paraId="06A63D99">
      <w:pPr>
        <w:autoSpaceDE w:val="0"/>
        <w:autoSpaceDN w:val="0"/>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（3）承包人接受索赔处理结果的，索赔款项在当期进度款中进行支付；承包人不接受索赔处理结果的，按照第20条〔争议解决〕约定处理</w:t>
      </w:r>
      <w:r>
        <w:rPr>
          <w:rFonts w:hint="eastAsia" w:ascii="宋体" w:hAnsi="宋体"/>
          <w:color w:val="auto"/>
          <w:szCs w:val="21"/>
          <w:highlight w:val="none"/>
        </w:rPr>
        <w:t>；</w:t>
      </w:r>
    </w:p>
    <w:p w14:paraId="4DA14447">
      <w:pPr>
        <w:autoSpaceDE w:val="0"/>
        <w:autoSpaceDN w:val="0"/>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（4）工期延误的关键线路按照经监理人、发包人审批同意的施工组织设计计算</w:t>
      </w:r>
      <w:r>
        <w:rPr>
          <w:rFonts w:hint="eastAsia" w:ascii="宋体" w:hAnsi="宋体"/>
          <w:color w:val="auto"/>
          <w:szCs w:val="21"/>
          <w:highlight w:val="none"/>
        </w:rPr>
        <w:t>。</w:t>
      </w:r>
    </w:p>
    <w:p w14:paraId="328EB15D">
      <w:pPr>
        <w:pStyle w:val="7"/>
        <w:spacing w:before="0" w:beforeAutospacing="0" w:after="0" w:afterAutospacing="0" w:line="360" w:lineRule="auto"/>
        <w:ind w:firstLine="422" w:firstLineChars="200"/>
        <w:rPr>
          <w:color w:val="auto"/>
          <w:sz w:val="21"/>
          <w:szCs w:val="21"/>
          <w:highlight w:val="none"/>
        </w:rPr>
      </w:pPr>
      <w:bookmarkStart w:id="1921" w:name="_Toc532375677"/>
      <w:bookmarkStart w:id="1922" w:name="_Toc532377416"/>
      <w:r>
        <w:rPr>
          <w:rFonts w:hint="eastAsia"/>
          <w:color w:val="auto"/>
          <w:sz w:val="21"/>
          <w:szCs w:val="21"/>
          <w:highlight w:val="none"/>
        </w:rPr>
        <w:t>19.3发包人的索赔</w:t>
      </w:r>
      <w:bookmarkEnd w:id="1921"/>
      <w:bookmarkEnd w:id="1922"/>
    </w:p>
    <w:p w14:paraId="508F2636">
      <w:pPr>
        <w:autoSpaceDE w:val="0"/>
        <w:autoSpaceDN w:val="0"/>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根据合同约定，发包人认为有权得到赔付金额和（或）延长缺陷责任期的，监理人应向承包人发出通知并附有详细的证明。</w:t>
      </w:r>
    </w:p>
    <w:p w14:paraId="19098ABE">
      <w:pPr>
        <w:autoSpaceDE w:val="0"/>
        <w:autoSpaceDN w:val="0"/>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rPr>
        <w:t>发包人应在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索赔事件具有持续影响的，发包人应在索赔事件影响结束后28天内，</w:t>
      </w:r>
      <w:bookmarkStart w:id="1923" w:name="_Hlk528652769"/>
      <w:r>
        <w:rPr>
          <w:rFonts w:hint="eastAsia" w:ascii="宋体" w:hAnsi="宋体"/>
          <w:color w:val="auto"/>
          <w:szCs w:val="21"/>
          <w:highlight w:val="none"/>
        </w:rPr>
        <w:t>通过监理人向承包人正式递交最终索赔报告</w:t>
      </w:r>
      <w:bookmarkEnd w:id="1923"/>
      <w:r>
        <w:rPr>
          <w:rFonts w:hint="eastAsia" w:ascii="宋体" w:hAnsi="宋体"/>
          <w:color w:val="auto"/>
          <w:szCs w:val="21"/>
          <w:highlight w:val="none"/>
        </w:rPr>
        <w:t>。</w:t>
      </w:r>
    </w:p>
    <w:p w14:paraId="5D16ACB8">
      <w:pPr>
        <w:pStyle w:val="7"/>
        <w:spacing w:before="0" w:beforeAutospacing="0" w:after="0" w:afterAutospacing="0" w:line="360" w:lineRule="auto"/>
        <w:ind w:firstLine="422" w:firstLineChars="200"/>
        <w:rPr>
          <w:color w:val="auto"/>
          <w:sz w:val="21"/>
          <w:szCs w:val="21"/>
          <w:highlight w:val="none"/>
        </w:rPr>
      </w:pPr>
      <w:bookmarkStart w:id="1924" w:name="_Toc532377417"/>
      <w:bookmarkStart w:id="1925" w:name="_Toc532375678"/>
      <w:r>
        <w:rPr>
          <w:rFonts w:hint="eastAsia"/>
          <w:color w:val="auto"/>
          <w:sz w:val="21"/>
          <w:szCs w:val="21"/>
          <w:highlight w:val="none"/>
        </w:rPr>
        <w:t>19.4 对发包人索赔的处理</w:t>
      </w:r>
      <w:bookmarkEnd w:id="1924"/>
      <w:bookmarkEnd w:id="1925"/>
    </w:p>
    <w:p w14:paraId="669522DF">
      <w:pPr>
        <w:autoSpaceDE w:val="0"/>
        <w:autoSpaceDN w:val="0"/>
        <w:spacing w:line="360" w:lineRule="auto"/>
        <w:ind w:right="105" w:rightChars="50"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对发包人索赔的处理如下：</w:t>
      </w:r>
    </w:p>
    <w:p w14:paraId="5D9168B7">
      <w:pPr>
        <w:autoSpaceDE w:val="0"/>
        <w:autoSpaceDN w:val="0"/>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（1）承包人收到发包人提交的索赔报告后，应及时审查索赔报告的内容、查验发包人证明材料；</w:t>
      </w:r>
    </w:p>
    <w:p w14:paraId="3071BDF9">
      <w:pPr>
        <w:autoSpaceDE w:val="0"/>
        <w:autoSpaceDN w:val="0"/>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2）承包人应在收到索赔报告或有关索赔的进一步证明材料后28天内，将索赔处理结果答复发包人。如果承包人未在上述期限内作出答复的，监理人应以书面形式催告承包人，经监理人三次书面催告后，承包人仍未按期限答复的，则视为对发包人索赔要求的认可；</w:t>
      </w:r>
    </w:p>
    <w:p w14:paraId="14EE320A">
      <w:pPr>
        <w:autoSpaceDE w:val="0"/>
        <w:autoSpaceDN w:val="0"/>
        <w:spacing w:line="360" w:lineRule="auto"/>
        <w:ind w:right="105" w:rightChars="50" w:firstLine="420" w:firstLineChars="200"/>
        <w:jc w:val="left"/>
        <w:rPr>
          <w:rFonts w:ascii="宋体" w:hAnsi="宋体"/>
          <w:color w:val="auto"/>
          <w:szCs w:val="21"/>
          <w:highlight w:val="none"/>
          <w:u w:val="single"/>
        </w:rPr>
      </w:pPr>
      <w:r>
        <w:rPr>
          <w:rFonts w:hint="eastAsia" w:ascii="宋体" w:hAnsi="宋体"/>
          <w:color w:val="auto"/>
          <w:szCs w:val="21"/>
          <w:highlight w:val="none"/>
        </w:rPr>
        <w:t>（3）承包人接受索赔处理结果的，发包人可从应支付给承包人的合同价款中扣除赔付的金额或延长缺陷责任期；发包人不接受索赔处理结果的，按第20条〔争议解决〕约定处理。</w:t>
      </w:r>
    </w:p>
    <w:p w14:paraId="6D7760CD">
      <w:pPr>
        <w:pStyle w:val="7"/>
        <w:spacing w:before="0" w:beforeAutospacing="0" w:after="0" w:afterAutospacing="0" w:line="360" w:lineRule="auto"/>
        <w:ind w:firstLine="422" w:firstLineChars="200"/>
        <w:rPr>
          <w:color w:val="auto"/>
          <w:sz w:val="21"/>
          <w:szCs w:val="21"/>
          <w:highlight w:val="none"/>
        </w:rPr>
      </w:pPr>
      <w:bookmarkStart w:id="1926" w:name="_Toc532377418"/>
      <w:bookmarkStart w:id="1927" w:name="_Toc532375679"/>
      <w:bookmarkStart w:id="1928" w:name="_Hlk528928420"/>
      <w:r>
        <w:rPr>
          <w:rFonts w:hint="eastAsia"/>
          <w:color w:val="auto"/>
          <w:sz w:val="21"/>
          <w:szCs w:val="21"/>
          <w:highlight w:val="none"/>
        </w:rPr>
        <w:t>19.5 提出索赔的期限</w:t>
      </w:r>
      <w:bookmarkEnd w:id="1926"/>
      <w:bookmarkEnd w:id="1927"/>
    </w:p>
    <w:p w14:paraId="4514EE1A">
      <w:pPr>
        <w:autoSpaceDE w:val="0"/>
        <w:autoSpaceDN w:val="0"/>
        <w:spacing w:line="360" w:lineRule="auto"/>
        <w:ind w:right="105" w:rightChars="50" w:firstLine="420" w:firstLineChars="200"/>
        <w:jc w:val="left"/>
        <w:rPr>
          <w:rFonts w:ascii="宋体" w:hAnsi="宋体"/>
          <w:color w:val="auto"/>
          <w:szCs w:val="21"/>
          <w:highlight w:val="none"/>
        </w:rPr>
      </w:pPr>
      <w:bookmarkStart w:id="1929" w:name="_Hlk524298376"/>
      <w:r>
        <w:rPr>
          <w:rFonts w:hint="eastAsia" w:ascii="宋体" w:hAnsi="宋体"/>
          <w:color w:val="auto"/>
          <w:szCs w:val="21"/>
          <w:highlight w:val="none"/>
        </w:rPr>
        <w:t>任一索赔事件发生后28天内，承包人/发包人未向对方发出索赔意向通知书的，视为其已放弃索赔权，无权再就该索赔事项提出任何索赔。</w:t>
      </w:r>
    </w:p>
    <w:bookmarkEnd w:id="1915"/>
    <w:bookmarkEnd w:id="1916"/>
    <w:bookmarkEnd w:id="1917"/>
    <w:bookmarkEnd w:id="1918"/>
    <w:bookmarkEnd w:id="1928"/>
    <w:bookmarkEnd w:id="1929"/>
    <w:p w14:paraId="11002CCD">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1930" w:name="_Toc532375680"/>
      <w:bookmarkStart w:id="1931" w:name="_Toc351203651"/>
      <w:bookmarkStart w:id="1932" w:name="_Toc532377419"/>
      <w:r>
        <w:rPr>
          <w:rFonts w:hint="eastAsia"/>
          <w:color w:val="auto"/>
          <w:kern w:val="2"/>
          <w:sz w:val="21"/>
          <w:szCs w:val="21"/>
          <w:highlight w:val="none"/>
        </w:rPr>
        <w:t>20. 争议解决</w:t>
      </w:r>
      <w:bookmarkEnd w:id="1930"/>
      <w:bookmarkEnd w:id="1931"/>
      <w:bookmarkEnd w:id="1932"/>
    </w:p>
    <w:p w14:paraId="5DDF06AC">
      <w:pPr>
        <w:pStyle w:val="7"/>
        <w:spacing w:before="0" w:beforeAutospacing="0" w:after="0" w:afterAutospacing="0" w:line="360" w:lineRule="auto"/>
        <w:ind w:firstLine="422" w:firstLineChars="200"/>
        <w:rPr>
          <w:color w:val="auto"/>
          <w:sz w:val="21"/>
          <w:szCs w:val="21"/>
          <w:highlight w:val="none"/>
        </w:rPr>
      </w:pPr>
      <w:bookmarkStart w:id="1933" w:name="_Toc532375681"/>
      <w:bookmarkStart w:id="1934" w:name="_Toc532377420"/>
      <w:r>
        <w:rPr>
          <w:rFonts w:hint="eastAsia"/>
          <w:color w:val="auto"/>
          <w:sz w:val="21"/>
          <w:szCs w:val="21"/>
          <w:highlight w:val="none"/>
        </w:rPr>
        <w:t>20.3 争议评审</w:t>
      </w:r>
      <w:bookmarkEnd w:id="1933"/>
      <w:bookmarkEnd w:id="1934"/>
    </w:p>
    <w:p w14:paraId="64746BB1">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合同当事人是否同意将工程争议提交争议评审小组决定：</w:t>
      </w:r>
      <w:r>
        <w:rPr>
          <w:rFonts w:hint="eastAsia" w:ascii="宋体" w:hAnsi="宋体"/>
          <w:color w:val="auto"/>
          <w:szCs w:val="21"/>
          <w:highlight w:val="none"/>
          <w:u w:val="single"/>
        </w:rPr>
        <w:t xml:space="preserve">  </w:t>
      </w:r>
      <w:r>
        <w:rPr>
          <w:rFonts w:hint="eastAsia" w:ascii="宋体"/>
          <w:color w:val="auto"/>
          <w:szCs w:val="21"/>
          <w:highlight w:val="none"/>
          <w:u w:val="single"/>
        </w:rPr>
        <w:t>否</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14:paraId="7E1C6DFA">
      <w:pPr>
        <w:pStyle w:val="7"/>
        <w:spacing w:before="0" w:beforeAutospacing="0" w:after="0" w:afterAutospacing="0" w:line="360" w:lineRule="auto"/>
        <w:ind w:firstLine="422" w:firstLineChars="200"/>
        <w:rPr>
          <w:color w:val="auto"/>
          <w:sz w:val="21"/>
          <w:szCs w:val="21"/>
          <w:highlight w:val="none"/>
        </w:rPr>
      </w:pPr>
      <w:bookmarkStart w:id="1935" w:name="_Toc532375682"/>
      <w:bookmarkStart w:id="1936" w:name="_Toc532377421"/>
      <w:r>
        <w:rPr>
          <w:rFonts w:hint="eastAsia"/>
          <w:color w:val="auto"/>
          <w:sz w:val="21"/>
          <w:szCs w:val="21"/>
          <w:highlight w:val="none"/>
        </w:rPr>
        <w:t>20.4 仲裁或诉讼</w:t>
      </w:r>
      <w:bookmarkEnd w:id="1935"/>
      <w:bookmarkEnd w:id="1936"/>
    </w:p>
    <w:p w14:paraId="011D2CAF">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因合同及合同有关事项发生的争议，按下列第</w:t>
      </w:r>
      <w:r>
        <w:rPr>
          <w:rFonts w:hint="eastAsia" w:ascii="宋体" w:hAnsi="宋体"/>
          <w:color w:val="auto"/>
          <w:szCs w:val="21"/>
          <w:highlight w:val="none"/>
          <w:u w:val="single"/>
        </w:rPr>
        <w:t xml:space="preserve"> （2） </w:t>
      </w:r>
      <w:r>
        <w:rPr>
          <w:rFonts w:hint="eastAsia" w:ascii="宋体" w:hAnsi="宋体"/>
          <w:color w:val="auto"/>
          <w:szCs w:val="21"/>
          <w:highlight w:val="none"/>
        </w:rPr>
        <w:t>种方式解决：</w:t>
      </w:r>
    </w:p>
    <w:p w14:paraId="30D5B1EC">
      <w:pPr>
        <w:spacing w:line="360" w:lineRule="auto"/>
        <w:ind w:right="105" w:rightChars="50" w:firstLine="420" w:firstLineChars="200"/>
        <w:jc w:val="left"/>
        <w:rPr>
          <w:rFonts w:ascii="宋体" w:hAnsi="宋体"/>
          <w:color w:val="auto"/>
          <w:szCs w:val="21"/>
          <w:highlight w:val="none"/>
        </w:rPr>
      </w:pPr>
      <w:r>
        <w:rPr>
          <w:rFonts w:ascii="宋体" w:hAnsi="宋体"/>
          <w:color w:val="auto"/>
          <w:szCs w:val="21"/>
          <w:highlight w:val="none"/>
        </w:rPr>
        <w:t>（1）向</w:t>
      </w:r>
      <w:r>
        <w:rPr>
          <w:rFonts w:ascii="宋体" w:hAnsi="宋体"/>
          <w:color w:val="auto"/>
          <w:szCs w:val="21"/>
          <w:highlight w:val="none"/>
          <w:u w:val="single"/>
        </w:rPr>
        <w:t xml:space="preserve">           </w:t>
      </w:r>
      <w:r>
        <w:rPr>
          <w:rFonts w:ascii="宋体" w:hAnsi="宋体"/>
          <w:color w:val="auto"/>
          <w:szCs w:val="21"/>
          <w:highlight w:val="none"/>
        </w:rPr>
        <w:t>仲裁委员会申请仲裁；</w:t>
      </w:r>
    </w:p>
    <w:p w14:paraId="7D043C7E">
      <w:pPr>
        <w:spacing w:line="360" w:lineRule="auto"/>
        <w:ind w:right="105" w:rightChars="50" w:firstLine="420" w:firstLineChars="200"/>
        <w:jc w:val="left"/>
        <w:rPr>
          <w:rFonts w:ascii="宋体" w:hAnsi="宋体"/>
          <w:color w:val="auto"/>
          <w:szCs w:val="21"/>
          <w:highlight w:val="none"/>
        </w:rPr>
      </w:pPr>
      <w:r>
        <w:rPr>
          <w:rFonts w:ascii="宋体" w:hAnsi="宋体"/>
          <w:color w:val="auto"/>
          <w:szCs w:val="21"/>
          <w:highlight w:val="none"/>
        </w:rPr>
        <w:t>（2）向</w:t>
      </w:r>
      <w:r>
        <w:rPr>
          <w:rFonts w:ascii="宋体" w:hAnsi="宋体"/>
          <w:color w:val="auto"/>
          <w:szCs w:val="21"/>
          <w:highlight w:val="none"/>
          <w:u w:val="single"/>
        </w:rPr>
        <w:t xml:space="preserve">  </w:t>
      </w:r>
      <w:r>
        <w:rPr>
          <w:rFonts w:hint="eastAsia" w:ascii="宋体"/>
          <w:color w:val="auto"/>
          <w:szCs w:val="21"/>
          <w:highlight w:val="none"/>
          <w:u w:val="single"/>
        </w:rPr>
        <w:t>项目所在地</w:t>
      </w:r>
      <w:r>
        <w:rPr>
          <w:rFonts w:ascii="宋体" w:hAnsi="宋体"/>
          <w:color w:val="auto"/>
          <w:szCs w:val="21"/>
          <w:highlight w:val="none"/>
          <w:u w:val="single"/>
        </w:rPr>
        <w:t xml:space="preserve"> </w:t>
      </w:r>
      <w:r>
        <w:rPr>
          <w:rFonts w:ascii="宋体" w:hAnsi="宋体"/>
          <w:color w:val="auto"/>
          <w:szCs w:val="21"/>
          <w:highlight w:val="none"/>
        </w:rPr>
        <w:t>人民法院起诉。</w:t>
      </w:r>
    </w:p>
    <w:p w14:paraId="536C81DA">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1937" w:name="_Toc532375683"/>
      <w:bookmarkStart w:id="1938" w:name="_Toc532377422"/>
      <w:r>
        <w:rPr>
          <w:rFonts w:hint="eastAsia"/>
          <w:color w:val="auto"/>
          <w:kern w:val="2"/>
          <w:sz w:val="21"/>
          <w:szCs w:val="21"/>
          <w:highlight w:val="none"/>
        </w:rPr>
        <w:t>21. 补充条款</w:t>
      </w:r>
      <w:bookmarkEnd w:id="1937"/>
      <w:bookmarkEnd w:id="1938"/>
    </w:p>
    <w:p w14:paraId="7F829B18">
      <w:pPr>
        <w:pStyle w:val="7"/>
        <w:spacing w:before="0" w:beforeAutospacing="0" w:after="0" w:afterAutospacing="0" w:line="360" w:lineRule="auto"/>
        <w:ind w:firstLine="422" w:firstLineChars="200"/>
        <w:rPr>
          <w:color w:val="auto"/>
          <w:sz w:val="21"/>
          <w:szCs w:val="21"/>
          <w:highlight w:val="none"/>
        </w:rPr>
      </w:pPr>
      <w:bookmarkStart w:id="1939" w:name="_Toc532375684"/>
      <w:bookmarkStart w:id="1940" w:name="_Toc532377423"/>
      <w:r>
        <w:rPr>
          <w:rFonts w:hint="eastAsia"/>
          <w:color w:val="auto"/>
          <w:sz w:val="21"/>
          <w:szCs w:val="21"/>
          <w:highlight w:val="none"/>
        </w:rPr>
        <w:t>21.1 退出机制</w:t>
      </w:r>
      <w:bookmarkEnd w:id="1939"/>
      <w:bookmarkEnd w:id="1940"/>
    </w:p>
    <w:p w14:paraId="3F55F019">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21.1.1有下列情形之一的，发包人有权解除合同，亦有权兑付履约担保，并对承包人做清退出场处理</w:t>
      </w:r>
      <w:r>
        <w:rPr>
          <w:rFonts w:hint="eastAsia" w:ascii="宋体" w:hAnsi="宋体"/>
          <w:color w:val="auto"/>
          <w:kern w:val="0"/>
          <w:szCs w:val="21"/>
          <w:highlight w:val="none"/>
        </w:rPr>
        <w:t>：</w:t>
      </w:r>
    </w:p>
    <w:p w14:paraId="13346014">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（1）因承包人原因造成较大及以上等级生产安全事故或工程质量事故的；</w:t>
      </w:r>
    </w:p>
    <w:p w14:paraId="118CBED3">
      <w:pPr>
        <w:spacing w:line="360" w:lineRule="auto"/>
        <w:ind w:right="105" w:rightChars="50"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（2）因承包人债权债务纠纷或其他纠纷导致工程无法正常施工的。</w:t>
      </w:r>
    </w:p>
    <w:p w14:paraId="21ACA30B">
      <w:pPr>
        <w:pStyle w:val="2"/>
        <w:spacing w:after="0" w:line="360" w:lineRule="auto"/>
        <w:ind w:firstLine="420" w:firstLineChars="200"/>
        <w:rPr>
          <w:rFonts w:ascii="宋体" w:hAnsi="宋体"/>
          <w:color w:val="auto"/>
          <w:szCs w:val="21"/>
          <w:highlight w:val="none"/>
        </w:rPr>
      </w:pPr>
      <w:r>
        <w:rPr>
          <w:rFonts w:hint="eastAsia" w:ascii="宋体" w:hAnsi="宋体"/>
          <w:color w:val="auto"/>
          <w:szCs w:val="21"/>
          <w:highlight w:val="none"/>
        </w:rPr>
        <w:t>21.1.2有下列情形之一的，承包人有权解除合同，并按16.1.4约定执行：</w:t>
      </w:r>
    </w:p>
    <w:p w14:paraId="042807B0">
      <w:pPr>
        <w:pStyle w:val="2"/>
        <w:spacing w:after="0"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（1）因发包人征地、拆迁、补偿、审批手续等原因致使本工程延期开工超过90天的。</w:t>
      </w:r>
    </w:p>
    <w:p w14:paraId="6597ABC7">
      <w:pPr>
        <w:pStyle w:val="7"/>
        <w:spacing w:before="0" w:beforeAutospacing="0" w:after="0" w:afterAutospacing="0" w:line="360" w:lineRule="auto"/>
        <w:ind w:firstLine="422" w:firstLineChars="200"/>
        <w:rPr>
          <w:color w:val="auto"/>
          <w:sz w:val="21"/>
          <w:szCs w:val="21"/>
          <w:highlight w:val="none"/>
        </w:rPr>
      </w:pPr>
      <w:bookmarkStart w:id="1941" w:name="_Toc532375685"/>
      <w:bookmarkStart w:id="1942" w:name="_Toc532377424"/>
      <w:r>
        <w:rPr>
          <w:rFonts w:hint="eastAsia"/>
          <w:color w:val="auto"/>
          <w:sz w:val="21"/>
          <w:szCs w:val="21"/>
          <w:highlight w:val="none"/>
        </w:rPr>
        <w:t>21.2智慧工地</w:t>
      </w:r>
      <w:bookmarkEnd w:id="1941"/>
      <w:bookmarkEnd w:id="1942"/>
    </w:p>
    <w:p w14:paraId="77484522">
      <w:pPr>
        <w:spacing w:line="360" w:lineRule="auto"/>
        <w:ind w:right="105" w:rightChars="50" w:firstLine="420" w:firstLineChars="200"/>
        <w:jc w:val="left"/>
        <w:rPr>
          <w:rFonts w:ascii="宋体" w:hAnsi="宋体"/>
          <w:color w:val="auto"/>
          <w:szCs w:val="21"/>
          <w:highlight w:val="none"/>
        </w:rPr>
      </w:pPr>
      <w:r>
        <w:rPr>
          <w:rFonts w:hint="eastAsia" w:ascii="宋体" w:hAnsi="宋体"/>
          <w:color w:val="auto"/>
          <w:szCs w:val="21"/>
          <w:highlight w:val="none"/>
        </w:rPr>
        <w:t>工地建设可参照重庆市城乡建设委员会《关于印发“智慧工地”建设工作方案的通知》（渝建〔2017〕414号）的相关要求建设。</w:t>
      </w:r>
      <w:bookmarkEnd w:id="1883"/>
    </w:p>
    <w:p w14:paraId="5500B15A">
      <w:pPr>
        <w:spacing w:line="360" w:lineRule="auto"/>
        <w:ind w:firstLine="422" w:firstLineChars="200"/>
        <w:jc w:val="left"/>
        <w:rPr>
          <w:rFonts w:ascii="宋体" w:hAnsi="宋体" w:cs="宋体"/>
          <w:b/>
          <w:bCs/>
          <w:color w:val="auto"/>
          <w:kern w:val="0"/>
          <w:szCs w:val="21"/>
          <w:highlight w:val="none"/>
        </w:rPr>
      </w:pPr>
      <w:r>
        <w:rPr>
          <w:rFonts w:hint="eastAsia" w:ascii="宋体" w:hAnsi="宋体" w:cs="宋体"/>
          <w:b/>
          <w:bCs/>
          <w:color w:val="auto"/>
          <w:kern w:val="0"/>
          <w:szCs w:val="21"/>
          <w:highlight w:val="none"/>
        </w:rPr>
        <w:t>21.3低价风险担保：</w:t>
      </w:r>
    </w:p>
    <w:p w14:paraId="67285F60">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承包人提供低价风险担保的情形：采用经评审的最低投标价法的项目投标报价低于最高限价85%时。</w:t>
      </w:r>
    </w:p>
    <w:p w14:paraId="0F68F12C">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承包人提供低价风险担保的形式、金额及期限：</w:t>
      </w:r>
    </w:p>
    <w:p w14:paraId="1AB431E5">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（1）低价风险担保的形式：现金或银行保函或现金+银行保函的组合；采用保函形式的，保函必须为不可撤销、不可转让且见索即付的独立保函；</w:t>
      </w:r>
    </w:p>
    <w:p w14:paraId="04338FA1">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（2）低价风险担保的金额：</w:t>
      </w:r>
      <w:r>
        <w:rPr>
          <w:rFonts w:hint="eastAsia" w:ascii="仿宋_GB2312" w:hAnsi="宋体" w:eastAsia="仿宋_GB2312" w:cs="宋体"/>
          <w:color w:val="auto"/>
          <w:kern w:val="0"/>
          <w:szCs w:val="21"/>
          <w:highlight w:val="none"/>
          <w:u w:val="single"/>
        </w:rPr>
        <w:t xml:space="preserve">            </w:t>
      </w:r>
      <w:r>
        <w:rPr>
          <w:rFonts w:hint="eastAsia" w:ascii="宋体" w:hAnsi="宋体"/>
          <w:color w:val="auto"/>
          <w:szCs w:val="21"/>
          <w:highlight w:val="none"/>
        </w:rPr>
        <w:t>；</w:t>
      </w:r>
    </w:p>
    <w:p w14:paraId="351494F0">
      <w:pPr>
        <w:tabs>
          <w:tab w:val="left" w:pos="1134"/>
        </w:tabs>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（3）低价风险担保的提交时间：</w:t>
      </w:r>
      <w:r>
        <w:rPr>
          <w:rFonts w:hint="eastAsia"/>
          <w:color w:val="auto"/>
          <w:szCs w:val="21"/>
          <w:highlight w:val="none"/>
          <w:u w:val="single"/>
        </w:rPr>
        <w:t>从招标人中标通知书送达拟中标人之日起</w:t>
      </w:r>
      <w:r>
        <w:rPr>
          <w:color w:val="auto"/>
          <w:szCs w:val="21"/>
          <w:highlight w:val="none"/>
          <w:u w:val="single"/>
        </w:rPr>
        <w:t>10</w:t>
      </w:r>
      <w:r>
        <w:rPr>
          <w:rFonts w:hint="eastAsia"/>
          <w:color w:val="auto"/>
          <w:szCs w:val="21"/>
          <w:highlight w:val="none"/>
          <w:u w:val="single"/>
        </w:rPr>
        <w:t>个工作日内</w:t>
      </w:r>
      <w:r>
        <w:rPr>
          <w:rFonts w:hint="eastAsia" w:ascii="宋体" w:hAnsi="宋体"/>
          <w:color w:val="auto"/>
          <w:szCs w:val="21"/>
          <w:highlight w:val="none"/>
          <w:u w:val="single"/>
        </w:rPr>
        <w:t>；</w:t>
      </w:r>
    </w:p>
    <w:p w14:paraId="0673291D">
      <w:pPr>
        <w:tabs>
          <w:tab w:val="left" w:pos="1134"/>
        </w:tabs>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（4）低价风险担保的期限：</w:t>
      </w:r>
      <w:r>
        <w:rPr>
          <w:rFonts w:hint="eastAsia"/>
          <w:color w:val="auto"/>
          <w:szCs w:val="21"/>
          <w:highlight w:val="none"/>
          <w:u w:val="single"/>
        </w:rPr>
        <w:t>自低价风险担保生效之日起至竣工验收合格之日止</w:t>
      </w:r>
      <w:r>
        <w:rPr>
          <w:rFonts w:hint="eastAsia" w:ascii="宋体" w:hAnsi="宋体"/>
          <w:color w:val="auto"/>
          <w:szCs w:val="21"/>
          <w:highlight w:val="none"/>
        </w:rPr>
        <w:t>。</w:t>
      </w:r>
    </w:p>
    <w:p w14:paraId="777D202E">
      <w:pPr>
        <w:pStyle w:val="2"/>
        <w:spacing w:after="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低价风险担保的退还时间：</w:t>
      </w:r>
      <w:r>
        <w:rPr>
          <w:rFonts w:hint="eastAsia" w:ascii="宋体" w:hAnsi="宋体"/>
          <w:color w:val="auto"/>
          <w:szCs w:val="21"/>
          <w:highlight w:val="none"/>
          <w:u w:val="single"/>
        </w:rPr>
        <w:t xml:space="preserve">采用现金担保的，工程竣工验收合格后14天内退还，合同履行期间允许承包人用符合要求的银行保函进行置换；采用银行保函的，工程竣工验收合格后14天内退还。采用分段退还的，低价风险担保的退还时间及方式为：        </w:t>
      </w:r>
      <w:r>
        <w:rPr>
          <w:rFonts w:hint="eastAsia" w:ascii="宋体" w:hAnsi="宋体"/>
          <w:color w:val="auto"/>
          <w:szCs w:val="21"/>
          <w:highlight w:val="none"/>
        </w:rPr>
        <w:t>。</w:t>
      </w:r>
    </w:p>
    <w:p w14:paraId="6C97E66A">
      <w:pPr>
        <w:pStyle w:val="2"/>
        <w:spacing w:after="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（5）低价风险担保的扣减：</w:t>
      </w:r>
    </w:p>
    <w:p w14:paraId="44765A11">
      <w:pPr>
        <w:pStyle w:val="2"/>
        <w:spacing w:after="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①承包人在工程施工期间，以其投标时填报的工程主要材料价格低于同期工程造价管理机构发布的信息价格为由拒绝材料采购；或因其自身其他原因导致工程窝工或停工等，给发包人造成直接经济损失且拒绝承担的，按低价风险担保金额的</w:t>
      </w:r>
      <w:r>
        <w:rPr>
          <w:rFonts w:hint="eastAsia" w:ascii="宋体" w:hAnsi="宋体"/>
          <w:color w:val="auto"/>
          <w:szCs w:val="21"/>
          <w:highlight w:val="none"/>
          <w:u w:val="single"/>
        </w:rPr>
        <w:t>50～100%</w:t>
      </w:r>
      <w:r>
        <w:rPr>
          <w:rFonts w:hint="eastAsia" w:ascii="宋体" w:hAnsi="宋体"/>
          <w:color w:val="auto"/>
          <w:szCs w:val="21"/>
          <w:highlight w:val="none"/>
        </w:rPr>
        <w:t>扣减，直至解除合同；</w:t>
      </w:r>
    </w:p>
    <w:p w14:paraId="507CE686">
      <w:pPr>
        <w:pStyle w:val="2"/>
        <w:spacing w:after="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②承包人在工程施工期间或竣工验收时，工程质量不符合国家现行有关施工质量验收规范要求的，按低价风险担保金额的</w:t>
      </w:r>
      <w:r>
        <w:rPr>
          <w:rFonts w:hint="eastAsia" w:ascii="宋体" w:hAnsi="宋体"/>
          <w:color w:val="auto"/>
          <w:szCs w:val="21"/>
          <w:highlight w:val="none"/>
          <w:u w:val="single"/>
        </w:rPr>
        <w:t>50～100%</w:t>
      </w:r>
      <w:r>
        <w:rPr>
          <w:rFonts w:hint="eastAsia" w:ascii="宋体" w:hAnsi="宋体"/>
          <w:color w:val="auto"/>
          <w:szCs w:val="21"/>
          <w:highlight w:val="none"/>
        </w:rPr>
        <w:t>扣减，直至解除合同；</w:t>
      </w:r>
    </w:p>
    <w:p w14:paraId="7BFBF5CC">
      <w:pPr>
        <w:pStyle w:val="2"/>
        <w:spacing w:after="0"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③承包人因16.2.3项原因被解除合同的，低价风险担保将全额扣除；</w:t>
      </w:r>
    </w:p>
    <w:p w14:paraId="3301909E">
      <w:pPr>
        <w:pStyle w:val="7"/>
        <w:spacing w:before="0" w:beforeAutospacing="0" w:after="0" w:afterAutospacing="0" w:line="360" w:lineRule="auto"/>
        <w:ind w:firstLine="400" w:firstLineChars="200"/>
        <w:rPr>
          <w:color w:val="auto"/>
          <w:sz w:val="21"/>
          <w:szCs w:val="21"/>
          <w:highlight w:val="none"/>
          <w:u w:val="single"/>
        </w:rPr>
      </w:pPr>
      <w:r>
        <w:rPr>
          <w:rFonts w:hint="eastAsia"/>
          <w:b w:val="0"/>
          <w:bCs w:val="0"/>
          <w:color w:val="auto"/>
          <w:szCs w:val="21"/>
          <w:highlight w:val="none"/>
        </w:rPr>
        <w:t>④因承包人过错导致的其他情形：</w:t>
      </w:r>
      <w:r>
        <w:rPr>
          <w:rFonts w:hint="eastAsia"/>
          <w:b w:val="0"/>
          <w:bCs w:val="0"/>
          <w:color w:val="auto"/>
          <w:szCs w:val="21"/>
          <w:highlight w:val="none"/>
          <w:u w:val="single"/>
        </w:rPr>
        <w:t xml:space="preserve">        </w:t>
      </w:r>
    </w:p>
    <w:p w14:paraId="456160C4">
      <w:pPr>
        <w:pStyle w:val="7"/>
        <w:spacing w:before="0" w:beforeAutospacing="0" w:after="0" w:afterAutospacing="0" w:line="360" w:lineRule="auto"/>
        <w:ind w:firstLine="422" w:firstLineChars="200"/>
        <w:rPr>
          <w:color w:val="auto"/>
          <w:sz w:val="21"/>
          <w:szCs w:val="21"/>
          <w:highlight w:val="none"/>
          <w:u w:val="single"/>
        </w:rPr>
      </w:pPr>
      <w:r>
        <w:rPr>
          <w:rFonts w:hint="eastAsia"/>
          <w:color w:val="auto"/>
          <w:sz w:val="21"/>
          <w:szCs w:val="21"/>
          <w:highlight w:val="none"/>
        </w:rPr>
        <w:t>21.4 关于不平衡报价的约定：</w:t>
      </w:r>
      <w:r>
        <w:rPr>
          <w:rFonts w:hint="eastAsia"/>
          <w:color w:val="auto"/>
          <w:sz w:val="21"/>
          <w:szCs w:val="21"/>
          <w:highlight w:val="none"/>
          <w:u w:val="single"/>
        </w:rPr>
        <w:t xml:space="preserve">  </w:t>
      </w:r>
      <w:r>
        <w:rPr>
          <w:color w:val="auto"/>
          <w:sz w:val="21"/>
          <w:szCs w:val="21"/>
          <w:highlight w:val="none"/>
          <w:u w:val="single"/>
        </w:rPr>
        <w:t>/</w:t>
      </w:r>
      <w:r>
        <w:rPr>
          <w:rFonts w:hint="eastAsia"/>
          <w:color w:val="auto"/>
          <w:sz w:val="21"/>
          <w:szCs w:val="21"/>
          <w:highlight w:val="none"/>
          <w:u w:val="single"/>
        </w:rPr>
        <w:t xml:space="preserve"> 。 </w:t>
      </w:r>
    </w:p>
    <w:p w14:paraId="6E0B5701">
      <w:pPr>
        <w:pStyle w:val="7"/>
        <w:spacing w:before="0" w:beforeAutospacing="0" w:after="0" w:afterAutospacing="0" w:line="360" w:lineRule="auto"/>
        <w:ind w:firstLine="422" w:firstLineChars="200"/>
        <w:rPr>
          <w:color w:val="auto"/>
          <w:sz w:val="21"/>
          <w:szCs w:val="21"/>
          <w:highlight w:val="none"/>
        </w:rPr>
      </w:pPr>
      <w:r>
        <w:rPr>
          <w:rFonts w:hint="eastAsia"/>
          <w:color w:val="auto"/>
          <w:sz w:val="21"/>
          <w:szCs w:val="21"/>
          <w:highlight w:val="none"/>
        </w:rPr>
        <w:t xml:space="preserve">21.5 </w:t>
      </w:r>
      <w:r>
        <w:rPr>
          <w:rFonts w:hint="eastAsia"/>
          <w:color w:val="auto"/>
          <w:sz w:val="21"/>
          <w:szCs w:val="21"/>
          <w:highlight w:val="none"/>
          <w:u w:val="single"/>
        </w:rPr>
        <w:t xml:space="preserve">       </w:t>
      </w:r>
    </w:p>
    <w:p w14:paraId="2E6D7341">
      <w:pPr>
        <w:pStyle w:val="6"/>
        <w:keepNext/>
        <w:keepLines/>
        <w:spacing w:before="156" w:beforeLines="50" w:beforeAutospacing="0" w:after="156" w:afterLines="50" w:afterAutospacing="0" w:line="360" w:lineRule="auto"/>
        <w:jc w:val="both"/>
        <w:rPr>
          <w:bCs w:val="0"/>
          <w:color w:val="auto"/>
          <w:kern w:val="2"/>
          <w:sz w:val="21"/>
          <w:szCs w:val="21"/>
          <w:highlight w:val="none"/>
        </w:rPr>
      </w:pPr>
      <w:bookmarkStart w:id="1943" w:name="baidusnap7"/>
      <w:bookmarkEnd w:id="1943"/>
      <w:bookmarkStart w:id="1944" w:name="baidusnap3"/>
      <w:bookmarkEnd w:id="1944"/>
      <w:bookmarkStart w:id="1945" w:name="_Toc532375686"/>
      <w:bookmarkStart w:id="1946" w:name="_Toc532377425"/>
      <w:bookmarkStart w:id="1947" w:name="_Toc351203652"/>
      <w:r>
        <w:rPr>
          <w:rFonts w:hint="eastAsia"/>
          <w:color w:val="auto"/>
          <w:kern w:val="2"/>
          <w:sz w:val="21"/>
          <w:szCs w:val="21"/>
          <w:highlight w:val="none"/>
        </w:rPr>
        <w:t>22. 合同附件</w:t>
      </w:r>
      <w:bookmarkEnd w:id="1945"/>
      <w:bookmarkEnd w:id="1946"/>
    </w:p>
    <w:bookmarkEnd w:id="1947"/>
    <w:p w14:paraId="28495289">
      <w:pPr>
        <w:spacing w:line="360" w:lineRule="auto"/>
        <w:rPr>
          <w:rFonts w:ascii="宋体" w:hAnsi="宋体"/>
          <w:color w:val="auto"/>
          <w:highlight w:val="none"/>
        </w:rPr>
      </w:pPr>
      <w:r>
        <w:rPr>
          <w:rFonts w:hint="eastAsia" w:ascii="宋体" w:hAnsi="宋体"/>
          <w:color w:val="auto"/>
          <w:highlight w:val="none"/>
        </w:rPr>
        <w:t>以下附件是本合同的有效组成部分：</w:t>
      </w:r>
    </w:p>
    <w:p w14:paraId="50EDFB39">
      <w:pPr>
        <w:spacing w:line="360" w:lineRule="auto"/>
        <w:rPr>
          <w:rFonts w:ascii="宋体" w:hAnsi="宋体"/>
          <w:color w:val="auto"/>
          <w:highlight w:val="none"/>
        </w:rPr>
      </w:pPr>
      <w:r>
        <w:rPr>
          <w:rFonts w:hint="eastAsia" w:ascii="宋体" w:hAnsi="宋体"/>
          <w:color w:val="auto"/>
          <w:highlight w:val="none"/>
        </w:rPr>
        <w:t>附件1：工程质量保修书</w:t>
      </w:r>
    </w:p>
    <w:p w14:paraId="25BB11FF">
      <w:pPr>
        <w:spacing w:line="360" w:lineRule="auto"/>
        <w:rPr>
          <w:rFonts w:ascii="宋体" w:hAnsi="宋体"/>
          <w:color w:val="auto"/>
          <w:highlight w:val="none"/>
        </w:rPr>
      </w:pPr>
      <w:r>
        <w:rPr>
          <w:rFonts w:hint="eastAsia" w:ascii="宋体" w:hAnsi="宋体"/>
          <w:color w:val="auto"/>
          <w:highlight w:val="none"/>
        </w:rPr>
        <w:t>附件2：主要建设工程文件目录</w:t>
      </w:r>
    </w:p>
    <w:p w14:paraId="45BE2DCD">
      <w:pPr>
        <w:spacing w:line="360" w:lineRule="auto"/>
        <w:rPr>
          <w:rFonts w:ascii="宋体" w:hAnsi="宋体"/>
          <w:color w:val="auto"/>
          <w:highlight w:val="none"/>
        </w:rPr>
      </w:pPr>
      <w:r>
        <w:rPr>
          <w:rFonts w:hint="eastAsia" w:ascii="宋体" w:hAnsi="宋体"/>
          <w:color w:val="auto"/>
          <w:highlight w:val="none"/>
        </w:rPr>
        <w:t>附件3：承包人项目管理机构组成表</w:t>
      </w:r>
    </w:p>
    <w:p w14:paraId="2571CE77">
      <w:pPr>
        <w:spacing w:line="360" w:lineRule="auto"/>
        <w:rPr>
          <w:rFonts w:ascii="宋体" w:hAnsi="宋体"/>
          <w:color w:val="auto"/>
          <w:highlight w:val="none"/>
        </w:rPr>
      </w:pPr>
      <w:r>
        <w:rPr>
          <w:rFonts w:hint="eastAsia" w:ascii="宋体" w:hAnsi="宋体"/>
          <w:color w:val="auto"/>
          <w:highlight w:val="none"/>
        </w:rPr>
        <w:t>附件4：履约担保（如有）</w:t>
      </w:r>
    </w:p>
    <w:p w14:paraId="4C133F0F">
      <w:pPr>
        <w:spacing w:line="360" w:lineRule="auto"/>
        <w:rPr>
          <w:rFonts w:ascii="宋体" w:hAnsi="宋体"/>
          <w:color w:val="auto"/>
          <w:highlight w:val="none"/>
        </w:rPr>
      </w:pPr>
      <w:r>
        <w:rPr>
          <w:rFonts w:hint="eastAsia" w:ascii="宋体" w:hAnsi="宋体"/>
          <w:color w:val="auto"/>
          <w:highlight w:val="none"/>
        </w:rPr>
        <w:t>附件5：预付款担保（如有）</w:t>
      </w:r>
    </w:p>
    <w:p w14:paraId="44EB0A37">
      <w:pPr>
        <w:spacing w:line="360" w:lineRule="auto"/>
        <w:rPr>
          <w:rFonts w:ascii="宋体" w:hAnsi="宋体"/>
          <w:color w:val="auto"/>
          <w:highlight w:val="none"/>
        </w:rPr>
      </w:pPr>
      <w:r>
        <w:rPr>
          <w:rFonts w:hint="eastAsia" w:ascii="宋体" w:hAnsi="宋体"/>
          <w:color w:val="auto"/>
          <w:highlight w:val="none"/>
        </w:rPr>
        <w:t>附件6：支付担保（如有）</w:t>
      </w:r>
    </w:p>
    <w:p w14:paraId="1BA32D0E">
      <w:pPr>
        <w:spacing w:line="360" w:lineRule="auto"/>
        <w:rPr>
          <w:rFonts w:ascii="宋体" w:hAnsi="宋体"/>
          <w:color w:val="auto"/>
          <w:highlight w:val="none"/>
        </w:rPr>
      </w:pPr>
      <w:r>
        <w:rPr>
          <w:rFonts w:hint="eastAsia" w:ascii="宋体" w:hAnsi="宋体"/>
          <w:color w:val="auto"/>
          <w:highlight w:val="none"/>
        </w:rPr>
        <w:t>附件7：专业工程暂估价表</w:t>
      </w:r>
    </w:p>
    <w:p w14:paraId="7EA37637">
      <w:pPr>
        <w:spacing w:line="360" w:lineRule="auto"/>
        <w:rPr>
          <w:rFonts w:ascii="宋体" w:hAnsi="宋体"/>
          <w:color w:val="auto"/>
          <w:highlight w:val="none"/>
        </w:rPr>
      </w:pPr>
      <w:r>
        <w:rPr>
          <w:rFonts w:hint="eastAsia" w:ascii="宋体" w:hAnsi="宋体"/>
          <w:color w:val="auto"/>
          <w:highlight w:val="none"/>
        </w:rPr>
        <w:t>附件8：廉洁从业协议</w:t>
      </w:r>
    </w:p>
    <w:p w14:paraId="7153A2BB">
      <w:pPr>
        <w:spacing w:line="360" w:lineRule="auto"/>
        <w:rPr>
          <w:rFonts w:ascii="宋体" w:hAnsi="宋体"/>
          <w:color w:val="auto"/>
          <w:highlight w:val="none"/>
        </w:rPr>
      </w:pPr>
      <w:r>
        <w:rPr>
          <w:rFonts w:hint="eastAsia" w:ascii="宋体" w:hAnsi="宋体"/>
          <w:color w:val="auto"/>
          <w:highlight w:val="none"/>
        </w:rPr>
        <w:t>附件9：安全管理协议</w:t>
      </w:r>
    </w:p>
    <w:p w14:paraId="4B684E90">
      <w:pPr>
        <w:spacing w:line="360" w:lineRule="auto"/>
        <w:rPr>
          <w:rFonts w:ascii="宋体" w:hAnsi="宋体"/>
          <w:color w:val="auto"/>
          <w:highlight w:val="none"/>
        </w:rPr>
      </w:pPr>
      <w:r>
        <w:rPr>
          <w:rFonts w:hint="eastAsia" w:ascii="宋体" w:hAnsi="宋体"/>
          <w:color w:val="auto"/>
          <w:highlight w:val="none"/>
        </w:rPr>
        <w:t>附件10：保障农民工工资支付协议</w:t>
      </w:r>
    </w:p>
    <w:p w14:paraId="6812AE36">
      <w:pPr>
        <w:spacing w:line="360" w:lineRule="auto"/>
        <w:rPr>
          <w:rFonts w:ascii="宋体" w:hAnsi="宋体"/>
          <w:color w:val="auto"/>
          <w:highlight w:val="none"/>
        </w:rPr>
      </w:pPr>
      <w:r>
        <w:rPr>
          <w:rFonts w:hint="eastAsia" w:ascii="宋体" w:hAnsi="宋体"/>
          <w:color w:val="auto"/>
          <w:highlight w:val="none"/>
        </w:rPr>
        <w:t>附件11：低价风险担保保函示范文本（独立保函）（如有）</w:t>
      </w:r>
    </w:p>
    <w:p w14:paraId="48443DB4">
      <w:pPr>
        <w:spacing w:line="360" w:lineRule="auto"/>
        <w:rPr>
          <w:rFonts w:ascii="宋体" w:hAnsi="宋体"/>
          <w:color w:val="auto"/>
          <w:szCs w:val="21"/>
          <w:highlight w:val="none"/>
        </w:rPr>
      </w:pPr>
      <w:r>
        <w:rPr>
          <w:rFonts w:hint="eastAsia" w:ascii="宋体" w:hAnsi="宋体"/>
          <w:color w:val="auto"/>
          <w:highlight w:val="none"/>
        </w:rPr>
        <w:t>附件12：质量保证金保函（如有）</w:t>
      </w:r>
      <w:r>
        <w:rPr>
          <w:rFonts w:hint="eastAsia" w:ascii="宋体" w:hAnsi="宋体"/>
          <w:color w:val="auto"/>
          <w:szCs w:val="21"/>
          <w:highlight w:val="none"/>
        </w:rPr>
        <w:br w:type="page"/>
      </w:r>
      <w:r>
        <w:rPr>
          <w:rFonts w:hint="eastAsia" w:ascii="宋体" w:hAnsi="宋体"/>
          <w:color w:val="auto"/>
          <w:szCs w:val="21"/>
          <w:highlight w:val="none"/>
        </w:rPr>
        <w:t>附</w:t>
      </w:r>
      <w:bookmarkStart w:id="1948" w:name="_Toc296503226"/>
      <w:bookmarkStart w:id="1949" w:name="_Toc296347225"/>
      <w:bookmarkStart w:id="1950" w:name="_Toc267261693"/>
      <w:bookmarkStart w:id="1951" w:name="_Toc296891266"/>
      <w:bookmarkStart w:id="1952" w:name="_Toc296891054"/>
      <w:bookmarkStart w:id="1953" w:name="_Toc296944565"/>
      <w:bookmarkStart w:id="1954" w:name="_Toc296346727"/>
      <w:r>
        <w:rPr>
          <w:rFonts w:hint="eastAsia" w:ascii="宋体" w:hAnsi="宋体"/>
          <w:color w:val="auto"/>
          <w:szCs w:val="21"/>
          <w:highlight w:val="none"/>
        </w:rPr>
        <w:t>件1：</w:t>
      </w:r>
      <w:bookmarkEnd w:id="1948"/>
      <w:bookmarkEnd w:id="1949"/>
      <w:bookmarkEnd w:id="1950"/>
      <w:bookmarkEnd w:id="1951"/>
      <w:bookmarkEnd w:id="1952"/>
      <w:bookmarkEnd w:id="1953"/>
      <w:bookmarkEnd w:id="1954"/>
    </w:p>
    <w:p w14:paraId="12569181">
      <w:pPr>
        <w:spacing w:before="156" w:beforeLines="50" w:after="156" w:afterLines="50" w:line="360" w:lineRule="auto"/>
        <w:jc w:val="center"/>
        <w:rPr>
          <w:rFonts w:ascii="宋体" w:hAnsi="宋体"/>
          <w:color w:val="auto"/>
          <w:szCs w:val="21"/>
          <w:highlight w:val="none"/>
        </w:rPr>
      </w:pPr>
      <w:r>
        <w:rPr>
          <w:rFonts w:hint="eastAsia" w:ascii="宋体" w:hAnsi="宋体"/>
          <w:color w:val="auto"/>
          <w:szCs w:val="21"/>
          <w:highlight w:val="none"/>
        </w:rPr>
        <w:t>工程质量保修书</w:t>
      </w:r>
    </w:p>
    <w:p w14:paraId="3C3F001D">
      <w:pPr>
        <w:snapToGrid w:val="0"/>
        <w:spacing w:line="360" w:lineRule="auto"/>
        <w:ind w:firstLine="422" w:firstLineChars="200"/>
        <w:rPr>
          <w:rFonts w:ascii="宋体" w:hAnsi="宋体"/>
          <w:b/>
          <w:color w:val="auto"/>
          <w:szCs w:val="21"/>
          <w:highlight w:val="none"/>
          <w:u w:val="single"/>
        </w:rPr>
      </w:pPr>
      <w:r>
        <w:rPr>
          <w:rFonts w:hint="eastAsia" w:ascii="宋体" w:hAnsi="宋体"/>
          <w:b/>
          <w:color w:val="auto"/>
          <w:szCs w:val="21"/>
          <w:highlight w:val="none"/>
        </w:rPr>
        <w:t>发包人（全称）：</w:t>
      </w:r>
      <w:r>
        <w:rPr>
          <w:rFonts w:hint="eastAsia" w:ascii="宋体" w:hAnsi="宋体"/>
          <w:color w:val="auto"/>
          <w:szCs w:val="21"/>
          <w:highlight w:val="none"/>
          <w:u w:val="single"/>
        </w:rPr>
        <w:t xml:space="preserve">                             </w:t>
      </w:r>
    </w:p>
    <w:p w14:paraId="2AA1D9C8">
      <w:pPr>
        <w:snapToGrid w:val="0"/>
        <w:spacing w:line="360" w:lineRule="auto"/>
        <w:ind w:firstLine="422" w:firstLineChars="200"/>
        <w:rPr>
          <w:rFonts w:ascii="宋体" w:hAnsi="宋体"/>
          <w:b/>
          <w:color w:val="auto"/>
          <w:szCs w:val="21"/>
          <w:highlight w:val="none"/>
          <w:u w:val="single"/>
        </w:rPr>
      </w:pPr>
      <w:r>
        <w:rPr>
          <w:rFonts w:hint="eastAsia" w:ascii="宋体" w:hAnsi="宋体"/>
          <w:b/>
          <w:color w:val="auto"/>
          <w:szCs w:val="21"/>
          <w:highlight w:val="none"/>
        </w:rPr>
        <w:t>承包人（全称）：</w:t>
      </w:r>
      <w:r>
        <w:rPr>
          <w:rFonts w:hint="eastAsia" w:ascii="宋体" w:hAnsi="宋体"/>
          <w:color w:val="auto"/>
          <w:szCs w:val="21"/>
          <w:highlight w:val="none"/>
          <w:u w:val="single"/>
        </w:rPr>
        <w:t xml:space="preserve">                             </w:t>
      </w:r>
    </w:p>
    <w:p w14:paraId="07DECD49">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发包人和承包人根据《中华人民共和国建筑法》和《建设工程质量管理条例》，经协商一致就</w:t>
      </w:r>
    </w:p>
    <w:p w14:paraId="56C26FB2">
      <w:pPr>
        <w:spacing w:line="360" w:lineRule="auto"/>
        <w:rPr>
          <w:rFonts w:ascii="宋体" w:hAnsi="宋体"/>
          <w:color w:val="auto"/>
          <w:szCs w:val="21"/>
          <w:highlight w:val="none"/>
        </w:rPr>
      </w:pPr>
      <w:r>
        <w:rPr>
          <w:rFonts w:hint="eastAsia" w:ascii="宋体" w:hAnsi="宋体"/>
          <w:color w:val="auto"/>
          <w:szCs w:val="21"/>
          <w:highlight w:val="none"/>
          <w:u w:val="single"/>
        </w:rPr>
        <w:t xml:space="preserve">        </w:t>
      </w:r>
      <w:r>
        <w:rPr>
          <w:rFonts w:hint="eastAsia" w:ascii="宋体" w:hAnsi="宋体"/>
          <w:color w:val="auto"/>
          <w:szCs w:val="21"/>
          <w:highlight w:val="none"/>
        </w:rPr>
        <w:t>（工程全称）签订工程质量保修书。</w:t>
      </w:r>
    </w:p>
    <w:p w14:paraId="6E872475">
      <w:pPr>
        <w:spacing w:line="360" w:lineRule="auto"/>
        <w:ind w:firstLine="420" w:firstLineChars="200"/>
        <w:rPr>
          <w:rFonts w:ascii="宋体" w:hAnsi="宋体"/>
          <w:color w:val="auto"/>
          <w:szCs w:val="21"/>
          <w:highlight w:val="none"/>
        </w:rPr>
      </w:pPr>
      <w:bookmarkStart w:id="1955" w:name="_Toc532375687"/>
      <w:r>
        <w:rPr>
          <w:rFonts w:hint="eastAsia" w:ascii="宋体" w:hAnsi="宋体"/>
          <w:color w:val="auto"/>
          <w:szCs w:val="21"/>
          <w:highlight w:val="none"/>
        </w:rPr>
        <w:t>一、工程质量保修范围和内容</w:t>
      </w:r>
      <w:bookmarkEnd w:id="1955"/>
    </w:p>
    <w:p w14:paraId="1DD318BB">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承包人在质量保修期内，按照有关法律规定和合同约定，承担工程质量保修责任。</w:t>
      </w:r>
    </w:p>
    <w:p w14:paraId="6306A94C">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099E662E">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承包人承包范围内容均属质量保修范围内容；其中：</w:t>
      </w:r>
    </w:p>
    <w:p w14:paraId="7A5BD404">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1.属于设计原因造成的质量问题，承包人负责维修，不留隐患，费用由发包人承担；</w:t>
      </w:r>
    </w:p>
    <w:p w14:paraId="09744EE5">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2.属于施工造成的质量问题，承包人负责维修，不留隐患；</w:t>
      </w:r>
    </w:p>
    <w:p w14:paraId="3D67C8BF">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3.属于业主使用不当造成的质量问题，配合抢修，费用由发包人承担。</w:t>
      </w:r>
    </w:p>
    <w:p w14:paraId="7CB11299">
      <w:pPr>
        <w:spacing w:line="360" w:lineRule="auto"/>
        <w:ind w:firstLine="420" w:firstLineChars="200"/>
        <w:rPr>
          <w:rFonts w:ascii="宋体" w:hAnsi="宋体"/>
          <w:color w:val="auto"/>
          <w:szCs w:val="21"/>
          <w:highlight w:val="none"/>
        </w:rPr>
      </w:pPr>
      <w:bookmarkStart w:id="1956" w:name="_Toc532375688"/>
      <w:r>
        <w:rPr>
          <w:rFonts w:hint="eastAsia" w:ascii="宋体" w:hAnsi="宋体"/>
          <w:color w:val="auto"/>
          <w:szCs w:val="21"/>
          <w:highlight w:val="none"/>
        </w:rPr>
        <w:t>二、质量保修期</w:t>
      </w:r>
      <w:bookmarkEnd w:id="1956"/>
    </w:p>
    <w:p w14:paraId="172FC9D0">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根据《建设工程质量管理条例》及有关规定，本工程质量保修期约定如下：</w:t>
      </w:r>
    </w:p>
    <w:p w14:paraId="6D001156">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1.基础设施工程、房屋建筑的地基基础工程和主体结构工程，为设计文件规定的该工程的合理使用年限；</w:t>
      </w:r>
    </w:p>
    <w:p w14:paraId="032FB0D0">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2.屋面防水工程、有防水要求的卫生间、房间和外墙面的防渗漏，为5年；</w:t>
      </w:r>
    </w:p>
    <w:p w14:paraId="6C667A61">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3.供热与供冷系统，为2个采暖期、供冷期；</w:t>
      </w:r>
    </w:p>
    <w:p w14:paraId="58897115">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4.电气管线、给排水管道、设备安装和装修工程，为2年；</w:t>
      </w:r>
    </w:p>
    <w:p w14:paraId="7A3E1032">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5.其他项目保修期限：2年；</w:t>
      </w:r>
      <w:r>
        <w:rPr>
          <w:rFonts w:hint="eastAsia" w:ascii="宋体" w:hAnsi="宋体"/>
          <w:i/>
          <w:color w:val="auto"/>
          <w:szCs w:val="21"/>
          <w:highlight w:val="none"/>
        </w:rPr>
        <w:t>[提示：如有不同，根据具体情况修改]</w:t>
      </w:r>
    </w:p>
    <w:p w14:paraId="2F37F6F2">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建设工程的保修期，自工程竣工验收合格之日起计算。</w:t>
      </w:r>
    </w:p>
    <w:p w14:paraId="09328E22">
      <w:pPr>
        <w:spacing w:line="360" w:lineRule="auto"/>
        <w:ind w:firstLine="420" w:firstLineChars="200"/>
        <w:rPr>
          <w:rFonts w:ascii="宋体" w:hAnsi="宋体"/>
          <w:color w:val="auto"/>
          <w:szCs w:val="21"/>
          <w:highlight w:val="none"/>
        </w:rPr>
      </w:pPr>
      <w:bookmarkStart w:id="1957" w:name="_Toc532375689"/>
      <w:r>
        <w:rPr>
          <w:rFonts w:hint="eastAsia" w:ascii="宋体" w:hAnsi="宋体"/>
          <w:color w:val="auto"/>
          <w:szCs w:val="21"/>
          <w:highlight w:val="none"/>
        </w:rPr>
        <w:t>三、质量保修责任</w:t>
      </w:r>
      <w:bookmarkEnd w:id="1957"/>
    </w:p>
    <w:p w14:paraId="4D7E6BCC">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1.属于保修范围、内容的项目，承包人应当在接到保修通知之日起7天内派人保修。承包人不在约定期限内派人保修的，发包人可以委托他人修理。</w:t>
      </w:r>
    </w:p>
    <w:p w14:paraId="4E6D9D65">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2.发生紧急事故需抢修的，承包人在接到事故通知后，应当立即到达事故现场抢修。</w:t>
      </w:r>
    </w:p>
    <w:p w14:paraId="7FCA4E47">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14:paraId="1EB75698">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4.质量保修完成后，由发包人组织验收。</w:t>
      </w:r>
    </w:p>
    <w:p w14:paraId="5D0D45EC">
      <w:pPr>
        <w:spacing w:line="360" w:lineRule="auto"/>
        <w:ind w:firstLine="420" w:firstLineChars="200"/>
        <w:rPr>
          <w:rFonts w:ascii="宋体" w:hAnsi="宋体"/>
          <w:color w:val="auto"/>
          <w:szCs w:val="21"/>
          <w:highlight w:val="none"/>
        </w:rPr>
      </w:pPr>
      <w:bookmarkStart w:id="1958" w:name="_Toc532375690"/>
      <w:r>
        <w:rPr>
          <w:rFonts w:hint="eastAsia" w:ascii="宋体" w:hAnsi="宋体"/>
          <w:color w:val="auto"/>
          <w:szCs w:val="21"/>
          <w:highlight w:val="none"/>
        </w:rPr>
        <w:t>四、保修费用</w:t>
      </w:r>
      <w:bookmarkEnd w:id="1958"/>
    </w:p>
    <w:p w14:paraId="3AAE9BBC">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保修费用由质量缺陷的责任方承担。</w:t>
      </w:r>
    </w:p>
    <w:p w14:paraId="348C21B9">
      <w:pPr>
        <w:spacing w:line="360" w:lineRule="auto"/>
        <w:ind w:firstLine="420" w:firstLineChars="200"/>
        <w:rPr>
          <w:rFonts w:ascii="宋体" w:hAnsi="宋体"/>
          <w:color w:val="auto"/>
          <w:szCs w:val="21"/>
          <w:highlight w:val="none"/>
        </w:rPr>
      </w:pPr>
      <w:bookmarkStart w:id="1959" w:name="_Toc532375691"/>
      <w:r>
        <w:rPr>
          <w:rFonts w:hint="eastAsia" w:ascii="宋体" w:hAnsi="宋体"/>
          <w:color w:val="auto"/>
          <w:szCs w:val="21"/>
          <w:highlight w:val="none"/>
        </w:rPr>
        <w:t>五、双方约定的其他工程质量保修事项</w:t>
      </w:r>
    </w:p>
    <w:p w14:paraId="5A683900">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u w:val="single"/>
        </w:rPr>
        <w:t>按国家相关法律和规定执行</w:t>
      </w:r>
      <w:r>
        <w:rPr>
          <w:rFonts w:hint="eastAsia" w:ascii="宋体" w:hAnsi="宋体"/>
          <w:color w:val="auto"/>
          <w:szCs w:val="21"/>
          <w:highlight w:val="none"/>
        </w:rPr>
        <w:t>。</w:t>
      </w:r>
      <w:bookmarkEnd w:id="1959"/>
    </w:p>
    <w:p w14:paraId="7BFD62EB">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本工程质量保修书由发包人、承包人在工程竣工验收前共同签署，作为施工合同附件，其有效期限至保修期满。</w:t>
      </w:r>
    </w:p>
    <w:p w14:paraId="54C01357">
      <w:pPr>
        <w:spacing w:line="360" w:lineRule="auto"/>
        <w:ind w:firstLine="420" w:firstLineChars="200"/>
        <w:rPr>
          <w:rFonts w:ascii="宋体" w:hAnsi="宋体"/>
          <w:color w:val="auto"/>
          <w:szCs w:val="21"/>
          <w:highlight w:val="none"/>
        </w:rPr>
      </w:pPr>
      <w:r>
        <w:rPr>
          <w:rFonts w:ascii="宋体" w:hAnsi="宋体"/>
          <w:color w:val="auto"/>
          <w:szCs w:val="21"/>
          <w:highlight w:val="none"/>
        </w:rPr>
        <w:t>六</w:t>
      </w:r>
      <w:r>
        <w:rPr>
          <w:rFonts w:hint="eastAsia" w:ascii="宋体" w:hAnsi="宋体"/>
          <w:color w:val="auto"/>
          <w:szCs w:val="21"/>
          <w:highlight w:val="none"/>
        </w:rPr>
        <w:t>、</w:t>
      </w:r>
      <w:r>
        <w:rPr>
          <w:rFonts w:ascii="宋体" w:hAnsi="宋体"/>
          <w:color w:val="auto"/>
          <w:szCs w:val="21"/>
          <w:highlight w:val="none"/>
        </w:rPr>
        <w:t>本文件生效</w:t>
      </w:r>
    </w:p>
    <w:p w14:paraId="15A0203C">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本工程质量保修书经发包人与承包人盖章后生效。</w:t>
      </w:r>
    </w:p>
    <w:p w14:paraId="799331FE">
      <w:pPr>
        <w:pStyle w:val="2"/>
        <w:spacing w:line="360" w:lineRule="auto"/>
        <w:ind w:firstLine="420" w:firstLineChars="200"/>
        <w:rPr>
          <w:rFonts w:ascii="宋体" w:hAnsi="宋体"/>
          <w:color w:val="auto"/>
          <w:szCs w:val="21"/>
          <w:highlight w:val="none"/>
        </w:rPr>
      </w:pPr>
    </w:p>
    <w:p w14:paraId="1F65186B">
      <w:pPr>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发包人：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（盖单位公章）</w:t>
      </w:r>
    </w:p>
    <w:p w14:paraId="6DC8A674">
      <w:pPr>
        <w:spacing w:line="360" w:lineRule="auto"/>
        <w:ind w:firstLine="420" w:firstLineChars="200"/>
        <w:rPr>
          <w:rFonts w:ascii="宋体" w:hAnsi="宋体"/>
          <w:snapToGrid w:val="0"/>
          <w:color w:val="auto"/>
          <w:kern w:val="0"/>
          <w:szCs w:val="21"/>
          <w:highlight w:val="none"/>
        </w:rPr>
      </w:pPr>
    </w:p>
    <w:p w14:paraId="751E125F">
      <w:pPr>
        <w:spacing w:line="360" w:lineRule="auto"/>
        <w:ind w:firstLine="420" w:firstLineChars="200"/>
        <w:rPr>
          <w:rFonts w:ascii="宋体" w:hAnsi="宋体"/>
          <w:snapToGrid w:val="0"/>
          <w:color w:val="auto"/>
          <w:kern w:val="0"/>
          <w:szCs w:val="21"/>
          <w:highlight w:val="none"/>
        </w:rPr>
      </w:pPr>
    </w:p>
    <w:p w14:paraId="2BCD6CEE">
      <w:pPr>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法定代表人或其委托代理人：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（签名）</w:t>
      </w:r>
    </w:p>
    <w:p w14:paraId="69637DE0">
      <w:pPr>
        <w:spacing w:line="360" w:lineRule="auto"/>
        <w:ind w:firstLine="420" w:firstLineChars="200"/>
        <w:rPr>
          <w:rFonts w:ascii="宋体" w:hAnsi="宋体"/>
          <w:snapToGrid w:val="0"/>
          <w:color w:val="auto"/>
          <w:kern w:val="0"/>
          <w:szCs w:val="21"/>
          <w:highlight w:val="none"/>
        </w:rPr>
      </w:pPr>
    </w:p>
    <w:p w14:paraId="7E247E61">
      <w:pPr>
        <w:spacing w:line="360" w:lineRule="auto"/>
        <w:ind w:firstLine="420" w:firstLineChars="200"/>
        <w:rPr>
          <w:rFonts w:ascii="宋体" w:hAnsi="宋体"/>
          <w:snapToGrid w:val="0"/>
          <w:color w:val="auto"/>
          <w:kern w:val="0"/>
          <w:szCs w:val="21"/>
          <w:highlight w:val="none"/>
        </w:rPr>
      </w:pPr>
    </w:p>
    <w:p w14:paraId="3EB4A8E9">
      <w:pPr>
        <w:spacing w:line="360" w:lineRule="auto"/>
        <w:ind w:firstLine="420" w:firstLineChars="200"/>
        <w:rPr>
          <w:rFonts w:ascii="宋体" w:hAnsi="宋体"/>
          <w:color w:val="auto"/>
          <w:szCs w:val="21"/>
          <w:highlight w:val="none"/>
        </w:rPr>
      </w:pPr>
      <w:r>
        <w:rPr>
          <w:rFonts w:hint="eastAsia" w:ascii="宋体" w:hAnsi="宋体"/>
          <w:snapToGrid w:val="0"/>
          <w:color w:val="auto"/>
          <w:kern w:val="0"/>
          <w:szCs w:val="21"/>
          <w:highlight w:val="none"/>
        </w:rPr>
        <w:t>承包人：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（盖单位公章）</w:t>
      </w:r>
    </w:p>
    <w:p w14:paraId="0F273552">
      <w:pPr>
        <w:spacing w:line="360" w:lineRule="auto"/>
        <w:ind w:firstLine="420" w:firstLineChars="200"/>
        <w:rPr>
          <w:rFonts w:ascii="宋体" w:hAnsi="宋体"/>
          <w:snapToGrid w:val="0"/>
          <w:color w:val="auto"/>
          <w:kern w:val="0"/>
          <w:szCs w:val="21"/>
          <w:highlight w:val="none"/>
        </w:rPr>
      </w:pPr>
    </w:p>
    <w:p w14:paraId="4FE66E44">
      <w:pPr>
        <w:spacing w:line="360" w:lineRule="auto"/>
        <w:ind w:firstLine="420" w:firstLineChars="200"/>
        <w:rPr>
          <w:rFonts w:ascii="宋体" w:hAnsi="宋体"/>
          <w:snapToGrid w:val="0"/>
          <w:color w:val="auto"/>
          <w:kern w:val="0"/>
          <w:szCs w:val="21"/>
          <w:highlight w:val="none"/>
        </w:rPr>
      </w:pPr>
    </w:p>
    <w:p w14:paraId="3B0BDBB7">
      <w:pPr>
        <w:spacing w:line="360" w:lineRule="auto"/>
        <w:ind w:firstLine="420" w:firstLineChars="200"/>
        <w:rPr>
          <w:rFonts w:ascii="宋体" w:hAnsi="宋体"/>
          <w:bCs/>
          <w:color w:val="auto"/>
          <w:kern w:val="0"/>
          <w:szCs w:val="21"/>
          <w:highlight w:val="none"/>
        </w:rPr>
      </w:pPr>
      <w:r>
        <w:rPr>
          <w:rFonts w:hint="eastAsia" w:ascii="宋体" w:hAnsi="宋体"/>
          <w:snapToGrid w:val="0"/>
          <w:color w:val="auto"/>
          <w:kern w:val="0"/>
          <w:szCs w:val="21"/>
          <w:highlight w:val="none"/>
        </w:rPr>
        <w:t>法定代表人或其委托代理人：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（签名）</w:t>
      </w:r>
    </w:p>
    <w:p w14:paraId="5EF03F4D">
      <w:pPr>
        <w:spacing w:line="360" w:lineRule="auto"/>
        <w:ind w:firstLine="418" w:firstLineChars="200"/>
        <w:rPr>
          <w:rFonts w:ascii="宋体" w:hAnsi="宋体"/>
          <w:snapToGrid w:val="0"/>
          <w:color w:val="auto"/>
          <w:spacing w:val="1"/>
          <w:w w:val="99"/>
          <w:kern w:val="0"/>
          <w:position w:val="-2"/>
          <w:szCs w:val="21"/>
          <w:highlight w:val="none"/>
        </w:rPr>
      </w:pPr>
    </w:p>
    <w:p w14:paraId="4F67FB6E">
      <w:pPr>
        <w:spacing w:line="360" w:lineRule="auto"/>
        <w:ind w:firstLine="418" w:firstLineChars="200"/>
        <w:rPr>
          <w:rFonts w:ascii="宋体" w:hAnsi="宋体"/>
          <w:snapToGrid w:val="0"/>
          <w:color w:val="auto"/>
          <w:spacing w:val="1"/>
          <w:w w:val="99"/>
          <w:kern w:val="0"/>
          <w:position w:val="-2"/>
          <w:szCs w:val="21"/>
          <w:highlight w:val="none"/>
        </w:rPr>
      </w:pPr>
    </w:p>
    <w:p w14:paraId="13006E3D">
      <w:pPr>
        <w:spacing w:line="360" w:lineRule="auto"/>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签约时间：</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月</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日</w:t>
      </w:r>
    </w:p>
    <w:p w14:paraId="19213B3C">
      <w:pPr>
        <w:spacing w:line="480" w:lineRule="auto"/>
        <w:rPr>
          <w:rFonts w:ascii="宋体" w:hAnsi="宋体"/>
          <w:color w:val="auto"/>
          <w:szCs w:val="21"/>
          <w:highlight w:val="none"/>
        </w:rPr>
      </w:pPr>
      <w:r>
        <w:rPr>
          <w:rFonts w:hint="eastAsia" w:ascii="宋体" w:hAnsi="宋体"/>
          <w:color w:val="auto"/>
          <w:szCs w:val="21"/>
          <w:highlight w:val="none"/>
        </w:rPr>
        <w:br w:type="page"/>
      </w:r>
      <w:r>
        <w:rPr>
          <w:rFonts w:hint="eastAsia" w:ascii="宋体" w:hAnsi="宋体"/>
          <w:color w:val="auto"/>
          <w:szCs w:val="21"/>
          <w:highlight w:val="none"/>
        </w:rPr>
        <w:t>附件2：</w:t>
      </w:r>
    </w:p>
    <w:p w14:paraId="03C66ACD">
      <w:pPr>
        <w:spacing w:before="156" w:beforeLines="50" w:after="156" w:afterLines="50" w:line="480" w:lineRule="auto"/>
        <w:jc w:val="center"/>
        <w:rPr>
          <w:rFonts w:ascii="宋体" w:hAnsi="宋体"/>
          <w:color w:val="auto"/>
          <w:szCs w:val="21"/>
          <w:highlight w:val="none"/>
        </w:rPr>
      </w:pPr>
      <w:r>
        <w:rPr>
          <w:rFonts w:hint="eastAsia" w:ascii="宋体" w:hAnsi="宋体"/>
          <w:color w:val="auto"/>
          <w:szCs w:val="21"/>
          <w:highlight w:val="none"/>
        </w:rPr>
        <w:t>主要建设工程文件目录</w:t>
      </w:r>
    </w:p>
    <w:tbl>
      <w:tblPr>
        <w:tblStyle w:val="46"/>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3536"/>
        <w:gridCol w:w="1418"/>
        <w:gridCol w:w="1418"/>
        <w:gridCol w:w="2917"/>
      </w:tblGrid>
      <w:tr w14:paraId="56142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3536" w:type="dxa"/>
            <w:vAlign w:val="center"/>
          </w:tcPr>
          <w:p w14:paraId="3C14CD66">
            <w:pPr>
              <w:spacing w:line="400" w:lineRule="exact"/>
              <w:jc w:val="center"/>
              <w:rPr>
                <w:rFonts w:ascii="宋体" w:hAnsi="宋体"/>
                <w:color w:val="auto"/>
                <w:szCs w:val="21"/>
                <w:highlight w:val="none"/>
              </w:rPr>
            </w:pPr>
            <w:r>
              <w:rPr>
                <w:rFonts w:hint="eastAsia" w:ascii="宋体" w:hAnsi="宋体"/>
                <w:color w:val="auto"/>
                <w:szCs w:val="21"/>
                <w:highlight w:val="none"/>
              </w:rPr>
              <w:t>文件名称</w:t>
            </w:r>
          </w:p>
        </w:tc>
        <w:tc>
          <w:tcPr>
            <w:tcW w:w="1418" w:type="dxa"/>
            <w:vAlign w:val="center"/>
          </w:tcPr>
          <w:p w14:paraId="53008887">
            <w:pPr>
              <w:spacing w:line="400" w:lineRule="exact"/>
              <w:jc w:val="center"/>
              <w:rPr>
                <w:rFonts w:ascii="宋体" w:hAnsi="宋体"/>
                <w:color w:val="auto"/>
                <w:szCs w:val="21"/>
                <w:highlight w:val="none"/>
              </w:rPr>
            </w:pPr>
            <w:r>
              <w:rPr>
                <w:rFonts w:hint="eastAsia" w:ascii="宋体" w:hAnsi="宋体"/>
                <w:color w:val="auto"/>
                <w:szCs w:val="21"/>
                <w:highlight w:val="none"/>
              </w:rPr>
              <w:t>套数</w:t>
            </w:r>
          </w:p>
        </w:tc>
        <w:tc>
          <w:tcPr>
            <w:tcW w:w="1418" w:type="dxa"/>
          </w:tcPr>
          <w:p w14:paraId="72D27818">
            <w:pPr>
              <w:spacing w:line="400" w:lineRule="exact"/>
              <w:jc w:val="center"/>
              <w:rPr>
                <w:rFonts w:ascii="宋体" w:hAnsi="宋体"/>
                <w:color w:val="auto"/>
                <w:szCs w:val="21"/>
                <w:highlight w:val="none"/>
              </w:rPr>
            </w:pPr>
            <w:r>
              <w:rPr>
                <w:rFonts w:hint="eastAsia" w:ascii="宋体" w:hAnsi="宋体"/>
                <w:color w:val="auto"/>
                <w:szCs w:val="21"/>
                <w:highlight w:val="none"/>
              </w:rPr>
              <w:t>移交时间</w:t>
            </w:r>
          </w:p>
        </w:tc>
        <w:tc>
          <w:tcPr>
            <w:tcW w:w="2917" w:type="dxa"/>
          </w:tcPr>
          <w:p w14:paraId="1BE989FC">
            <w:pPr>
              <w:spacing w:line="400" w:lineRule="exact"/>
              <w:jc w:val="center"/>
              <w:rPr>
                <w:rFonts w:ascii="宋体" w:hAnsi="宋体"/>
                <w:color w:val="auto"/>
                <w:szCs w:val="21"/>
                <w:highlight w:val="none"/>
              </w:rPr>
            </w:pPr>
            <w:r>
              <w:rPr>
                <w:rFonts w:hint="eastAsia" w:ascii="宋体" w:hAnsi="宋体"/>
                <w:color w:val="auto"/>
                <w:szCs w:val="21"/>
                <w:highlight w:val="none"/>
              </w:rPr>
              <w:t>责任人</w:t>
            </w:r>
          </w:p>
        </w:tc>
      </w:tr>
      <w:tr w14:paraId="259AF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1809B204">
            <w:pPr>
              <w:spacing w:line="400" w:lineRule="exact"/>
              <w:ind w:firstLine="420" w:firstLineChars="200"/>
              <w:rPr>
                <w:rFonts w:ascii="宋体" w:hAnsi="宋体"/>
                <w:color w:val="auto"/>
                <w:szCs w:val="21"/>
                <w:highlight w:val="none"/>
              </w:rPr>
            </w:pPr>
          </w:p>
        </w:tc>
        <w:tc>
          <w:tcPr>
            <w:tcW w:w="1418" w:type="dxa"/>
            <w:vAlign w:val="center"/>
          </w:tcPr>
          <w:p w14:paraId="77DE13C6">
            <w:pPr>
              <w:spacing w:line="400" w:lineRule="exact"/>
              <w:ind w:firstLine="420" w:firstLineChars="200"/>
              <w:rPr>
                <w:rFonts w:ascii="宋体" w:hAnsi="宋体"/>
                <w:color w:val="auto"/>
                <w:szCs w:val="21"/>
                <w:highlight w:val="none"/>
              </w:rPr>
            </w:pPr>
          </w:p>
        </w:tc>
        <w:tc>
          <w:tcPr>
            <w:tcW w:w="1418" w:type="dxa"/>
            <w:vAlign w:val="center"/>
          </w:tcPr>
          <w:p w14:paraId="612790FE">
            <w:pPr>
              <w:spacing w:line="400" w:lineRule="exact"/>
              <w:ind w:firstLine="420" w:firstLineChars="200"/>
              <w:rPr>
                <w:rFonts w:ascii="宋体" w:hAnsi="宋体"/>
                <w:color w:val="auto"/>
                <w:szCs w:val="21"/>
                <w:highlight w:val="none"/>
              </w:rPr>
            </w:pPr>
          </w:p>
        </w:tc>
        <w:tc>
          <w:tcPr>
            <w:tcW w:w="2917" w:type="dxa"/>
            <w:vAlign w:val="center"/>
          </w:tcPr>
          <w:p w14:paraId="5C6174AA">
            <w:pPr>
              <w:spacing w:line="400" w:lineRule="exact"/>
              <w:ind w:firstLine="420" w:firstLineChars="200"/>
              <w:rPr>
                <w:rFonts w:ascii="宋体" w:hAnsi="宋体"/>
                <w:color w:val="auto"/>
                <w:szCs w:val="21"/>
                <w:highlight w:val="none"/>
              </w:rPr>
            </w:pPr>
          </w:p>
        </w:tc>
      </w:tr>
      <w:tr w14:paraId="07B01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23696006">
            <w:pPr>
              <w:spacing w:line="400" w:lineRule="exact"/>
              <w:ind w:firstLine="420" w:firstLineChars="200"/>
              <w:rPr>
                <w:rFonts w:ascii="宋体" w:hAnsi="宋体"/>
                <w:color w:val="auto"/>
                <w:szCs w:val="21"/>
                <w:highlight w:val="none"/>
              </w:rPr>
            </w:pPr>
          </w:p>
        </w:tc>
        <w:tc>
          <w:tcPr>
            <w:tcW w:w="1418" w:type="dxa"/>
            <w:vAlign w:val="center"/>
          </w:tcPr>
          <w:p w14:paraId="012E42B6">
            <w:pPr>
              <w:spacing w:line="400" w:lineRule="exact"/>
              <w:ind w:firstLine="420" w:firstLineChars="200"/>
              <w:rPr>
                <w:rFonts w:ascii="宋体" w:hAnsi="宋体"/>
                <w:color w:val="auto"/>
                <w:szCs w:val="21"/>
                <w:highlight w:val="none"/>
              </w:rPr>
            </w:pPr>
          </w:p>
        </w:tc>
        <w:tc>
          <w:tcPr>
            <w:tcW w:w="1418" w:type="dxa"/>
            <w:vAlign w:val="center"/>
          </w:tcPr>
          <w:p w14:paraId="285F571B">
            <w:pPr>
              <w:spacing w:line="400" w:lineRule="exact"/>
              <w:ind w:firstLine="420" w:firstLineChars="200"/>
              <w:rPr>
                <w:rFonts w:ascii="宋体" w:hAnsi="宋体"/>
                <w:color w:val="auto"/>
                <w:szCs w:val="21"/>
                <w:highlight w:val="none"/>
              </w:rPr>
            </w:pPr>
          </w:p>
        </w:tc>
        <w:tc>
          <w:tcPr>
            <w:tcW w:w="2917" w:type="dxa"/>
            <w:vAlign w:val="center"/>
          </w:tcPr>
          <w:p w14:paraId="19ECA0D7">
            <w:pPr>
              <w:spacing w:line="400" w:lineRule="exact"/>
              <w:ind w:firstLine="420" w:firstLineChars="200"/>
              <w:rPr>
                <w:rFonts w:ascii="宋体" w:hAnsi="宋体"/>
                <w:color w:val="auto"/>
                <w:szCs w:val="21"/>
                <w:highlight w:val="none"/>
              </w:rPr>
            </w:pPr>
          </w:p>
        </w:tc>
      </w:tr>
      <w:tr w14:paraId="2FFEB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7C9679B6">
            <w:pPr>
              <w:spacing w:line="400" w:lineRule="exact"/>
              <w:ind w:firstLine="420" w:firstLineChars="200"/>
              <w:rPr>
                <w:rFonts w:ascii="宋体" w:hAnsi="宋体"/>
                <w:color w:val="auto"/>
                <w:szCs w:val="21"/>
                <w:highlight w:val="none"/>
              </w:rPr>
            </w:pPr>
          </w:p>
        </w:tc>
        <w:tc>
          <w:tcPr>
            <w:tcW w:w="1418" w:type="dxa"/>
            <w:vAlign w:val="center"/>
          </w:tcPr>
          <w:p w14:paraId="27EC4C8E">
            <w:pPr>
              <w:spacing w:line="400" w:lineRule="exact"/>
              <w:ind w:firstLine="420" w:firstLineChars="200"/>
              <w:rPr>
                <w:rFonts w:ascii="宋体" w:hAnsi="宋体"/>
                <w:color w:val="auto"/>
                <w:szCs w:val="21"/>
                <w:highlight w:val="none"/>
              </w:rPr>
            </w:pPr>
          </w:p>
        </w:tc>
        <w:tc>
          <w:tcPr>
            <w:tcW w:w="1418" w:type="dxa"/>
            <w:vAlign w:val="center"/>
          </w:tcPr>
          <w:p w14:paraId="138B90CB">
            <w:pPr>
              <w:spacing w:line="400" w:lineRule="exact"/>
              <w:ind w:firstLine="420" w:firstLineChars="200"/>
              <w:rPr>
                <w:rFonts w:ascii="宋体" w:hAnsi="宋体"/>
                <w:color w:val="auto"/>
                <w:szCs w:val="21"/>
                <w:highlight w:val="none"/>
              </w:rPr>
            </w:pPr>
          </w:p>
        </w:tc>
        <w:tc>
          <w:tcPr>
            <w:tcW w:w="2917" w:type="dxa"/>
            <w:vAlign w:val="center"/>
          </w:tcPr>
          <w:p w14:paraId="60261C9C">
            <w:pPr>
              <w:spacing w:line="400" w:lineRule="exact"/>
              <w:ind w:firstLine="420" w:firstLineChars="200"/>
              <w:rPr>
                <w:rFonts w:ascii="宋体" w:hAnsi="宋体"/>
                <w:color w:val="auto"/>
                <w:szCs w:val="21"/>
                <w:highlight w:val="none"/>
              </w:rPr>
            </w:pPr>
          </w:p>
        </w:tc>
      </w:tr>
      <w:tr w14:paraId="6FCE1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2C22ECF5">
            <w:pPr>
              <w:spacing w:line="400" w:lineRule="exact"/>
              <w:ind w:firstLine="420" w:firstLineChars="200"/>
              <w:rPr>
                <w:rFonts w:ascii="宋体" w:hAnsi="宋体"/>
                <w:color w:val="auto"/>
                <w:szCs w:val="21"/>
                <w:highlight w:val="none"/>
              </w:rPr>
            </w:pPr>
          </w:p>
        </w:tc>
        <w:tc>
          <w:tcPr>
            <w:tcW w:w="1418" w:type="dxa"/>
            <w:vAlign w:val="center"/>
          </w:tcPr>
          <w:p w14:paraId="15BD64E6">
            <w:pPr>
              <w:spacing w:line="400" w:lineRule="exact"/>
              <w:ind w:firstLine="420" w:firstLineChars="200"/>
              <w:rPr>
                <w:rFonts w:ascii="宋体" w:hAnsi="宋体"/>
                <w:color w:val="auto"/>
                <w:szCs w:val="21"/>
                <w:highlight w:val="none"/>
              </w:rPr>
            </w:pPr>
          </w:p>
        </w:tc>
        <w:tc>
          <w:tcPr>
            <w:tcW w:w="1418" w:type="dxa"/>
            <w:vAlign w:val="center"/>
          </w:tcPr>
          <w:p w14:paraId="7468E3DE">
            <w:pPr>
              <w:spacing w:line="400" w:lineRule="exact"/>
              <w:ind w:firstLine="420" w:firstLineChars="200"/>
              <w:rPr>
                <w:rFonts w:ascii="宋体" w:hAnsi="宋体"/>
                <w:color w:val="auto"/>
                <w:szCs w:val="21"/>
                <w:highlight w:val="none"/>
              </w:rPr>
            </w:pPr>
          </w:p>
        </w:tc>
        <w:tc>
          <w:tcPr>
            <w:tcW w:w="2917" w:type="dxa"/>
            <w:vAlign w:val="center"/>
          </w:tcPr>
          <w:p w14:paraId="3A306AD9">
            <w:pPr>
              <w:spacing w:line="400" w:lineRule="exact"/>
              <w:ind w:firstLine="420" w:firstLineChars="200"/>
              <w:rPr>
                <w:rFonts w:ascii="宋体" w:hAnsi="宋体"/>
                <w:color w:val="auto"/>
                <w:szCs w:val="21"/>
                <w:highlight w:val="none"/>
              </w:rPr>
            </w:pPr>
          </w:p>
        </w:tc>
      </w:tr>
      <w:tr w14:paraId="1A644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3AA40F93">
            <w:pPr>
              <w:spacing w:line="400" w:lineRule="exact"/>
              <w:ind w:firstLine="420" w:firstLineChars="200"/>
              <w:rPr>
                <w:rFonts w:ascii="宋体" w:hAnsi="宋体"/>
                <w:color w:val="auto"/>
                <w:szCs w:val="21"/>
                <w:highlight w:val="none"/>
              </w:rPr>
            </w:pPr>
          </w:p>
        </w:tc>
        <w:tc>
          <w:tcPr>
            <w:tcW w:w="1418" w:type="dxa"/>
            <w:vAlign w:val="center"/>
          </w:tcPr>
          <w:p w14:paraId="2CDFDA62">
            <w:pPr>
              <w:spacing w:line="400" w:lineRule="exact"/>
              <w:ind w:firstLine="420" w:firstLineChars="200"/>
              <w:rPr>
                <w:rFonts w:ascii="宋体" w:hAnsi="宋体"/>
                <w:color w:val="auto"/>
                <w:szCs w:val="21"/>
                <w:highlight w:val="none"/>
              </w:rPr>
            </w:pPr>
          </w:p>
        </w:tc>
        <w:tc>
          <w:tcPr>
            <w:tcW w:w="1418" w:type="dxa"/>
            <w:vAlign w:val="center"/>
          </w:tcPr>
          <w:p w14:paraId="6424712C">
            <w:pPr>
              <w:spacing w:line="400" w:lineRule="exact"/>
              <w:ind w:firstLine="420" w:firstLineChars="200"/>
              <w:rPr>
                <w:rFonts w:ascii="宋体" w:hAnsi="宋体"/>
                <w:color w:val="auto"/>
                <w:szCs w:val="21"/>
                <w:highlight w:val="none"/>
              </w:rPr>
            </w:pPr>
          </w:p>
        </w:tc>
        <w:tc>
          <w:tcPr>
            <w:tcW w:w="2917" w:type="dxa"/>
            <w:vAlign w:val="center"/>
          </w:tcPr>
          <w:p w14:paraId="44B3B1EA">
            <w:pPr>
              <w:spacing w:line="400" w:lineRule="exact"/>
              <w:ind w:firstLine="420" w:firstLineChars="200"/>
              <w:rPr>
                <w:rFonts w:ascii="宋体" w:hAnsi="宋体"/>
                <w:color w:val="auto"/>
                <w:szCs w:val="21"/>
                <w:highlight w:val="none"/>
              </w:rPr>
            </w:pPr>
          </w:p>
        </w:tc>
      </w:tr>
      <w:tr w14:paraId="0F517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68825836">
            <w:pPr>
              <w:spacing w:line="400" w:lineRule="exact"/>
              <w:ind w:firstLine="420" w:firstLineChars="200"/>
              <w:rPr>
                <w:rFonts w:ascii="宋体" w:hAnsi="宋体"/>
                <w:color w:val="auto"/>
                <w:szCs w:val="21"/>
                <w:highlight w:val="none"/>
              </w:rPr>
            </w:pPr>
          </w:p>
        </w:tc>
        <w:tc>
          <w:tcPr>
            <w:tcW w:w="1418" w:type="dxa"/>
            <w:vAlign w:val="center"/>
          </w:tcPr>
          <w:p w14:paraId="4D3DA5D2">
            <w:pPr>
              <w:spacing w:line="400" w:lineRule="exact"/>
              <w:ind w:firstLine="420" w:firstLineChars="200"/>
              <w:rPr>
                <w:rFonts w:ascii="宋体" w:hAnsi="宋体"/>
                <w:color w:val="auto"/>
                <w:szCs w:val="21"/>
                <w:highlight w:val="none"/>
              </w:rPr>
            </w:pPr>
          </w:p>
        </w:tc>
        <w:tc>
          <w:tcPr>
            <w:tcW w:w="1418" w:type="dxa"/>
            <w:vAlign w:val="center"/>
          </w:tcPr>
          <w:p w14:paraId="4B310B7A">
            <w:pPr>
              <w:spacing w:line="400" w:lineRule="exact"/>
              <w:ind w:firstLine="420" w:firstLineChars="200"/>
              <w:rPr>
                <w:rFonts w:ascii="宋体" w:hAnsi="宋体"/>
                <w:color w:val="auto"/>
                <w:szCs w:val="21"/>
                <w:highlight w:val="none"/>
              </w:rPr>
            </w:pPr>
          </w:p>
        </w:tc>
        <w:tc>
          <w:tcPr>
            <w:tcW w:w="2917" w:type="dxa"/>
            <w:vAlign w:val="center"/>
          </w:tcPr>
          <w:p w14:paraId="26CF8AD8">
            <w:pPr>
              <w:spacing w:line="400" w:lineRule="exact"/>
              <w:ind w:firstLine="420" w:firstLineChars="200"/>
              <w:rPr>
                <w:rFonts w:ascii="宋体" w:hAnsi="宋体"/>
                <w:color w:val="auto"/>
                <w:szCs w:val="21"/>
                <w:highlight w:val="none"/>
              </w:rPr>
            </w:pPr>
          </w:p>
        </w:tc>
      </w:tr>
      <w:tr w14:paraId="7474A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7E73C2CA">
            <w:pPr>
              <w:spacing w:line="400" w:lineRule="exact"/>
              <w:ind w:firstLine="420" w:firstLineChars="200"/>
              <w:rPr>
                <w:rFonts w:ascii="宋体" w:hAnsi="宋体"/>
                <w:color w:val="auto"/>
                <w:szCs w:val="21"/>
                <w:highlight w:val="none"/>
              </w:rPr>
            </w:pPr>
          </w:p>
        </w:tc>
        <w:tc>
          <w:tcPr>
            <w:tcW w:w="1418" w:type="dxa"/>
            <w:vAlign w:val="center"/>
          </w:tcPr>
          <w:p w14:paraId="56D0A982">
            <w:pPr>
              <w:spacing w:line="400" w:lineRule="exact"/>
              <w:ind w:firstLine="420" w:firstLineChars="200"/>
              <w:rPr>
                <w:rFonts w:ascii="宋体" w:hAnsi="宋体"/>
                <w:color w:val="auto"/>
                <w:szCs w:val="21"/>
                <w:highlight w:val="none"/>
              </w:rPr>
            </w:pPr>
          </w:p>
        </w:tc>
        <w:tc>
          <w:tcPr>
            <w:tcW w:w="1418" w:type="dxa"/>
            <w:vAlign w:val="center"/>
          </w:tcPr>
          <w:p w14:paraId="2CDA79D3">
            <w:pPr>
              <w:spacing w:line="400" w:lineRule="exact"/>
              <w:ind w:firstLine="420" w:firstLineChars="200"/>
              <w:rPr>
                <w:rFonts w:ascii="宋体" w:hAnsi="宋体"/>
                <w:color w:val="auto"/>
                <w:szCs w:val="21"/>
                <w:highlight w:val="none"/>
              </w:rPr>
            </w:pPr>
          </w:p>
        </w:tc>
        <w:tc>
          <w:tcPr>
            <w:tcW w:w="2917" w:type="dxa"/>
            <w:vAlign w:val="center"/>
          </w:tcPr>
          <w:p w14:paraId="2EB5592B">
            <w:pPr>
              <w:spacing w:line="400" w:lineRule="exact"/>
              <w:ind w:firstLine="420" w:firstLineChars="200"/>
              <w:rPr>
                <w:rFonts w:ascii="宋体" w:hAnsi="宋体"/>
                <w:color w:val="auto"/>
                <w:szCs w:val="21"/>
                <w:highlight w:val="none"/>
              </w:rPr>
            </w:pPr>
          </w:p>
        </w:tc>
      </w:tr>
      <w:tr w14:paraId="57778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6F2E8986">
            <w:pPr>
              <w:spacing w:line="400" w:lineRule="exact"/>
              <w:ind w:firstLine="420" w:firstLineChars="200"/>
              <w:rPr>
                <w:rFonts w:ascii="宋体" w:hAnsi="宋体"/>
                <w:color w:val="auto"/>
                <w:szCs w:val="21"/>
                <w:highlight w:val="none"/>
              </w:rPr>
            </w:pPr>
          </w:p>
        </w:tc>
        <w:tc>
          <w:tcPr>
            <w:tcW w:w="1418" w:type="dxa"/>
            <w:vAlign w:val="center"/>
          </w:tcPr>
          <w:p w14:paraId="6DE03EFA">
            <w:pPr>
              <w:spacing w:line="400" w:lineRule="exact"/>
              <w:ind w:firstLine="420" w:firstLineChars="200"/>
              <w:rPr>
                <w:rFonts w:ascii="宋体" w:hAnsi="宋体"/>
                <w:color w:val="auto"/>
                <w:szCs w:val="21"/>
                <w:highlight w:val="none"/>
              </w:rPr>
            </w:pPr>
          </w:p>
        </w:tc>
        <w:tc>
          <w:tcPr>
            <w:tcW w:w="1418" w:type="dxa"/>
            <w:vAlign w:val="center"/>
          </w:tcPr>
          <w:p w14:paraId="2AAAA385">
            <w:pPr>
              <w:spacing w:line="400" w:lineRule="exact"/>
              <w:ind w:firstLine="420" w:firstLineChars="200"/>
              <w:rPr>
                <w:rFonts w:ascii="宋体" w:hAnsi="宋体"/>
                <w:color w:val="auto"/>
                <w:szCs w:val="21"/>
                <w:highlight w:val="none"/>
              </w:rPr>
            </w:pPr>
          </w:p>
        </w:tc>
        <w:tc>
          <w:tcPr>
            <w:tcW w:w="2917" w:type="dxa"/>
            <w:vAlign w:val="center"/>
          </w:tcPr>
          <w:p w14:paraId="4430AEA7">
            <w:pPr>
              <w:spacing w:line="400" w:lineRule="exact"/>
              <w:ind w:firstLine="420" w:firstLineChars="200"/>
              <w:rPr>
                <w:rFonts w:ascii="宋体" w:hAnsi="宋体"/>
                <w:color w:val="auto"/>
                <w:szCs w:val="21"/>
                <w:highlight w:val="none"/>
              </w:rPr>
            </w:pPr>
          </w:p>
        </w:tc>
      </w:tr>
      <w:tr w14:paraId="1C0D9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6F33B637">
            <w:pPr>
              <w:spacing w:line="400" w:lineRule="exact"/>
              <w:ind w:firstLine="420" w:firstLineChars="200"/>
              <w:rPr>
                <w:rFonts w:ascii="宋体" w:hAnsi="宋体"/>
                <w:color w:val="auto"/>
                <w:szCs w:val="21"/>
                <w:highlight w:val="none"/>
              </w:rPr>
            </w:pPr>
          </w:p>
        </w:tc>
        <w:tc>
          <w:tcPr>
            <w:tcW w:w="1418" w:type="dxa"/>
          </w:tcPr>
          <w:p w14:paraId="125EC775">
            <w:pPr>
              <w:spacing w:line="400" w:lineRule="exact"/>
              <w:ind w:firstLine="420" w:firstLineChars="200"/>
              <w:rPr>
                <w:rFonts w:ascii="宋体" w:hAnsi="宋体"/>
                <w:color w:val="auto"/>
                <w:szCs w:val="21"/>
                <w:highlight w:val="none"/>
              </w:rPr>
            </w:pPr>
          </w:p>
        </w:tc>
        <w:tc>
          <w:tcPr>
            <w:tcW w:w="1418" w:type="dxa"/>
          </w:tcPr>
          <w:p w14:paraId="7173D630">
            <w:pPr>
              <w:spacing w:line="400" w:lineRule="exact"/>
              <w:ind w:firstLine="420" w:firstLineChars="200"/>
              <w:rPr>
                <w:rFonts w:ascii="宋体" w:hAnsi="宋体"/>
                <w:color w:val="auto"/>
                <w:szCs w:val="21"/>
                <w:highlight w:val="none"/>
              </w:rPr>
            </w:pPr>
          </w:p>
        </w:tc>
        <w:tc>
          <w:tcPr>
            <w:tcW w:w="2917" w:type="dxa"/>
          </w:tcPr>
          <w:p w14:paraId="1EB26D63">
            <w:pPr>
              <w:spacing w:line="400" w:lineRule="exact"/>
              <w:ind w:firstLine="420" w:firstLineChars="200"/>
              <w:rPr>
                <w:rFonts w:ascii="宋体" w:hAnsi="宋体"/>
                <w:color w:val="auto"/>
                <w:szCs w:val="21"/>
                <w:highlight w:val="none"/>
              </w:rPr>
            </w:pPr>
          </w:p>
        </w:tc>
      </w:tr>
      <w:tr w14:paraId="1F2BD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0485F42B">
            <w:pPr>
              <w:spacing w:line="400" w:lineRule="exact"/>
              <w:ind w:firstLine="420" w:firstLineChars="200"/>
              <w:rPr>
                <w:rFonts w:ascii="宋体" w:hAnsi="宋体"/>
                <w:color w:val="auto"/>
                <w:szCs w:val="21"/>
                <w:highlight w:val="none"/>
              </w:rPr>
            </w:pPr>
          </w:p>
        </w:tc>
        <w:tc>
          <w:tcPr>
            <w:tcW w:w="1418" w:type="dxa"/>
            <w:vAlign w:val="center"/>
          </w:tcPr>
          <w:p w14:paraId="7123E350">
            <w:pPr>
              <w:spacing w:line="400" w:lineRule="exact"/>
              <w:ind w:firstLine="420" w:firstLineChars="200"/>
              <w:rPr>
                <w:rFonts w:ascii="宋体" w:hAnsi="宋体"/>
                <w:color w:val="auto"/>
                <w:szCs w:val="21"/>
                <w:highlight w:val="none"/>
              </w:rPr>
            </w:pPr>
          </w:p>
        </w:tc>
        <w:tc>
          <w:tcPr>
            <w:tcW w:w="1418" w:type="dxa"/>
            <w:vAlign w:val="center"/>
          </w:tcPr>
          <w:p w14:paraId="3FE63256">
            <w:pPr>
              <w:spacing w:line="400" w:lineRule="exact"/>
              <w:ind w:firstLine="420" w:firstLineChars="200"/>
              <w:rPr>
                <w:rFonts w:ascii="宋体" w:hAnsi="宋体"/>
                <w:color w:val="auto"/>
                <w:szCs w:val="21"/>
                <w:highlight w:val="none"/>
              </w:rPr>
            </w:pPr>
          </w:p>
        </w:tc>
        <w:tc>
          <w:tcPr>
            <w:tcW w:w="2917" w:type="dxa"/>
            <w:vAlign w:val="center"/>
          </w:tcPr>
          <w:p w14:paraId="51FF1A86">
            <w:pPr>
              <w:spacing w:line="400" w:lineRule="exact"/>
              <w:ind w:firstLine="420" w:firstLineChars="200"/>
              <w:rPr>
                <w:rFonts w:ascii="宋体" w:hAnsi="宋体"/>
                <w:color w:val="auto"/>
                <w:szCs w:val="21"/>
                <w:highlight w:val="none"/>
              </w:rPr>
            </w:pPr>
          </w:p>
        </w:tc>
      </w:tr>
      <w:tr w14:paraId="51C97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2A36A0E8">
            <w:pPr>
              <w:spacing w:line="400" w:lineRule="exact"/>
              <w:ind w:firstLine="420" w:firstLineChars="200"/>
              <w:rPr>
                <w:rFonts w:ascii="宋体" w:hAnsi="宋体"/>
                <w:color w:val="auto"/>
                <w:szCs w:val="21"/>
                <w:highlight w:val="none"/>
              </w:rPr>
            </w:pPr>
          </w:p>
        </w:tc>
        <w:tc>
          <w:tcPr>
            <w:tcW w:w="1418" w:type="dxa"/>
          </w:tcPr>
          <w:p w14:paraId="5DFEA06F">
            <w:pPr>
              <w:spacing w:line="400" w:lineRule="exact"/>
              <w:ind w:firstLine="420" w:firstLineChars="200"/>
              <w:rPr>
                <w:rFonts w:ascii="宋体" w:hAnsi="宋体"/>
                <w:color w:val="auto"/>
                <w:szCs w:val="21"/>
                <w:highlight w:val="none"/>
              </w:rPr>
            </w:pPr>
          </w:p>
        </w:tc>
        <w:tc>
          <w:tcPr>
            <w:tcW w:w="1418" w:type="dxa"/>
          </w:tcPr>
          <w:p w14:paraId="2A864A22">
            <w:pPr>
              <w:spacing w:line="400" w:lineRule="exact"/>
              <w:ind w:firstLine="420" w:firstLineChars="200"/>
              <w:rPr>
                <w:rFonts w:ascii="宋体" w:hAnsi="宋体"/>
                <w:color w:val="auto"/>
                <w:szCs w:val="21"/>
                <w:highlight w:val="none"/>
              </w:rPr>
            </w:pPr>
          </w:p>
        </w:tc>
        <w:tc>
          <w:tcPr>
            <w:tcW w:w="2917" w:type="dxa"/>
          </w:tcPr>
          <w:p w14:paraId="56B35A80">
            <w:pPr>
              <w:spacing w:line="400" w:lineRule="exact"/>
              <w:ind w:firstLine="420" w:firstLineChars="200"/>
              <w:rPr>
                <w:rFonts w:ascii="宋体" w:hAnsi="宋体"/>
                <w:color w:val="auto"/>
                <w:szCs w:val="21"/>
                <w:highlight w:val="none"/>
              </w:rPr>
            </w:pPr>
          </w:p>
        </w:tc>
      </w:tr>
      <w:tr w14:paraId="240ED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4451D1DB">
            <w:pPr>
              <w:spacing w:line="400" w:lineRule="exact"/>
              <w:ind w:firstLine="420" w:firstLineChars="200"/>
              <w:rPr>
                <w:rFonts w:ascii="宋体" w:hAnsi="宋体"/>
                <w:color w:val="auto"/>
                <w:szCs w:val="21"/>
                <w:highlight w:val="none"/>
              </w:rPr>
            </w:pPr>
          </w:p>
        </w:tc>
        <w:tc>
          <w:tcPr>
            <w:tcW w:w="1418" w:type="dxa"/>
          </w:tcPr>
          <w:p w14:paraId="0C126546">
            <w:pPr>
              <w:spacing w:line="400" w:lineRule="exact"/>
              <w:ind w:firstLine="420" w:firstLineChars="200"/>
              <w:rPr>
                <w:rFonts w:ascii="宋体" w:hAnsi="宋体"/>
                <w:color w:val="auto"/>
                <w:szCs w:val="21"/>
                <w:highlight w:val="none"/>
              </w:rPr>
            </w:pPr>
          </w:p>
        </w:tc>
        <w:tc>
          <w:tcPr>
            <w:tcW w:w="1418" w:type="dxa"/>
          </w:tcPr>
          <w:p w14:paraId="4D9A61C7">
            <w:pPr>
              <w:spacing w:line="400" w:lineRule="exact"/>
              <w:ind w:firstLine="420" w:firstLineChars="200"/>
              <w:rPr>
                <w:rFonts w:ascii="宋体" w:hAnsi="宋体"/>
                <w:color w:val="auto"/>
                <w:szCs w:val="21"/>
                <w:highlight w:val="none"/>
              </w:rPr>
            </w:pPr>
          </w:p>
        </w:tc>
        <w:tc>
          <w:tcPr>
            <w:tcW w:w="2917" w:type="dxa"/>
          </w:tcPr>
          <w:p w14:paraId="3ACB202E">
            <w:pPr>
              <w:spacing w:line="400" w:lineRule="exact"/>
              <w:ind w:firstLine="420" w:firstLineChars="200"/>
              <w:rPr>
                <w:rFonts w:ascii="宋体" w:hAnsi="宋体"/>
                <w:color w:val="auto"/>
                <w:szCs w:val="21"/>
                <w:highlight w:val="none"/>
              </w:rPr>
            </w:pPr>
          </w:p>
        </w:tc>
      </w:tr>
      <w:tr w14:paraId="55926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7F3DF252">
            <w:pPr>
              <w:spacing w:line="400" w:lineRule="exact"/>
              <w:ind w:firstLine="420" w:firstLineChars="200"/>
              <w:rPr>
                <w:rFonts w:ascii="宋体" w:hAnsi="宋体"/>
                <w:color w:val="auto"/>
                <w:szCs w:val="21"/>
                <w:highlight w:val="none"/>
              </w:rPr>
            </w:pPr>
          </w:p>
        </w:tc>
        <w:tc>
          <w:tcPr>
            <w:tcW w:w="1418" w:type="dxa"/>
          </w:tcPr>
          <w:p w14:paraId="3443F3FC">
            <w:pPr>
              <w:spacing w:line="400" w:lineRule="exact"/>
              <w:ind w:firstLine="420" w:firstLineChars="200"/>
              <w:rPr>
                <w:rFonts w:ascii="宋体" w:hAnsi="宋体"/>
                <w:color w:val="auto"/>
                <w:szCs w:val="21"/>
                <w:highlight w:val="none"/>
              </w:rPr>
            </w:pPr>
          </w:p>
        </w:tc>
        <w:tc>
          <w:tcPr>
            <w:tcW w:w="1418" w:type="dxa"/>
          </w:tcPr>
          <w:p w14:paraId="6A7377A6">
            <w:pPr>
              <w:spacing w:line="400" w:lineRule="exact"/>
              <w:ind w:firstLine="420" w:firstLineChars="200"/>
              <w:rPr>
                <w:rFonts w:ascii="宋体" w:hAnsi="宋体"/>
                <w:color w:val="auto"/>
                <w:szCs w:val="21"/>
                <w:highlight w:val="none"/>
              </w:rPr>
            </w:pPr>
          </w:p>
        </w:tc>
        <w:tc>
          <w:tcPr>
            <w:tcW w:w="2917" w:type="dxa"/>
          </w:tcPr>
          <w:p w14:paraId="412FB33D">
            <w:pPr>
              <w:spacing w:line="400" w:lineRule="exact"/>
              <w:ind w:firstLine="420" w:firstLineChars="200"/>
              <w:rPr>
                <w:rFonts w:ascii="宋体" w:hAnsi="宋体"/>
                <w:color w:val="auto"/>
                <w:szCs w:val="21"/>
                <w:highlight w:val="none"/>
              </w:rPr>
            </w:pPr>
          </w:p>
        </w:tc>
      </w:tr>
      <w:tr w14:paraId="7317A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30453BC9">
            <w:pPr>
              <w:spacing w:line="400" w:lineRule="exact"/>
              <w:ind w:firstLine="420" w:firstLineChars="200"/>
              <w:rPr>
                <w:rFonts w:ascii="宋体" w:hAnsi="宋体"/>
                <w:color w:val="auto"/>
                <w:szCs w:val="21"/>
                <w:highlight w:val="none"/>
              </w:rPr>
            </w:pPr>
          </w:p>
        </w:tc>
        <w:tc>
          <w:tcPr>
            <w:tcW w:w="1418" w:type="dxa"/>
          </w:tcPr>
          <w:p w14:paraId="6928FECB">
            <w:pPr>
              <w:spacing w:line="400" w:lineRule="exact"/>
              <w:ind w:firstLine="420" w:firstLineChars="200"/>
              <w:rPr>
                <w:rFonts w:ascii="宋体" w:hAnsi="宋体"/>
                <w:color w:val="auto"/>
                <w:szCs w:val="21"/>
                <w:highlight w:val="none"/>
              </w:rPr>
            </w:pPr>
          </w:p>
        </w:tc>
        <w:tc>
          <w:tcPr>
            <w:tcW w:w="1418" w:type="dxa"/>
          </w:tcPr>
          <w:p w14:paraId="43953A02">
            <w:pPr>
              <w:spacing w:line="400" w:lineRule="exact"/>
              <w:ind w:firstLine="420" w:firstLineChars="200"/>
              <w:rPr>
                <w:rFonts w:ascii="宋体" w:hAnsi="宋体"/>
                <w:color w:val="auto"/>
                <w:szCs w:val="21"/>
                <w:highlight w:val="none"/>
              </w:rPr>
            </w:pPr>
          </w:p>
        </w:tc>
        <w:tc>
          <w:tcPr>
            <w:tcW w:w="2917" w:type="dxa"/>
          </w:tcPr>
          <w:p w14:paraId="5EA9C43B">
            <w:pPr>
              <w:spacing w:line="400" w:lineRule="exact"/>
              <w:ind w:firstLine="420" w:firstLineChars="200"/>
              <w:rPr>
                <w:rFonts w:ascii="宋体" w:hAnsi="宋体"/>
                <w:color w:val="auto"/>
                <w:szCs w:val="21"/>
                <w:highlight w:val="none"/>
              </w:rPr>
            </w:pPr>
          </w:p>
        </w:tc>
      </w:tr>
      <w:tr w14:paraId="14F18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7D5FE834">
            <w:pPr>
              <w:spacing w:line="400" w:lineRule="exact"/>
              <w:ind w:firstLine="420" w:firstLineChars="200"/>
              <w:rPr>
                <w:rFonts w:ascii="宋体" w:hAnsi="宋体"/>
                <w:color w:val="auto"/>
                <w:szCs w:val="21"/>
                <w:highlight w:val="none"/>
              </w:rPr>
            </w:pPr>
          </w:p>
        </w:tc>
        <w:tc>
          <w:tcPr>
            <w:tcW w:w="1418" w:type="dxa"/>
          </w:tcPr>
          <w:p w14:paraId="24AC1A7F">
            <w:pPr>
              <w:spacing w:line="400" w:lineRule="exact"/>
              <w:ind w:firstLine="420" w:firstLineChars="200"/>
              <w:rPr>
                <w:rFonts w:ascii="宋体" w:hAnsi="宋体"/>
                <w:color w:val="auto"/>
                <w:szCs w:val="21"/>
                <w:highlight w:val="none"/>
              </w:rPr>
            </w:pPr>
          </w:p>
        </w:tc>
        <w:tc>
          <w:tcPr>
            <w:tcW w:w="1418" w:type="dxa"/>
          </w:tcPr>
          <w:p w14:paraId="33E1E10D">
            <w:pPr>
              <w:spacing w:line="400" w:lineRule="exact"/>
              <w:ind w:firstLine="420" w:firstLineChars="200"/>
              <w:rPr>
                <w:rFonts w:ascii="宋体" w:hAnsi="宋体"/>
                <w:color w:val="auto"/>
                <w:szCs w:val="21"/>
                <w:highlight w:val="none"/>
              </w:rPr>
            </w:pPr>
          </w:p>
        </w:tc>
        <w:tc>
          <w:tcPr>
            <w:tcW w:w="2917" w:type="dxa"/>
          </w:tcPr>
          <w:p w14:paraId="380542C9">
            <w:pPr>
              <w:spacing w:line="400" w:lineRule="exact"/>
              <w:ind w:firstLine="420" w:firstLineChars="200"/>
              <w:rPr>
                <w:rFonts w:ascii="宋体" w:hAnsi="宋体"/>
                <w:color w:val="auto"/>
                <w:szCs w:val="21"/>
                <w:highlight w:val="none"/>
              </w:rPr>
            </w:pPr>
          </w:p>
        </w:tc>
      </w:tr>
      <w:tr w14:paraId="293BC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20E5E073">
            <w:pPr>
              <w:spacing w:line="400" w:lineRule="exact"/>
              <w:ind w:firstLine="420" w:firstLineChars="200"/>
              <w:rPr>
                <w:rFonts w:ascii="宋体" w:hAnsi="宋体"/>
                <w:color w:val="auto"/>
                <w:szCs w:val="21"/>
                <w:highlight w:val="none"/>
              </w:rPr>
            </w:pPr>
          </w:p>
        </w:tc>
        <w:tc>
          <w:tcPr>
            <w:tcW w:w="1418" w:type="dxa"/>
          </w:tcPr>
          <w:p w14:paraId="371FE44C">
            <w:pPr>
              <w:spacing w:line="400" w:lineRule="exact"/>
              <w:ind w:firstLine="420" w:firstLineChars="200"/>
              <w:rPr>
                <w:rFonts w:ascii="宋体" w:hAnsi="宋体"/>
                <w:color w:val="auto"/>
                <w:szCs w:val="21"/>
                <w:highlight w:val="none"/>
              </w:rPr>
            </w:pPr>
          </w:p>
        </w:tc>
        <w:tc>
          <w:tcPr>
            <w:tcW w:w="1418" w:type="dxa"/>
          </w:tcPr>
          <w:p w14:paraId="1474D782">
            <w:pPr>
              <w:spacing w:line="400" w:lineRule="exact"/>
              <w:ind w:firstLine="420" w:firstLineChars="200"/>
              <w:rPr>
                <w:rFonts w:ascii="宋体" w:hAnsi="宋体"/>
                <w:color w:val="auto"/>
                <w:szCs w:val="21"/>
                <w:highlight w:val="none"/>
              </w:rPr>
            </w:pPr>
          </w:p>
        </w:tc>
        <w:tc>
          <w:tcPr>
            <w:tcW w:w="2917" w:type="dxa"/>
          </w:tcPr>
          <w:p w14:paraId="24FEC2A1">
            <w:pPr>
              <w:spacing w:line="400" w:lineRule="exact"/>
              <w:ind w:firstLine="420" w:firstLineChars="200"/>
              <w:rPr>
                <w:rFonts w:ascii="宋体" w:hAnsi="宋体"/>
                <w:color w:val="auto"/>
                <w:szCs w:val="21"/>
                <w:highlight w:val="none"/>
              </w:rPr>
            </w:pPr>
          </w:p>
        </w:tc>
      </w:tr>
      <w:tr w14:paraId="4DC5C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72D3260B">
            <w:pPr>
              <w:spacing w:line="400" w:lineRule="exact"/>
              <w:ind w:firstLine="420" w:firstLineChars="200"/>
              <w:rPr>
                <w:rFonts w:ascii="宋体" w:hAnsi="宋体"/>
                <w:color w:val="auto"/>
                <w:szCs w:val="21"/>
                <w:highlight w:val="none"/>
              </w:rPr>
            </w:pPr>
          </w:p>
        </w:tc>
        <w:tc>
          <w:tcPr>
            <w:tcW w:w="1418" w:type="dxa"/>
          </w:tcPr>
          <w:p w14:paraId="68F5D250">
            <w:pPr>
              <w:spacing w:line="400" w:lineRule="exact"/>
              <w:ind w:firstLine="420" w:firstLineChars="200"/>
              <w:rPr>
                <w:rFonts w:ascii="宋体" w:hAnsi="宋体"/>
                <w:color w:val="auto"/>
                <w:szCs w:val="21"/>
                <w:highlight w:val="none"/>
              </w:rPr>
            </w:pPr>
          </w:p>
        </w:tc>
        <w:tc>
          <w:tcPr>
            <w:tcW w:w="1418" w:type="dxa"/>
          </w:tcPr>
          <w:p w14:paraId="12D593AE">
            <w:pPr>
              <w:spacing w:line="400" w:lineRule="exact"/>
              <w:ind w:firstLine="420" w:firstLineChars="200"/>
              <w:rPr>
                <w:rFonts w:ascii="宋体" w:hAnsi="宋体"/>
                <w:color w:val="auto"/>
                <w:szCs w:val="21"/>
                <w:highlight w:val="none"/>
              </w:rPr>
            </w:pPr>
          </w:p>
        </w:tc>
        <w:tc>
          <w:tcPr>
            <w:tcW w:w="2917" w:type="dxa"/>
          </w:tcPr>
          <w:p w14:paraId="6B5ABCA1">
            <w:pPr>
              <w:spacing w:line="400" w:lineRule="exact"/>
              <w:ind w:firstLine="420" w:firstLineChars="200"/>
              <w:rPr>
                <w:rFonts w:ascii="宋体" w:hAnsi="宋体"/>
                <w:color w:val="auto"/>
                <w:szCs w:val="21"/>
                <w:highlight w:val="none"/>
              </w:rPr>
            </w:pPr>
          </w:p>
        </w:tc>
      </w:tr>
      <w:tr w14:paraId="2C015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330D8FA6">
            <w:pPr>
              <w:spacing w:line="400" w:lineRule="exact"/>
              <w:ind w:firstLine="420" w:firstLineChars="200"/>
              <w:rPr>
                <w:rFonts w:ascii="宋体" w:hAnsi="宋体"/>
                <w:color w:val="auto"/>
                <w:szCs w:val="21"/>
                <w:highlight w:val="none"/>
              </w:rPr>
            </w:pPr>
          </w:p>
        </w:tc>
        <w:tc>
          <w:tcPr>
            <w:tcW w:w="1418" w:type="dxa"/>
          </w:tcPr>
          <w:p w14:paraId="4A23E7EE">
            <w:pPr>
              <w:spacing w:line="400" w:lineRule="exact"/>
              <w:ind w:firstLine="420" w:firstLineChars="200"/>
              <w:rPr>
                <w:rFonts w:ascii="宋体" w:hAnsi="宋体"/>
                <w:color w:val="auto"/>
                <w:szCs w:val="21"/>
                <w:highlight w:val="none"/>
              </w:rPr>
            </w:pPr>
          </w:p>
        </w:tc>
        <w:tc>
          <w:tcPr>
            <w:tcW w:w="1418" w:type="dxa"/>
          </w:tcPr>
          <w:p w14:paraId="744CA6F0">
            <w:pPr>
              <w:spacing w:line="400" w:lineRule="exact"/>
              <w:ind w:firstLine="420" w:firstLineChars="200"/>
              <w:rPr>
                <w:rFonts w:ascii="宋体" w:hAnsi="宋体"/>
                <w:color w:val="auto"/>
                <w:szCs w:val="21"/>
                <w:highlight w:val="none"/>
              </w:rPr>
            </w:pPr>
          </w:p>
        </w:tc>
        <w:tc>
          <w:tcPr>
            <w:tcW w:w="2917" w:type="dxa"/>
          </w:tcPr>
          <w:p w14:paraId="4B0C9E5E">
            <w:pPr>
              <w:spacing w:line="400" w:lineRule="exact"/>
              <w:ind w:firstLine="420" w:firstLineChars="200"/>
              <w:rPr>
                <w:rFonts w:ascii="宋体" w:hAnsi="宋体"/>
                <w:color w:val="auto"/>
                <w:szCs w:val="21"/>
                <w:highlight w:val="none"/>
              </w:rPr>
            </w:pPr>
          </w:p>
        </w:tc>
      </w:tr>
    </w:tbl>
    <w:p w14:paraId="36D62165">
      <w:pPr>
        <w:spacing w:line="360" w:lineRule="auto"/>
        <w:ind w:firstLine="420" w:firstLineChars="200"/>
        <w:rPr>
          <w:rFonts w:ascii="宋体" w:hAnsi="宋体"/>
          <w:color w:val="auto"/>
          <w:szCs w:val="21"/>
          <w:highlight w:val="none"/>
        </w:rPr>
      </w:pPr>
    </w:p>
    <w:p w14:paraId="5B95D874">
      <w:pPr>
        <w:spacing w:line="480" w:lineRule="auto"/>
        <w:rPr>
          <w:rFonts w:ascii="宋体" w:hAnsi="宋体"/>
          <w:color w:val="auto"/>
          <w:szCs w:val="21"/>
          <w:highlight w:val="none"/>
        </w:rPr>
      </w:pPr>
      <w:r>
        <w:rPr>
          <w:rFonts w:hint="eastAsia" w:ascii="宋体" w:hAnsi="宋体"/>
          <w:color w:val="auto"/>
          <w:szCs w:val="21"/>
          <w:highlight w:val="none"/>
        </w:rPr>
        <w:br w:type="page"/>
      </w:r>
      <w:r>
        <w:rPr>
          <w:rFonts w:hint="eastAsia" w:ascii="宋体" w:hAnsi="宋体"/>
          <w:color w:val="auto"/>
          <w:szCs w:val="21"/>
          <w:highlight w:val="none"/>
        </w:rPr>
        <w:t>附</w:t>
      </w:r>
      <w:bookmarkStart w:id="1960" w:name="_Toc296891056"/>
      <w:bookmarkStart w:id="1961" w:name="_Toc296503228"/>
      <w:bookmarkStart w:id="1962" w:name="_Toc296891268"/>
      <w:bookmarkStart w:id="1963" w:name="_Toc296347227"/>
      <w:bookmarkStart w:id="1964" w:name="_Toc296346729"/>
      <w:bookmarkStart w:id="1965" w:name="_Toc296944567"/>
      <w:bookmarkStart w:id="1966" w:name="_Toc267261699"/>
      <w:r>
        <w:rPr>
          <w:rFonts w:hint="eastAsia" w:ascii="宋体" w:hAnsi="宋体"/>
          <w:color w:val="auto"/>
          <w:szCs w:val="21"/>
          <w:highlight w:val="none"/>
        </w:rPr>
        <w:t>件3：</w:t>
      </w:r>
    </w:p>
    <w:bookmarkEnd w:id="1960"/>
    <w:bookmarkEnd w:id="1961"/>
    <w:bookmarkEnd w:id="1962"/>
    <w:bookmarkEnd w:id="1963"/>
    <w:bookmarkEnd w:id="1964"/>
    <w:bookmarkEnd w:id="1965"/>
    <w:bookmarkEnd w:id="1966"/>
    <w:p w14:paraId="73FFB865">
      <w:pPr>
        <w:spacing w:before="156" w:beforeLines="50" w:after="156" w:afterLines="50" w:line="480" w:lineRule="auto"/>
        <w:jc w:val="center"/>
        <w:rPr>
          <w:rFonts w:ascii="宋体" w:hAnsi="宋体"/>
          <w:color w:val="auto"/>
          <w:szCs w:val="21"/>
          <w:highlight w:val="none"/>
        </w:rPr>
      </w:pPr>
      <w:r>
        <w:rPr>
          <w:rFonts w:hint="eastAsia" w:ascii="宋体" w:hAnsi="宋体"/>
          <w:color w:val="auto"/>
          <w:szCs w:val="21"/>
          <w:highlight w:val="none"/>
        </w:rPr>
        <w:t>承包人项目管理机构组成表</w:t>
      </w:r>
    </w:p>
    <w:tbl>
      <w:tblPr>
        <w:tblStyle w:val="46"/>
        <w:tblW w:w="98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4252"/>
      </w:tblGrid>
      <w:tr w14:paraId="0117F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606A4061">
            <w:pPr>
              <w:spacing w:line="400" w:lineRule="exact"/>
              <w:jc w:val="center"/>
              <w:rPr>
                <w:rFonts w:ascii="宋体" w:hAnsi="宋体"/>
                <w:color w:val="auto"/>
                <w:szCs w:val="21"/>
                <w:highlight w:val="none"/>
              </w:rPr>
            </w:pPr>
            <w:r>
              <w:rPr>
                <w:rFonts w:hint="eastAsia" w:ascii="宋体" w:hAnsi="宋体"/>
                <w:color w:val="auto"/>
                <w:szCs w:val="21"/>
                <w:highlight w:val="none"/>
              </w:rPr>
              <w:t>名    称</w:t>
            </w:r>
          </w:p>
        </w:tc>
        <w:tc>
          <w:tcPr>
            <w:tcW w:w="1418" w:type="dxa"/>
            <w:vAlign w:val="center"/>
          </w:tcPr>
          <w:p w14:paraId="5B978A11">
            <w:pPr>
              <w:spacing w:line="400" w:lineRule="exact"/>
              <w:jc w:val="center"/>
              <w:rPr>
                <w:rFonts w:ascii="宋体" w:hAnsi="宋体"/>
                <w:color w:val="auto"/>
                <w:szCs w:val="21"/>
                <w:highlight w:val="none"/>
              </w:rPr>
            </w:pPr>
            <w:r>
              <w:rPr>
                <w:rFonts w:hint="eastAsia" w:ascii="宋体" w:hAnsi="宋体"/>
                <w:color w:val="auto"/>
                <w:szCs w:val="21"/>
                <w:highlight w:val="none"/>
              </w:rPr>
              <w:t>姓名</w:t>
            </w:r>
          </w:p>
        </w:tc>
        <w:tc>
          <w:tcPr>
            <w:tcW w:w="1134" w:type="dxa"/>
            <w:vAlign w:val="center"/>
          </w:tcPr>
          <w:p w14:paraId="18D49F3F">
            <w:pPr>
              <w:spacing w:line="400" w:lineRule="exact"/>
              <w:jc w:val="center"/>
              <w:rPr>
                <w:rFonts w:ascii="宋体" w:hAnsi="宋体"/>
                <w:color w:val="auto"/>
                <w:szCs w:val="21"/>
                <w:highlight w:val="none"/>
              </w:rPr>
            </w:pPr>
            <w:r>
              <w:rPr>
                <w:rFonts w:hint="eastAsia" w:ascii="宋体" w:hAnsi="宋体"/>
                <w:color w:val="auto"/>
                <w:szCs w:val="21"/>
                <w:highlight w:val="none"/>
              </w:rPr>
              <w:t>职务</w:t>
            </w:r>
          </w:p>
        </w:tc>
        <w:tc>
          <w:tcPr>
            <w:tcW w:w="1134" w:type="dxa"/>
            <w:vAlign w:val="center"/>
          </w:tcPr>
          <w:p w14:paraId="6AD2E005">
            <w:pPr>
              <w:spacing w:line="400" w:lineRule="exact"/>
              <w:jc w:val="center"/>
              <w:rPr>
                <w:rFonts w:ascii="宋体" w:hAnsi="宋体"/>
                <w:color w:val="auto"/>
                <w:szCs w:val="21"/>
                <w:highlight w:val="none"/>
              </w:rPr>
            </w:pPr>
            <w:r>
              <w:rPr>
                <w:rFonts w:hint="eastAsia" w:ascii="宋体" w:hAnsi="宋体"/>
                <w:color w:val="auto"/>
                <w:szCs w:val="21"/>
                <w:highlight w:val="none"/>
              </w:rPr>
              <w:t>职称</w:t>
            </w:r>
          </w:p>
        </w:tc>
        <w:tc>
          <w:tcPr>
            <w:tcW w:w="4252" w:type="dxa"/>
            <w:vAlign w:val="center"/>
          </w:tcPr>
          <w:p w14:paraId="4514E2B3">
            <w:pPr>
              <w:spacing w:line="400" w:lineRule="exact"/>
              <w:jc w:val="center"/>
              <w:rPr>
                <w:rFonts w:ascii="宋体" w:hAnsi="宋体"/>
                <w:color w:val="auto"/>
                <w:szCs w:val="21"/>
                <w:highlight w:val="none"/>
              </w:rPr>
            </w:pPr>
            <w:r>
              <w:rPr>
                <w:rFonts w:hint="eastAsia" w:ascii="宋体" w:hAnsi="宋体"/>
                <w:color w:val="auto"/>
                <w:szCs w:val="21"/>
                <w:highlight w:val="none"/>
              </w:rPr>
              <w:t>主要资历、经验及承担过的项目</w:t>
            </w:r>
          </w:p>
        </w:tc>
      </w:tr>
      <w:tr w14:paraId="45829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47" w:hRule="atLeast"/>
          <w:jc w:val="center"/>
        </w:trPr>
        <w:tc>
          <w:tcPr>
            <w:tcW w:w="9809" w:type="dxa"/>
            <w:gridSpan w:val="5"/>
            <w:vAlign w:val="center"/>
          </w:tcPr>
          <w:p w14:paraId="1E8B0623">
            <w:pPr>
              <w:spacing w:line="400" w:lineRule="exact"/>
              <w:rPr>
                <w:rFonts w:ascii="宋体" w:hAnsi="宋体"/>
                <w:color w:val="auto"/>
                <w:szCs w:val="21"/>
                <w:highlight w:val="none"/>
              </w:rPr>
            </w:pPr>
            <w:r>
              <w:rPr>
                <w:rFonts w:hint="eastAsia" w:ascii="宋体" w:hAnsi="宋体"/>
                <w:color w:val="auto"/>
                <w:szCs w:val="21"/>
                <w:highlight w:val="none"/>
              </w:rPr>
              <w:t>一、总部人员</w:t>
            </w:r>
          </w:p>
        </w:tc>
      </w:tr>
      <w:tr w14:paraId="20C58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15337531">
            <w:pPr>
              <w:spacing w:line="400" w:lineRule="exact"/>
              <w:jc w:val="center"/>
              <w:rPr>
                <w:rFonts w:ascii="宋体" w:hAnsi="宋体"/>
                <w:color w:val="auto"/>
                <w:szCs w:val="21"/>
                <w:highlight w:val="none"/>
              </w:rPr>
            </w:pPr>
            <w:r>
              <w:rPr>
                <w:rFonts w:hint="eastAsia" w:ascii="宋体" w:hAnsi="宋体"/>
                <w:color w:val="auto"/>
                <w:szCs w:val="21"/>
                <w:highlight w:val="none"/>
              </w:rPr>
              <w:t>项目主管</w:t>
            </w:r>
          </w:p>
        </w:tc>
        <w:tc>
          <w:tcPr>
            <w:tcW w:w="1418" w:type="dxa"/>
            <w:vAlign w:val="center"/>
          </w:tcPr>
          <w:p w14:paraId="2D3BE8AA">
            <w:pPr>
              <w:spacing w:line="400" w:lineRule="exact"/>
              <w:ind w:firstLine="420" w:firstLineChars="200"/>
              <w:rPr>
                <w:rFonts w:ascii="宋体" w:hAnsi="宋体"/>
                <w:color w:val="auto"/>
                <w:szCs w:val="21"/>
                <w:highlight w:val="none"/>
              </w:rPr>
            </w:pPr>
          </w:p>
        </w:tc>
        <w:tc>
          <w:tcPr>
            <w:tcW w:w="1134" w:type="dxa"/>
            <w:vAlign w:val="center"/>
          </w:tcPr>
          <w:p w14:paraId="01C4C6FD">
            <w:pPr>
              <w:spacing w:line="400" w:lineRule="exact"/>
              <w:ind w:firstLine="420" w:firstLineChars="200"/>
              <w:rPr>
                <w:rFonts w:ascii="宋体" w:hAnsi="宋体"/>
                <w:color w:val="auto"/>
                <w:szCs w:val="21"/>
                <w:highlight w:val="none"/>
              </w:rPr>
            </w:pPr>
          </w:p>
        </w:tc>
        <w:tc>
          <w:tcPr>
            <w:tcW w:w="1134" w:type="dxa"/>
            <w:vAlign w:val="center"/>
          </w:tcPr>
          <w:p w14:paraId="3116FBAB">
            <w:pPr>
              <w:spacing w:line="400" w:lineRule="exact"/>
              <w:ind w:firstLine="420" w:firstLineChars="200"/>
              <w:rPr>
                <w:rFonts w:ascii="宋体" w:hAnsi="宋体"/>
                <w:color w:val="auto"/>
                <w:szCs w:val="21"/>
                <w:highlight w:val="none"/>
              </w:rPr>
            </w:pPr>
          </w:p>
        </w:tc>
        <w:tc>
          <w:tcPr>
            <w:tcW w:w="4252" w:type="dxa"/>
            <w:vAlign w:val="center"/>
          </w:tcPr>
          <w:p w14:paraId="0D47F5DD">
            <w:pPr>
              <w:spacing w:line="400" w:lineRule="exact"/>
              <w:ind w:firstLine="420" w:firstLineChars="200"/>
              <w:rPr>
                <w:rFonts w:ascii="宋体" w:hAnsi="宋体"/>
                <w:color w:val="auto"/>
                <w:szCs w:val="21"/>
                <w:highlight w:val="none"/>
              </w:rPr>
            </w:pPr>
          </w:p>
        </w:tc>
      </w:tr>
      <w:tr w14:paraId="32F9B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1D3F7D7F">
            <w:pPr>
              <w:spacing w:line="400" w:lineRule="exact"/>
              <w:jc w:val="center"/>
              <w:rPr>
                <w:rFonts w:ascii="宋体" w:hAnsi="宋体"/>
                <w:color w:val="auto"/>
                <w:szCs w:val="21"/>
                <w:highlight w:val="none"/>
              </w:rPr>
            </w:pPr>
          </w:p>
        </w:tc>
        <w:tc>
          <w:tcPr>
            <w:tcW w:w="1418" w:type="dxa"/>
            <w:vAlign w:val="center"/>
          </w:tcPr>
          <w:p w14:paraId="2480213D">
            <w:pPr>
              <w:spacing w:line="400" w:lineRule="exact"/>
              <w:ind w:firstLine="420" w:firstLineChars="200"/>
              <w:rPr>
                <w:rFonts w:ascii="宋体" w:hAnsi="宋体"/>
                <w:color w:val="auto"/>
                <w:szCs w:val="21"/>
                <w:highlight w:val="none"/>
              </w:rPr>
            </w:pPr>
          </w:p>
        </w:tc>
        <w:tc>
          <w:tcPr>
            <w:tcW w:w="1134" w:type="dxa"/>
            <w:vAlign w:val="center"/>
          </w:tcPr>
          <w:p w14:paraId="5D8ACED9">
            <w:pPr>
              <w:spacing w:line="400" w:lineRule="exact"/>
              <w:ind w:firstLine="420" w:firstLineChars="200"/>
              <w:rPr>
                <w:rFonts w:ascii="宋体" w:hAnsi="宋体"/>
                <w:color w:val="auto"/>
                <w:szCs w:val="21"/>
                <w:highlight w:val="none"/>
              </w:rPr>
            </w:pPr>
          </w:p>
        </w:tc>
        <w:tc>
          <w:tcPr>
            <w:tcW w:w="1134" w:type="dxa"/>
            <w:vAlign w:val="center"/>
          </w:tcPr>
          <w:p w14:paraId="61E16E08">
            <w:pPr>
              <w:spacing w:line="400" w:lineRule="exact"/>
              <w:ind w:firstLine="420" w:firstLineChars="200"/>
              <w:rPr>
                <w:rFonts w:ascii="宋体" w:hAnsi="宋体"/>
                <w:color w:val="auto"/>
                <w:szCs w:val="21"/>
                <w:highlight w:val="none"/>
              </w:rPr>
            </w:pPr>
          </w:p>
        </w:tc>
        <w:tc>
          <w:tcPr>
            <w:tcW w:w="4252" w:type="dxa"/>
            <w:vAlign w:val="center"/>
          </w:tcPr>
          <w:p w14:paraId="44865C6D">
            <w:pPr>
              <w:spacing w:line="400" w:lineRule="exact"/>
              <w:ind w:firstLine="420" w:firstLineChars="200"/>
              <w:rPr>
                <w:rFonts w:ascii="宋体" w:hAnsi="宋体"/>
                <w:color w:val="auto"/>
                <w:szCs w:val="21"/>
                <w:highlight w:val="none"/>
              </w:rPr>
            </w:pPr>
          </w:p>
        </w:tc>
      </w:tr>
      <w:tr w14:paraId="0F5E4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689DB0BC">
            <w:pPr>
              <w:spacing w:line="400" w:lineRule="exact"/>
              <w:jc w:val="center"/>
              <w:rPr>
                <w:rFonts w:ascii="宋体" w:hAnsi="宋体"/>
                <w:color w:val="auto"/>
                <w:szCs w:val="21"/>
                <w:highlight w:val="none"/>
              </w:rPr>
            </w:pPr>
            <w:r>
              <w:rPr>
                <w:rFonts w:hint="eastAsia" w:ascii="宋体" w:hAnsi="宋体"/>
                <w:color w:val="auto"/>
                <w:szCs w:val="21"/>
                <w:highlight w:val="none"/>
              </w:rPr>
              <w:t>其他人员</w:t>
            </w:r>
          </w:p>
        </w:tc>
        <w:tc>
          <w:tcPr>
            <w:tcW w:w="1418" w:type="dxa"/>
            <w:vAlign w:val="center"/>
          </w:tcPr>
          <w:p w14:paraId="1BA53B98">
            <w:pPr>
              <w:spacing w:line="400" w:lineRule="exact"/>
              <w:ind w:firstLine="420" w:firstLineChars="200"/>
              <w:rPr>
                <w:rFonts w:ascii="宋体" w:hAnsi="宋体"/>
                <w:color w:val="auto"/>
                <w:szCs w:val="21"/>
                <w:highlight w:val="none"/>
              </w:rPr>
            </w:pPr>
          </w:p>
        </w:tc>
        <w:tc>
          <w:tcPr>
            <w:tcW w:w="1134" w:type="dxa"/>
            <w:vAlign w:val="center"/>
          </w:tcPr>
          <w:p w14:paraId="4A02CCBE">
            <w:pPr>
              <w:spacing w:line="400" w:lineRule="exact"/>
              <w:ind w:firstLine="420" w:firstLineChars="200"/>
              <w:rPr>
                <w:rFonts w:ascii="宋体" w:hAnsi="宋体"/>
                <w:color w:val="auto"/>
                <w:szCs w:val="21"/>
                <w:highlight w:val="none"/>
              </w:rPr>
            </w:pPr>
          </w:p>
        </w:tc>
        <w:tc>
          <w:tcPr>
            <w:tcW w:w="1134" w:type="dxa"/>
            <w:vAlign w:val="center"/>
          </w:tcPr>
          <w:p w14:paraId="2E5A4CFC">
            <w:pPr>
              <w:spacing w:line="400" w:lineRule="exact"/>
              <w:ind w:firstLine="420" w:firstLineChars="200"/>
              <w:rPr>
                <w:rFonts w:ascii="宋体" w:hAnsi="宋体"/>
                <w:color w:val="auto"/>
                <w:szCs w:val="21"/>
                <w:highlight w:val="none"/>
              </w:rPr>
            </w:pPr>
          </w:p>
        </w:tc>
        <w:tc>
          <w:tcPr>
            <w:tcW w:w="4252" w:type="dxa"/>
            <w:vAlign w:val="center"/>
          </w:tcPr>
          <w:p w14:paraId="78B84F61">
            <w:pPr>
              <w:spacing w:line="400" w:lineRule="exact"/>
              <w:ind w:firstLine="420" w:firstLineChars="200"/>
              <w:rPr>
                <w:rFonts w:ascii="宋体" w:hAnsi="宋体"/>
                <w:color w:val="auto"/>
                <w:szCs w:val="21"/>
                <w:highlight w:val="none"/>
              </w:rPr>
            </w:pPr>
          </w:p>
        </w:tc>
      </w:tr>
      <w:tr w14:paraId="30FCA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3CD2B997">
            <w:pPr>
              <w:spacing w:line="400" w:lineRule="exact"/>
              <w:jc w:val="center"/>
              <w:rPr>
                <w:rFonts w:ascii="宋体" w:hAnsi="宋体"/>
                <w:color w:val="auto"/>
                <w:szCs w:val="21"/>
                <w:highlight w:val="none"/>
              </w:rPr>
            </w:pPr>
          </w:p>
        </w:tc>
        <w:tc>
          <w:tcPr>
            <w:tcW w:w="1418" w:type="dxa"/>
            <w:vAlign w:val="center"/>
          </w:tcPr>
          <w:p w14:paraId="06B86E6D">
            <w:pPr>
              <w:spacing w:line="400" w:lineRule="exact"/>
              <w:ind w:firstLine="420" w:firstLineChars="200"/>
              <w:rPr>
                <w:rFonts w:ascii="宋体" w:hAnsi="宋体"/>
                <w:color w:val="auto"/>
                <w:szCs w:val="21"/>
                <w:highlight w:val="none"/>
              </w:rPr>
            </w:pPr>
          </w:p>
        </w:tc>
        <w:tc>
          <w:tcPr>
            <w:tcW w:w="1134" w:type="dxa"/>
            <w:vAlign w:val="center"/>
          </w:tcPr>
          <w:p w14:paraId="37861394">
            <w:pPr>
              <w:spacing w:line="400" w:lineRule="exact"/>
              <w:ind w:firstLine="420" w:firstLineChars="200"/>
              <w:rPr>
                <w:rFonts w:ascii="宋体" w:hAnsi="宋体"/>
                <w:color w:val="auto"/>
                <w:szCs w:val="21"/>
                <w:highlight w:val="none"/>
              </w:rPr>
            </w:pPr>
          </w:p>
        </w:tc>
        <w:tc>
          <w:tcPr>
            <w:tcW w:w="1134" w:type="dxa"/>
            <w:vAlign w:val="center"/>
          </w:tcPr>
          <w:p w14:paraId="44AB850E">
            <w:pPr>
              <w:spacing w:line="400" w:lineRule="exact"/>
              <w:ind w:firstLine="420" w:firstLineChars="200"/>
              <w:rPr>
                <w:rFonts w:ascii="宋体" w:hAnsi="宋体"/>
                <w:color w:val="auto"/>
                <w:szCs w:val="21"/>
                <w:highlight w:val="none"/>
              </w:rPr>
            </w:pPr>
          </w:p>
        </w:tc>
        <w:tc>
          <w:tcPr>
            <w:tcW w:w="4252" w:type="dxa"/>
            <w:vAlign w:val="center"/>
          </w:tcPr>
          <w:p w14:paraId="558958E7">
            <w:pPr>
              <w:spacing w:line="400" w:lineRule="exact"/>
              <w:ind w:firstLine="420" w:firstLineChars="200"/>
              <w:rPr>
                <w:rFonts w:ascii="宋体" w:hAnsi="宋体"/>
                <w:color w:val="auto"/>
                <w:szCs w:val="21"/>
                <w:highlight w:val="none"/>
              </w:rPr>
            </w:pPr>
          </w:p>
        </w:tc>
      </w:tr>
      <w:tr w14:paraId="30606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14:paraId="63D15804">
            <w:pPr>
              <w:spacing w:line="400" w:lineRule="exact"/>
              <w:rPr>
                <w:rFonts w:ascii="宋体" w:hAnsi="宋体"/>
                <w:color w:val="auto"/>
                <w:szCs w:val="21"/>
                <w:highlight w:val="none"/>
              </w:rPr>
            </w:pPr>
            <w:r>
              <w:rPr>
                <w:rFonts w:hint="eastAsia" w:ascii="宋体" w:hAnsi="宋体"/>
                <w:color w:val="auto"/>
                <w:szCs w:val="21"/>
                <w:highlight w:val="none"/>
              </w:rPr>
              <w:t>二、现场人员</w:t>
            </w:r>
          </w:p>
        </w:tc>
      </w:tr>
      <w:tr w14:paraId="68757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5D43F40D">
            <w:pPr>
              <w:spacing w:line="400" w:lineRule="exact"/>
              <w:jc w:val="center"/>
              <w:rPr>
                <w:rFonts w:ascii="宋体" w:hAnsi="宋体"/>
                <w:color w:val="auto"/>
                <w:szCs w:val="21"/>
                <w:highlight w:val="none"/>
              </w:rPr>
            </w:pPr>
            <w:r>
              <w:rPr>
                <w:rFonts w:hint="eastAsia" w:ascii="宋体" w:hAnsi="宋体"/>
                <w:color w:val="auto"/>
                <w:szCs w:val="21"/>
                <w:highlight w:val="none"/>
              </w:rPr>
              <w:t>项目经理</w:t>
            </w:r>
          </w:p>
        </w:tc>
        <w:tc>
          <w:tcPr>
            <w:tcW w:w="1418" w:type="dxa"/>
            <w:vAlign w:val="center"/>
          </w:tcPr>
          <w:p w14:paraId="10288F40">
            <w:pPr>
              <w:spacing w:line="400" w:lineRule="exact"/>
              <w:ind w:firstLine="420" w:firstLineChars="200"/>
              <w:rPr>
                <w:rFonts w:ascii="宋体" w:hAnsi="宋体"/>
                <w:color w:val="auto"/>
                <w:szCs w:val="21"/>
                <w:highlight w:val="none"/>
              </w:rPr>
            </w:pPr>
          </w:p>
        </w:tc>
        <w:tc>
          <w:tcPr>
            <w:tcW w:w="1134" w:type="dxa"/>
            <w:vAlign w:val="center"/>
          </w:tcPr>
          <w:p w14:paraId="475B7F7D">
            <w:pPr>
              <w:spacing w:line="400" w:lineRule="exact"/>
              <w:ind w:firstLine="420" w:firstLineChars="200"/>
              <w:rPr>
                <w:rFonts w:ascii="宋体" w:hAnsi="宋体"/>
                <w:color w:val="auto"/>
                <w:szCs w:val="21"/>
                <w:highlight w:val="none"/>
              </w:rPr>
            </w:pPr>
          </w:p>
        </w:tc>
        <w:tc>
          <w:tcPr>
            <w:tcW w:w="1134" w:type="dxa"/>
            <w:vAlign w:val="center"/>
          </w:tcPr>
          <w:p w14:paraId="31944131">
            <w:pPr>
              <w:spacing w:line="400" w:lineRule="exact"/>
              <w:ind w:firstLine="420" w:firstLineChars="200"/>
              <w:rPr>
                <w:rFonts w:ascii="宋体" w:hAnsi="宋体"/>
                <w:color w:val="auto"/>
                <w:szCs w:val="21"/>
                <w:highlight w:val="none"/>
              </w:rPr>
            </w:pPr>
          </w:p>
        </w:tc>
        <w:tc>
          <w:tcPr>
            <w:tcW w:w="4252" w:type="dxa"/>
            <w:vAlign w:val="center"/>
          </w:tcPr>
          <w:p w14:paraId="4B934963">
            <w:pPr>
              <w:spacing w:line="400" w:lineRule="exact"/>
              <w:ind w:firstLine="420" w:firstLineChars="200"/>
              <w:rPr>
                <w:rFonts w:ascii="宋体" w:hAnsi="宋体"/>
                <w:color w:val="auto"/>
                <w:szCs w:val="21"/>
                <w:highlight w:val="none"/>
              </w:rPr>
            </w:pPr>
          </w:p>
        </w:tc>
      </w:tr>
      <w:tr w14:paraId="42ADC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7977A4F5">
            <w:pPr>
              <w:spacing w:line="400" w:lineRule="exact"/>
              <w:jc w:val="center"/>
              <w:rPr>
                <w:rFonts w:ascii="宋体" w:hAnsi="宋体"/>
                <w:color w:val="auto"/>
                <w:szCs w:val="21"/>
                <w:highlight w:val="none"/>
              </w:rPr>
            </w:pPr>
            <w:r>
              <w:rPr>
                <w:rFonts w:hint="eastAsia" w:ascii="宋体" w:hAnsi="宋体"/>
                <w:color w:val="auto"/>
                <w:szCs w:val="21"/>
                <w:highlight w:val="none"/>
              </w:rPr>
              <w:t>项目副经理</w:t>
            </w:r>
          </w:p>
        </w:tc>
        <w:tc>
          <w:tcPr>
            <w:tcW w:w="1418" w:type="dxa"/>
            <w:vAlign w:val="center"/>
          </w:tcPr>
          <w:p w14:paraId="32345F1B">
            <w:pPr>
              <w:spacing w:line="400" w:lineRule="exact"/>
              <w:ind w:firstLine="420" w:firstLineChars="200"/>
              <w:rPr>
                <w:rFonts w:ascii="宋体" w:hAnsi="宋体"/>
                <w:color w:val="auto"/>
                <w:szCs w:val="21"/>
                <w:highlight w:val="none"/>
              </w:rPr>
            </w:pPr>
          </w:p>
        </w:tc>
        <w:tc>
          <w:tcPr>
            <w:tcW w:w="1134" w:type="dxa"/>
            <w:vAlign w:val="center"/>
          </w:tcPr>
          <w:p w14:paraId="2BCD4CF2">
            <w:pPr>
              <w:spacing w:line="400" w:lineRule="exact"/>
              <w:ind w:firstLine="420" w:firstLineChars="200"/>
              <w:rPr>
                <w:rFonts w:ascii="宋体" w:hAnsi="宋体"/>
                <w:color w:val="auto"/>
                <w:szCs w:val="21"/>
                <w:highlight w:val="none"/>
              </w:rPr>
            </w:pPr>
          </w:p>
        </w:tc>
        <w:tc>
          <w:tcPr>
            <w:tcW w:w="1134" w:type="dxa"/>
            <w:vAlign w:val="center"/>
          </w:tcPr>
          <w:p w14:paraId="78C13013">
            <w:pPr>
              <w:spacing w:line="400" w:lineRule="exact"/>
              <w:ind w:firstLine="420" w:firstLineChars="200"/>
              <w:rPr>
                <w:rFonts w:ascii="宋体" w:hAnsi="宋体"/>
                <w:color w:val="auto"/>
                <w:szCs w:val="21"/>
                <w:highlight w:val="none"/>
              </w:rPr>
            </w:pPr>
          </w:p>
        </w:tc>
        <w:tc>
          <w:tcPr>
            <w:tcW w:w="4252" w:type="dxa"/>
            <w:vAlign w:val="center"/>
          </w:tcPr>
          <w:p w14:paraId="73A63236">
            <w:pPr>
              <w:spacing w:line="400" w:lineRule="exact"/>
              <w:ind w:firstLine="420" w:firstLineChars="200"/>
              <w:rPr>
                <w:rFonts w:ascii="宋体" w:hAnsi="宋体"/>
                <w:color w:val="auto"/>
                <w:szCs w:val="21"/>
                <w:highlight w:val="none"/>
              </w:rPr>
            </w:pPr>
          </w:p>
        </w:tc>
      </w:tr>
      <w:tr w14:paraId="2539A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723291C9">
            <w:pPr>
              <w:spacing w:line="400" w:lineRule="exact"/>
              <w:jc w:val="center"/>
              <w:rPr>
                <w:rFonts w:ascii="宋体" w:hAnsi="宋体"/>
                <w:color w:val="auto"/>
                <w:szCs w:val="21"/>
                <w:highlight w:val="none"/>
              </w:rPr>
            </w:pPr>
            <w:r>
              <w:rPr>
                <w:rFonts w:hint="eastAsia" w:ascii="宋体" w:hAnsi="宋体"/>
                <w:color w:val="auto"/>
                <w:szCs w:val="21"/>
                <w:highlight w:val="none"/>
              </w:rPr>
              <w:t>技术负责人</w:t>
            </w:r>
          </w:p>
        </w:tc>
        <w:tc>
          <w:tcPr>
            <w:tcW w:w="1418" w:type="dxa"/>
            <w:vAlign w:val="center"/>
          </w:tcPr>
          <w:p w14:paraId="74CF5578">
            <w:pPr>
              <w:spacing w:line="400" w:lineRule="exact"/>
              <w:ind w:firstLine="420" w:firstLineChars="200"/>
              <w:rPr>
                <w:rFonts w:ascii="宋体" w:hAnsi="宋体"/>
                <w:color w:val="auto"/>
                <w:szCs w:val="21"/>
                <w:highlight w:val="none"/>
              </w:rPr>
            </w:pPr>
          </w:p>
        </w:tc>
        <w:tc>
          <w:tcPr>
            <w:tcW w:w="1134" w:type="dxa"/>
            <w:vAlign w:val="center"/>
          </w:tcPr>
          <w:p w14:paraId="0C955C47">
            <w:pPr>
              <w:spacing w:line="400" w:lineRule="exact"/>
              <w:ind w:firstLine="420" w:firstLineChars="200"/>
              <w:rPr>
                <w:rFonts w:ascii="宋体" w:hAnsi="宋体"/>
                <w:color w:val="auto"/>
                <w:szCs w:val="21"/>
                <w:highlight w:val="none"/>
              </w:rPr>
            </w:pPr>
          </w:p>
        </w:tc>
        <w:tc>
          <w:tcPr>
            <w:tcW w:w="1134" w:type="dxa"/>
            <w:vAlign w:val="center"/>
          </w:tcPr>
          <w:p w14:paraId="671867B6">
            <w:pPr>
              <w:spacing w:line="400" w:lineRule="exact"/>
              <w:ind w:firstLine="420" w:firstLineChars="200"/>
              <w:rPr>
                <w:rFonts w:ascii="宋体" w:hAnsi="宋体"/>
                <w:color w:val="auto"/>
                <w:szCs w:val="21"/>
                <w:highlight w:val="none"/>
              </w:rPr>
            </w:pPr>
          </w:p>
        </w:tc>
        <w:tc>
          <w:tcPr>
            <w:tcW w:w="4252" w:type="dxa"/>
            <w:vAlign w:val="center"/>
          </w:tcPr>
          <w:p w14:paraId="769C1C25">
            <w:pPr>
              <w:spacing w:line="400" w:lineRule="exact"/>
              <w:ind w:firstLine="420" w:firstLineChars="200"/>
              <w:rPr>
                <w:rFonts w:ascii="宋体" w:hAnsi="宋体"/>
                <w:color w:val="auto"/>
                <w:szCs w:val="21"/>
                <w:highlight w:val="none"/>
              </w:rPr>
            </w:pPr>
          </w:p>
        </w:tc>
      </w:tr>
      <w:tr w14:paraId="6DFE0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1582EF50">
            <w:pPr>
              <w:spacing w:line="400" w:lineRule="exact"/>
              <w:jc w:val="center"/>
              <w:rPr>
                <w:rFonts w:ascii="宋体" w:hAnsi="宋体"/>
                <w:color w:val="auto"/>
                <w:szCs w:val="21"/>
                <w:highlight w:val="none"/>
              </w:rPr>
            </w:pPr>
            <w:r>
              <w:rPr>
                <w:rFonts w:hint="eastAsia" w:ascii="宋体" w:hAnsi="宋体"/>
                <w:color w:val="auto"/>
                <w:szCs w:val="21"/>
                <w:highlight w:val="none"/>
              </w:rPr>
              <w:t>造价管理</w:t>
            </w:r>
          </w:p>
        </w:tc>
        <w:tc>
          <w:tcPr>
            <w:tcW w:w="1418" w:type="dxa"/>
            <w:vAlign w:val="center"/>
          </w:tcPr>
          <w:p w14:paraId="3395496C">
            <w:pPr>
              <w:spacing w:line="400" w:lineRule="exact"/>
              <w:ind w:firstLine="420" w:firstLineChars="200"/>
              <w:rPr>
                <w:rFonts w:ascii="宋体" w:hAnsi="宋体"/>
                <w:color w:val="auto"/>
                <w:szCs w:val="21"/>
                <w:highlight w:val="none"/>
              </w:rPr>
            </w:pPr>
          </w:p>
        </w:tc>
        <w:tc>
          <w:tcPr>
            <w:tcW w:w="1134" w:type="dxa"/>
            <w:vAlign w:val="center"/>
          </w:tcPr>
          <w:p w14:paraId="17C905A5">
            <w:pPr>
              <w:spacing w:line="400" w:lineRule="exact"/>
              <w:ind w:firstLine="420" w:firstLineChars="200"/>
              <w:rPr>
                <w:rFonts w:ascii="宋体" w:hAnsi="宋体"/>
                <w:color w:val="auto"/>
                <w:szCs w:val="21"/>
                <w:highlight w:val="none"/>
              </w:rPr>
            </w:pPr>
          </w:p>
        </w:tc>
        <w:tc>
          <w:tcPr>
            <w:tcW w:w="1134" w:type="dxa"/>
            <w:vAlign w:val="center"/>
          </w:tcPr>
          <w:p w14:paraId="506F16B7">
            <w:pPr>
              <w:spacing w:line="400" w:lineRule="exact"/>
              <w:ind w:firstLine="420" w:firstLineChars="200"/>
              <w:rPr>
                <w:rFonts w:ascii="宋体" w:hAnsi="宋体"/>
                <w:color w:val="auto"/>
                <w:szCs w:val="21"/>
                <w:highlight w:val="none"/>
              </w:rPr>
            </w:pPr>
          </w:p>
        </w:tc>
        <w:tc>
          <w:tcPr>
            <w:tcW w:w="4252" w:type="dxa"/>
            <w:vAlign w:val="center"/>
          </w:tcPr>
          <w:p w14:paraId="2C0A271D">
            <w:pPr>
              <w:spacing w:line="400" w:lineRule="exact"/>
              <w:ind w:firstLine="420" w:firstLineChars="200"/>
              <w:rPr>
                <w:rFonts w:ascii="宋体" w:hAnsi="宋体"/>
                <w:color w:val="auto"/>
                <w:szCs w:val="21"/>
                <w:highlight w:val="none"/>
              </w:rPr>
            </w:pPr>
          </w:p>
        </w:tc>
      </w:tr>
      <w:tr w14:paraId="123B5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68A24536">
            <w:pPr>
              <w:spacing w:line="400" w:lineRule="exact"/>
              <w:jc w:val="center"/>
              <w:rPr>
                <w:rFonts w:ascii="宋体" w:hAnsi="宋体"/>
                <w:color w:val="auto"/>
                <w:szCs w:val="21"/>
                <w:highlight w:val="none"/>
              </w:rPr>
            </w:pPr>
            <w:r>
              <w:rPr>
                <w:rFonts w:hint="eastAsia" w:ascii="宋体" w:hAnsi="宋体"/>
                <w:color w:val="auto"/>
                <w:szCs w:val="21"/>
                <w:highlight w:val="none"/>
              </w:rPr>
              <w:t>质量管理</w:t>
            </w:r>
          </w:p>
        </w:tc>
        <w:tc>
          <w:tcPr>
            <w:tcW w:w="1418" w:type="dxa"/>
            <w:vAlign w:val="center"/>
          </w:tcPr>
          <w:p w14:paraId="6E0C60AE">
            <w:pPr>
              <w:spacing w:line="400" w:lineRule="exact"/>
              <w:ind w:firstLine="420" w:firstLineChars="200"/>
              <w:rPr>
                <w:rFonts w:ascii="宋体" w:hAnsi="宋体"/>
                <w:color w:val="auto"/>
                <w:szCs w:val="21"/>
                <w:highlight w:val="none"/>
              </w:rPr>
            </w:pPr>
          </w:p>
        </w:tc>
        <w:tc>
          <w:tcPr>
            <w:tcW w:w="1134" w:type="dxa"/>
            <w:vAlign w:val="center"/>
          </w:tcPr>
          <w:p w14:paraId="34EBBDCE">
            <w:pPr>
              <w:spacing w:line="400" w:lineRule="exact"/>
              <w:ind w:firstLine="420" w:firstLineChars="200"/>
              <w:rPr>
                <w:rFonts w:ascii="宋体" w:hAnsi="宋体"/>
                <w:color w:val="auto"/>
                <w:szCs w:val="21"/>
                <w:highlight w:val="none"/>
              </w:rPr>
            </w:pPr>
          </w:p>
        </w:tc>
        <w:tc>
          <w:tcPr>
            <w:tcW w:w="1134" w:type="dxa"/>
            <w:vAlign w:val="center"/>
          </w:tcPr>
          <w:p w14:paraId="63120CD0">
            <w:pPr>
              <w:spacing w:line="400" w:lineRule="exact"/>
              <w:ind w:firstLine="420" w:firstLineChars="200"/>
              <w:rPr>
                <w:rFonts w:ascii="宋体" w:hAnsi="宋体"/>
                <w:color w:val="auto"/>
                <w:szCs w:val="21"/>
                <w:highlight w:val="none"/>
              </w:rPr>
            </w:pPr>
          </w:p>
        </w:tc>
        <w:tc>
          <w:tcPr>
            <w:tcW w:w="4252" w:type="dxa"/>
            <w:vAlign w:val="center"/>
          </w:tcPr>
          <w:p w14:paraId="4C49EE0C">
            <w:pPr>
              <w:spacing w:line="400" w:lineRule="exact"/>
              <w:ind w:firstLine="420" w:firstLineChars="200"/>
              <w:rPr>
                <w:rFonts w:ascii="宋体" w:hAnsi="宋体"/>
                <w:color w:val="auto"/>
                <w:szCs w:val="21"/>
                <w:highlight w:val="none"/>
              </w:rPr>
            </w:pPr>
          </w:p>
        </w:tc>
      </w:tr>
      <w:tr w14:paraId="4C289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78CD29F7">
            <w:pPr>
              <w:spacing w:line="400" w:lineRule="exact"/>
              <w:jc w:val="center"/>
              <w:rPr>
                <w:rFonts w:ascii="宋体" w:hAnsi="宋体"/>
                <w:color w:val="auto"/>
                <w:szCs w:val="21"/>
                <w:highlight w:val="none"/>
              </w:rPr>
            </w:pPr>
            <w:r>
              <w:rPr>
                <w:rFonts w:hint="eastAsia" w:ascii="宋体" w:hAnsi="宋体"/>
                <w:color w:val="auto"/>
                <w:szCs w:val="21"/>
                <w:highlight w:val="none"/>
              </w:rPr>
              <w:t>材料管理</w:t>
            </w:r>
          </w:p>
        </w:tc>
        <w:tc>
          <w:tcPr>
            <w:tcW w:w="1418" w:type="dxa"/>
            <w:vAlign w:val="center"/>
          </w:tcPr>
          <w:p w14:paraId="6EAF8202">
            <w:pPr>
              <w:spacing w:line="400" w:lineRule="exact"/>
              <w:ind w:firstLine="420" w:firstLineChars="200"/>
              <w:rPr>
                <w:rFonts w:ascii="宋体" w:hAnsi="宋体"/>
                <w:color w:val="auto"/>
                <w:szCs w:val="21"/>
                <w:highlight w:val="none"/>
              </w:rPr>
            </w:pPr>
          </w:p>
        </w:tc>
        <w:tc>
          <w:tcPr>
            <w:tcW w:w="1134" w:type="dxa"/>
            <w:vAlign w:val="center"/>
          </w:tcPr>
          <w:p w14:paraId="39DC5375">
            <w:pPr>
              <w:spacing w:line="400" w:lineRule="exact"/>
              <w:ind w:firstLine="420" w:firstLineChars="200"/>
              <w:rPr>
                <w:rFonts w:ascii="宋体" w:hAnsi="宋体"/>
                <w:color w:val="auto"/>
                <w:szCs w:val="21"/>
                <w:highlight w:val="none"/>
              </w:rPr>
            </w:pPr>
          </w:p>
        </w:tc>
        <w:tc>
          <w:tcPr>
            <w:tcW w:w="1134" w:type="dxa"/>
            <w:vAlign w:val="center"/>
          </w:tcPr>
          <w:p w14:paraId="33339B60">
            <w:pPr>
              <w:spacing w:line="400" w:lineRule="exact"/>
              <w:ind w:firstLine="420" w:firstLineChars="200"/>
              <w:rPr>
                <w:rFonts w:ascii="宋体" w:hAnsi="宋体"/>
                <w:color w:val="auto"/>
                <w:szCs w:val="21"/>
                <w:highlight w:val="none"/>
              </w:rPr>
            </w:pPr>
          </w:p>
        </w:tc>
        <w:tc>
          <w:tcPr>
            <w:tcW w:w="4252" w:type="dxa"/>
            <w:vAlign w:val="center"/>
          </w:tcPr>
          <w:p w14:paraId="0987FF25">
            <w:pPr>
              <w:spacing w:line="400" w:lineRule="exact"/>
              <w:ind w:firstLine="420" w:firstLineChars="200"/>
              <w:rPr>
                <w:rFonts w:ascii="宋体" w:hAnsi="宋体"/>
                <w:color w:val="auto"/>
                <w:szCs w:val="21"/>
                <w:highlight w:val="none"/>
              </w:rPr>
            </w:pPr>
          </w:p>
        </w:tc>
      </w:tr>
      <w:tr w14:paraId="0A0AD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5EFF9DCD">
            <w:pPr>
              <w:spacing w:line="400" w:lineRule="exact"/>
              <w:jc w:val="center"/>
              <w:rPr>
                <w:rFonts w:ascii="宋体" w:hAnsi="宋体"/>
                <w:color w:val="auto"/>
                <w:szCs w:val="21"/>
                <w:highlight w:val="none"/>
              </w:rPr>
            </w:pPr>
            <w:r>
              <w:rPr>
                <w:rFonts w:hint="eastAsia" w:ascii="宋体" w:hAnsi="宋体"/>
                <w:color w:val="auto"/>
                <w:szCs w:val="21"/>
                <w:highlight w:val="none"/>
              </w:rPr>
              <w:t>计划管理</w:t>
            </w:r>
          </w:p>
        </w:tc>
        <w:tc>
          <w:tcPr>
            <w:tcW w:w="1418" w:type="dxa"/>
            <w:vAlign w:val="center"/>
          </w:tcPr>
          <w:p w14:paraId="30E114C9">
            <w:pPr>
              <w:spacing w:line="400" w:lineRule="exact"/>
              <w:ind w:firstLine="420" w:firstLineChars="200"/>
              <w:rPr>
                <w:rFonts w:ascii="宋体" w:hAnsi="宋体"/>
                <w:color w:val="auto"/>
                <w:szCs w:val="21"/>
                <w:highlight w:val="none"/>
              </w:rPr>
            </w:pPr>
          </w:p>
        </w:tc>
        <w:tc>
          <w:tcPr>
            <w:tcW w:w="1134" w:type="dxa"/>
            <w:vAlign w:val="center"/>
          </w:tcPr>
          <w:p w14:paraId="22378CC8">
            <w:pPr>
              <w:spacing w:line="400" w:lineRule="exact"/>
              <w:ind w:firstLine="420" w:firstLineChars="200"/>
              <w:rPr>
                <w:rFonts w:ascii="宋体" w:hAnsi="宋体"/>
                <w:color w:val="auto"/>
                <w:szCs w:val="21"/>
                <w:highlight w:val="none"/>
              </w:rPr>
            </w:pPr>
          </w:p>
        </w:tc>
        <w:tc>
          <w:tcPr>
            <w:tcW w:w="1134" w:type="dxa"/>
            <w:vAlign w:val="center"/>
          </w:tcPr>
          <w:p w14:paraId="72CE2A8D">
            <w:pPr>
              <w:spacing w:line="400" w:lineRule="exact"/>
              <w:ind w:firstLine="420" w:firstLineChars="200"/>
              <w:rPr>
                <w:rFonts w:ascii="宋体" w:hAnsi="宋体"/>
                <w:color w:val="auto"/>
                <w:szCs w:val="21"/>
                <w:highlight w:val="none"/>
              </w:rPr>
            </w:pPr>
          </w:p>
        </w:tc>
        <w:tc>
          <w:tcPr>
            <w:tcW w:w="4252" w:type="dxa"/>
            <w:vAlign w:val="center"/>
          </w:tcPr>
          <w:p w14:paraId="3FFABCFC">
            <w:pPr>
              <w:spacing w:line="400" w:lineRule="exact"/>
              <w:ind w:firstLine="420" w:firstLineChars="200"/>
              <w:rPr>
                <w:rFonts w:ascii="宋体" w:hAnsi="宋体"/>
                <w:color w:val="auto"/>
                <w:szCs w:val="21"/>
                <w:highlight w:val="none"/>
              </w:rPr>
            </w:pPr>
          </w:p>
        </w:tc>
      </w:tr>
      <w:tr w14:paraId="1CEA3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54560021">
            <w:pPr>
              <w:spacing w:line="400" w:lineRule="exact"/>
              <w:jc w:val="center"/>
              <w:rPr>
                <w:rFonts w:ascii="宋体" w:hAnsi="宋体"/>
                <w:color w:val="auto"/>
                <w:szCs w:val="21"/>
                <w:highlight w:val="none"/>
              </w:rPr>
            </w:pPr>
            <w:r>
              <w:rPr>
                <w:rFonts w:hint="eastAsia" w:ascii="宋体" w:hAnsi="宋体"/>
                <w:color w:val="auto"/>
                <w:szCs w:val="21"/>
                <w:highlight w:val="none"/>
              </w:rPr>
              <w:t>安全管理</w:t>
            </w:r>
          </w:p>
        </w:tc>
        <w:tc>
          <w:tcPr>
            <w:tcW w:w="1418" w:type="dxa"/>
            <w:vAlign w:val="center"/>
          </w:tcPr>
          <w:p w14:paraId="46617447">
            <w:pPr>
              <w:spacing w:line="400" w:lineRule="exact"/>
              <w:ind w:firstLine="420" w:firstLineChars="200"/>
              <w:rPr>
                <w:rFonts w:ascii="宋体" w:hAnsi="宋体"/>
                <w:color w:val="auto"/>
                <w:szCs w:val="21"/>
                <w:highlight w:val="none"/>
              </w:rPr>
            </w:pPr>
          </w:p>
        </w:tc>
        <w:tc>
          <w:tcPr>
            <w:tcW w:w="1134" w:type="dxa"/>
            <w:vAlign w:val="center"/>
          </w:tcPr>
          <w:p w14:paraId="1FF0A5A8">
            <w:pPr>
              <w:spacing w:line="400" w:lineRule="exact"/>
              <w:ind w:firstLine="420" w:firstLineChars="200"/>
              <w:rPr>
                <w:rFonts w:ascii="宋体" w:hAnsi="宋体"/>
                <w:color w:val="auto"/>
                <w:szCs w:val="21"/>
                <w:highlight w:val="none"/>
              </w:rPr>
            </w:pPr>
          </w:p>
        </w:tc>
        <w:tc>
          <w:tcPr>
            <w:tcW w:w="1134" w:type="dxa"/>
            <w:vAlign w:val="center"/>
          </w:tcPr>
          <w:p w14:paraId="7694D65B">
            <w:pPr>
              <w:spacing w:line="400" w:lineRule="exact"/>
              <w:ind w:firstLine="420" w:firstLineChars="200"/>
              <w:rPr>
                <w:rFonts w:ascii="宋体" w:hAnsi="宋体"/>
                <w:color w:val="auto"/>
                <w:szCs w:val="21"/>
                <w:highlight w:val="none"/>
              </w:rPr>
            </w:pPr>
          </w:p>
        </w:tc>
        <w:tc>
          <w:tcPr>
            <w:tcW w:w="4252" w:type="dxa"/>
            <w:vAlign w:val="center"/>
          </w:tcPr>
          <w:p w14:paraId="777B94B9">
            <w:pPr>
              <w:spacing w:line="400" w:lineRule="exact"/>
              <w:ind w:firstLine="420" w:firstLineChars="200"/>
              <w:rPr>
                <w:rFonts w:ascii="宋体" w:hAnsi="宋体"/>
                <w:color w:val="auto"/>
                <w:szCs w:val="21"/>
                <w:highlight w:val="none"/>
              </w:rPr>
            </w:pPr>
          </w:p>
        </w:tc>
      </w:tr>
      <w:tr w14:paraId="2F542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restart"/>
            <w:vAlign w:val="center"/>
          </w:tcPr>
          <w:p w14:paraId="42861609">
            <w:pPr>
              <w:spacing w:line="400" w:lineRule="exact"/>
              <w:jc w:val="center"/>
              <w:rPr>
                <w:rFonts w:ascii="宋体" w:hAnsi="宋体"/>
                <w:color w:val="auto"/>
                <w:szCs w:val="21"/>
                <w:highlight w:val="none"/>
              </w:rPr>
            </w:pPr>
            <w:r>
              <w:rPr>
                <w:rFonts w:hint="eastAsia" w:ascii="宋体" w:hAnsi="宋体"/>
                <w:color w:val="auto"/>
                <w:szCs w:val="21"/>
                <w:highlight w:val="none"/>
              </w:rPr>
              <w:t>其他人员</w:t>
            </w:r>
          </w:p>
        </w:tc>
        <w:tc>
          <w:tcPr>
            <w:tcW w:w="1418" w:type="dxa"/>
            <w:vAlign w:val="center"/>
          </w:tcPr>
          <w:p w14:paraId="483674DC">
            <w:pPr>
              <w:spacing w:line="400" w:lineRule="exact"/>
              <w:ind w:firstLine="420" w:firstLineChars="200"/>
              <w:rPr>
                <w:rFonts w:ascii="宋体" w:hAnsi="宋体"/>
                <w:color w:val="auto"/>
                <w:szCs w:val="21"/>
                <w:highlight w:val="none"/>
              </w:rPr>
            </w:pPr>
          </w:p>
        </w:tc>
        <w:tc>
          <w:tcPr>
            <w:tcW w:w="1134" w:type="dxa"/>
            <w:vAlign w:val="center"/>
          </w:tcPr>
          <w:p w14:paraId="5607116C">
            <w:pPr>
              <w:spacing w:line="400" w:lineRule="exact"/>
              <w:ind w:firstLine="420" w:firstLineChars="200"/>
              <w:rPr>
                <w:rFonts w:ascii="宋体" w:hAnsi="宋体"/>
                <w:color w:val="auto"/>
                <w:szCs w:val="21"/>
                <w:highlight w:val="none"/>
              </w:rPr>
            </w:pPr>
          </w:p>
        </w:tc>
        <w:tc>
          <w:tcPr>
            <w:tcW w:w="1134" w:type="dxa"/>
            <w:vAlign w:val="center"/>
          </w:tcPr>
          <w:p w14:paraId="44418719">
            <w:pPr>
              <w:spacing w:line="400" w:lineRule="exact"/>
              <w:ind w:firstLine="420" w:firstLineChars="200"/>
              <w:rPr>
                <w:rFonts w:ascii="宋体" w:hAnsi="宋体"/>
                <w:color w:val="auto"/>
                <w:szCs w:val="21"/>
                <w:highlight w:val="none"/>
              </w:rPr>
            </w:pPr>
          </w:p>
        </w:tc>
        <w:tc>
          <w:tcPr>
            <w:tcW w:w="4252" w:type="dxa"/>
            <w:vAlign w:val="center"/>
          </w:tcPr>
          <w:p w14:paraId="0EE218AF">
            <w:pPr>
              <w:spacing w:line="400" w:lineRule="exact"/>
              <w:ind w:firstLine="420" w:firstLineChars="200"/>
              <w:rPr>
                <w:rFonts w:ascii="宋体" w:hAnsi="宋体"/>
                <w:color w:val="auto"/>
                <w:szCs w:val="21"/>
                <w:highlight w:val="none"/>
              </w:rPr>
            </w:pPr>
          </w:p>
        </w:tc>
      </w:tr>
      <w:tr w14:paraId="3310F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0C95CF26">
            <w:pPr>
              <w:spacing w:line="400" w:lineRule="exact"/>
              <w:ind w:firstLine="420" w:firstLineChars="200"/>
              <w:rPr>
                <w:rFonts w:ascii="宋体" w:hAnsi="宋体"/>
                <w:color w:val="auto"/>
                <w:szCs w:val="21"/>
                <w:highlight w:val="none"/>
              </w:rPr>
            </w:pPr>
          </w:p>
        </w:tc>
        <w:tc>
          <w:tcPr>
            <w:tcW w:w="1418" w:type="dxa"/>
            <w:vAlign w:val="center"/>
          </w:tcPr>
          <w:p w14:paraId="174C5BFC">
            <w:pPr>
              <w:spacing w:line="400" w:lineRule="exact"/>
              <w:ind w:firstLine="420" w:firstLineChars="200"/>
              <w:rPr>
                <w:rFonts w:ascii="宋体" w:hAnsi="宋体"/>
                <w:color w:val="auto"/>
                <w:szCs w:val="21"/>
                <w:highlight w:val="none"/>
              </w:rPr>
            </w:pPr>
          </w:p>
        </w:tc>
        <w:tc>
          <w:tcPr>
            <w:tcW w:w="1134" w:type="dxa"/>
            <w:vAlign w:val="center"/>
          </w:tcPr>
          <w:p w14:paraId="1A0E8211">
            <w:pPr>
              <w:spacing w:line="400" w:lineRule="exact"/>
              <w:ind w:firstLine="420" w:firstLineChars="200"/>
              <w:rPr>
                <w:rFonts w:ascii="宋体" w:hAnsi="宋体"/>
                <w:color w:val="auto"/>
                <w:szCs w:val="21"/>
                <w:highlight w:val="none"/>
              </w:rPr>
            </w:pPr>
          </w:p>
        </w:tc>
        <w:tc>
          <w:tcPr>
            <w:tcW w:w="1134" w:type="dxa"/>
            <w:vAlign w:val="center"/>
          </w:tcPr>
          <w:p w14:paraId="176B2BF0">
            <w:pPr>
              <w:spacing w:line="400" w:lineRule="exact"/>
              <w:ind w:firstLine="420" w:firstLineChars="200"/>
              <w:rPr>
                <w:rFonts w:ascii="宋体" w:hAnsi="宋体"/>
                <w:color w:val="auto"/>
                <w:szCs w:val="21"/>
                <w:highlight w:val="none"/>
              </w:rPr>
            </w:pPr>
          </w:p>
        </w:tc>
        <w:tc>
          <w:tcPr>
            <w:tcW w:w="4252" w:type="dxa"/>
            <w:vAlign w:val="center"/>
          </w:tcPr>
          <w:p w14:paraId="02970C80">
            <w:pPr>
              <w:spacing w:line="400" w:lineRule="exact"/>
              <w:ind w:firstLine="420" w:firstLineChars="200"/>
              <w:rPr>
                <w:rFonts w:ascii="宋体" w:hAnsi="宋体"/>
                <w:color w:val="auto"/>
                <w:szCs w:val="21"/>
                <w:highlight w:val="none"/>
              </w:rPr>
            </w:pPr>
          </w:p>
        </w:tc>
      </w:tr>
      <w:tr w14:paraId="0CFB6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48B33B27">
            <w:pPr>
              <w:spacing w:line="400" w:lineRule="exact"/>
              <w:ind w:firstLine="420" w:firstLineChars="200"/>
              <w:rPr>
                <w:rFonts w:ascii="宋体" w:hAnsi="宋体"/>
                <w:color w:val="auto"/>
                <w:szCs w:val="21"/>
                <w:highlight w:val="none"/>
              </w:rPr>
            </w:pPr>
          </w:p>
        </w:tc>
        <w:tc>
          <w:tcPr>
            <w:tcW w:w="1418" w:type="dxa"/>
            <w:vAlign w:val="center"/>
          </w:tcPr>
          <w:p w14:paraId="57420D34">
            <w:pPr>
              <w:spacing w:line="400" w:lineRule="exact"/>
              <w:ind w:firstLine="420" w:firstLineChars="200"/>
              <w:rPr>
                <w:rFonts w:ascii="宋体" w:hAnsi="宋体"/>
                <w:color w:val="auto"/>
                <w:szCs w:val="21"/>
                <w:highlight w:val="none"/>
              </w:rPr>
            </w:pPr>
          </w:p>
        </w:tc>
        <w:tc>
          <w:tcPr>
            <w:tcW w:w="1134" w:type="dxa"/>
            <w:vAlign w:val="center"/>
          </w:tcPr>
          <w:p w14:paraId="591793A4">
            <w:pPr>
              <w:spacing w:line="400" w:lineRule="exact"/>
              <w:ind w:firstLine="420" w:firstLineChars="200"/>
              <w:rPr>
                <w:rFonts w:ascii="宋体" w:hAnsi="宋体"/>
                <w:color w:val="auto"/>
                <w:szCs w:val="21"/>
                <w:highlight w:val="none"/>
              </w:rPr>
            </w:pPr>
          </w:p>
        </w:tc>
        <w:tc>
          <w:tcPr>
            <w:tcW w:w="1134" w:type="dxa"/>
            <w:vAlign w:val="center"/>
          </w:tcPr>
          <w:p w14:paraId="540329D9">
            <w:pPr>
              <w:spacing w:line="400" w:lineRule="exact"/>
              <w:ind w:firstLine="420" w:firstLineChars="200"/>
              <w:rPr>
                <w:rFonts w:ascii="宋体" w:hAnsi="宋体"/>
                <w:color w:val="auto"/>
                <w:szCs w:val="21"/>
                <w:highlight w:val="none"/>
              </w:rPr>
            </w:pPr>
          </w:p>
        </w:tc>
        <w:tc>
          <w:tcPr>
            <w:tcW w:w="4252" w:type="dxa"/>
            <w:vAlign w:val="center"/>
          </w:tcPr>
          <w:p w14:paraId="311AA323">
            <w:pPr>
              <w:spacing w:line="400" w:lineRule="exact"/>
              <w:ind w:firstLine="420" w:firstLineChars="200"/>
              <w:rPr>
                <w:rFonts w:ascii="宋体" w:hAnsi="宋体"/>
                <w:color w:val="auto"/>
                <w:szCs w:val="21"/>
                <w:highlight w:val="none"/>
              </w:rPr>
            </w:pPr>
          </w:p>
        </w:tc>
      </w:tr>
      <w:tr w14:paraId="02A01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7" w:hRule="atLeast"/>
          <w:jc w:val="center"/>
        </w:trPr>
        <w:tc>
          <w:tcPr>
            <w:tcW w:w="1871" w:type="dxa"/>
            <w:vMerge w:val="continue"/>
            <w:vAlign w:val="center"/>
          </w:tcPr>
          <w:p w14:paraId="722633BA">
            <w:pPr>
              <w:spacing w:line="400" w:lineRule="exact"/>
              <w:ind w:firstLine="420" w:firstLineChars="200"/>
              <w:rPr>
                <w:rFonts w:ascii="宋体" w:hAnsi="宋体"/>
                <w:color w:val="auto"/>
                <w:szCs w:val="21"/>
                <w:highlight w:val="none"/>
              </w:rPr>
            </w:pPr>
          </w:p>
        </w:tc>
        <w:tc>
          <w:tcPr>
            <w:tcW w:w="1418" w:type="dxa"/>
            <w:vAlign w:val="center"/>
          </w:tcPr>
          <w:p w14:paraId="18DB79E0">
            <w:pPr>
              <w:spacing w:line="400" w:lineRule="exact"/>
              <w:ind w:firstLine="420" w:firstLineChars="200"/>
              <w:rPr>
                <w:rFonts w:ascii="宋体" w:hAnsi="宋体"/>
                <w:color w:val="auto"/>
                <w:szCs w:val="21"/>
                <w:highlight w:val="none"/>
              </w:rPr>
            </w:pPr>
          </w:p>
        </w:tc>
        <w:tc>
          <w:tcPr>
            <w:tcW w:w="1134" w:type="dxa"/>
            <w:vAlign w:val="center"/>
          </w:tcPr>
          <w:p w14:paraId="278B592D">
            <w:pPr>
              <w:spacing w:line="400" w:lineRule="exact"/>
              <w:ind w:firstLine="420" w:firstLineChars="200"/>
              <w:rPr>
                <w:rFonts w:ascii="宋体" w:hAnsi="宋体"/>
                <w:color w:val="auto"/>
                <w:szCs w:val="21"/>
                <w:highlight w:val="none"/>
              </w:rPr>
            </w:pPr>
          </w:p>
        </w:tc>
        <w:tc>
          <w:tcPr>
            <w:tcW w:w="1134" w:type="dxa"/>
            <w:vAlign w:val="center"/>
          </w:tcPr>
          <w:p w14:paraId="1C03B539">
            <w:pPr>
              <w:spacing w:line="400" w:lineRule="exact"/>
              <w:ind w:firstLine="420" w:firstLineChars="200"/>
              <w:rPr>
                <w:rFonts w:ascii="宋体" w:hAnsi="宋体"/>
                <w:color w:val="auto"/>
                <w:szCs w:val="21"/>
                <w:highlight w:val="none"/>
              </w:rPr>
            </w:pPr>
          </w:p>
        </w:tc>
        <w:tc>
          <w:tcPr>
            <w:tcW w:w="4252" w:type="dxa"/>
            <w:vAlign w:val="center"/>
          </w:tcPr>
          <w:p w14:paraId="56622EE4">
            <w:pPr>
              <w:spacing w:line="400" w:lineRule="exact"/>
              <w:ind w:firstLine="420" w:firstLineChars="200"/>
              <w:rPr>
                <w:rFonts w:ascii="宋体" w:hAnsi="宋体"/>
                <w:color w:val="auto"/>
                <w:szCs w:val="21"/>
                <w:highlight w:val="none"/>
              </w:rPr>
            </w:pPr>
          </w:p>
        </w:tc>
      </w:tr>
      <w:tr w14:paraId="23F48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0" w:hRule="atLeast"/>
          <w:jc w:val="center"/>
        </w:trPr>
        <w:tc>
          <w:tcPr>
            <w:tcW w:w="1871" w:type="dxa"/>
            <w:vMerge w:val="continue"/>
            <w:vAlign w:val="center"/>
          </w:tcPr>
          <w:p w14:paraId="0BD3B05D">
            <w:pPr>
              <w:spacing w:line="400" w:lineRule="exact"/>
              <w:ind w:firstLine="420" w:firstLineChars="200"/>
              <w:rPr>
                <w:rFonts w:ascii="宋体" w:hAnsi="宋体"/>
                <w:color w:val="auto"/>
                <w:szCs w:val="21"/>
                <w:highlight w:val="none"/>
              </w:rPr>
            </w:pPr>
          </w:p>
        </w:tc>
        <w:tc>
          <w:tcPr>
            <w:tcW w:w="1418" w:type="dxa"/>
            <w:vAlign w:val="center"/>
          </w:tcPr>
          <w:p w14:paraId="36E0D1CF">
            <w:pPr>
              <w:spacing w:line="400" w:lineRule="exact"/>
              <w:ind w:firstLine="420" w:firstLineChars="200"/>
              <w:rPr>
                <w:rFonts w:ascii="宋体" w:hAnsi="宋体"/>
                <w:color w:val="auto"/>
                <w:szCs w:val="21"/>
                <w:highlight w:val="none"/>
              </w:rPr>
            </w:pPr>
          </w:p>
        </w:tc>
        <w:tc>
          <w:tcPr>
            <w:tcW w:w="1134" w:type="dxa"/>
            <w:vAlign w:val="center"/>
          </w:tcPr>
          <w:p w14:paraId="4973E803">
            <w:pPr>
              <w:spacing w:line="400" w:lineRule="exact"/>
              <w:ind w:firstLine="420" w:firstLineChars="200"/>
              <w:rPr>
                <w:rFonts w:ascii="宋体" w:hAnsi="宋体"/>
                <w:color w:val="auto"/>
                <w:szCs w:val="21"/>
                <w:highlight w:val="none"/>
              </w:rPr>
            </w:pPr>
          </w:p>
        </w:tc>
        <w:tc>
          <w:tcPr>
            <w:tcW w:w="1134" w:type="dxa"/>
            <w:vAlign w:val="center"/>
          </w:tcPr>
          <w:p w14:paraId="73B5AF86">
            <w:pPr>
              <w:spacing w:line="400" w:lineRule="exact"/>
              <w:ind w:firstLine="420" w:firstLineChars="200"/>
              <w:rPr>
                <w:rFonts w:ascii="宋体" w:hAnsi="宋体"/>
                <w:color w:val="auto"/>
                <w:szCs w:val="21"/>
                <w:highlight w:val="none"/>
              </w:rPr>
            </w:pPr>
          </w:p>
        </w:tc>
        <w:tc>
          <w:tcPr>
            <w:tcW w:w="4252" w:type="dxa"/>
            <w:vAlign w:val="center"/>
          </w:tcPr>
          <w:p w14:paraId="2D3641A0">
            <w:pPr>
              <w:spacing w:line="400" w:lineRule="exact"/>
              <w:ind w:firstLine="420" w:firstLineChars="200"/>
              <w:rPr>
                <w:rFonts w:ascii="宋体" w:hAnsi="宋体"/>
                <w:color w:val="auto"/>
                <w:szCs w:val="21"/>
                <w:highlight w:val="none"/>
              </w:rPr>
            </w:pPr>
          </w:p>
        </w:tc>
      </w:tr>
    </w:tbl>
    <w:p w14:paraId="259117AF">
      <w:pPr>
        <w:spacing w:line="480" w:lineRule="auto"/>
        <w:rPr>
          <w:rFonts w:ascii="宋体" w:hAnsi="宋体"/>
          <w:color w:val="auto"/>
          <w:szCs w:val="21"/>
          <w:highlight w:val="none"/>
        </w:rPr>
      </w:pPr>
      <w:r>
        <w:rPr>
          <w:rFonts w:hint="eastAsia" w:ascii="宋体" w:hAnsi="宋体"/>
          <w:color w:val="auto"/>
          <w:szCs w:val="21"/>
          <w:highlight w:val="none"/>
        </w:rPr>
        <w:br w:type="page"/>
      </w:r>
      <w:r>
        <w:rPr>
          <w:rFonts w:hint="eastAsia" w:ascii="宋体" w:hAnsi="宋体"/>
          <w:color w:val="auto"/>
          <w:szCs w:val="21"/>
          <w:highlight w:val="none"/>
        </w:rPr>
        <w:t>附件4：</w:t>
      </w:r>
    </w:p>
    <w:p w14:paraId="5E57FAD1">
      <w:pPr>
        <w:spacing w:line="360" w:lineRule="auto"/>
        <w:ind w:firstLine="420" w:firstLineChars="200"/>
        <w:jc w:val="center"/>
        <w:rPr>
          <w:rFonts w:ascii="宋体" w:hAnsi="宋体"/>
          <w:color w:val="auto"/>
          <w:szCs w:val="21"/>
          <w:highlight w:val="none"/>
        </w:rPr>
      </w:pPr>
      <w:r>
        <w:rPr>
          <w:rFonts w:hint="eastAsia" w:ascii="宋体" w:hAnsi="宋体"/>
          <w:color w:val="auto"/>
          <w:szCs w:val="21"/>
          <w:highlight w:val="none"/>
        </w:rPr>
        <w:t>履约担保（如有）</w:t>
      </w:r>
    </w:p>
    <w:p w14:paraId="3C5F4C42">
      <w:pPr>
        <w:spacing w:line="360" w:lineRule="auto"/>
        <w:ind w:firstLine="420" w:firstLineChars="200"/>
        <w:rPr>
          <w:rFonts w:ascii="宋体" w:hAnsi="宋体"/>
          <w:color w:val="auto"/>
          <w:szCs w:val="21"/>
          <w:highlight w:val="none"/>
        </w:rPr>
      </w:pPr>
      <w:r>
        <w:rPr>
          <w:rFonts w:hint="eastAsia" w:ascii="宋体" w:hAnsi="宋体"/>
          <w:snapToGrid w:val="0"/>
          <w:color w:val="auto"/>
          <w:kern w:val="0"/>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（发包人名称）：</w:t>
      </w:r>
    </w:p>
    <w:p w14:paraId="2B0F7563">
      <w:pPr>
        <w:spacing w:line="360" w:lineRule="auto"/>
        <w:ind w:firstLine="420" w:firstLineChars="200"/>
        <w:rPr>
          <w:rFonts w:ascii="宋体" w:cs="宋体"/>
          <w:color w:val="auto"/>
          <w:szCs w:val="21"/>
          <w:highlight w:val="none"/>
          <w:u w:val="single"/>
        </w:rPr>
      </w:pPr>
      <w:r>
        <w:rPr>
          <w:rFonts w:hint="eastAsia" w:ascii="宋体" w:cs="宋体"/>
          <w:color w:val="auto"/>
          <w:szCs w:val="21"/>
          <w:highlight w:val="none"/>
        </w:rPr>
        <w:t>鉴于</w:t>
      </w:r>
      <w:r>
        <w:rPr>
          <w:rFonts w:hint="eastAsia" w:ascii="宋体" w:cs="宋体"/>
          <w:color w:val="auto"/>
          <w:szCs w:val="21"/>
          <w:highlight w:val="none"/>
          <w:u w:val="single"/>
        </w:rPr>
        <w:t xml:space="preserve">                      </w:t>
      </w:r>
      <w:r>
        <w:rPr>
          <w:rFonts w:hint="eastAsia" w:ascii="宋体" w:cs="宋体"/>
          <w:color w:val="auto"/>
          <w:szCs w:val="21"/>
          <w:highlight w:val="none"/>
        </w:rPr>
        <w:t>（发包人名称，以下简称“发包人”）与          （承包人名称）（以下称“承包人”）</w:t>
      </w:r>
      <w:r>
        <w:rPr>
          <w:rFonts w:hint="eastAsia" w:cs="宋体"/>
          <w:color w:val="auto"/>
          <w:szCs w:val="21"/>
          <w:highlight w:val="none"/>
        </w:rPr>
        <w:t>拟于</w:t>
      </w:r>
      <w:r>
        <w:rPr>
          <w:rFonts w:hint="eastAsia" w:cs="宋体"/>
          <w:color w:val="auto"/>
          <w:szCs w:val="21"/>
          <w:highlight w:val="none"/>
          <w:u w:val="single"/>
        </w:rPr>
        <w:t xml:space="preserve"> / </w:t>
      </w:r>
      <w:r>
        <w:rPr>
          <w:rFonts w:hint="eastAsia" w:cs="宋体"/>
          <w:color w:val="auto"/>
          <w:szCs w:val="21"/>
          <w:highlight w:val="none"/>
        </w:rPr>
        <w:t>年</w:t>
      </w:r>
      <w:r>
        <w:rPr>
          <w:rFonts w:hint="eastAsia" w:cs="宋体"/>
          <w:color w:val="auto"/>
          <w:szCs w:val="21"/>
          <w:highlight w:val="none"/>
          <w:u w:val="single"/>
        </w:rPr>
        <w:t xml:space="preserve"> / </w:t>
      </w:r>
      <w:r>
        <w:rPr>
          <w:rFonts w:hint="eastAsia" w:cs="宋体"/>
          <w:color w:val="auto"/>
          <w:szCs w:val="21"/>
          <w:highlight w:val="none"/>
        </w:rPr>
        <w:t>月</w:t>
      </w:r>
      <w:r>
        <w:rPr>
          <w:rFonts w:hint="eastAsia" w:cs="宋体"/>
          <w:color w:val="auto"/>
          <w:szCs w:val="21"/>
          <w:highlight w:val="none"/>
          <w:u w:val="single"/>
        </w:rPr>
        <w:t xml:space="preserve"> / </w:t>
      </w:r>
      <w:r>
        <w:rPr>
          <w:rFonts w:hint="eastAsia" w:cs="宋体"/>
          <w:color w:val="auto"/>
          <w:szCs w:val="21"/>
          <w:highlight w:val="none"/>
        </w:rPr>
        <w:t>日</w:t>
      </w:r>
      <w:r>
        <w:rPr>
          <w:rFonts w:hint="eastAsia" w:ascii="宋体" w:cs="宋体"/>
          <w:color w:val="auto"/>
          <w:szCs w:val="21"/>
          <w:highlight w:val="none"/>
        </w:rPr>
        <w:t>就</w:t>
      </w:r>
      <w:r>
        <w:rPr>
          <w:rFonts w:hint="eastAsia" w:ascii="宋体" w:cs="宋体"/>
          <w:color w:val="auto"/>
          <w:szCs w:val="21"/>
          <w:highlight w:val="none"/>
          <w:u w:val="single"/>
        </w:rPr>
        <w:t xml:space="preserve">            </w:t>
      </w:r>
      <w:r>
        <w:rPr>
          <w:rFonts w:hint="eastAsia" w:ascii="宋体" w:cs="宋体"/>
          <w:color w:val="auto"/>
          <w:szCs w:val="21"/>
          <w:highlight w:val="none"/>
        </w:rPr>
        <w:t>（工程名称）施工及有关事项协商一致共同签订《建设工程施工合同》。我方愿意无条件地、不可撤销地就承包人履行与你方签订的合同，向你方提供见索即付的履约担保</w:t>
      </w:r>
      <w:r>
        <w:rPr>
          <w:rFonts w:hint="eastAsia" w:cs="宋体"/>
          <w:color w:val="auto"/>
          <w:szCs w:val="21"/>
          <w:highlight w:val="none"/>
        </w:rPr>
        <w:t>保函</w:t>
      </w:r>
      <w:r>
        <w:rPr>
          <w:rFonts w:hint="eastAsia" w:asciiTheme="minorEastAsia" w:hAnsiTheme="minorEastAsia" w:eastAsiaTheme="minorEastAsia" w:cstheme="minorEastAsia"/>
          <w:color w:val="auto"/>
          <w:szCs w:val="21"/>
          <w:highlight w:val="none"/>
        </w:rPr>
        <w:t>（以下简称“本保函”）</w:t>
      </w:r>
      <w:r>
        <w:rPr>
          <w:rFonts w:hint="eastAsia" w:ascii="宋体" w:cs="宋体"/>
          <w:color w:val="auto"/>
          <w:szCs w:val="21"/>
          <w:highlight w:val="none"/>
        </w:rPr>
        <w:t>。</w:t>
      </w:r>
    </w:p>
    <w:p w14:paraId="6CD11CE2">
      <w:pPr>
        <w:spacing w:line="360" w:lineRule="auto"/>
        <w:ind w:firstLine="420" w:firstLineChars="200"/>
        <w:rPr>
          <w:rFonts w:ascii="宋体" w:cs="宋体"/>
          <w:color w:val="auto"/>
          <w:szCs w:val="21"/>
          <w:highlight w:val="none"/>
        </w:rPr>
      </w:pPr>
      <w:r>
        <w:rPr>
          <w:rFonts w:hint="eastAsia" w:ascii="宋体" w:cs="宋体"/>
          <w:color w:val="auto"/>
          <w:szCs w:val="21"/>
          <w:highlight w:val="none"/>
        </w:rPr>
        <w:t xml:space="preserve">1. </w:t>
      </w:r>
      <w:r>
        <w:rPr>
          <w:rFonts w:hint="eastAsia" w:cs="宋体"/>
          <w:color w:val="auto"/>
          <w:szCs w:val="21"/>
          <w:highlight w:val="none"/>
        </w:rPr>
        <w:t>本保函</w:t>
      </w:r>
      <w:r>
        <w:rPr>
          <w:rFonts w:hint="eastAsia" w:ascii="宋体" w:cs="宋体"/>
          <w:color w:val="auto"/>
          <w:szCs w:val="21"/>
          <w:highlight w:val="none"/>
        </w:rPr>
        <w:t>担保金额最高不超过人民币（大写）</w:t>
      </w:r>
      <w:r>
        <w:rPr>
          <w:rFonts w:hint="eastAsia" w:ascii="宋体" w:cs="宋体"/>
          <w:color w:val="auto"/>
          <w:szCs w:val="21"/>
          <w:highlight w:val="none"/>
          <w:u w:val="single"/>
        </w:rPr>
        <w:t xml:space="preserve">     </w:t>
      </w:r>
      <w:r>
        <w:rPr>
          <w:rFonts w:hint="eastAsia" w:ascii="宋体" w:cs="宋体"/>
          <w:color w:val="auto"/>
          <w:szCs w:val="21"/>
          <w:highlight w:val="none"/>
        </w:rPr>
        <w:t>（</w:t>
      </w:r>
      <w:r>
        <w:rPr>
          <w:rFonts w:hint="eastAsia" w:ascii="宋体" w:cs="宋体"/>
          <w:color w:val="auto"/>
          <w:szCs w:val="21"/>
          <w:highlight w:val="none"/>
          <w:u w:val="single"/>
        </w:rPr>
        <w:t xml:space="preserve">¥     </w:t>
      </w:r>
      <w:r>
        <w:rPr>
          <w:rFonts w:hint="eastAsia" w:cs="宋体"/>
          <w:color w:val="auto"/>
          <w:szCs w:val="21"/>
          <w:highlight w:val="none"/>
          <w:u w:val="single"/>
        </w:rPr>
        <w:t xml:space="preserve">  元</w:t>
      </w:r>
      <w:r>
        <w:rPr>
          <w:rFonts w:hint="eastAsia" w:ascii="宋体" w:cs="宋体"/>
          <w:color w:val="auto"/>
          <w:szCs w:val="21"/>
          <w:highlight w:val="none"/>
        </w:rPr>
        <w:t>）。</w:t>
      </w:r>
    </w:p>
    <w:p w14:paraId="4DCA2A49">
      <w:pPr>
        <w:pStyle w:val="2"/>
        <w:spacing w:line="360" w:lineRule="auto"/>
        <w:ind w:firstLine="420" w:firstLineChars="200"/>
        <w:rPr>
          <w:rFonts w:ascii="宋体" w:cs="宋体"/>
          <w:color w:val="auto"/>
          <w:szCs w:val="21"/>
          <w:highlight w:val="none"/>
        </w:rPr>
      </w:pPr>
      <w:r>
        <w:rPr>
          <w:rFonts w:hint="eastAsia" w:ascii="宋体" w:cs="宋体"/>
          <w:color w:val="auto"/>
          <w:szCs w:val="21"/>
          <w:highlight w:val="none"/>
        </w:rPr>
        <w:t>2. 担保有效期自</w:t>
      </w:r>
      <w:r>
        <w:rPr>
          <w:rFonts w:hint="eastAsia" w:cs="宋体"/>
          <w:color w:val="auto"/>
          <w:szCs w:val="21"/>
          <w:highlight w:val="none"/>
        </w:rPr>
        <w:t>本保函开立之日起至你方签发或应签发工程接收证书之日止</w:t>
      </w:r>
      <w:r>
        <w:rPr>
          <w:rFonts w:hint="eastAsia" w:ascii="宋体" w:cs="宋体"/>
          <w:color w:val="auto"/>
          <w:szCs w:val="21"/>
          <w:highlight w:val="none"/>
        </w:rPr>
        <w:t>,最迟</w:t>
      </w:r>
      <w:r>
        <w:rPr>
          <w:rFonts w:ascii="宋体" w:cs="宋体"/>
          <w:color w:val="auto"/>
          <w:szCs w:val="21"/>
          <w:highlight w:val="none"/>
        </w:rPr>
        <w:t>不超过</w:t>
      </w:r>
      <w:r>
        <w:rPr>
          <w:rFonts w:hint="eastAsia" w:cs="宋体"/>
          <w:color w:val="auto"/>
          <w:szCs w:val="21"/>
          <w:highlight w:val="none"/>
          <w:u w:val="single"/>
        </w:rPr>
        <w:t xml:space="preserve"> </w:t>
      </w:r>
      <w:r>
        <w:rPr>
          <w:rFonts w:ascii="宋体" w:cs="宋体"/>
          <w:color w:val="auto"/>
          <w:szCs w:val="21"/>
          <w:highlight w:val="none"/>
          <w:u w:val="single"/>
        </w:rPr>
        <w:t>202</w:t>
      </w:r>
      <w:r>
        <w:rPr>
          <w:rFonts w:hint="eastAsia" w:cs="宋体"/>
          <w:color w:val="auto"/>
          <w:szCs w:val="21"/>
          <w:highlight w:val="none"/>
          <w:u w:val="single"/>
        </w:rPr>
        <w:t xml:space="preserve">3 </w:t>
      </w:r>
      <w:r>
        <w:rPr>
          <w:rFonts w:hint="eastAsia" w:ascii="宋体" w:cs="宋体"/>
          <w:color w:val="auto"/>
          <w:szCs w:val="21"/>
          <w:highlight w:val="none"/>
        </w:rPr>
        <w:t>年</w:t>
      </w:r>
      <w:r>
        <w:rPr>
          <w:rFonts w:hint="eastAsia" w:ascii="宋体" w:cs="宋体"/>
          <w:color w:val="auto"/>
          <w:szCs w:val="21"/>
          <w:highlight w:val="none"/>
          <w:u w:val="single"/>
        </w:rPr>
        <w:t xml:space="preserve"> </w:t>
      </w:r>
      <w:r>
        <w:rPr>
          <w:rFonts w:hint="eastAsia" w:cs="宋体"/>
          <w:color w:val="auto"/>
          <w:szCs w:val="21"/>
          <w:highlight w:val="none"/>
          <w:u w:val="single"/>
        </w:rPr>
        <w:t xml:space="preserve">01 </w:t>
      </w:r>
      <w:r>
        <w:rPr>
          <w:rFonts w:hint="eastAsia" w:ascii="宋体" w:cs="宋体"/>
          <w:color w:val="auto"/>
          <w:szCs w:val="21"/>
          <w:highlight w:val="none"/>
        </w:rPr>
        <w:t>月</w:t>
      </w:r>
      <w:r>
        <w:rPr>
          <w:rFonts w:hint="eastAsia" w:ascii="宋体" w:cs="宋体"/>
          <w:color w:val="auto"/>
          <w:szCs w:val="21"/>
          <w:highlight w:val="none"/>
          <w:u w:val="single"/>
        </w:rPr>
        <w:t xml:space="preserve"> </w:t>
      </w:r>
      <w:r>
        <w:rPr>
          <w:rFonts w:hint="eastAsia" w:cs="宋体"/>
          <w:color w:val="auto"/>
          <w:szCs w:val="21"/>
          <w:highlight w:val="none"/>
          <w:u w:val="single"/>
        </w:rPr>
        <w:t>30</w:t>
      </w:r>
      <w:r>
        <w:rPr>
          <w:rFonts w:hint="eastAsia" w:ascii="宋体" w:cs="宋体"/>
          <w:color w:val="auto"/>
          <w:szCs w:val="21"/>
          <w:highlight w:val="none"/>
          <w:u w:val="single"/>
        </w:rPr>
        <w:t xml:space="preserve"> </w:t>
      </w:r>
      <w:r>
        <w:rPr>
          <w:rFonts w:hint="eastAsia" w:ascii="宋体" w:cs="宋体"/>
          <w:color w:val="auto"/>
          <w:szCs w:val="21"/>
          <w:highlight w:val="none"/>
        </w:rPr>
        <w:t>日。</w:t>
      </w:r>
      <w:r>
        <w:rPr>
          <w:rFonts w:hint="eastAsia" w:cs="宋体"/>
          <w:color w:val="auto"/>
          <w:szCs w:val="21"/>
          <w:highlight w:val="none"/>
        </w:rPr>
        <w:t>如保函到期项目仍未完工，经我行书面同意，可根据项目进度延续保函期限。</w:t>
      </w:r>
    </w:p>
    <w:p w14:paraId="4A8347A0">
      <w:pPr>
        <w:spacing w:line="360" w:lineRule="auto"/>
        <w:ind w:firstLine="420" w:firstLineChars="200"/>
        <w:rPr>
          <w:rFonts w:ascii="宋体" w:cs="宋体"/>
          <w:color w:val="auto"/>
          <w:szCs w:val="21"/>
          <w:highlight w:val="none"/>
        </w:rPr>
      </w:pPr>
      <w:r>
        <w:rPr>
          <w:rFonts w:hint="eastAsia" w:ascii="宋体" w:cs="宋体"/>
          <w:color w:val="auto"/>
          <w:szCs w:val="21"/>
          <w:highlight w:val="none"/>
        </w:rPr>
        <w:t>3. 在本担保有效期内，因承包人违反合同约定的义务给你方造成经济损失时，我方在收到你方以书面形式提出的在担保金额内的赔偿要求后，在7个工作日内无条件支付。</w:t>
      </w:r>
    </w:p>
    <w:p w14:paraId="66D40D81">
      <w:pPr>
        <w:spacing w:line="360" w:lineRule="auto"/>
        <w:ind w:firstLine="420" w:firstLineChars="200"/>
        <w:rPr>
          <w:rFonts w:ascii="宋体" w:cs="宋体"/>
          <w:color w:val="auto"/>
          <w:szCs w:val="21"/>
          <w:highlight w:val="none"/>
        </w:rPr>
      </w:pPr>
      <w:r>
        <w:rPr>
          <w:rFonts w:hint="eastAsia" w:ascii="宋体" w:cs="宋体"/>
          <w:color w:val="auto"/>
          <w:szCs w:val="21"/>
          <w:highlight w:val="none"/>
        </w:rPr>
        <w:t>4. 你方和承包人按合同约定变更合同时，我方承担本担保规定的义务不变。</w:t>
      </w:r>
    </w:p>
    <w:p w14:paraId="6C9E7E5B">
      <w:pPr>
        <w:spacing w:line="360" w:lineRule="auto"/>
        <w:ind w:firstLine="420" w:firstLineChars="200"/>
        <w:rPr>
          <w:rFonts w:ascii="宋体" w:cs="宋体"/>
          <w:color w:val="auto"/>
          <w:szCs w:val="21"/>
          <w:highlight w:val="none"/>
        </w:rPr>
      </w:pPr>
      <w:r>
        <w:rPr>
          <w:rFonts w:hint="eastAsia" w:ascii="宋体" w:cs="宋体"/>
          <w:color w:val="auto"/>
          <w:szCs w:val="21"/>
          <w:highlight w:val="none"/>
        </w:rPr>
        <w:t>5. 因本保函发生的纠纷，可由双方协商解决，协商不成的，按下列第</w:t>
      </w:r>
      <w:r>
        <w:rPr>
          <w:rFonts w:hint="eastAsia" w:ascii="宋体" w:cs="宋体"/>
          <w:color w:val="auto"/>
          <w:szCs w:val="21"/>
          <w:highlight w:val="none"/>
          <w:u w:val="single"/>
        </w:rPr>
        <w:t>（2</w:t>
      </w:r>
      <w:r>
        <w:rPr>
          <w:rFonts w:hint="eastAsia" w:cs="宋体"/>
          <w:color w:val="auto"/>
          <w:szCs w:val="21"/>
          <w:highlight w:val="none"/>
          <w:u w:val="single"/>
        </w:rPr>
        <w:t>）</w:t>
      </w:r>
      <w:r>
        <w:rPr>
          <w:rFonts w:hint="eastAsia" w:ascii="宋体" w:cs="宋体"/>
          <w:color w:val="auto"/>
          <w:szCs w:val="21"/>
          <w:highlight w:val="none"/>
        </w:rPr>
        <w:t>种方式解决：</w:t>
      </w:r>
    </w:p>
    <w:p w14:paraId="78B9E457">
      <w:pPr>
        <w:spacing w:line="360" w:lineRule="auto"/>
        <w:ind w:firstLine="420" w:firstLineChars="200"/>
        <w:rPr>
          <w:rFonts w:ascii="宋体" w:cs="宋体"/>
          <w:color w:val="auto"/>
          <w:szCs w:val="21"/>
          <w:highlight w:val="none"/>
        </w:rPr>
      </w:pPr>
      <w:r>
        <w:rPr>
          <w:rFonts w:hint="eastAsia" w:ascii="宋体" w:cs="宋体"/>
          <w:color w:val="auto"/>
          <w:szCs w:val="21"/>
          <w:highlight w:val="none"/>
        </w:rPr>
        <w:t>（1）向</w:t>
      </w:r>
      <w:r>
        <w:rPr>
          <w:rFonts w:hint="eastAsia" w:asci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cs="宋体"/>
          <w:color w:val="auto"/>
          <w:szCs w:val="21"/>
          <w:highlight w:val="none"/>
          <w:u w:val="single"/>
        </w:rPr>
        <w:t xml:space="preserve">  /  </w:t>
      </w:r>
      <w:r>
        <w:rPr>
          <w:rFonts w:hint="eastAsia" w:cs="宋体"/>
          <w:color w:val="auto"/>
          <w:szCs w:val="21"/>
          <w:highlight w:val="none"/>
          <w:u w:val="single"/>
        </w:rPr>
        <w:t xml:space="preserve">   </w:t>
      </w:r>
      <w:r>
        <w:rPr>
          <w:rFonts w:hint="eastAsia" w:ascii="宋体" w:cs="宋体"/>
          <w:color w:val="auto"/>
          <w:szCs w:val="21"/>
          <w:highlight w:val="none"/>
          <w:u w:val="single"/>
        </w:rPr>
        <w:t xml:space="preserve">  </w:t>
      </w:r>
      <w:r>
        <w:rPr>
          <w:rFonts w:hint="eastAsia" w:ascii="宋体" w:cs="宋体"/>
          <w:color w:val="auto"/>
          <w:szCs w:val="21"/>
          <w:highlight w:val="none"/>
        </w:rPr>
        <w:t>仲裁委员会申请仲裁；</w:t>
      </w:r>
    </w:p>
    <w:p w14:paraId="2C8A2791">
      <w:pPr>
        <w:spacing w:line="360" w:lineRule="auto"/>
        <w:ind w:firstLine="420" w:firstLineChars="200"/>
        <w:rPr>
          <w:rFonts w:ascii="宋体" w:cs="宋体"/>
          <w:color w:val="auto"/>
          <w:szCs w:val="21"/>
          <w:highlight w:val="none"/>
        </w:rPr>
      </w:pPr>
      <w:r>
        <w:rPr>
          <w:rFonts w:hint="eastAsia" w:ascii="宋体" w:cs="宋体"/>
          <w:color w:val="auto"/>
          <w:szCs w:val="21"/>
          <w:highlight w:val="none"/>
        </w:rPr>
        <w:t>（2）向</w:t>
      </w:r>
      <w:r>
        <w:rPr>
          <w:rFonts w:hint="eastAsia" w:ascii="宋体" w:cs="宋体"/>
          <w:color w:val="auto"/>
          <w:szCs w:val="21"/>
          <w:highlight w:val="none"/>
          <w:u w:val="single"/>
        </w:rPr>
        <w:t xml:space="preserve"> </w:t>
      </w:r>
      <w:r>
        <w:rPr>
          <w:rFonts w:hint="eastAsia" w:cs="宋体"/>
          <w:color w:val="auto"/>
          <w:szCs w:val="21"/>
          <w:highlight w:val="none"/>
          <w:u w:val="single"/>
        </w:rPr>
        <w:t xml:space="preserve"> 项目所在地 </w:t>
      </w:r>
      <w:r>
        <w:rPr>
          <w:rFonts w:hint="eastAsia" w:ascii="宋体" w:cs="宋体"/>
          <w:color w:val="auto"/>
          <w:szCs w:val="21"/>
          <w:highlight w:val="none"/>
          <w:u w:val="single"/>
        </w:rPr>
        <w:t xml:space="preserve"> </w:t>
      </w:r>
      <w:r>
        <w:rPr>
          <w:rFonts w:hint="eastAsia" w:ascii="宋体" w:cs="宋体"/>
          <w:color w:val="auto"/>
          <w:szCs w:val="21"/>
          <w:highlight w:val="none"/>
        </w:rPr>
        <w:t>人民法院起诉。</w:t>
      </w:r>
    </w:p>
    <w:p w14:paraId="645AD89E">
      <w:pPr>
        <w:spacing w:line="360" w:lineRule="exact"/>
        <w:ind w:firstLine="420" w:firstLineChars="200"/>
        <w:jc w:val="left"/>
        <w:rPr>
          <w:color w:val="auto"/>
          <w:highlight w:val="none"/>
        </w:rPr>
      </w:pPr>
      <w:r>
        <w:rPr>
          <w:rFonts w:hint="eastAsia" w:ascii="宋体" w:cs="宋体"/>
          <w:color w:val="auto"/>
          <w:szCs w:val="21"/>
          <w:highlight w:val="none"/>
        </w:rPr>
        <w:t>6.</w:t>
      </w:r>
      <w:r>
        <w:rPr>
          <w:rFonts w:hint="eastAsia" w:cs="宋体"/>
          <w:color w:val="auto"/>
          <w:szCs w:val="21"/>
          <w:highlight w:val="none"/>
        </w:rPr>
        <w:t xml:space="preserve"> </w:t>
      </w:r>
      <w:r>
        <w:rPr>
          <w:rFonts w:hint="eastAsia" w:ascii="宋体" w:cs="宋体"/>
          <w:color w:val="auto"/>
          <w:szCs w:val="21"/>
          <w:highlight w:val="none"/>
        </w:rPr>
        <w:t>本保函自我方法定代表人（或其</w:t>
      </w:r>
      <w:r>
        <w:rPr>
          <w:rFonts w:hint="eastAsia" w:cs="宋体"/>
          <w:color w:val="auto"/>
          <w:szCs w:val="21"/>
          <w:highlight w:val="none"/>
        </w:rPr>
        <w:t>授权</w:t>
      </w:r>
      <w:r>
        <w:rPr>
          <w:rFonts w:hint="eastAsia" w:ascii="宋体" w:cs="宋体"/>
          <w:color w:val="auto"/>
          <w:szCs w:val="21"/>
          <w:highlight w:val="none"/>
        </w:rPr>
        <w:t>代理人）</w:t>
      </w:r>
      <w:r>
        <w:rPr>
          <w:rFonts w:hint="eastAsia" w:cs="宋体"/>
          <w:color w:val="auto"/>
          <w:szCs w:val="21"/>
          <w:highlight w:val="none"/>
        </w:rPr>
        <w:t>签章</w:t>
      </w:r>
      <w:r>
        <w:rPr>
          <w:rFonts w:hint="eastAsia" w:ascii="宋体" w:cs="宋体"/>
          <w:color w:val="auto"/>
          <w:szCs w:val="21"/>
          <w:highlight w:val="none"/>
        </w:rPr>
        <w:t>并加盖公章之日起生效。</w:t>
      </w:r>
    </w:p>
    <w:p w14:paraId="4DE59A22">
      <w:pPr>
        <w:pStyle w:val="2"/>
        <w:spacing w:before="3"/>
        <w:rPr>
          <w:color w:val="auto"/>
          <w:sz w:val="18"/>
          <w:highlight w:val="none"/>
        </w:rPr>
      </w:pPr>
    </w:p>
    <w:p w14:paraId="42C4A9F6">
      <w:pPr>
        <w:spacing w:line="276" w:lineRule="auto"/>
        <w:rPr>
          <w:rFonts w:ascii="黑体" w:hAnsi="黑体" w:eastAsia="黑体" w:cs="宋体"/>
          <w:b/>
          <w:color w:val="auto"/>
          <w:kern w:val="0"/>
          <w:sz w:val="24"/>
          <w:highlight w:val="none"/>
        </w:rPr>
      </w:pPr>
      <w:r>
        <w:rPr>
          <w:rFonts w:hint="eastAsia" w:ascii="黑体" w:hAnsi="黑体" w:eastAsia="黑体" w:cs="宋体"/>
          <w:b/>
          <w:color w:val="auto"/>
          <w:kern w:val="0"/>
          <w:sz w:val="24"/>
          <w:highlight w:val="none"/>
        </w:rPr>
        <w:t>公章：（盖章处）                               负责人：（盖章处）</w:t>
      </w:r>
    </w:p>
    <w:p w14:paraId="32B7C16F">
      <w:pPr>
        <w:pStyle w:val="2"/>
        <w:rPr>
          <w:color w:val="auto"/>
          <w:highlight w:val="none"/>
        </w:rPr>
      </w:pPr>
      <w:r>
        <w:rPr>
          <w:rFonts w:hint="eastAsia"/>
          <w:color w:val="auto"/>
          <w:highlight w:val="none"/>
        </w:rPr>
        <w:t xml:space="preserve"> </w:t>
      </w:r>
      <w:r>
        <w:rPr>
          <w:color w:val="auto"/>
          <w:highlight w:val="none"/>
        </w:rPr>
        <w:t xml:space="preserve"> </w:t>
      </w:r>
    </w:p>
    <w:p w14:paraId="539B818F">
      <w:pPr>
        <w:pStyle w:val="2"/>
        <w:rPr>
          <w:color w:val="auto"/>
          <w:highlight w:val="none"/>
        </w:rPr>
      </w:pPr>
    </w:p>
    <w:p w14:paraId="3847F493">
      <w:pPr>
        <w:pStyle w:val="2"/>
        <w:spacing w:before="5"/>
        <w:rPr>
          <w:color w:val="auto"/>
          <w:sz w:val="25"/>
          <w:highlight w:val="none"/>
        </w:rPr>
      </w:pPr>
    </w:p>
    <w:p w14:paraId="235546F2">
      <w:pPr>
        <w:pStyle w:val="2"/>
        <w:tabs>
          <w:tab w:val="left" w:pos="959"/>
        </w:tabs>
        <w:spacing w:before="1"/>
        <w:ind w:left="240"/>
        <w:rPr>
          <w:rFonts w:cs="Arial" w:asciiTheme="majorEastAsia" w:hAnsiTheme="majorEastAsia" w:eastAsiaTheme="majorEastAsia"/>
          <w:color w:val="auto"/>
          <w:highlight w:val="none"/>
        </w:rPr>
      </w:pPr>
      <w:r>
        <w:rPr>
          <w:rFonts w:hint="eastAsia" w:cs="Arial" w:asciiTheme="majorEastAsia" w:hAnsiTheme="majorEastAsia" w:eastAsiaTheme="majorEastAsia"/>
          <w:color w:val="auto"/>
          <w:highlight w:val="none"/>
        </w:rPr>
        <w:t>地    址：</w:t>
      </w:r>
      <w:r>
        <w:rPr>
          <w:rFonts w:hint="eastAsia" w:cs="Arial" w:asciiTheme="majorEastAsia" w:hAnsiTheme="majorEastAsia" w:eastAsiaTheme="majorEastAsia"/>
          <w:color w:val="auto"/>
          <w:highlight w:val="none"/>
          <w:u w:val="single"/>
        </w:rPr>
        <w:t xml:space="preserve">                   </w:t>
      </w:r>
    </w:p>
    <w:p w14:paraId="2999ACC1">
      <w:pPr>
        <w:pStyle w:val="2"/>
        <w:tabs>
          <w:tab w:val="left" w:pos="959"/>
        </w:tabs>
        <w:spacing w:before="1"/>
        <w:ind w:left="240"/>
        <w:rPr>
          <w:rFonts w:cs="Arial" w:asciiTheme="majorEastAsia" w:hAnsiTheme="majorEastAsia" w:eastAsiaTheme="majorEastAsia"/>
          <w:color w:val="auto"/>
          <w:highlight w:val="none"/>
        </w:rPr>
      </w:pPr>
      <w:r>
        <w:rPr>
          <w:rFonts w:hint="eastAsia" w:cs="Arial" w:asciiTheme="majorEastAsia" w:hAnsiTheme="majorEastAsia" w:eastAsiaTheme="majorEastAsia"/>
          <w:color w:val="auto"/>
          <w:highlight w:val="none"/>
        </w:rPr>
        <w:t>邮政编码：</w:t>
      </w:r>
      <w:r>
        <w:rPr>
          <w:rFonts w:hint="eastAsia" w:cs="Arial" w:asciiTheme="majorEastAsia" w:hAnsiTheme="majorEastAsia" w:eastAsiaTheme="majorEastAsia"/>
          <w:color w:val="auto"/>
          <w:highlight w:val="none"/>
          <w:u w:val="single"/>
        </w:rPr>
        <w:t xml:space="preserve">                  </w:t>
      </w:r>
    </w:p>
    <w:p w14:paraId="54AB41CB">
      <w:pPr>
        <w:pStyle w:val="2"/>
        <w:tabs>
          <w:tab w:val="left" w:pos="959"/>
        </w:tabs>
        <w:spacing w:before="1"/>
        <w:ind w:left="240"/>
        <w:rPr>
          <w:rFonts w:cs="Arial" w:asciiTheme="majorEastAsia" w:hAnsiTheme="majorEastAsia" w:eastAsiaTheme="majorEastAsia"/>
          <w:color w:val="auto"/>
          <w:highlight w:val="none"/>
        </w:rPr>
      </w:pPr>
      <w:r>
        <w:rPr>
          <w:rFonts w:hint="eastAsia" w:cs="Arial" w:asciiTheme="majorEastAsia" w:hAnsiTheme="majorEastAsia" w:eastAsiaTheme="majorEastAsia"/>
          <w:color w:val="auto"/>
          <w:highlight w:val="none"/>
        </w:rPr>
        <w:t xml:space="preserve">电    话：                  </w:t>
      </w:r>
    </w:p>
    <w:p w14:paraId="6A7D4783">
      <w:pPr>
        <w:pStyle w:val="2"/>
        <w:tabs>
          <w:tab w:val="left" w:pos="959"/>
        </w:tabs>
        <w:spacing w:before="1"/>
        <w:ind w:left="240"/>
        <w:rPr>
          <w:rFonts w:cs="Arial" w:asciiTheme="majorEastAsia" w:hAnsiTheme="majorEastAsia" w:eastAsiaTheme="majorEastAsia"/>
          <w:color w:val="auto"/>
          <w:highlight w:val="none"/>
        </w:rPr>
      </w:pPr>
      <w:r>
        <w:rPr>
          <w:rFonts w:hint="eastAsia" w:cs="Arial" w:asciiTheme="majorEastAsia" w:hAnsiTheme="majorEastAsia" w:eastAsiaTheme="majorEastAsia"/>
          <w:color w:val="auto"/>
          <w:highlight w:val="none"/>
        </w:rPr>
        <w:t>传    真：</w:t>
      </w:r>
      <w:r>
        <w:rPr>
          <w:rFonts w:hint="eastAsia" w:cs="Arial" w:asciiTheme="majorEastAsia" w:hAnsiTheme="majorEastAsia" w:eastAsiaTheme="majorEastAsia"/>
          <w:color w:val="auto"/>
          <w:highlight w:val="none"/>
          <w:u w:val="single"/>
        </w:rPr>
        <w:t xml:space="preserve">  </w:t>
      </w:r>
      <w:r>
        <w:rPr>
          <w:rFonts w:cs="Arial" w:asciiTheme="majorEastAsia" w:hAnsiTheme="majorEastAsia" w:eastAsiaTheme="majorEastAsia"/>
          <w:color w:val="auto"/>
          <w:highlight w:val="none"/>
          <w:u w:val="single"/>
        </w:rPr>
        <w:t>/</w:t>
      </w:r>
      <w:r>
        <w:rPr>
          <w:rFonts w:hint="eastAsia" w:cs="Arial" w:asciiTheme="majorEastAsia" w:hAnsiTheme="majorEastAsia" w:eastAsiaTheme="majorEastAsia"/>
          <w:color w:val="auto"/>
          <w:highlight w:val="none"/>
          <w:u w:val="single"/>
        </w:rPr>
        <w:t xml:space="preserve">  </w:t>
      </w:r>
    </w:p>
    <w:p w14:paraId="3359E4F6">
      <w:pPr>
        <w:spacing w:line="360" w:lineRule="auto"/>
        <w:ind w:firstLine="210" w:firstLineChars="100"/>
        <w:jc w:val="left"/>
        <w:rPr>
          <w:rFonts w:ascii="宋体" w:hAnsi="宋体"/>
          <w:color w:val="auto"/>
          <w:szCs w:val="21"/>
          <w:highlight w:val="none"/>
        </w:rPr>
      </w:pP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272F44E0">
      <w:pPr>
        <w:spacing w:line="360" w:lineRule="auto"/>
        <w:ind w:firstLine="420" w:firstLineChars="200"/>
        <w:jc w:val="left"/>
        <w:rPr>
          <w:rFonts w:ascii="宋体" w:hAnsi="宋体"/>
          <w:color w:val="auto"/>
          <w:szCs w:val="21"/>
          <w:highlight w:val="none"/>
        </w:rPr>
      </w:pPr>
    </w:p>
    <w:p w14:paraId="23AF2DFD">
      <w:pPr>
        <w:spacing w:line="360" w:lineRule="auto"/>
        <w:ind w:firstLine="420" w:firstLineChars="200"/>
        <w:jc w:val="right"/>
        <w:rPr>
          <w:rFonts w:ascii="宋体" w:hAnsi="宋体"/>
          <w:color w:val="auto"/>
          <w:szCs w:val="21"/>
          <w:highlight w:val="none"/>
        </w:rPr>
      </w:pPr>
    </w:p>
    <w:p w14:paraId="26986B8A">
      <w:pPr>
        <w:widowControl/>
        <w:spacing w:line="360" w:lineRule="auto"/>
        <w:jc w:val="left"/>
        <w:rPr>
          <w:rFonts w:ascii="宋体" w:hAnsi="宋体"/>
          <w:color w:val="auto"/>
          <w:szCs w:val="21"/>
          <w:highlight w:val="none"/>
        </w:rPr>
      </w:pPr>
      <w:r>
        <w:rPr>
          <w:rFonts w:ascii="宋体" w:hAnsi="宋体"/>
          <w:color w:val="auto"/>
          <w:szCs w:val="21"/>
          <w:highlight w:val="none"/>
        </w:rPr>
        <w:br w:type="page"/>
      </w:r>
    </w:p>
    <w:p w14:paraId="6378BC01">
      <w:pPr>
        <w:widowControl/>
        <w:spacing w:line="360" w:lineRule="auto"/>
        <w:jc w:val="left"/>
        <w:rPr>
          <w:rFonts w:ascii="宋体" w:hAnsi="宋体"/>
          <w:color w:val="auto"/>
          <w:szCs w:val="21"/>
          <w:highlight w:val="none"/>
        </w:rPr>
      </w:pPr>
      <w:r>
        <w:rPr>
          <w:rFonts w:hint="eastAsia" w:ascii="宋体" w:hAnsi="宋体"/>
          <w:color w:val="auto"/>
          <w:szCs w:val="21"/>
          <w:highlight w:val="none"/>
        </w:rPr>
        <w:t>附件</w:t>
      </w:r>
      <w:r>
        <w:rPr>
          <w:rFonts w:ascii="宋体" w:hAnsi="宋体"/>
          <w:color w:val="auto"/>
          <w:szCs w:val="21"/>
          <w:highlight w:val="none"/>
        </w:rPr>
        <w:t>5</w:t>
      </w:r>
      <w:r>
        <w:rPr>
          <w:rFonts w:hint="eastAsia" w:ascii="宋体" w:hAnsi="宋体"/>
          <w:color w:val="auto"/>
          <w:szCs w:val="21"/>
          <w:highlight w:val="none"/>
        </w:rPr>
        <w:t>：</w:t>
      </w:r>
    </w:p>
    <w:p w14:paraId="223FFAE2">
      <w:pPr>
        <w:spacing w:line="360" w:lineRule="auto"/>
        <w:jc w:val="center"/>
        <w:rPr>
          <w:rFonts w:ascii="宋体" w:hAnsi="宋体"/>
          <w:color w:val="auto"/>
          <w:szCs w:val="21"/>
          <w:highlight w:val="none"/>
        </w:rPr>
      </w:pPr>
      <w:r>
        <w:rPr>
          <w:rFonts w:hint="eastAsia" w:ascii="宋体" w:hAnsi="宋体"/>
          <w:color w:val="auto"/>
          <w:szCs w:val="21"/>
          <w:highlight w:val="none"/>
        </w:rPr>
        <w:t>预付款担保（如有）</w:t>
      </w:r>
    </w:p>
    <w:p w14:paraId="5DC91FF8">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（发包人名称）：</w:t>
      </w:r>
    </w:p>
    <w:p w14:paraId="2FD0CB25">
      <w:pPr>
        <w:autoSpaceDE w:val="0"/>
        <w:autoSpaceDN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根据</w:t>
      </w:r>
      <w:r>
        <w:rPr>
          <w:rFonts w:hint="eastAsia" w:ascii="宋体" w:hAnsi="宋体"/>
          <w:color w:val="auto"/>
          <w:szCs w:val="21"/>
          <w:highlight w:val="none"/>
          <w:u w:val="single"/>
        </w:rPr>
        <w:t xml:space="preserve">           </w:t>
      </w:r>
      <w:r>
        <w:rPr>
          <w:rFonts w:hint="eastAsia" w:ascii="宋体" w:hAnsi="宋体"/>
          <w:color w:val="auto"/>
          <w:szCs w:val="21"/>
          <w:highlight w:val="none"/>
        </w:rPr>
        <w:t>（承包人名称）（以下称“承包人”）与</w:t>
      </w:r>
      <w:r>
        <w:rPr>
          <w:rFonts w:hint="eastAsia" w:ascii="宋体" w:hAnsi="宋体"/>
          <w:color w:val="auto"/>
          <w:szCs w:val="21"/>
          <w:highlight w:val="none"/>
          <w:u w:val="single"/>
        </w:rPr>
        <w:t xml:space="preserve">         </w:t>
      </w:r>
      <w:r>
        <w:rPr>
          <w:rFonts w:hint="eastAsia" w:ascii="宋体" w:hAnsi="宋体"/>
          <w:color w:val="auto"/>
          <w:szCs w:val="21"/>
          <w:highlight w:val="none"/>
        </w:rPr>
        <w:t>（发包人名称）（以下简称“发包人”）</w:t>
      </w:r>
      <w:r>
        <w:rPr>
          <w:rFonts w:hint="eastAsia"/>
          <w:color w:val="auto"/>
          <w:szCs w:val="21"/>
          <w:highlight w:val="none"/>
        </w:rPr>
        <w:t>拟</w:t>
      </w:r>
      <w:r>
        <w:rPr>
          <w:rFonts w:hint="eastAsia" w:ascii="宋体" w:hAnsi="宋体"/>
          <w:color w:val="auto"/>
          <w:szCs w:val="21"/>
          <w:highlight w:val="none"/>
        </w:rPr>
        <w:t>于</w:t>
      </w:r>
      <w:r>
        <w:rPr>
          <w:rFonts w:hint="eastAsia" w:ascii="宋体" w:hAnsi="宋体"/>
          <w:color w:val="auto"/>
          <w:szCs w:val="21"/>
          <w:highlight w:val="none"/>
          <w:u w:val="single"/>
        </w:rPr>
        <w:t xml:space="preserve"> </w:t>
      </w:r>
      <w:r>
        <w:rPr>
          <w:rFonts w:hint="eastAsia"/>
          <w:color w:val="auto"/>
          <w:szCs w:val="21"/>
          <w:highlight w:val="none"/>
          <w:u w:val="single"/>
        </w:rPr>
        <w:t>/</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color w:val="auto"/>
          <w:szCs w:val="21"/>
          <w:highlight w:val="none"/>
          <w:u w:val="single"/>
        </w:rPr>
        <w:t>/</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color w:val="auto"/>
          <w:szCs w:val="21"/>
          <w:highlight w:val="none"/>
          <w:u w:val="single"/>
        </w:rPr>
        <w:t>/</w:t>
      </w:r>
      <w:r>
        <w:rPr>
          <w:rFonts w:hint="eastAsia" w:ascii="宋体" w:hAnsi="宋体"/>
          <w:color w:val="auto"/>
          <w:szCs w:val="21"/>
          <w:highlight w:val="none"/>
        </w:rPr>
        <w:t>日签订</w:t>
      </w:r>
      <w:r>
        <w:rPr>
          <w:rFonts w:hint="eastAsia" w:ascii="宋体" w:hAnsi="宋体"/>
          <w:color w:val="auto"/>
          <w:szCs w:val="21"/>
          <w:highlight w:val="none"/>
          <w:u w:val="single"/>
        </w:rPr>
        <w:t xml:space="preserve">             </w:t>
      </w:r>
      <w:r>
        <w:rPr>
          <w:rFonts w:hint="eastAsia" w:ascii="宋体" w:hAnsi="宋体"/>
          <w:color w:val="auto"/>
          <w:szCs w:val="21"/>
          <w:highlight w:val="none"/>
        </w:rPr>
        <w:t>（工程名称）《建设工程施工合同》，承包人按约定的金额向你方提交一份预付款担保，即有权得到你方支付相等金额的预付款。我方愿意就你方提供给承包人的预付款为承包人提供见索即付的</w:t>
      </w:r>
      <w:r>
        <w:rPr>
          <w:rFonts w:hint="eastAsia"/>
          <w:color w:val="auto"/>
          <w:szCs w:val="21"/>
          <w:highlight w:val="none"/>
        </w:rPr>
        <w:t>预付款</w:t>
      </w:r>
      <w:r>
        <w:rPr>
          <w:rFonts w:hint="eastAsia" w:ascii="宋体" w:hAnsi="宋体"/>
          <w:color w:val="auto"/>
          <w:szCs w:val="21"/>
          <w:highlight w:val="none"/>
        </w:rPr>
        <w:t>担保保函（以下简称“本保函”）。</w:t>
      </w:r>
    </w:p>
    <w:p w14:paraId="2FB4734A">
      <w:pPr>
        <w:autoSpaceDE w:val="0"/>
        <w:autoSpaceDN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1.本保函担保金额最高不超过人民币（大写）</w:t>
      </w:r>
      <w:r>
        <w:rPr>
          <w:rFonts w:hint="eastAsia"/>
          <w:color w:val="auto"/>
          <w:szCs w:val="21"/>
          <w:highlight w:val="none"/>
          <w:u w:val="single"/>
        </w:rPr>
        <w:t xml:space="preserve">            </w:t>
      </w:r>
      <w:r>
        <w:rPr>
          <w:rFonts w:hint="eastAsia" w:ascii="宋体" w:hAnsi="宋体"/>
          <w:color w:val="auto"/>
          <w:szCs w:val="21"/>
          <w:highlight w:val="none"/>
        </w:rPr>
        <w:t>（¥</w:t>
      </w:r>
      <w:r>
        <w:rPr>
          <w:rFonts w:hint="eastAsia" w:ascii="宋体" w:hAnsi="宋体"/>
          <w:color w:val="auto"/>
          <w:szCs w:val="21"/>
          <w:highlight w:val="none"/>
          <w:u w:val="single"/>
        </w:rPr>
        <w:t xml:space="preserve">         </w:t>
      </w:r>
      <w:r>
        <w:rPr>
          <w:rFonts w:hint="eastAsia"/>
          <w:color w:val="auto"/>
          <w:szCs w:val="21"/>
          <w:highlight w:val="none"/>
          <w:u w:val="single"/>
        </w:rPr>
        <w:t>元</w:t>
      </w:r>
      <w:r>
        <w:rPr>
          <w:rFonts w:hint="eastAsia" w:ascii="宋体" w:hAnsi="宋体"/>
          <w:color w:val="auto"/>
          <w:szCs w:val="21"/>
          <w:highlight w:val="none"/>
        </w:rPr>
        <w:t>）。</w:t>
      </w:r>
    </w:p>
    <w:p w14:paraId="3626A1F8">
      <w:pPr>
        <w:autoSpaceDE w:val="0"/>
        <w:autoSpaceDN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 担保有效期自预付款支付给承包人起生效，至你方签发的进度款支付证书说明已完全扣清止。</w:t>
      </w:r>
      <w:r>
        <w:rPr>
          <w:rFonts w:hint="eastAsia"/>
          <w:color w:val="auto"/>
          <w:szCs w:val="21"/>
          <w:highlight w:val="none"/>
        </w:rPr>
        <w:t>但最迟不超过</w:t>
      </w:r>
      <w:r>
        <w:rPr>
          <w:rFonts w:hint="eastAsia"/>
          <w:color w:val="auto"/>
          <w:szCs w:val="21"/>
          <w:highlight w:val="none"/>
          <w:u w:val="single"/>
        </w:rPr>
        <w:t>2023</w:t>
      </w:r>
      <w:r>
        <w:rPr>
          <w:rFonts w:hint="eastAsia"/>
          <w:color w:val="auto"/>
          <w:szCs w:val="21"/>
          <w:highlight w:val="none"/>
        </w:rPr>
        <w:t>年</w:t>
      </w:r>
      <w:r>
        <w:rPr>
          <w:rFonts w:hint="eastAsia"/>
          <w:color w:val="auto"/>
          <w:szCs w:val="21"/>
          <w:highlight w:val="none"/>
          <w:u w:val="single"/>
        </w:rPr>
        <w:t>1</w:t>
      </w:r>
      <w:r>
        <w:rPr>
          <w:rFonts w:hint="eastAsia"/>
          <w:color w:val="auto"/>
          <w:szCs w:val="21"/>
          <w:highlight w:val="none"/>
        </w:rPr>
        <w:t>月</w:t>
      </w:r>
      <w:r>
        <w:rPr>
          <w:rFonts w:hint="eastAsia"/>
          <w:color w:val="auto"/>
          <w:szCs w:val="21"/>
          <w:highlight w:val="none"/>
          <w:u w:val="single"/>
        </w:rPr>
        <w:t>30</w:t>
      </w:r>
      <w:r>
        <w:rPr>
          <w:rFonts w:hint="eastAsia"/>
          <w:color w:val="auto"/>
          <w:szCs w:val="21"/>
          <w:highlight w:val="none"/>
        </w:rPr>
        <w:t>日。</w:t>
      </w:r>
    </w:p>
    <w:p w14:paraId="2AA32B99">
      <w:pPr>
        <w:autoSpaceDE w:val="0"/>
        <w:autoSpaceDN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 在本保函有效期内，因承包人违反合同约定的义务而要求收回预付款时，我方在收到你方的书面通知后，在７</w:t>
      </w:r>
      <w:r>
        <w:rPr>
          <w:rFonts w:hint="eastAsia"/>
          <w:color w:val="auto"/>
          <w:szCs w:val="21"/>
          <w:highlight w:val="none"/>
        </w:rPr>
        <w:t>个工作日</w:t>
      </w:r>
      <w:r>
        <w:rPr>
          <w:rFonts w:hint="eastAsia" w:ascii="宋体" w:hAnsi="宋体"/>
          <w:color w:val="auto"/>
          <w:szCs w:val="21"/>
          <w:highlight w:val="none"/>
        </w:rPr>
        <w:t>内无条件支付。但本保函的担保金额，在任何时候不应超过预付款金额减去你方按合同约定在向承包人签发的进度款支付证书中扣除的金额。</w:t>
      </w:r>
    </w:p>
    <w:p w14:paraId="17C368C8">
      <w:pPr>
        <w:autoSpaceDE w:val="0"/>
        <w:autoSpaceDN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4. 你方和承包人按合同约定变更合同时，我方承担本保函规定的义务不变。</w:t>
      </w:r>
    </w:p>
    <w:p w14:paraId="165FDCC9">
      <w:pPr>
        <w:autoSpaceDE w:val="0"/>
        <w:autoSpaceDN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5. 因本保函发生的纠纷，可由双方协商解决，协商不成的，按下列第</w:t>
      </w:r>
      <w:r>
        <w:rPr>
          <w:rFonts w:hint="eastAsia" w:ascii="宋体" w:hAnsi="宋体"/>
          <w:color w:val="auto"/>
          <w:szCs w:val="21"/>
          <w:highlight w:val="none"/>
          <w:u w:val="single"/>
        </w:rPr>
        <w:t xml:space="preserve"> </w:t>
      </w:r>
      <w:r>
        <w:rPr>
          <w:rFonts w:hint="eastAsia"/>
          <w:color w:val="auto"/>
          <w:szCs w:val="21"/>
          <w:highlight w:val="none"/>
          <w:u w:val="single"/>
        </w:rPr>
        <w:t>（2）</w:t>
      </w:r>
      <w:r>
        <w:rPr>
          <w:rFonts w:hint="eastAsia" w:ascii="宋体" w:hAnsi="宋体"/>
          <w:color w:val="auto"/>
          <w:szCs w:val="21"/>
          <w:highlight w:val="none"/>
          <w:u w:val="single"/>
        </w:rPr>
        <w:t xml:space="preserve"> </w:t>
      </w:r>
      <w:r>
        <w:rPr>
          <w:rFonts w:hint="eastAsia" w:ascii="宋体" w:hAnsi="宋体"/>
          <w:color w:val="auto"/>
          <w:szCs w:val="21"/>
          <w:highlight w:val="none"/>
        </w:rPr>
        <w:t>种方式解决：</w:t>
      </w:r>
    </w:p>
    <w:p w14:paraId="1EFE9B89">
      <w:pPr>
        <w:autoSpaceDE w:val="0"/>
        <w:autoSpaceDN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（1）向</w:t>
      </w:r>
      <w:r>
        <w:rPr>
          <w:rFonts w:hint="eastAsia" w:ascii="宋体" w:hAnsi="宋体"/>
          <w:color w:val="auto"/>
          <w:szCs w:val="21"/>
          <w:highlight w:val="none"/>
          <w:u w:val="single"/>
        </w:rPr>
        <w:t xml:space="preserve">   </w:t>
      </w:r>
      <w:r>
        <w:rPr>
          <w:rFonts w:hint="eastAsia"/>
          <w:color w:val="auto"/>
          <w:szCs w:val="21"/>
          <w:highlight w:val="none"/>
          <w:u w:val="single"/>
        </w:rPr>
        <w:t xml:space="preserve"> </w:t>
      </w:r>
      <w:r>
        <w:rPr>
          <w:rFonts w:hint="eastAsia" w:ascii="宋体" w:hAnsi="宋体"/>
          <w:color w:val="auto"/>
          <w:szCs w:val="21"/>
          <w:highlight w:val="none"/>
          <w:u w:val="single"/>
        </w:rPr>
        <w:t xml:space="preserve">   </w:t>
      </w:r>
      <w:r>
        <w:rPr>
          <w:rFonts w:hint="eastAsia"/>
          <w:color w:val="auto"/>
          <w:szCs w:val="21"/>
          <w:highlight w:val="none"/>
          <w:u w:val="single"/>
        </w:rPr>
        <w:t>/</w:t>
      </w:r>
      <w:r>
        <w:rPr>
          <w:rFonts w:hint="eastAsia" w:ascii="宋体" w:hAnsi="宋体"/>
          <w:color w:val="auto"/>
          <w:szCs w:val="21"/>
          <w:highlight w:val="none"/>
          <w:u w:val="single"/>
        </w:rPr>
        <w:t xml:space="preserve">    </w:t>
      </w:r>
      <w:r>
        <w:rPr>
          <w:rFonts w:hint="eastAsia"/>
          <w:color w:val="auto"/>
          <w:szCs w:val="21"/>
          <w:highlight w:val="none"/>
          <w:u w:val="single"/>
        </w:rPr>
        <w:t xml:space="preserve">  </w:t>
      </w:r>
      <w:r>
        <w:rPr>
          <w:rFonts w:hint="eastAsia" w:ascii="宋体" w:hAnsi="宋体"/>
          <w:color w:val="auto"/>
          <w:szCs w:val="21"/>
          <w:highlight w:val="none"/>
        </w:rPr>
        <w:t>仲裁委员会申请仲裁；</w:t>
      </w:r>
    </w:p>
    <w:p w14:paraId="4DD62796">
      <w:pPr>
        <w:autoSpaceDE w:val="0"/>
        <w:autoSpaceDN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（2）向</w:t>
      </w:r>
      <w:r>
        <w:rPr>
          <w:rFonts w:hint="eastAsia" w:ascii="宋体" w:hAnsi="宋体"/>
          <w:color w:val="auto"/>
          <w:szCs w:val="21"/>
          <w:highlight w:val="none"/>
          <w:u w:val="single"/>
        </w:rPr>
        <w:t xml:space="preserve">  </w:t>
      </w:r>
      <w:r>
        <w:rPr>
          <w:rFonts w:hint="eastAsia"/>
          <w:color w:val="auto"/>
          <w:szCs w:val="21"/>
          <w:highlight w:val="none"/>
          <w:u w:val="single"/>
        </w:rPr>
        <w:t>项目所在地</w:t>
      </w:r>
      <w:r>
        <w:rPr>
          <w:rFonts w:hint="eastAsia" w:ascii="宋体" w:hAnsi="宋体"/>
          <w:color w:val="auto"/>
          <w:szCs w:val="21"/>
          <w:highlight w:val="none"/>
          <w:u w:val="single"/>
        </w:rPr>
        <w:t xml:space="preserve">  </w:t>
      </w:r>
      <w:r>
        <w:rPr>
          <w:rFonts w:hint="eastAsia" w:ascii="宋体" w:hAnsi="宋体"/>
          <w:color w:val="auto"/>
          <w:szCs w:val="21"/>
          <w:highlight w:val="none"/>
        </w:rPr>
        <w:t>人民法院起诉。</w:t>
      </w:r>
    </w:p>
    <w:p w14:paraId="44F1F7C1">
      <w:pPr>
        <w:autoSpaceDE w:val="0"/>
        <w:autoSpaceDN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6. 本保函自我方法定代表人（或其委托代理人）签</w:t>
      </w:r>
      <w:r>
        <w:rPr>
          <w:rFonts w:hint="eastAsia"/>
          <w:color w:val="auto"/>
          <w:szCs w:val="21"/>
          <w:highlight w:val="none"/>
        </w:rPr>
        <w:t>/章</w:t>
      </w:r>
      <w:r>
        <w:rPr>
          <w:rFonts w:hint="eastAsia" w:ascii="宋体" w:hAnsi="宋体"/>
          <w:color w:val="auto"/>
          <w:szCs w:val="21"/>
          <w:highlight w:val="none"/>
        </w:rPr>
        <w:t>并加盖单位公章之日起生效。</w:t>
      </w:r>
    </w:p>
    <w:p w14:paraId="0B0AB706">
      <w:pPr>
        <w:pStyle w:val="2"/>
        <w:spacing w:line="360" w:lineRule="auto"/>
        <w:ind w:firstLine="420" w:firstLineChars="200"/>
        <w:rPr>
          <w:rFonts w:ascii="宋体" w:hAnsi="宋体"/>
          <w:color w:val="auto"/>
          <w:szCs w:val="21"/>
          <w:highlight w:val="none"/>
        </w:rPr>
      </w:pPr>
    </w:p>
    <w:p w14:paraId="0B25901B">
      <w:pPr>
        <w:pStyle w:val="2"/>
        <w:spacing w:before="3"/>
        <w:rPr>
          <w:color w:val="auto"/>
          <w:sz w:val="18"/>
          <w:highlight w:val="none"/>
        </w:rPr>
      </w:pPr>
    </w:p>
    <w:p w14:paraId="492D0101">
      <w:pPr>
        <w:spacing w:line="276" w:lineRule="auto"/>
        <w:rPr>
          <w:rFonts w:ascii="黑体" w:hAnsi="黑体" w:eastAsia="黑体" w:cs="宋体"/>
          <w:b/>
          <w:color w:val="auto"/>
          <w:kern w:val="0"/>
          <w:sz w:val="24"/>
          <w:highlight w:val="none"/>
        </w:rPr>
      </w:pPr>
      <w:r>
        <w:rPr>
          <w:rFonts w:hint="eastAsia" w:ascii="黑体" w:hAnsi="黑体" w:eastAsia="黑体" w:cs="宋体"/>
          <w:b/>
          <w:color w:val="auto"/>
          <w:kern w:val="0"/>
          <w:sz w:val="24"/>
          <w:highlight w:val="none"/>
        </w:rPr>
        <w:t>公章：（盖章处）                               负责人：（盖章处）</w:t>
      </w:r>
    </w:p>
    <w:p w14:paraId="3982CAAF">
      <w:pPr>
        <w:pStyle w:val="2"/>
        <w:rPr>
          <w:color w:val="auto"/>
          <w:highlight w:val="none"/>
        </w:rPr>
      </w:pPr>
      <w:r>
        <w:rPr>
          <w:rFonts w:hint="eastAsia"/>
          <w:color w:val="auto"/>
          <w:highlight w:val="none"/>
        </w:rPr>
        <w:t xml:space="preserve"> </w:t>
      </w:r>
      <w:r>
        <w:rPr>
          <w:color w:val="auto"/>
          <w:highlight w:val="none"/>
        </w:rPr>
        <w:t xml:space="preserve"> </w:t>
      </w:r>
    </w:p>
    <w:p w14:paraId="7B05234D">
      <w:pPr>
        <w:pStyle w:val="2"/>
        <w:rPr>
          <w:color w:val="auto"/>
          <w:highlight w:val="none"/>
        </w:rPr>
      </w:pPr>
    </w:p>
    <w:p w14:paraId="2BA2ACBB">
      <w:pPr>
        <w:pStyle w:val="2"/>
        <w:spacing w:before="5"/>
        <w:rPr>
          <w:color w:val="auto"/>
          <w:sz w:val="25"/>
          <w:highlight w:val="none"/>
        </w:rPr>
      </w:pPr>
    </w:p>
    <w:p w14:paraId="6DF4725C">
      <w:pPr>
        <w:pStyle w:val="2"/>
        <w:tabs>
          <w:tab w:val="left" w:pos="959"/>
        </w:tabs>
        <w:spacing w:before="1"/>
        <w:ind w:left="240"/>
        <w:rPr>
          <w:rFonts w:cs="Arial" w:asciiTheme="majorEastAsia" w:hAnsiTheme="majorEastAsia" w:eastAsiaTheme="majorEastAsia"/>
          <w:color w:val="auto"/>
          <w:highlight w:val="none"/>
        </w:rPr>
      </w:pPr>
      <w:r>
        <w:rPr>
          <w:rFonts w:hint="eastAsia" w:cs="Arial" w:asciiTheme="majorEastAsia" w:hAnsiTheme="majorEastAsia" w:eastAsiaTheme="majorEastAsia"/>
          <w:color w:val="auto"/>
          <w:highlight w:val="none"/>
        </w:rPr>
        <w:t>地    址：</w:t>
      </w:r>
      <w:r>
        <w:rPr>
          <w:rFonts w:hint="eastAsia" w:cs="Arial" w:asciiTheme="majorEastAsia" w:hAnsiTheme="majorEastAsia" w:eastAsiaTheme="majorEastAsia"/>
          <w:color w:val="auto"/>
          <w:highlight w:val="none"/>
          <w:u w:val="single"/>
        </w:rPr>
        <w:t xml:space="preserve">               </w:t>
      </w:r>
    </w:p>
    <w:p w14:paraId="25266AD8">
      <w:pPr>
        <w:pStyle w:val="2"/>
        <w:tabs>
          <w:tab w:val="left" w:pos="959"/>
        </w:tabs>
        <w:spacing w:before="1"/>
        <w:ind w:left="240"/>
        <w:rPr>
          <w:rFonts w:cs="Arial" w:asciiTheme="majorEastAsia" w:hAnsiTheme="majorEastAsia" w:eastAsiaTheme="majorEastAsia"/>
          <w:color w:val="auto"/>
          <w:highlight w:val="none"/>
          <w:u w:val="single"/>
        </w:rPr>
      </w:pPr>
      <w:r>
        <w:rPr>
          <w:rFonts w:hint="eastAsia" w:cs="Arial" w:asciiTheme="majorEastAsia" w:hAnsiTheme="majorEastAsia" w:eastAsiaTheme="majorEastAsia"/>
          <w:color w:val="auto"/>
          <w:highlight w:val="none"/>
        </w:rPr>
        <w:t>邮政编码：</w:t>
      </w:r>
      <w:r>
        <w:rPr>
          <w:rFonts w:hint="eastAsia" w:cs="Arial" w:asciiTheme="majorEastAsia" w:hAnsiTheme="majorEastAsia" w:eastAsiaTheme="majorEastAsia"/>
          <w:color w:val="auto"/>
          <w:highlight w:val="none"/>
          <w:u w:val="single"/>
        </w:rPr>
        <w:t xml:space="preserve">               </w:t>
      </w:r>
    </w:p>
    <w:p w14:paraId="4C338E46">
      <w:pPr>
        <w:pStyle w:val="2"/>
        <w:tabs>
          <w:tab w:val="left" w:pos="959"/>
        </w:tabs>
        <w:spacing w:before="1"/>
        <w:ind w:left="240"/>
        <w:rPr>
          <w:rFonts w:cs="Arial" w:asciiTheme="majorEastAsia" w:hAnsiTheme="majorEastAsia" w:eastAsiaTheme="majorEastAsia"/>
          <w:color w:val="auto"/>
          <w:highlight w:val="none"/>
        </w:rPr>
      </w:pPr>
      <w:r>
        <w:rPr>
          <w:rFonts w:hint="eastAsia" w:cs="Arial" w:asciiTheme="majorEastAsia" w:hAnsiTheme="majorEastAsia" w:eastAsiaTheme="majorEastAsia"/>
          <w:color w:val="auto"/>
          <w:highlight w:val="none"/>
        </w:rPr>
        <w:t>电    话：</w:t>
      </w:r>
      <w:r>
        <w:rPr>
          <w:rFonts w:hint="eastAsia" w:cs="Arial" w:asciiTheme="majorEastAsia" w:hAnsiTheme="majorEastAsia" w:eastAsiaTheme="majorEastAsia"/>
          <w:color w:val="auto"/>
          <w:highlight w:val="none"/>
          <w:u w:val="single"/>
        </w:rPr>
        <w:t xml:space="preserve">               </w:t>
      </w:r>
    </w:p>
    <w:p w14:paraId="2D271A4A">
      <w:pPr>
        <w:pStyle w:val="2"/>
        <w:tabs>
          <w:tab w:val="left" w:pos="959"/>
        </w:tabs>
        <w:spacing w:before="1"/>
        <w:ind w:left="240"/>
        <w:rPr>
          <w:rFonts w:cs="Arial" w:asciiTheme="majorEastAsia" w:hAnsiTheme="majorEastAsia" w:eastAsiaTheme="majorEastAsia"/>
          <w:color w:val="auto"/>
          <w:highlight w:val="none"/>
        </w:rPr>
      </w:pPr>
      <w:r>
        <w:rPr>
          <w:rFonts w:hint="eastAsia" w:cs="Arial" w:asciiTheme="majorEastAsia" w:hAnsiTheme="majorEastAsia" w:eastAsiaTheme="majorEastAsia"/>
          <w:color w:val="auto"/>
          <w:highlight w:val="none"/>
        </w:rPr>
        <w:t>传    真：</w:t>
      </w:r>
      <w:r>
        <w:rPr>
          <w:rFonts w:hint="eastAsia" w:cs="Arial" w:asciiTheme="majorEastAsia" w:hAnsiTheme="majorEastAsia" w:eastAsiaTheme="majorEastAsia"/>
          <w:color w:val="auto"/>
          <w:highlight w:val="none"/>
          <w:u w:val="single"/>
        </w:rPr>
        <w:t xml:space="preserve">  </w:t>
      </w:r>
      <w:r>
        <w:rPr>
          <w:rFonts w:cs="Arial" w:asciiTheme="majorEastAsia" w:hAnsiTheme="majorEastAsia" w:eastAsiaTheme="majorEastAsia"/>
          <w:color w:val="auto"/>
          <w:highlight w:val="none"/>
          <w:u w:val="single"/>
        </w:rPr>
        <w:t>/</w:t>
      </w:r>
      <w:r>
        <w:rPr>
          <w:rFonts w:hint="eastAsia" w:cs="Arial" w:asciiTheme="majorEastAsia" w:hAnsiTheme="majorEastAsia" w:eastAsiaTheme="majorEastAsia"/>
          <w:color w:val="auto"/>
          <w:highlight w:val="none"/>
          <w:u w:val="single"/>
        </w:rPr>
        <w:t xml:space="preserve">  </w:t>
      </w:r>
    </w:p>
    <w:p w14:paraId="33F1A47F">
      <w:pPr>
        <w:spacing w:line="360" w:lineRule="auto"/>
        <w:ind w:firstLine="420" w:firstLineChars="200"/>
        <w:rPr>
          <w:rFonts w:ascii="宋体" w:hAnsi="宋体"/>
          <w:color w:val="auto"/>
          <w:szCs w:val="21"/>
          <w:highlight w:val="none"/>
          <w:u w:val="single"/>
        </w:rPr>
      </w:pPr>
    </w:p>
    <w:p w14:paraId="65256CFD">
      <w:pPr>
        <w:spacing w:line="360" w:lineRule="auto"/>
        <w:ind w:firstLine="420" w:firstLineChars="200"/>
        <w:rPr>
          <w:rFonts w:ascii="宋体" w:hAnsi="宋体"/>
          <w:color w:val="auto"/>
          <w:szCs w:val="21"/>
          <w:highlight w:val="none"/>
          <w:u w:val="single"/>
        </w:rPr>
      </w:pPr>
    </w:p>
    <w:p w14:paraId="2C37B9B3">
      <w:pPr>
        <w:spacing w:line="360" w:lineRule="auto"/>
        <w:ind w:firstLine="420" w:firstLineChars="200"/>
        <w:jc w:val="right"/>
        <w:rPr>
          <w:rFonts w:ascii="宋体" w:hAnsi="宋体"/>
          <w:color w:val="auto"/>
          <w:szCs w:val="21"/>
          <w:highlight w:val="none"/>
        </w:rPr>
      </w:pP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107A9551">
      <w:pPr>
        <w:spacing w:line="360" w:lineRule="auto"/>
        <w:ind w:firstLine="420" w:firstLineChars="200"/>
        <w:jc w:val="right"/>
        <w:rPr>
          <w:rFonts w:ascii="宋体" w:hAnsi="宋体"/>
          <w:color w:val="auto"/>
          <w:szCs w:val="21"/>
          <w:highlight w:val="none"/>
        </w:rPr>
      </w:pPr>
    </w:p>
    <w:p w14:paraId="57A3F2CB">
      <w:pPr>
        <w:spacing w:line="480" w:lineRule="auto"/>
        <w:rPr>
          <w:rFonts w:ascii="宋体" w:hAnsi="宋体"/>
          <w:color w:val="auto"/>
          <w:szCs w:val="21"/>
          <w:highlight w:val="none"/>
        </w:rPr>
      </w:pPr>
      <w:r>
        <w:rPr>
          <w:rFonts w:hint="eastAsia" w:ascii="宋体" w:hAnsi="宋体"/>
          <w:color w:val="auto"/>
          <w:szCs w:val="21"/>
          <w:highlight w:val="none"/>
        </w:rPr>
        <w:br w:type="page"/>
      </w:r>
      <w:r>
        <w:rPr>
          <w:rFonts w:hint="eastAsia" w:ascii="宋体" w:hAnsi="宋体"/>
          <w:color w:val="auto"/>
          <w:szCs w:val="21"/>
          <w:highlight w:val="none"/>
        </w:rPr>
        <w:t>附</w:t>
      </w:r>
      <w:bookmarkStart w:id="1967" w:name="_Toc296503233"/>
      <w:bookmarkStart w:id="1968" w:name="_Toc296346734"/>
      <w:bookmarkStart w:id="1969" w:name="_Toc296891273"/>
      <w:bookmarkStart w:id="1970" w:name="_Toc296347232"/>
      <w:bookmarkStart w:id="1971" w:name="_Toc296944572"/>
      <w:bookmarkStart w:id="1972" w:name="_Toc296891061"/>
      <w:r>
        <w:rPr>
          <w:rFonts w:hint="eastAsia" w:ascii="宋体" w:hAnsi="宋体"/>
          <w:color w:val="auto"/>
          <w:szCs w:val="21"/>
          <w:highlight w:val="none"/>
        </w:rPr>
        <w:t>件</w:t>
      </w:r>
      <w:r>
        <w:rPr>
          <w:rFonts w:ascii="宋体" w:hAnsi="宋体"/>
          <w:color w:val="auto"/>
          <w:szCs w:val="21"/>
          <w:highlight w:val="none"/>
        </w:rPr>
        <w:t>6</w:t>
      </w:r>
      <w:r>
        <w:rPr>
          <w:rFonts w:hint="eastAsia" w:ascii="宋体" w:hAnsi="宋体"/>
          <w:color w:val="auto"/>
          <w:szCs w:val="21"/>
          <w:highlight w:val="none"/>
        </w:rPr>
        <w:t>：</w:t>
      </w:r>
    </w:p>
    <w:bookmarkEnd w:id="1967"/>
    <w:bookmarkEnd w:id="1968"/>
    <w:bookmarkEnd w:id="1969"/>
    <w:bookmarkEnd w:id="1970"/>
    <w:bookmarkEnd w:id="1971"/>
    <w:bookmarkEnd w:id="1972"/>
    <w:p w14:paraId="1E01EBA8">
      <w:pPr>
        <w:spacing w:line="360" w:lineRule="auto"/>
        <w:ind w:firstLine="420" w:firstLineChars="200"/>
        <w:jc w:val="center"/>
        <w:rPr>
          <w:rFonts w:ascii="宋体" w:hAnsi="宋体"/>
          <w:color w:val="auto"/>
          <w:szCs w:val="21"/>
          <w:highlight w:val="none"/>
        </w:rPr>
      </w:pPr>
      <w:r>
        <w:rPr>
          <w:rFonts w:hint="eastAsia" w:ascii="宋体" w:hAnsi="宋体"/>
          <w:color w:val="auto"/>
          <w:szCs w:val="21"/>
          <w:highlight w:val="none"/>
        </w:rPr>
        <w:t>支付担保（如有）</w:t>
      </w:r>
    </w:p>
    <w:p w14:paraId="15EE4D5C">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u w:val="single"/>
        </w:rPr>
        <w:t xml:space="preserve">             </w:t>
      </w:r>
      <w:r>
        <w:rPr>
          <w:rFonts w:hint="eastAsia" w:ascii="宋体" w:hAnsi="宋体"/>
          <w:color w:val="auto"/>
          <w:szCs w:val="21"/>
          <w:highlight w:val="none"/>
        </w:rPr>
        <w:t>（承包人）：</w:t>
      </w:r>
    </w:p>
    <w:p w14:paraId="23A371AF">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 xml:space="preserve">鉴于你方作为承包人已经与 </w:t>
      </w:r>
      <w:r>
        <w:rPr>
          <w:rFonts w:hint="eastAsia" w:ascii="宋体" w:hAnsi="宋体"/>
          <w:color w:val="auto"/>
          <w:szCs w:val="21"/>
          <w:highlight w:val="none"/>
          <w:u w:val="single"/>
        </w:rPr>
        <w:t xml:space="preserve">            </w:t>
      </w:r>
      <w:r>
        <w:rPr>
          <w:rFonts w:hint="eastAsia" w:ascii="宋体" w:hAnsi="宋体"/>
          <w:color w:val="auto"/>
          <w:szCs w:val="21"/>
          <w:highlight w:val="none"/>
        </w:rPr>
        <w:t>（发包人名称）（以下称“发包人”）于</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日签订了</w:t>
      </w:r>
      <w:r>
        <w:rPr>
          <w:rFonts w:hint="eastAsia" w:ascii="宋体" w:hAnsi="宋体"/>
          <w:color w:val="auto"/>
          <w:szCs w:val="21"/>
          <w:highlight w:val="none"/>
          <w:u w:val="single"/>
        </w:rPr>
        <w:t xml:space="preserve">             </w:t>
      </w:r>
      <w:r>
        <w:rPr>
          <w:rFonts w:hint="eastAsia" w:ascii="宋体" w:hAnsi="宋体"/>
          <w:color w:val="auto"/>
          <w:szCs w:val="21"/>
          <w:highlight w:val="none"/>
        </w:rPr>
        <w:t>（工程名称）《建设工程施工合同》（以下称“主合同”），应发包人的申请，我方愿就发包人履行主合同约定的工程款支付义务以保证的方式向你方提供如下担保：</w:t>
      </w:r>
    </w:p>
    <w:p w14:paraId="1FE0D640">
      <w:pPr>
        <w:spacing w:line="360" w:lineRule="auto"/>
        <w:ind w:firstLine="420" w:firstLineChars="200"/>
        <w:rPr>
          <w:rFonts w:ascii="宋体" w:hAnsi="宋体"/>
          <w:color w:val="auto"/>
          <w:szCs w:val="21"/>
          <w:highlight w:val="none"/>
        </w:rPr>
      </w:pPr>
      <w:bookmarkStart w:id="1973" w:name="_Toc532375692"/>
      <w:r>
        <w:rPr>
          <w:rFonts w:hint="eastAsia" w:ascii="宋体" w:hAnsi="宋体"/>
          <w:color w:val="auto"/>
          <w:szCs w:val="21"/>
          <w:highlight w:val="none"/>
        </w:rPr>
        <w:t>一、保证的范围及保证金额</w:t>
      </w:r>
      <w:bookmarkEnd w:id="1973"/>
    </w:p>
    <w:p w14:paraId="1CF69121">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 我方的保证范围是主合同约定的工程款。</w:t>
      </w:r>
    </w:p>
    <w:p w14:paraId="1E7D6F0E">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 本保函所称主合同约定的工程款是指主合同约定的除工程质量保证金以外的合同价款。</w:t>
      </w:r>
    </w:p>
    <w:p w14:paraId="3F48606A">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 我方保证的金额是主合同约定的工程款的</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%，数额最高不超过人民币元（大写：</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14:paraId="5EB6BA0E">
      <w:pPr>
        <w:spacing w:line="360" w:lineRule="auto"/>
        <w:ind w:firstLine="420" w:firstLineChars="200"/>
        <w:rPr>
          <w:rFonts w:ascii="宋体" w:hAnsi="宋体"/>
          <w:color w:val="auto"/>
          <w:szCs w:val="21"/>
          <w:highlight w:val="none"/>
        </w:rPr>
      </w:pPr>
      <w:bookmarkStart w:id="1974" w:name="_Toc532375693"/>
      <w:r>
        <w:rPr>
          <w:rFonts w:hint="eastAsia" w:ascii="宋体" w:hAnsi="宋体"/>
          <w:color w:val="auto"/>
          <w:szCs w:val="21"/>
          <w:highlight w:val="none"/>
        </w:rPr>
        <w:t>二、保证的方式及保证期间</w:t>
      </w:r>
      <w:bookmarkEnd w:id="1974"/>
    </w:p>
    <w:p w14:paraId="699C27AB">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 我方保证的方式为：连带责任保证。</w:t>
      </w:r>
    </w:p>
    <w:p w14:paraId="6F78FCF5">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 我方保证的期间为：自合同生效之日起至主合同约定的工程款支付完毕之日后</w:t>
      </w:r>
      <w:r>
        <w:rPr>
          <w:rFonts w:hint="eastAsia" w:ascii="宋体" w:hAnsi="宋体"/>
          <w:color w:val="auto"/>
          <w:szCs w:val="21"/>
          <w:highlight w:val="none"/>
          <w:u w:val="single"/>
        </w:rPr>
        <w:t xml:space="preserve">    </w:t>
      </w:r>
      <w:r>
        <w:rPr>
          <w:rFonts w:hint="eastAsia" w:ascii="宋体" w:hAnsi="宋体"/>
          <w:color w:val="auto"/>
          <w:szCs w:val="21"/>
          <w:highlight w:val="none"/>
        </w:rPr>
        <w:t>日内。</w:t>
      </w:r>
    </w:p>
    <w:p w14:paraId="05CE8C61">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 你方与发包人协议变更工程款支付日期的，经我方书面同意后，保证期间按照变更后的支付日期做相应调整。</w:t>
      </w:r>
    </w:p>
    <w:p w14:paraId="1F60E505">
      <w:pPr>
        <w:spacing w:line="360" w:lineRule="auto"/>
        <w:ind w:firstLine="420" w:firstLineChars="200"/>
        <w:rPr>
          <w:rFonts w:ascii="宋体" w:hAnsi="宋体"/>
          <w:color w:val="auto"/>
          <w:szCs w:val="21"/>
          <w:highlight w:val="none"/>
        </w:rPr>
      </w:pPr>
      <w:bookmarkStart w:id="1975" w:name="_Toc532375694"/>
      <w:r>
        <w:rPr>
          <w:rFonts w:hint="eastAsia" w:ascii="宋体" w:hAnsi="宋体"/>
          <w:color w:val="auto"/>
          <w:szCs w:val="21"/>
          <w:highlight w:val="none"/>
        </w:rPr>
        <w:t>三、承担保证责任的形式</w:t>
      </w:r>
      <w:bookmarkEnd w:id="1975"/>
    </w:p>
    <w:p w14:paraId="1A113E1D">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我方承担保证责任的形式是代为支付。发包人未按主合同约定向你方支付工程款的，由我方在保证金额内代为支付。</w:t>
      </w:r>
    </w:p>
    <w:p w14:paraId="62BDC9E8">
      <w:pPr>
        <w:spacing w:line="360" w:lineRule="auto"/>
        <w:ind w:firstLine="420" w:firstLineChars="200"/>
        <w:rPr>
          <w:rFonts w:ascii="宋体" w:hAnsi="宋体"/>
          <w:color w:val="auto"/>
          <w:szCs w:val="21"/>
          <w:highlight w:val="none"/>
        </w:rPr>
      </w:pPr>
      <w:bookmarkStart w:id="1976" w:name="_Toc532375695"/>
      <w:r>
        <w:rPr>
          <w:rFonts w:hint="eastAsia" w:ascii="宋体" w:hAnsi="宋体"/>
          <w:color w:val="auto"/>
          <w:szCs w:val="21"/>
          <w:highlight w:val="none"/>
        </w:rPr>
        <w:t>四、代偿的安排</w:t>
      </w:r>
      <w:bookmarkEnd w:id="1976"/>
    </w:p>
    <w:p w14:paraId="1CC2C029">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 你方要求我方承担保证责任的，应向我方发出书面索赔通知及发包人未支付主合同约定工程款的证明材料。索赔通知应写明要求索赔的金额，支付款项应到达的账号。</w:t>
      </w:r>
    </w:p>
    <w:p w14:paraId="5C482FD1">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 在出现你方与发包人因工程质量发生争议，发包人拒绝向你方支付工程款的情形时，你方要求我方履行保证责任代为支付的，需提供符合相应条件要求的工程质量检测机构出具的质量说明材料。</w:t>
      </w:r>
    </w:p>
    <w:p w14:paraId="50A87124">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 我方收到你方的书面索赔通知及相应的证明材料后７天内无条件支付。</w:t>
      </w:r>
    </w:p>
    <w:p w14:paraId="13346DC9">
      <w:pPr>
        <w:spacing w:line="360" w:lineRule="auto"/>
        <w:ind w:firstLine="420" w:firstLineChars="200"/>
        <w:rPr>
          <w:rFonts w:ascii="宋体" w:hAnsi="宋体"/>
          <w:color w:val="auto"/>
          <w:szCs w:val="21"/>
          <w:highlight w:val="none"/>
        </w:rPr>
      </w:pPr>
      <w:bookmarkStart w:id="1977" w:name="_Toc532375696"/>
      <w:r>
        <w:rPr>
          <w:rFonts w:hint="eastAsia" w:ascii="宋体" w:hAnsi="宋体"/>
          <w:color w:val="auto"/>
          <w:szCs w:val="21"/>
          <w:highlight w:val="none"/>
        </w:rPr>
        <w:t>五、保证责任的解除</w:t>
      </w:r>
      <w:bookmarkEnd w:id="1977"/>
    </w:p>
    <w:p w14:paraId="7919F4DF">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 在本保函承诺的保证期间内，你方未书面向我方主张保证责任的，自保证期间届满次日起，我方保证责任解除。</w:t>
      </w:r>
    </w:p>
    <w:p w14:paraId="674E52ED">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 发包人按主合同约定履行了工程款的全部支付义务的，自本保函承诺的保证期间届满次日起，我方保证责任解除。</w:t>
      </w:r>
    </w:p>
    <w:p w14:paraId="1321FA91">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 我方按照本保函向你方履行保证责任所支付金额达到本保函保证金额时，自我方向你方支付（支付款项从我方账户划出）之日起，保证责任即解除。</w:t>
      </w:r>
    </w:p>
    <w:p w14:paraId="2131F917">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 按照法律法规的规定或出现应解除我方保证责任的其他情形的，我方在本保函项下的保证责任亦解除。</w:t>
      </w:r>
    </w:p>
    <w:p w14:paraId="518F7937">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5. 我方解除保证责任后，你方应自我方保证责任解除之日起  个工作日内，将本保函原件返还我方。</w:t>
      </w:r>
    </w:p>
    <w:p w14:paraId="517DEE8F">
      <w:pPr>
        <w:spacing w:line="360" w:lineRule="auto"/>
        <w:ind w:firstLine="420" w:firstLineChars="200"/>
        <w:rPr>
          <w:rFonts w:ascii="宋体" w:hAnsi="宋体"/>
          <w:color w:val="auto"/>
          <w:szCs w:val="21"/>
          <w:highlight w:val="none"/>
        </w:rPr>
      </w:pPr>
      <w:bookmarkStart w:id="1978" w:name="_Toc532375697"/>
      <w:r>
        <w:rPr>
          <w:rFonts w:hint="eastAsia" w:ascii="宋体" w:hAnsi="宋体"/>
          <w:color w:val="auto"/>
          <w:szCs w:val="21"/>
          <w:highlight w:val="none"/>
        </w:rPr>
        <w:t>六、免责条款</w:t>
      </w:r>
      <w:bookmarkEnd w:id="1978"/>
    </w:p>
    <w:p w14:paraId="5771958E">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 因你方违约致使发包人不能履行义务的，我方不承担保证责任。</w:t>
      </w:r>
    </w:p>
    <w:p w14:paraId="3F7829A5">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 依照法律法规的规定或你方与发包人的另行约定，免除发包人部分或全部义务的，我方亦免除其相应的保证责任。</w:t>
      </w:r>
    </w:p>
    <w:p w14:paraId="3F69120E">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 你方与发包人协议变更主合同的，如加重发包人责任致使我方保证责任加重的，需征得我方书面同意，否则我方不再承担因此而加重部分的保证责任，但主合同第10条〔变更〕约定的变更不受本款限制。</w:t>
      </w:r>
    </w:p>
    <w:p w14:paraId="1D687AE3">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 因不可抗力造成发包人不能履行义务的，我方不承担保证责任。</w:t>
      </w:r>
    </w:p>
    <w:p w14:paraId="2C770368">
      <w:pPr>
        <w:spacing w:line="360" w:lineRule="auto"/>
        <w:ind w:firstLine="420" w:firstLineChars="200"/>
        <w:rPr>
          <w:rFonts w:ascii="宋体" w:hAnsi="宋体"/>
          <w:color w:val="auto"/>
          <w:szCs w:val="21"/>
          <w:highlight w:val="none"/>
        </w:rPr>
      </w:pPr>
      <w:bookmarkStart w:id="1979" w:name="_Toc532375698"/>
      <w:r>
        <w:rPr>
          <w:rFonts w:hint="eastAsia" w:ascii="宋体" w:hAnsi="宋体"/>
          <w:color w:val="auto"/>
          <w:szCs w:val="21"/>
          <w:highlight w:val="none"/>
        </w:rPr>
        <w:t>七、争议解决</w:t>
      </w:r>
      <w:bookmarkEnd w:id="1979"/>
    </w:p>
    <w:p w14:paraId="3A4483B7">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因本保函或本保函相关事项发生的纠纷，可由双方协商解决，协商不成的，按下列第</w:t>
      </w:r>
      <w:r>
        <w:rPr>
          <w:rFonts w:hint="eastAsia" w:ascii="宋体" w:hAnsi="宋体"/>
          <w:color w:val="auto"/>
          <w:szCs w:val="21"/>
          <w:highlight w:val="none"/>
          <w:u w:val="single"/>
        </w:rPr>
        <w:t xml:space="preserve">    </w:t>
      </w:r>
      <w:r>
        <w:rPr>
          <w:rFonts w:hint="eastAsia" w:ascii="宋体" w:hAnsi="宋体"/>
          <w:color w:val="auto"/>
          <w:szCs w:val="21"/>
          <w:highlight w:val="none"/>
        </w:rPr>
        <w:t>种方式解决：</w:t>
      </w:r>
    </w:p>
    <w:p w14:paraId="0889D12B">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（1）向</w:t>
      </w:r>
      <w:r>
        <w:rPr>
          <w:rFonts w:hint="eastAsia" w:ascii="宋体" w:hAnsi="宋体"/>
          <w:color w:val="auto"/>
          <w:szCs w:val="21"/>
          <w:highlight w:val="none"/>
          <w:u w:val="single"/>
        </w:rPr>
        <w:t xml:space="preserve">                     </w:t>
      </w:r>
      <w:r>
        <w:rPr>
          <w:rFonts w:hint="eastAsia" w:ascii="宋体" w:hAnsi="宋体"/>
          <w:color w:val="auto"/>
          <w:szCs w:val="21"/>
          <w:highlight w:val="none"/>
        </w:rPr>
        <w:t>仲裁委员会申请仲裁；</w:t>
      </w:r>
    </w:p>
    <w:p w14:paraId="745D56E1">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（2）向</w:t>
      </w:r>
      <w:r>
        <w:rPr>
          <w:rFonts w:hint="eastAsia" w:ascii="宋体" w:hAnsi="宋体"/>
          <w:color w:val="auto"/>
          <w:szCs w:val="21"/>
          <w:highlight w:val="none"/>
          <w:u w:val="single"/>
        </w:rPr>
        <w:t xml:space="preserve">                     </w:t>
      </w:r>
      <w:r>
        <w:rPr>
          <w:rFonts w:hint="eastAsia" w:ascii="宋体" w:hAnsi="宋体"/>
          <w:color w:val="auto"/>
          <w:szCs w:val="21"/>
          <w:highlight w:val="none"/>
        </w:rPr>
        <w:t>人民法院起诉。</w:t>
      </w:r>
    </w:p>
    <w:p w14:paraId="068E943B">
      <w:pPr>
        <w:spacing w:line="360" w:lineRule="auto"/>
        <w:ind w:firstLine="420" w:firstLineChars="200"/>
        <w:rPr>
          <w:rFonts w:ascii="宋体" w:hAnsi="宋体"/>
          <w:color w:val="auto"/>
          <w:szCs w:val="21"/>
          <w:highlight w:val="none"/>
        </w:rPr>
      </w:pPr>
      <w:bookmarkStart w:id="1980" w:name="_Toc532375699"/>
      <w:r>
        <w:rPr>
          <w:rFonts w:hint="eastAsia" w:ascii="宋体" w:hAnsi="宋体"/>
          <w:color w:val="auto"/>
          <w:szCs w:val="21"/>
          <w:highlight w:val="none"/>
        </w:rPr>
        <w:t>八、保函的生效</w:t>
      </w:r>
      <w:bookmarkEnd w:id="1980"/>
    </w:p>
    <w:p w14:paraId="1C708BCC">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本保函自我方法定代表人（或其委托代理人）签名并加盖单位公章之日起生效。</w:t>
      </w:r>
    </w:p>
    <w:p w14:paraId="0F79334E">
      <w:pPr>
        <w:spacing w:line="360" w:lineRule="auto"/>
        <w:ind w:firstLine="420" w:firstLineChars="200"/>
        <w:jc w:val="left"/>
        <w:rPr>
          <w:rFonts w:ascii="宋体" w:hAnsi="宋体"/>
          <w:color w:val="auto"/>
          <w:szCs w:val="21"/>
          <w:highlight w:val="none"/>
        </w:rPr>
      </w:pPr>
    </w:p>
    <w:p w14:paraId="5AF594EF">
      <w:pPr>
        <w:spacing w:line="360" w:lineRule="auto"/>
        <w:ind w:firstLine="420" w:firstLineChars="200"/>
        <w:jc w:val="left"/>
        <w:rPr>
          <w:rFonts w:ascii="宋体" w:hAnsi="宋体"/>
          <w:color w:val="auto"/>
          <w:szCs w:val="21"/>
          <w:highlight w:val="none"/>
        </w:rPr>
      </w:pPr>
    </w:p>
    <w:p w14:paraId="13573121">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担保人：</w:t>
      </w:r>
      <w:r>
        <w:rPr>
          <w:rFonts w:hint="eastAsia" w:ascii="宋体" w:hAnsi="宋体"/>
          <w:color w:val="auto"/>
          <w:szCs w:val="21"/>
          <w:highlight w:val="none"/>
          <w:u w:val="single"/>
        </w:rPr>
        <w:t xml:space="preserve">                                   </w:t>
      </w:r>
      <w:r>
        <w:rPr>
          <w:rFonts w:hint="eastAsia" w:ascii="宋体" w:hAnsi="宋体"/>
          <w:color w:val="auto"/>
          <w:szCs w:val="21"/>
          <w:highlight w:val="none"/>
        </w:rPr>
        <w:t>（盖单位公章）</w:t>
      </w:r>
    </w:p>
    <w:p w14:paraId="1C24E58B">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法定代表人或委托代理人：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（签名）</w:t>
      </w:r>
    </w:p>
    <w:p w14:paraId="7BAD5FB4">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地    址：</w:t>
      </w:r>
      <w:r>
        <w:rPr>
          <w:rFonts w:hint="eastAsia" w:ascii="宋体" w:hAnsi="宋体"/>
          <w:color w:val="auto"/>
          <w:szCs w:val="21"/>
          <w:highlight w:val="none"/>
          <w:u w:val="single"/>
        </w:rPr>
        <w:t xml:space="preserve">                                        </w:t>
      </w:r>
    </w:p>
    <w:p w14:paraId="61338B73">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邮政编码：</w:t>
      </w:r>
      <w:r>
        <w:rPr>
          <w:rFonts w:hint="eastAsia" w:ascii="宋体" w:hAnsi="宋体"/>
          <w:color w:val="auto"/>
          <w:szCs w:val="21"/>
          <w:highlight w:val="none"/>
          <w:u w:val="single"/>
        </w:rPr>
        <w:t xml:space="preserve">                                        </w:t>
      </w:r>
    </w:p>
    <w:p w14:paraId="4250507E">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传    真：</w:t>
      </w:r>
      <w:r>
        <w:rPr>
          <w:rFonts w:hint="eastAsia" w:ascii="宋体" w:hAnsi="宋体"/>
          <w:color w:val="auto"/>
          <w:szCs w:val="21"/>
          <w:highlight w:val="none"/>
          <w:u w:val="single"/>
        </w:rPr>
        <w:t xml:space="preserve">                                        </w:t>
      </w:r>
    </w:p>
    <w:p w14:paraId="3346A5B7">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 xml:space="preserve">           </w:t>
      </w:r>
    </w:p>
    <w:p w14:paraId="2FA8C04D">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r>
        <w:rPr>
          <w:rFonts w:hint="eastAsia" w:ascii="宋体" w:hAnsi="宋体"/>
          <w:color w:val="auto"/>
          <w:szCs w:val="21"/>
          <w:highlight w:val="none"/>
        </w:rPr>
        <w:br w:type="page"/>
      </w:r>
    </w:p>
    <w:p w14:paraId="0A2A69E0">
      <w:pPr>
        <w:spacing w:line="480" w:lineRule="auto"/>
        <w:rPr>
          <w:rFonts w:ascii="宋体" w:hAnsi="宋体"/>
          <w:color w:val="auto"/>
          <w:szCs w:val="21"/>
          <w:highlight w:val="none"/>
        </w:rPr>
      </w:pPr>
      <w:r>
        <w:rPr>
          <w:rFonts w:hint="eastAsia" w:ascii="宋体" w:hAnsi="宋体"/>
          <w:color w:val="auto"/>
          <w:szCs w:val="21"/>
          <w:highlight w:val="none"/>
        </w:rPr>
        <w:t>附件</w:t>
      </w:r>
      <w:r>
        <w:rPr>
          <w:rFonts w:ascii="宋体" w:hAnsi="宋体"/>
          <w:color w:val="auto"/>
          <w:szCs w:val="21"/>
          <w:highlight w:val="none"/>
        </w:rPr>
        <w:t>7</w:t>
      </w:r>
      <w:r>
        <w:rPr>
          <w:rFonts w:hint="eastAsia" w:ascii="宋体" w:hAnsi="宋体"/>
          <w:color w:val="auto"/>
          <w:szCs w:val="21"/>
          <w:highlight w:val="none"/>
        </w:rPr>
        <w:t>：</w:t>
      </w:r>
    </w:p>
    <w:p w14:paraId="34546DFA">
      <w:pPr>
        <w:spacing w:before="156" w:beforeLines="50" w:after="156" w:afterLines="50" w:line="480" w:lineRule="auto"/>
        <w:jc w:val="center"/>
        <w:rPr>
          <w:rFonts w:ascii="宋体" w:hAnsi="宋体"/>
          <w:color w:val="auto"/>
          <w:szCs w:val="21"/>
          <w:highlight w:val="none"/>
        </w:rPr>
      </w:pPr>
      <w:r>
        <w:rPr>
          <w:rFonts w:hint="eastAsia" w:ascii="宋体" w:hAnsi="宋体"/>
          <w:color w:val="auto"/>
          <w:szCs w:val="21"/>
          <w:highlight w:val="none"/>
        </w:rPr>
        <w:t>专业工程暂估价表</w:t>
      </w:r>
    </w:p>
    <w:tbl>
      <w:tblPr>
        <w:tblStyle w:val="46"/>
        <w:tblW w:w="95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79"/>
        <w:gridCol w:w="1984"/>
        <w:gridCol w:w="5103"/>
        <w:gridCol w:w="1560"/>
      </w:tblGrid>
      <w:tr w14:paraId="5C474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13CDE3F3">
            <w:pPr>
              <w:spacing w:line="400" w:lineRule="exact"/>
              <w:jc w:val="center"/>
              <w:rPr>
                <w:rFonts w:ascii="宋体" w:hAnsi="宋体"/>
                <w:color w:val="auto"/>
                <w:szCs w:val="21"/>
                <w:highlight w:val="none"/>
              </w:rPr>
            </w:pPr>
            <w:r>
              <w:rPr>
                <w:rFonts w:hint="eastAsia" w:ascii="宋体" w:hAnsi="宋体"/>
                <w:color w:val="auto"/>
                <w:szCs w:val="21"/>
                <w:highlight w:val="none"/>
              </w:rPr>
              <w:t>序号</w:t>
            </w:r>
          </w:p>
        </w:tc>
        <w:tc>
          <w:tcPr>
            <w:tcW w:w="1984" w:type="dxa"/>
          </w:tcPr>
          <w:p w14:paraId="677E408E">
            <w:pPr>
              <w:spacing w:line="400" w:lineRule="exact"/>
              <w:jc w:val="center"/>
              <w:rPr>
                <w:rFonts w:ascii="宋体" w:hAnsi="宋体"/>
                <w:color w:val="auto"/>
                <w:szCs w:val="21"/>
                <w:highlight w:val="none"/>
              </w:rPr>
            </w:pPr>
            <w:r>
              <w:rPr>
                <w:rFonts w:hint="eastAsia" w:ascii="宋体" w:hAnsi="宋体"/>
                <w:color w:val="auto"/>
                <w:szCs w:val="21"/>
                <w:highlight w:val="none"/>
              </w:rPr>
              <w:t>专业工程名称</w:t>
            </w:r>
          </w:p>
        </w:tc>
        <w:tc>
          <w:tcPr>
            <w:tcW w:w="5103" w:type="dxa"/>
          </w:tcPr>
          <w:p w14:paraId="5C1167B0">
            <w:pPr>
              <w:spacing w:line="400" w:lineRule="exact"/>
              <w:jc w:val="center"/>
              <w:rPr>
                <w:rFonts w:ascii="宋体" w:hAnsi="宋体"/>
                <w:color w:val="auto"/>
                <w:szCs w:val="21"/>
                <w:highlight w:val="none"/>
              </w:rPr>
            </w:pPr>
            <w:r>
              <w:rPr>
                <w:rFonts w:hint="eastAsia" w:ascii="宋体" w:hAnsi="宋体"/>
                <w:color w:val="auto"/>
                <w:szCs w:val="21"/>
                <w:highlight w:val="none"/>
              </w:rPr>
              <w:t>工程内容</w:t>
            </w:r>
          </w:p>
        </w:tc>
        <w:tc>
          <w:tcPr>
            <w:tcW w:w="1560" w:type="dxa"/>
          </w:tcPr>
          <w:p w14:paraId="388A4B1C">
            <w:pPr>
              <w:spacing w:line="400" w:lineRule="exact"/>
              <w:jc w:val="center"/>
              <w:rPr>
                <w:rFonts w:ascii="宋体" w:hAnsi="宋体"/>
                <w:color w:val="auto"/>
                <w:szCs w:val="21"/>
                <w:highlight w:val="none"/>
              </w:rPr>
            </w:pPr>
            <w:r>
              <w:rPr>
                <w:rFonts w:hint="eastAsia" w:ascii="宋体" w:hAnsi="宋体"/>
                <w:color w:val="auto"/>
                <w:szCs w:val="21"/>
                <w:highlight w:val="none"/>
              </w:rPr>
              <w:t>金额</w:t>
            </w:r>
          </w:p>
        </w:tc>
      </w:tr>
      <w:tr w14:paraId="75838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3E2639DD">
            <w:pPr>
              <w:spacing w:line="400" w:lineRule="exact"/>
              <w:ind w:firstLine="420" w:firstLineChars="200"/>
              <w:rPr>
                <w:rFonts w:ascii="宋体" w:hAnsi="宋体"/>
                <w:color w:val="auto"/>
                <w:szCs w:val="21"/>
                <w:highlight w:val="none"/>
              </w:rPr>
            </w:pPr>
          </w:p>
        </w:tc>
        <w:tc>
          <w:tcPr>
            <w:tcW w:w="1984" w:type="dxa"/>
          </w:tcPr>
          <w:p w14:paraId="60EE880B">
            <w:pPr>
              <w:spacing w:line="400" w:lineRule="exact"/>
              <w:ind w:firstLine="420" w:firstLineChars="200"/>
              <w:rPr>
                <w:rFonts w:ascii="宋体" w:hAnsi="宋体"/>
                <w:color w:val="auto"/>
                <w:szCs w:val="21"/>
                <w:highlight w:val="none"/>
              </w:rPr>
            </w:pPr>
          </w:p>
        </w:tc>
        <w:tc>
          <w:tcPr>
            <w:tcW w:w="5103" w:type="dxa"/>
          </w:tcPr>
          <w:p w14:paraId="1240AA22">
            <w:pPr>
              <w:spacing w:line="400" w:lineRule="exact"/>
              <w:ind w:firstLine="420" w:firstLineChars="200"/>
              <w:rPr>
                <w:rFonts w:ascii="宋体" w:hAnsi="宋体"/>
                <w:color w:val="auto"/>
                <w:szCs w:val="21"/>
                <w:highlight w:val="none"/>
              </w:rPr>
            </w:pPr>
          </w:p>
        </w:tc>
        <w:tc>
          <w:tcPr>
            <w:tcW w:w="1560" w:type="dxa"/>
          </w:tcPr>
          <w:p w14:paraId="3A48E0D0">
            <w:pPr>
              <w:spacing w:line="400" w:lineRule="exact"/>
              <w:ind w:firstLine="420" w:firstLineChars="200"/>
              <w:rPr>
                <w:rFonts w:ascii="宋体" w:hAnsi="宋体"/>
                <w:color w:val="auto"/>
                <w:szCs w:val="21"/>
                <w:highlight w:val="none"/>
              </w:rPr>
            </w:pPr>
          </w:p>
        </w:tc>
      </w:tr>
      <w:tr w14:paraId="0E307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599CD1AA">
            <w:pPr>
              <w:spacing w:line="400" w:lineRule="exact"/>
              <w:ind w:firstLine="420" w:firstLineChars="200"/>
              <w:rPr>
                <w:rFonts w:ascii="宋体" w:hAnsi="宋体"/>
                <w:color w:val="auto"/>
                <w:szCs w:val="21"/>
                <w:highlight w:val="none"/>
              </w:rPr>
            </w:pPr>
          </w:p>
        </w:tc>
        <w:tc>
          <w:tcPr>
            <w:tcW w:w="1984" w:type="dxa"/>
          </w:tcPr>
          <w:p w14:paraId="056D9880">
            <w:pPr>
              <w:spacing w:line="400" w:lineRule="exact"/>
              <w:ind w:firstLine="420" w:firstLineChars="200"/>
              <w:rPr>
                <w:rFonts w:ascii="宋体" w:hAnsi="宋体"/>
                <w:color w:val="auto"/>
                <w:szCs w:val="21"/>
                <w:highlight w:val="none"/>
              </w:rPr>
            </w:pPr>
          </w:p>
        </w:tc>
        <w:tc>
          <w:tcPr>
            <w:tcW w:w="5103" w:type="dxa"/>
          </w:tcPr>
          <w:p w14:paraId="52342FF0">
            <w:pPr>
              <w:spacing w:line="400" w:lineRule="exact"/>
              <w:ind w:firstLine="420" w:firstLineChars="200"/>
              <w:rPr>
                <w:rFonts w:ascii="宋体" w:hAnsi="宋体"/>
                <w:color w:val="auto"/>
                <w:szCs w:val="21"/>
                <w:highlight w:val="none"/>
              </w:rPr>
            </w:pPr>
          </w:p>
        </w:tc>
        <w:tc>
          <w:tcPr>
            <w:tcW w:w="1560" w:type="dxa"/>
          </w:tcPr>
          <w:p w14:paraId="339B34F5">
            <w:pPr>
              <w:spacing w:line="400" w:lineRule="exact"/>
              <w:ind w:firstLine="420" w:firstLineChars="200"/>
              <w:rPr>
                <w:rFonts w:ascii="宋体" w:hAnsi="宋体"/>
                <w:color w:val="auto"/>
                <w:szCs w:val="21"/>
                <w:highlight w:val="none"/>
              </w:rPr>
            </w:pPr>
          </w:p>
        </w:tc>
      </w:tr>
      <w:tr w14:paraId="680C5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4068033A">
            <w:pPr>
              <w:spacing w:line="400" w:lineRule="exact"/>
              <w:ind w:firstLine="420" w:firstLineChars="200"/>
              <w:rPr>
                <w:rFonts w:ascii="宋体" w:hAnsi="宋体"/>
                <w:color w:val="auto"/>
                <w:szCs w:val="21"/>
                <w:highlight w:val="none"/>
              </w:rPr>
            </w:pPr>
          </w:p>
        </w:tc>
        <w:tc>
          <w:tcPr>
            <w:tcW w:w="1984" w:type="dxa"/>
          </w:tcPr>
          <w:p w14:paraId="63DE5DA4">
            <w:pPr>
              <w:spacing w:line="400" w:lineRule="exact"/>
              <w:ind w:firstLine="420" w:firstLineChars="200"/>
              <w:rPr>
                <w:rFonts w:ascii="宋体" w:hAnsi="宋体"/>
                <w:color w:val="auto"/>
                <w:szCs w:val="21"/>
                <w:highlight w:val="none"/>
              </w:rPr>
            </w:pPr>
          </w:p>
        </w:tc>
        <w:tc>
          <w:tcPr>
            <w:tcW w:w="5103" w:type="dxa"/>
          </w:tcPr>
          <w:p w14:paraId="6DC2F69E">
            <w:pPr>
              <w:spacing w:line="400" w:lineRule="exact"/>
              <w:ind w:firstLine="420" w:firstLineChars="200"/>
              <w:rPr>
                <w:rFonts w:ascii="宋体" w:hAnsi="宋体"/>
                <w:color w:val="auto"/>
                <w:szCs w:val="21"/>
                <w:highlight w:val="none"/>
              </w:rPr>
            </w:pPr>
          </w:p>
        </w:tc>
        <w:tc>
          <w:tcPr>
            <w:tcW w:w="1560" w:type="dxa"/>
          </w:tcPr>
          <w:p w14:paraId="6514CB88">
            <w:pPr>
              <w:spacing w:line="400" w:lineRule="exact"/>
              <w:ind w:firstLine="420" w:firstLineChars="200"/>
              <w:rPr>
                <w:rFonts w:ascii="宋体" w:hAnsi="宋体"/>
                <w:color w:val="auto"/>
                <w:szCs w:val="21"/>
                <w:highlight w:val="none"/>
              </w:rPr>
            </w:pPr>
          </w:p>
        </w:tc>
      </w:tr>
      <w:tr w14:paraId="56559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717EE2A1">
            <w:pPr>
              <w:spacing w:line="400" w:lineRule="exact"/>
              <w:ind w:firstLine="420" w:firstLineChars="200"/>
              <w:rPr>
                <w:rFonts w:ascii="宋体" w:hAnsi="宋体"/>
                <w:color w:val="auto"/>
                <w:szCs w:val="21"/>
                <w:highlight w:val="none"/>
              </w:rPr>
            </w:pPr>
          </w:p>
        </w:tc>
        <w:tc>
          <w:tcPr>
            <w:tcW w:w="1984" w:type="dxa"/>
          </w:tcPr>
          <w:p w14:paraId="48D7D858">
            <w:pPr>
              <w:spacing w:line="400" w:lineRule="exact"/>
              <w:ind w:firstLine="420" w:firstLineChars="200"/>
              <w:rPr>
                <w:rFonts w:ascii="宋体" w:hAnsi="宋体"/>
                <w:color w:val="auto"/>
                <w:szCs w:val="21"/>
                <w:highlight w:val="none"/>
              </w:rPr>
            </w:pPr>
          </w:p>
        </w:tc>
        <w:tc>
          <w:tcPr>
            <w:tcW w:w="5103" w:type="dxa"/>
          </w:tcPr>
          <w:p w14:paraId="177977CC">
            <w:pPr>
              <w:spacing w:line="400" w:lineRule="exact"/>
              <w:ind w:firstLine="420" w:firstLineChars="200"/>
              <w:rPr>
                <w:rFonts w:ascii="宋体" w:hAnsi="宋体"/>
                <w:color w:val="auto"/>
                <w:szCs w:val="21"/>
                <w:highlight w:val="none"/>
              </w:rPr>
            </w:pPr>
          </w:p>
        </w:tc>
        <w:tc>
          <w:tcPr>
            <w:tcW w:w="1560" w:type="dxa"/>
          </w:tcPr>
          <w:p w14:paraId="4707DA9C">
            <w:pPr>
              <w:spacing w:line="400" w:lineRule="exact"/>
              <w:ind w:firstLine="420" w:firstLineChars="200"/>
              <w:rPr>
                <w:rFonts w:ascii="宋体" w:hAnsi="宋体"/>
                <w:color w:val="auto"/>
                <w:szCs w:val="21"/>
                <w:highlight w:val="none"/>
              </w:rPr>
            </w:pPr>
          </w:p>
        </w:tc>
      </w:tr>
      <w:tr w14:paraId="2A84F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0F7CDB58">
            <w:pPr>
              <w:spacing w:line="400" w:lineRule="exact"/>
              <w:ind w:firstLine="420" w:firstLineChars="200"/>
              <w:rPr>
                <w:rFonts w:ascii="宋体" w:hAnsi="宋体"/>
                <w:color w:val="auto"/>
                <w:szCs w:val="21"/>
                <w:highlight w:val="none"/>
              </w:rPr>
            </w:pPr>
          </w:p>
        </w:tc>
        <w:tc>
          <w:tcPr>
            <w:tcW w:w="1984" w:type="dxa"/>
          </w:tcPr>
          <w:p w14:paraId="7F7FABA6">
            <w:pPr>
              <w:spacing w:line="400" w:lineRule="exact"/>
              <w:ind w:firstLine="420" w:firstLineChars="200"/>
              <w:rPr>
                <w:rFonts w:ascii="宋体" w:hAnsi="宋体"/>
                <w:color w:val="auto"/>
                <w:szCs w:val="21"/>
                <w:highlight w:val="none"/>
              </w:rPr>
            </w:pPr>
          </w:p>
        </w:tc>
        <w:tc>
          <w:tcPr>
            <w:tcW w:w="5103" w:type="dxa"/>
          </w:tcPr>
          <w:p w14:paraId="4DAA655F">
            <w:pPr>
              <w:spacing w:line="400" w:lineRule="exact"/>
              <w:ind w:firstLine="420" w:firstLineChars="200"/>
              <w:rPr>
                <w:rFonts w:ascii="宋体" w:hAnsi="宋体"/>
                <w:color w:val="auto"/>
                <w:szCs w:val="21"/>
                <w:highlight w:val="none"/>
              </w:rPr>
            </w:pPr>
          </w:p>
        </w:tc>
        <w:tc>
          <w:tcPr>
            <w:tcW w:w="1560" w:type="dxa"/>
          </w:tcPr>
          <w:p w14:paraId="4125B21D">
            <w:pPr>
              <w:spacing w:line="400" w:lineRule="exact"/>
              <w:ind w:firstLine="420" w:firstLineChars="200"/>
              <w:rPr>
                <w:rFonts w:ascii="宋体" w:hAnsi="宋体"/>
                <w:color w:val="auto"/>
                <w:szCs w:val="21"/>
                <w:highlight w:val="none"/>
              </w:rPr>
            </w:pPr>
          </w:p>
        </w:tc>
      </w:tr>
      <w:tr w14:paraId="3AE15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21DA152D">
            <w:pPr>
              <w:spacing w:line="400" w:lineRule="exact"/>
              <w:ind w:firstLine="420" w:firstLineChars="200"/>
              <w:rPr>
                <w:rFonts w:ascii="宋体" w:hAnsi="宋体"/>
                <w:color w:val="auto"/>
                <w:szCs w:val="21"/>
                <w:highlight w:val="none"/>
              </w:rPr>
            </w:pPr>
          </w:p>
        </w:tc>
        <w:tc>
          <w:tcPr>
            <w:tcW w:w="1984" w:type="dxa"/>
          </w:tcPr>
          <w:p w14:paraId="02F437F4">
            <w:pPr>
              <w:spacing w:line="400" w:lineRule="exact"/>
              <w:ind w:firstLine="420" w:firstLineChars="200"/>
              <w:rPr>
                <w:rFonts w:ascii="宋体" w:hAnsi="宋体"/>
                <w:color w:val="auto"/>
                <w:szCs w:val="21"/>
                <w:highlight w:val="none"/>
              </w:rPr>
            </w:pPr>
          </w:p>
        </w:tc>
        <w:tc>
          <w:tcPr>
            <w:tcW w:w="5103" w:type="dxa"/>
          </w:tcPr>
          <w:p w14:paraId="2E13A69E">
            <w:pPr>
              <w:spacing w:line="400" w:lineRule="exact"/>
              <w:ind w:firstLine="420" w:firstLineChars="200"/>
              <w:rPr>
                <w:rFonts w:ascii="宋体" w:hAnsi="宋体"/>
                <w:color w:val="auto"/>
                <w:szCs w:val="21"/>
                <w:highlight w:val="none"/>
              </w:rPr>
            </w:pPr>
          </w:p>
        </w:tc>
        <w:tc>
          <w:tcPr>
            <w:tcW w:w="1560" w:type="dxa"/>
          </w:tcPr>
          <w:p w14:paraId="4FF29CAE">
            <w:pPr>
              <w:spacing w:line="400" w:lineRule="exact"/>
              <w:ind w:firstLine="420" w:firstLineChars="200"/>
              <w:rPr>
                <w:rFonts w:ascii="宋体" w:hAnsi="宋体"/>
                <w:color w:val="auto"/>
                <w:szCs w:val="21"/>
                <w:highlight w:val="none"/>
              </w:rPr>
            </w:pPr>
          </w:p>
        </w:tc>
      </w:tr>
      <w:tr w14:paraId="7A981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556FFB17">
            <w:pPr>
              <w:spacing w:line="400" w:lineRule="exact"/>
              <w:ind w:firstLine="420" w:firstLineChars="200"/>
              <w:rPr>
                <w:rFonts w:ascii="宋体" w:hAnsi="宋体"/>
                <w:color w:val="auto"/>
                <w:szCs w:val="21"/>
                <w:highlight w:val="none"/>
              </w:rPr>
            </w:pPr>
          </w:p>
        </w:tc>
        <w:tc>
          <w:tcPr>
            <w:tcW w:w="1984" w:type="dxa"/>
          </w:tcPr>
          <w:p w14:paraId="67FCB503">
            <w:pPr>
              <w:spacing w:line="400" w:lineRule="exact"/>
              <w:ind w:firstLine="420" w:firstLineChars="200"/>
              <w:rPr>
                <w:rFonts w:ascii="宋体" w:hAnsi="宋体"/>
                <w:color w:val="auto"/>
                <w:szCs w:val="21"/>
                <w:highlight w:val="none"/>
              </w:rPr>
            </w:pPr>
          </w:p>
        </w:tc>
        <w:tc>
          <w:tcPr>
            <w:tcW w:w="5103" w:type="dxa"/>
          </w:tcPr>
          <w:p w14:paraId="2556FBA2">
            <w:pPr>
              <w:spacing w:line="400" w:lineRule="exact"/>
              <w:ind w:firstLine="420" w:firstLineChars="200"/>
              <w:rPr>
                <w:rFonts w:ascii="宋体" w:hAnsi="宋体"/>
                <w:color w:val="auto"/>
                <w:szCs w:val="21"/>
                <w:highlight w:val="none"/>
              </w:rPr>
            </w:pPr>
          </w:p>
        </w:tc>
        <w:tc>
          <w:tcPr>
            <w:tcW w:w="1560" w:type="dxa"/>
          </w:tcPr>
          <w:p w14:paraId="2F9CC6EB">
            <w:pPr>
              <w:spacing w:line="400" w:lineRule="exact"/>
              <w:ind w:firstLine="420" w:firstLineChars="200"/>
              <w:rPr>
                <w:rFonts w:ascii="宋体" w:hAnsi="宋体"/>
                <w:color w:val="auto"/>
                <w:szCs w:val="21"/>
                <w:highlight w:val="none"/>
              </w:rPr>
            </w:pPr>
          </w:p>
        </w:tc>
      </w:tr>
      <w:tr w14:paraId="38322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58C81FAA">
            <w:pPr>
              <w:spacing w:line="400" w:lineRule="exact"/>
              <w:ind w:firstLine="420" w:firstLineChars="200"/>
              <w:rPr>
                <w:rFonts w:ascii="宋体" w:hAnsi="宋体"/>
                <w:color w:val="auto"/>
                <w:szCs w:val="21"/>
                <w:highlight w:val="none"/>
              </w:rPr>
            </w:pPr>
          </w:p>
        </w:tc>
        <w:tc>
          <w:tcPr>
            <w:tcW w:w="1984" w:type="dxa"/>
          </w:tcPr>
          <w:p w14:paraId="15377573">
            <w:pPr>
              <w:spacing w:line="400" w:lineRule="exact"/>
              <w:ind w:firstLine="420" w:firstLineChars="200"/>
              <w:rPr>
                <w:rFonts w:ascii="宋体" w:hAnsi="宋体"/>
                <w:color w:val="auto"/>
                <w:szCs w:val="21"/>
                <w:highlight w:val="none"/>
              </w:rPr>
            </w:pPr>
          </w:p>
        </w:tc>
        <w:tc>
          <w:tcPr>
            <w:tcW w:w="5103" w:type="dxa"/>
          </w:tcPr>
          <w:p w14:paraId="1AECC94C">
            <w:pPr>
              <w:spacing w:line="400" w:lineRule="exact"/>
              <w:ind w:firstLine="420" w:firstLineChars="200"/>
              <w:rPr>
                <w:rFonts w:ascii="宋体" w:hAnsi="宋体"/>
                <w:color w:val="auto"/>
                <w:szCs w:val="21"/>
                <w:highlight w:val="none"/>
              </w:rPr>
            </w:pPr>
          </w:p>
        </w:tc>
        <w:tc>
          <w:tcPr>
            <w:tcW w:w="1560" w:type="dxa"/>
          </w:tcPr>
          <w:p w14:paraId="212DF1DA">
            <w:pPr>
              <w:spacing w:line="400" w:lineRule="exact"/>
              <w:ind w:firstLine="420" w:firstLineChars="200"/>
              <w:rPr>
                <w:rFonts w:ascii="宋体" w:hAnsi="宋体"/>
                <w:color w:val="auto"/>
                <w:szCs w:val="21"/>
                <w:highlight w:val="none"/>
              </w:rPr>
            </w:pPr>
          </w:p>
        </w:tc>
      </w:tr>
      <w:tr w14:paraId="745B1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2A126BE2">
            <w:pPr>
              <w:spacing w:line="400" w:lineRule="exact"/>
              <w:ind w:firstLine="420" w:firstLineChars="200"/>
              <w:rPr>
                <w:rFonts w:ascii="宋体" w:hAnsi="宋体"/>
                <w:color w:val="auto"/>
                <w:szCs w:val="21"/>
                <w:highlight w:val="none"/>
              </w:rPr>
            </w:pPr>
          </w:p>
        </w:tc>
        <w:tc>
          <w:tcPr>
            <w:tcW w:w="1984" w:type="dxa"/>
          </w:tcPr>
          <w:p w14:paraId="2A0C1965">
            <w:pPr>
              <w:spacing w:line="400" w:lineRule="exact"/>
              <w:ind w:firstLine="420" w:firstLineChars="200"/>
              <w:rPr>
                <w:rFonts w:ascii="宋体" w:hAnsi="宋体"/>
                <w:color w:val="auto"/>
                <w:szCs w:val="21"/>
                <w:highlight w:val="none"/>
              </w:rPr>
            </w:pPr>
          </w:p>
        </w:tc>
        <w:tc>
          <w:tcPr>
            <w:tcW w:w="5103" w:type="dxa"/>
          </w:tcPr>
          <w:p w14:paraId="7509EBE8">
            <w:pPr>
              <w:spacing w:line="400" w:lineRule="exact"/>
              <w:ind w:firstLine="420" w:firstLineChars="200"/>
              <w:rPr>
                <w:rFonts w:ascii="宋体" w:hAnsi="宋体"/>
                <w:color w:val="auto"/>
                <w:szCs w:val="21"/>
                <w:highlight w:val="none"/>
              </w:rPr>
            </w:pPr>
          </w:p>
        </w:tc>
        <w:tc>
          <w:tcPr>
            <w:tcW w:w="1560" w:type="dxa"/>
          </w:tcPr>
          <w:p w14:paraId="7CBEA900">
            <w:pPr>
              <w:spacing w:line="400" w:lineRule="exact"/>
              <w:ind w:firstLine="420" w:firstLineChars="200"/>
              <w:rPr>
                <w:rFonts w:ascii="宋体" w:hAnsi="宋体"/>
                <w:color w:val="auto"/>
                <w:szCs w:val="21"/>
                <w:highlight w:val="none"/>
              </w:rPr>
            </w:pPr>
          </w:p>
        </w:tc>
      </w:tr>
      <w:tr w14:paraId="5EAD1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000F20C0">
            <w:pPr>
              <w:spacing w:line="400" w:lineRule="exact"/>
              <w:ind w:firstLine="420" w:firstLineChars="200"/>
              <w:rPr>
                <w:rFonts w:ascii="宋体" w:hAnsi="宋体"/>
                <w:color w:val="auto"/>
                <w:szCs w:val="21"/>
                <w:highlight w:val="none"/>
              </w:rPr>
            </w:pPr>
          </w:p>
        </w:tc>
        <w:tc>
          <w:tcPr>
            <w:tcW w:w="1984" w:type="dxa"/>
          </w:tcPr>
          <w:p w14:paraId="321CA720">
            <w:pPr>
              <w:spacing w:line="400" w:lineRule="exact"/>
              <w:ind w:firstLine="420" w:firstLineChars="200"/>
              <w:rPr>
                <w:rFonts w:ascii="宋体" w:hAnsi="宋体"/>
                <w:color w:val="auto"/>
                <w:szCs w:val="21"/>
                <w:highlight w:val="none"/>
              </w:rPr>
            </w:pPr>
          </w:p>
        </w:tc>
        <w:tc>
          <w:tcPr>
            <w:tcW w:w="5103" w:type="dxa"/>
          </w:tcPr>
          <w:p w14:paraId="431BED81">
            <w:pPr>
              <w:spacing w:line="400" w:lineRule="exact"/>
              <w:ind w:firstLine="420" w:firstLineChars="200"/>
              <w:rPr>
                <w:rFonts w:ascii="宋体" w:hAnsi="宋体"/>
                <w:color w:val="auto"/>
                <w:szCs w:val="21"/>
                <w:highlight w:val="none"/>
              </w:rPr>
            </w:pPr>
          </w:p>
        </w:tc>
        <w:tc>
          <w:tcPr>
            <w:tcW w:w="1560" w:type="dxa"/>
          </w:tcPr>
          <w:p w14:paraId="6F53299B">
            <w:pPr>
              <w:spacing w:line="400" w:lineRule="exact"/>
              <w:ind w:firstLine="420" w:firstLineChars="200"/>
              <w:rPr>
                <w:rFonts w:ascii="宋体" w:hAnsi="宋体"/>
                <w:color w:val="auto"/>
                <w:szCs w:val="21"/>
                <w:highlight w:val="none"/>
              </w:rPr>
            </w:pPr>
          </w:p>
        </w:tc>
      </w:tr>
      <w:tr w14:paraId="0BED2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1783988E">
            <w:pPr>
              <w:spacing w:line="400" w:lineRule="exact"/>
              <w:ind w:firstLine="420" w:firstLineChars="200"/>
              <w:rPr>
                <w:rFonts w:ascii="宋体" w:hAnsi="宋体"/>
                <w:color w:val="auto"/>
                <w:szCs w:val="21"/>
                <w:highlight w:val="none"/>
              </w:rPr>
            </w:pPr>
          </w:p>
        </w:tc>
        <w:tc>
          <w:tcPr>
            <w:tcW w:w="1984" w:type="dxa"/>
          </w:tcPr>
          <w:p w14:paraId="3BDD1288">
            <w:pPr>
              <w:spacing w:line="400" w:lineRule="exact"/>
              <w:ind w:firstLine="420" w:firstLineChars="200"/>
              <w:rPr>
                <w:rFonts w:ascii="宋体" w:hAnsi="宋体"/>
                <w:color w:val="auto"/>
                <w:szCs w:val="21"/>
                <w:highlight w:val="none"/>
              </w:rPr>
            </w:pPr>
          </w:p>
        </w:tc>
        <w:tc>
          <w:tcPr>
            <w:tcW w:w="5103" w:type="dxa"/>
          </w:tcPr>
          <w:p w14:paraId="278DB7BB">
            <w:pPr>
              <w:spacing w:line="400" w:lineRule="exact"/>
              <w:ind w:firstLine="420" w:firstLineChars="200"/>
              <w:rPr>
                <w:rFonts w:ascii="宋体" w:hAnsi="宋体"/>
                <w:color w:val="auto"/>
                <w:szCs w:val="21"/>
                <w:highlight w:val="none"/>
              </w:rPr>
            </w:pPr>
          </w:p>
        </w:tc>
        <w:tc>
          <w:tcPr>
            <w:tcW w:w="1560" w:type="dxa"/>
          </w:tcPr>
          <w:p w14:paraId="6BFA172C">
            <w:pPr>
              <w:spacing w:line="400" w:lineRule="exact"/>
              <w:ind w:firstLine="420" w:firstLineChars="200"/>
              <w:rPr>
                <w:rFonts w:ascii="宋体" w:hAnsi="宋体"/>
                <w:color w:val="auto"/>
                <w:szCs w:val="21"/>
                <w:highlight w:val="none"/>
              </w:rPr>
            </w:pPr>
          </w:p>
        </w:tc>
      </w:tr>
      <w:tr w14:paraId="3F750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5DFF1D2F">
            <w:pPr>
              <w:spacing w:line="400" w:lineRule="exact"/>
              <w:ind w:firstLine="420" w:firstLineChars="200"/>
              <w:rPr>
                <w:rFonts w:ascii="宋体" w:hAnsi="宋体"/>
                <w:color w:val="auto"/>
                <w:szCs w:val="21"/>
                <w:highlight w:val="none"/>
              </w:rPr>
            </w:pPr>
          </w:p>
        </w:tc>
        <w:tc>
          <w:tcPr>
            <w:tcW w:w="1984" w:type="dxa"/>
          </w:tcPr>
          <w:p w14:paraId="5A4B9653">
            <w:pPr>
              <w:spacing w:line="400" w:lineRule="exact"/>
              <w:ind w:firstLine="420" w:firstLineChars="200"/>
              <w:rPr>
                <w:rFonts w:ascii="宋体" w:hAnsi="宋体"/>
                <w:color w:val="auto"/>
                <w:szCs w:val="21"/>
                <w:highlight w:val="none"/>
              </w:rPr>
            </w:pPr>
          </w:p>
        </w:tc>
        <w:tc>
          <w:tcPr>
            <w:tcW w:w="5103" w:type="dxa"/>
          </w:tcPr>
          <w:p w14:paraId="3B8A7FD3">
            <w:pPr>
              <w:spacing w:line="400" w:lineRule="exact"/>
              <w:ind w:firstLine="420" w:firstLineChars="200"/>
              <w:rPr>
                <w:rFonts w:ascii="宋体" w:hAnsi="宋体"/>
                <w:color w:val="auto"/>
                <w:szCs w:val="21"/>
                <w:highlight w:val="none"/>
              </w:rPr>
            </w:pPr>
          </w:p>
        </w:tc>
        <w:tc>
          <w:tcPr>
            <w:tcW w:w="1560" w:type="dxa"/>
          </w:tcPr>
          <w:p w14:paraId="3CD62458">
            <w:pPr>
              <w:spacing w:line="400" w:lineRule="exact"/>
              <w:ind w:firstLine="420" w:firstLineChars="200"/>
              <w:rPr>
                <w:rFonts w:ascii="宋体" w:hAnsi="宋体"/>
                <w:color w:val="auto"/>
                <w:szCs w:val="21"/>
                <w:highlight w:val="none"/>
              </w:rPr>
            </w:pPr>
          </w:p>
        </w:tc>
      </w:tr>
      <w:tr w14:paraId="0BA28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18C23CE8">
            <w:pPr>
              <w:spacing w:line="400" w:lineRule="exact"/>
              <w:ind w:firstLine="420" w:firstLineChars="200"/>
              <w:rPr>
                <w:rFonts w:ascii="宋体" w:hAnsi="宋体"/>
                <w:color w:val="auto"/>
                <w:szCs w:val="21"/>
                <w:highlight w:val="none"/>
              </w:rPr>
            </w:pPr>
          </w:p>
        </w:tc>
        <w:tc>
          <w:tcPr>
            <w:tcW w:w="1984" w:type="dxa"/>
          </w:tcPr>
          <w:p w14:paraId="1685DF78">
            <w:pPr>
              <w:spacing w:line="400" w:lineRule="exact"/>
              <w:ind w:firstLine="420" w:firstLineChars="200"/>
              <w:rPr>
                <w:rFonts w:ascii="宋体" w:hAnsi="宋体"/>
                <w:color w:val="auto"/>
                <w:szCs w:val="21"/>
                <w:highlight w:val="none"/>
              </w:rPr>
            </w:pPr>
          </w:p>
        </w:tc>
        <w:tc>
          <w:tcPr>
            <w:tcW w:w="5103" w:type="dxa"/>
          </w:tcPr>
          <w:p w14:paraId="3E92F1D4">
            <w:pPr>
              <w:spacing w:line="400" w:lineRule="exact"/>
              <w:ind w:firstLine="420" w:firstLineChars="200"/>
              <w:rPr>
                <w:rFonts w:ascii="宋体" w:hAnsi="宋体"/>
                <w:color w:val="auto"/>
                <w:szCs w:val="21"/>
                <w:highlight w:val="none"/>
              </w:rPr>
            </w:pPr>
          </w:p>
        </w:tc>
        <w:tc>
          <w:tcPr>
            <w:tcW w:w="1560" w:type="dxa"/>
          </w:tcPr>
          <w:p w14:paraId="2D487F55">
            <w:pPr>
              <w:spacing w:line="400" w:lineRule="exact"/>
              <w:ind w:firstLine="420" w:firstLineChars="200"/>
              <w:rPr>
                <w:rFonts w:ascii="宋体" w:hAnsi="宋体"/>
                <w:color w:val="auto"/>
                <w:szCs w:val="21"/>
                <w:highlight w:val="none"/>
              </w:rPr>
            </w:pPr>
          </w:p>
        </w:tc>
      </w:tr>
      <w:tr w14:paraId="2CEA7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20DCF672">
            <w:pPr>
              <w:spacing w:line="400" w:lineRule="exact"/>
              <w:ind w:firstLine="420" w:firstLineChars="200"/>
              <w:rPr>
                <w:rFonts w:ascii="宋体" w:hAnsi="宋体"/>
                <w:color w:val="auto"/>
                <w:szCs w:val="21"/>
                <w:highlight w:val="none"/>
              </w:rPr>
            </w:pPr>
          </w:p>
        </w:tc>
        <w:tc>
          <w:tcPr>
            <w:tcW w:w="1984" w:type="dxa"/>
          </w:tcPr>
          <w:p w14:paraId="734B2DD4">
            <w:pPr>
              <w:spacing w:line="400" w:lineRule="exact"/>
              <w:ind w:firstLine="420" w:firstLineChars="200"/>
              <w:rPr>
                <w:rFonts w:ascii="宋体" w:hAnsi="宋体"/>
                <w:color w:val="auto"/>
                <w:szCs w:val="21"/>
                <w:highlight w:val="none"/>
              </w:rPr>
            </w:pPr>
          </w:p>
        </w:tc>
        <w:tc>
          <w:tcPr>
            <w:tcW w:w="5103" w:type="dxa"/>
          </w:tcPr>
          <w:p w14:paraId="78133089">
            <w:pPr>
              <w:spacing w:line="400" w:lineRule="exact"/>
              <w:ind w:firstLine="420" w:firstLineChars="200"/>
              <w:rPr>
                <w:rFonts w:ascii="宋体" w:hAnsi="宋体"/>
                <w:color w:val="auto"/>
                <w:szCs w:val="21"/>
                <w:highlight w:val="none"/>
              </w:rPr>
            </w:pPr>
          </w:p>
        </w:tc>
        <w:tc>
          <w:tcPr>
            <w:tcW w:w="1560" w:type="dxa"/>
          </w:tcPr>
          <w:p w14:paraId="4576CC03">
            <w:pPr>
              <w:spacing w:line="400" w:lineRule="exact"/>
              <w:ind w:firstLine="420" w:firstLineChars="200"/>
              <w:rPr>
                <w:rFonts w:ascii="宋体" w:hAnsi="宋体"/>
                <w:color w:val="auto"/>
                <w:szCs w:val="21"/>
                <w:highlight w:val="none"/>
              </w:rPr>
            </w:pPr>
          </w:p>
        </w:tc>
      </w:tr>
      <w:tr w14:paraId="50568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371C31CE">
            <w:pPr>
              <w:spacing w:line="400" w:lineRule="exact"/>
              <w:ind w:firstLine="420" w:firstLineChars="200"/>
              <w:rPr>
                <w:rFonts w:ascii="宋体" w:hAnsi="宋体"/>
                <w:color w:val="auto"/>
                <w:szCs w:val="21"/>
                <w:highlight w:val="none"/>
              </w:rPr>
            </w:pPr>
          </w:p>
        </w:tc>
        <w:tc>
          <w:tcPr>
            <w:tcW w:w="1984" w:type="dxa"/>
          </w:tcPr>
          <w:p w14:paraId="6652BEBC">
            <w:pPr>
              <w:spacing w:line="400" w:lineRule="exact"/>
              <w:ind w:firstLine="420" w:firstLineChars="200"/>
              <w:rPr>
                <w:rFonts w:ascii="宋体" w:hAnsi="宋体"/>
                <w:color w:val="auto"/>
                <w:szCs w:val="21"/>
                <w:highlight w:val="none"/>
              </w:rPr>
            </w:pPr>
          </w:p>
        </w:tc>
        <w:tc>
          <w:tcPr>
            <w:tcW w:w="5103" w:type="dxa"/>
          </w:tcPr>
          <w:p w14:paraId="244BAB43">
            <w:pPr>
              <w:spacing w:line="400" w:lineRule="exact"/>
              <w:ind w:firstLine="420" w:firstLineChars="200"/>
              <w:rPr>
                <w:rFonts w:ascii="宋体" w:hAnsi="宋体"/>
                <w:color w:val="auto"/>
                <w:szCs w:val="21"/>
                <w:highlight w:val="none"/>
              </w:rPr>
            </w:pPr>
          </w:p>
        </w:tc>
        <w:tc>
          <w:tcPr>
            <w:tcW w:w="1560" w:type="dxa"/>
          </w:tcPr>
          <w:p w14:paraId="00360E9D">
            <w:pPr>
              <w:spacing w:line="400" w:lineRule="exact"/>
              <w:ind w:firstLine="420" w:firstLineChars="200"/>
              <w:rPr>
                <w:rFonts w:ascii="宋体" w:hAnsi="宋体"/>
                <w:color w:val="auto"/>
                <w:szCs w:val="21"/>
                <w:highlight w:val="none"/>
              </w:rPr>
            </w:pPr>
          </w:p>
        </w:tc>
      </w:tr>
      <w:tr w14:paraId="7172B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3145F13C">
            <w:pPr>
              <w:spacing w:line="400" w:lineRule="exact"/>
              <w:ind w:firstLine="420" w:firstLineChars="200"/>
              <w:rPr>
                <w:rFonts w:ascii="宋体" w:hAnsi="宋体"/>
                <w:color w:val="auto"/>
                <w:szCs w:val="21"/>
                <w:highlight w:val="none"/>
              </w:rPr>
            </w:pPr>
          </w:p>
        </w:tc>
        <w:tc>
          <w:tcPr>
            <w:tcW w:w="1984" w:type="dxa"/>
          </w:tcPr>
          <w:p w14:paraId="43973D7A">
            <w:pPr>
              <w:spacing w:line="400" w:lineRule="exact"/>
              <w:ind w:firstLine="420" w:firstLineChars="200"/>
              <w:rPr>
                <w:rFonts w:ascii="宋体" w:hAnsi="宋体"/>
                <w:color w:val="auto"/>
                <w:szCs w:val="21"/>
                <w:highlight w:val="none"/>
              </w:rPr>
            </w:pPr>
          </w:p>
        </w:tc>
        <w:tc>
          <w:tcPr>
            <w:tcW w:w="5103" w:type="dxa"/>
          </w:tcPr>
          <w:p w14:paraId="6F9FE7EE">
            <w:pPr>
              <w:spacing w:line="400" w:lineRule="exact"/>
              <w:ind w:firstLine="420" w:firstLineChars="200"/>
              <w:rPr>
                <w:rFonts w:ascii="宋体" w:hAnsi="宋体"/>
                <w:color w:val="auto"/>
                <w:szCs w:val="21"/>
                <w:highlight w:val="none"/>
              </w:rPr>
            </w:pPr>
          </w:p>
        </w:tc>
        <w:tc>
          <w:tcPr>
            <w:tcW w:w="1560" w:type="dxa"/>
          </w:tcPr>
          <w:p w14:paraId="44431D6A">
            <w:pPr>
              <w:spacing w:line="400" w:lineRule="exact"/>
              <w:ind w:firstLine="420" w:firstLineChars="200"/>
              <w:rPr>
                <w:rFonts w:ascii="宋体" w:hAnsi="宋体"/>
                <w:color w:val="auto"/>
                <w:szCs w:val="21"/>
                <w:highlight w:val="none"/>
              </w:rPr>
            </w:pPr>
          </w:p>
        </w:tc>
      </w:tr>
      <w:tr w14:paraId="541EB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619E0B1C">
            <w:pPr>
              <w:spacing w:line="400" w:lineRule="exact"/>
              <w:ind w:firstLine="420" w:firstLineChars="200"/>
              <w:rPr>
                <w:rFonts w:ascii="宋体" w:hAnsi="宋体"/>
                <w:color w:val="auto"/>
                <w:szCs w:val="21"/>
                <w:highlight w:val="none"/>
              </w:rPr>
            </w:pPr>
          </w:p>
        </w:tc>
        <w:tc>
          <w:tcPr>
            <w:tcW w:w="1984" w:type="dxa"/>
          </w:tcPr>
          <w:p w14:paraId="4CCB8286">
            <w:pPr>
              <w:spacing w:line="400" w:lineRule="exact"/>
              <w:ind w:firstLine="420" w:firstLineChars="200"/>
              <w:rPr>
                <w:rFonts w:ascii="宋体" w:hAnsi="宋体"/>
                <w:color w:val="auto"/>
                <w:szCs w:val="21"/>
                <w:highlight w:val="none"/>
              </w:rPr>
            </w:pPr>
          </w:p>
        </w:tc>
        <w:tc>
          <w:tcPr>
            <w:tcW w:w="5103" w:type="dxa"/>
          </w:tcPr>
          <w:p w14:paraId="6B6DCA29">
            <w:pPr>
              <w:spacing w:line="400" w:lineRule="exact"/>
              <w:ind w:firstLine="420" w:firstLineChars="200"/>
              <w:rPr>
                <w:rFonts w:ascii="宋体" w:hAnsi="宋体"/>
                <w:color w:val="auto"/>
                <w:szCs w:val="21"/>
                <w:highlight w:val="none"/>
              </w:rPr>
            </w:pPr>
          </w:p>
        </w:tc>
        <w:tc>
          <w:tcPr>
            <w:tcW w:w="1560" w:type="dxa"/>
          </w:tcPr>
          <w:p w14:paraId="67077AF0">
            <w:pPr>
              <w:spacing w:line="400" w:lineRule="exact"/>
              <w:ind w:firstLine="420" w:firstLineChars="200"/>
              <w:rPr>
                <w:rFonts w:ascii="宋体" w:hAnsi="宋体"/>
                <w:color w:val="auto"/>
                <w:szCs w:val="21"/>
                <w:highlight w:val="none"/>
              </w:rPr>
            </w:pPr>
          </w:p>
        </w:tc>
      </w:tr>
      <w:tr w14:paraId="4938D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7A1098EA">
            <w:pPr>
              <w:spacing w:line="400" w:lineRule="exact"/>
              <w:ind w:firstLine="420" w:firstLineChars="200"/>
              <w:rPr>
                <w:rFonts w:ascii="宋体" w:hAnsi="宋体"/>
                <w:color w:val="auto"/>
                <w:szCs w:val="21"/>
                <w:highlight w:val="none"/>
              </w:rPr>
            </w:pPr>
          </w:p>
        </w:tc>
        <w:tc>
          <w:tcPr>
            <w:tcW w:w="1984" w:type="dxa"/>
          </w:tcPr>
          <w:p w14:paraId="7162F0E8">
            <w:pPr>
              <w:spacing w:line="400" w:lineRule="exact"/>
              <w:ind w:firstLine="420" w:firstLineChars="200"/>
              <w:rPr>
                <w:rFonts w:ascii="宋体" w:hAnsi="宋体"/>
                <w:color w:val="auto"/>
                <w:szCs w:val="21"/>
                <w:highlight w:val="none"/>
              </w:rPr>
            </w:pPr>
          </w:p>
        </w:tc>
        <w:tc>
          <w:tcPr>
            <w:tcW w:w="5103" w:type="dxa"/>
          </w:tcPr>
          <w:p w14:paraId="1B4F3FC8">
            <w:pPr>
              <w:spacing w:line="400" w:lineRule="exact"/>
              <w:ind w:firstLine="420" w:firstLineChars="200"/>
              <w:rPr>
                <w:rFonts w:ascii="宋体" w:hAnsi="宋体"/>
                <w:color w:val="auto"/>
                <w:szCs w:val="21"/>
                <w:highlight w:val="none"/>
              </w:rPr>
            </w:pPr>
          </w:p>
        </w:tc>
        <w:tc>
          <w:tcPr>
            <w:tcW w:w="1560" w:type="dxa"/>
          </w:tcPr>
          <w:p w14:paraId="3BBC0377">
            <w:pPr>
              <w:spacing w:line="400" w:lineRule="exact"/>
              <w:ind w:firstLine="420" w:firstLineChars="200"/>
              <w:rPr>
                <w:rFonts w:ascii="宋体" w:hAnsi="宋体"/>
                <w:color w:val="auto"/>
                <w:szCs w:val="21"/>
                <w:highlight w:val="none"/>
              </w:rPr>
            </w:pPr>
          </w:p>
        </w:tc>
      </w:tr>
      <w:tr w14:paraId="7335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5BCA7FE5">
            <w:pPr>
              <w:spacing w:line="400" w:lineRule="exact"/>
              <w:ind w:firstLine="420" w:firstLineChars="200"/>
              <w:rPr>
                <w:rFonts w:ascii="宋体" w:hAnsi="宋体"/>
                <w:color w:val="auto"/>
                <w:szCs w:val="21"/>
                <w:highlight w:val="none"/>
              </w:rPr>
            </w:pPr>
          </w:p>
        </w:tc>
        <w:tc>
          <w:tcPr>
            <w:tcW w:w="1984" w:type="dxa"/>
          </w:tcPr>
          <w:p w14:paraId="33BF460A">
            <w:pPr>
              <w:spacing w:line="400" w:lineRule="exact"/>
              <w:ind w:firstLine="420" w:firstLineChars="200"/>
              <w:rPr>
                <w:rFonts w:ascii="宋体" w:hAnsi="宋体"/>
                <w:color w:val="auto"/>
                <w:szCs w:val="21"/>
                <w:highlight w:val="none"/>
              </w:rPr>
            </w:pPr>
          </w:p>
        </w:tc>
        <w:tc>
          <w:tcPr>
            <w:tcW w:w="5103" w:type="dxa"/>
          </w:tcPr>
          <w:p w14:paraId="2D8AFCAE">
            <w:pPr>
              <w:spacing w:line="400" w:lineRule="exact"/>
              <w:ind w:firstLine="420" w:firstLineChars="200"/>
              <w:rPr>
                <w:rFonts w:ascii="宋体" w:hAnsi="宋体"/>
                <w:color w:val="auto"/>
                <w:szCs w:val="21"/>
                <w:highlight w:val="none"/>
              </w:rPr>
            </w:pPr>
          </w:p>
        </w:tc>
        <w:tc>
          <w:tcPr>
            <w:tcW w:w="1560" w:type="dxa"/>
          </w:tcPr>
          <w:p w14:paraId="7930A09C">
            <w:pPr>
              <w:spacing w:line="400" w:lineRule="exact"/>
              <w:ind w:firstLine="420" w:firstLineChars="200"/>
              <w:rPr>
                <w:rFonts w:ascii="宋体" w:hAnsi="宋体"/>
                <w:color w:val="auto"/>
                <w:szCs w:val="21"/>
                <w:highlight w:val="none"/>
              </w:rPr>
            </w:pPr>
          </w:p>
        </w:tc>
      </w:tr>
      <w:tr w14:paraId="5FEBF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3324B1FF">
            <w:pPr>
              <w:spacing w:line="400" w:lineRule="exact"/>
              <w:ind w:firstLine="420" w:firstLineChars="200"/>
              <w:rPr>
                <w:rFonts w:ascii="宋体" w:hAnsi="宋体"/>
                <w:color w:val="auto"/>
                <w:szCs w:val="21"/>
                <w:highlight w:val="none"/>
              </w:rPr>
            </w:pPr>
          </w:p>
        </w:tc>
        <w:tc>
          <w:tcPr>
            <w:tcW w:w="1984" w:type="dxa"/>
          </w:tcPr>
          <w:p w14:paraId="6196BF38">
            <w:pPr>
              <w:spacing w:line="400" w:lineRule="exact"/>
              <w:ind w:firstLine="420" w:firstLineChars="200"/>
              <w:rPr>
                <w:rFonts w:ascii="宋体" w:hAnsi="宋体"/>
                <w:color w:val="auto"/>
                <w:szCs w:val="21"/>
                <w:highlight w:val="none"/>
              </w:rPr>
            </w:pPr>
          </w:p>
        </w:tc>
        <w:tc>
          <w:tcPr>
            <w:tcW w:w="5103" w:type="dxa"/>
          </w:tcPr>
          <w:p w14:paraId="0CAC74CF">
            <w:pPr>
              <w:spacing w:line="400" w:lineRule="exact"/>
              <w:ind w:firstLine="420" w:firstLineChars="200"/>
              <w:rPr>
                <w:rFonts w:ascii="宋体" w:hAnsi="宋体"/>
                <w:color w:val="auto"/>
                <w:szCs w:val="21"/>
                <w:highlight w:val="none"/>
              </w:rPr>
            </w:pPr>
          </w:p>
        </w:tc>
        <w:tc>
          <w:tcPr>
            <w:tcW w:w="1560" w:type="dxa"/>
          </w:tcPr>
          <w:p w14:paraId="4F7477FC">
            <w:pPr>
              <w:spacing w:line="400" w:lineRule="exact"/>
              <w:ind w:firstLine="420" w:firstLineChars="200"/>
              <w:rPr>
                <w:rFonts w:ascii="宋体" w:hAnsi="宋体"/>
                <w:color w:val="auto"/>
                <w:szCs w:val="21"/>
                <w:highlight w:val="none"/>
              </w:rPr>
            </w:pPr>
          </w:p>
        </w:tc>
      </w:tr>
      <w:tr w14:paraId="1D484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47E6CB14">
            <w:pPr>
              <w:spacing w:line="400" w:lineRule="exact"/>
              <w:ind w:firstLine="420" w:firstLineChars="200"/>
              <w:rPr>
                <w:rFonts w:ascii="宋体" w:hAnsi="宋体"/>
                <w:color w:val="auto"/>
                <w:szCs w:val="21"/>
                <w:highlight w:val="none"/>
              </w:rPr>
            </w:pPr>
          </w:p>
        </w:tc>
        <w:tc>
          <w:tcPr>
            <w:tcW w:w="1984" w:type="dxa"/>
          </w:tcPr>
          <w:p w14:paraId="2AA59541">
            <w:pPr>
              <w:spacing w:line="400" w:lineRule="exact"/>
              <w:ind w:firstLine="420" w:firstLineChars="200"/>
              <w:rPr>
                <w:rFonts w:ascii="宋体" w:hAnsi="宋体"/>
                <w:color w:val="auto"/>
                <w:szCs w:val="21"/>
                <w:highlight w:val="none"/>
              </w:rPr>
            </w:pPr>
          </w:p>
        </w:tc>
        <w:tc>
          <w:tcPr>
            <w:tcW w:w="5103" w:type="dxa"/>
          </w:tcPr>
          <w:p w14:paraId="4F4B03D3">
            <w:pPr>
              <w:spacing w:line="400" w:lineRule="exact"/>
              <w:ind w:firstLine="420" w:firstLineChars="200"/>
              <w:rPr>
                <w:rFonts w:ascii="宋体" w:hAnsi="宋体"/>
                <w:color w:val="auto"/>
                <w:szCs w:val="21"/>
                <w:highlight w:val="none"/>
              </w:rPr>
            </w:pPr>
          </w:p>
        </w:tc>
        <w:tc>
          <w:tcPr>
            <w:tcW w:w="1560" w:type="dxa"/>
          </w:tcPr>
          <w:p w14:paraId="31D94CEC">
            <w:pPr>
              <w:spacing w:line="400" w:lineRule="exact"/>
              <w:ind w:firstLine="420" w:firstLineChars="200"/>
              <w:rPr>
                <w:rFonts w:ascii="宋体" w:hAnsi="宋体"/>
                <w:color w:val="auto"/>
                <w:szCs w:val="21"/>
                <w:highlight w:val="none"/>
              </w:rPr>
            </w:pPr>
          </w:p>
        </w:tc>
      </w:tr>
      <w:tr w14:paraId="72E73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01CC4CD6">
            <w:pPr>
              <w:spacing w:line="400" w:lineRule="exact"/>
              <w:ind w:firstLine="420" w:firstLineChars="200"/>
              <w:rPr>
                <w:rFonts w:ascii="宋体" w:hAnsi="宋体"/>
                <w:color w:val="auto"/>
                <w:szCs w:val="21"/>
                <w:highlight w:val="none"/>
              </w:rPr>
            </w:pPr>
          </w:p>
        </w:tc>
        <w:tc>
          <w:tcPr>
            <w:tcW w:w="1984" w:type="dxa"/>
          </w:tcPr>
          <w:p w14:paraId="2AEF324C">
            <w:pPr>
              <w:spacing w:line="400" w:lineRule="exact"/>
              <w:ind w:firstLine="420" w:firstLineChars="200"/>
              <w:rPr>
                <w:rFonts w:ascii="宋体" w:hAnsi="宋体"/>
                <w:color w:val="auto"/>
                <w:szCs w:val="21"/>
                <w:highlight w:val="none"/>
              </w:rPr>
            </w:pPr>
          </w:p>
        </w:tc>
        <w:tc>
          <w:tcPr>
            <w:tcW w:w="5103" w:type="dxa"/>
          </w:tcPr>
          <w:p w14:paraId="1E2D831C">
            <w:pPr>
              <w:spacing w:line="400" w:lineRule="exact"/>
              <w:ind w:firstLine="420" w:firstLineChars="200"/>
              <w:rPr>
                <w:rFonts w:ascii="宋体" w:hAnsi="宋体"/>
                <w:color w:val="auto"/>
                <w:szCs w:val="21"/>
                <w:highlight w:val="none"/>
              </w:rPr>
            </w:pPr>
          </w:p>
        </w:tc>
        <w:tc>
          <w:tcPr>
            <w:tcW w:w="1560" w:type="dxa"/>
          </w:tcPr>
          <w:p w14:paraId="1A1BA64E">
            <w:pPr>
              <w:spacing w:line="400" w:lineRule="exact"/>
              <w:ind w:firstLine="420" w:firstLineChars="200"/>
              <w:rPr>
                <w:rFonts w:ascii="宋体" w:hAnsi="宋体"/>
                <w:color w:val="auto"/>
                <w:szCs w:val="21"/>
                <w:highlight w:val="none"/>
              </w:rPr>
            </w:pPr>
          </w:p>
        </w:tc>
      </w:tr>
      <w:tr w14:paraId="6DE59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526" w:type="dxa"/>
            <w:gridSpan w:val="4"/>
          </w:tcPr>
          <w:p w14:paraId="7F9F90F1">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小计：</w:t>
            </w:r>
          </w:p>
        </w:tc>
      </w:tr>
    </w:tbl>
    <w:p w14:paraId="4E3F00D1">
      <w:pPr>
        <w:spacing w:line="360" w:lineRule="auto"/>
        <w:ind w:firstLine="420" w:firstLineChars="200"/>
        <w:rPr>
          <w:rFonts w:ascii="宋体" w:hAnsi="宋体"/>
          <w:color w:val="auto"/>
          <w:szCs w:val="21"/>
          <w:highlight w:val="none"/>
        </w:rPr>
      </w:pPr>
    </w:p>
    <w:p w14:paraId="29F36705">
      <w:pPr>
        <w:pStyle w:val="2"/>
        <w:spacing w:line="360" w:lineRule="auto"/>
        <w:rPr>
          <w:rFonts w:ascii="宋体" w:hAnsi="宋体"/>
          <w:color w:val="auto"/>
          <w:szCs w:val="21"/>
          <w:highlight w:val="none"/>
        </w:rPr>
      </w:pPr>
    </w:p>
    <w:p w14:paraId="59A8EFB0">
      <w:pPr>
        <w:spacing w:line="480" w:lineRule="auto"/>
        <w:ind w:firstLine="420" w:firstLineChars="200"/>
        <w:rPr>
          <w:rFonts w:ascii="宋体" w:hAnsi="宋体"/>
          <w:color w:val="auto"/>
          <w:szCs w:val="21"/>
          <w:highlight w:val="none"/>
        </w:rPr>
      </w:pPr>
      <w:r>
        <w:rPr>
          <w:rFonts w:ascii="宋体" w:hAnsi="宋体"/>
          <w:color w:val="auto"/>
          <w:szCs w:val="21"/>
          <w:highlight w:val="none"/>
        </w:rPr>
        <w:br w:type="page"/>
      </w:r>
    </w:p>
    <w:p w14:paraId="261E2DD8">
      <w:pPr>
        <w:spacing w:line="480" w:lineRule="auto"/>
        <w:rPr>
          <w:rFonts w:ascii="宋体" w:hAnsi="宋体"/>
          <w:color w:val="auto"/>
          <w:szCs w:val="21"/>
          <w:highlight w:val="none"/>
        </w:rPr>
      </w:pPr>
      <w:r>
        <w:rPr>
          <w:rFonts w:hint="eastAsia" w:ascii="宋体" w:hAnsi="宋体"/>
          <w:color w:val="auto"/>
          <w:szCs w:val="21"/>
          <w:highlight w:val="none"/>
        </w:rPr>
        <w:t>附件</w:t>
      </w:r>
      <w:r>
        <w:rPr>
          <w:rFonts w:ascii="宋体" w:hAnsi="宋体"/>
          <w:color w:val="auto"/>
          <w:szCs w:val="21"/>
          <w:highlight w:val="none"/>
        </w:rPr>
        <w:t>8</w:t>
      </w:r>
      <w:r>
        <w:rPr>
          <w:rFonts w:hint="eastAsia" w:ascii="宋体" w:hAnsi="宋体"/>
          <w:color w:val="auto"/>
          <w:szCs w:val="21"/>
          <w:highlight w:val="none"/>
        </w:rPr>
        <w:t>：</w:t>
      </w:r>
    </w:p>
    <w:p w14:paraId="249A0B4A">
      <w:pPr>
        <w:spacing w:before="156" w:beforeLines="50" w:after="156" w:afterLines="50" w:line="480" w:lineRule="auto"/>
        <w:jc w:val="center"/>
        <w:rPr>
          <w:rFonts w:ascii="宋体" w:hAnsi="宋体"/>
          <w:color w:val="auto"/>
          <w:szCs w:val="21"/>
          <w:highlight w:val="none"/>
        </w:rPr>
      </w:pPr>
      <w:r>
        <w:rPr>
          <w:rFonts w:hint="eastAsia" w:ascii="宋体" w:hAnsi="宋体"/>
          <w:color w:val="auto"/>
          <w:szCs w:val="21"/>
          <w:highlight w:val="none"/>
        </w:rPr>
        <w:t>廉洁从业协议</w:t>
      </w:r>
    </w:p>
    <w:p w14:paraId="146CB78D">
      <w:pPr>
        <w:snapToGrid w:val="0"/>
        <w:spacing w:line="360" w:lineRule="auto"/>
        <w:ind w:firstLine="422" w:firstLineChars="200"/>
        <w:rPr>
          <w:rFonts w:ascii="宋体" w:hAnsi="宋体"/>
          <w:b/>
          <w:color w:val="auto"/>
          <w:szCs w:val="21"/>
          <w:highlight w:val="none"/>
          <w:u w:val="single"/>
        </w:rPr>
      </w:pPr>
      <w:r>
        <w:rPr>
          <w:rFonts w:hint="eastAsia" w:ascii="宋体" w:hAnsi="宋体"/>
          <w:b/>
          <w:color w:val="auto"/>
          <w:szCs w:val="21"/>
          <w:highlight w:val="none"/>
        </w:rPr>
        <w:t>发包人（全称）：</w:t>
      </w:r>
      <w:r>
        <w:rPr>
          <w:rFonts w:hint="eastAsia" w:ascii="宋体" w:hAnsi="宋体"/>
          <w:color w:val="auto"/>
          <w:szCs w:val="21"/>
          <w:highlight w:val="none"/>
          <w:u w:val="single"/>
        </w:rPr>
        <w:t xml:space="preserve">                             </w:t>
      </w:r>
    </w:p>
    <w:p w14:paraId="6CFF3882">
      <w:pPr>
        <w:snapToGrid w:val="0"/>
        <w:spacing w:line="360" w:lineRule="auto"/>
        <w:ind w:firstLine="422" w:firstLineChars="200"/>
        <w:rPr>
          <w:rFonts w:ascii="宋体" w:hAnsi="宋体"/>
          <w:b/>
          <w:color w:val="auto"/>
          <w:szCs w:val="21"/>
          <w:highlight w:val="none"/>
          <w:u w:val="single"/>
        </w:rPr>
      </w:pPr>
      <w:r>
        <w:rPr>
          <w:rFonts w:hint="eastAsia" w:ascii="宋体" w:hAnsi="宋体"/>
          <w:b/>
          <w:color w:val="auto"/>
          <w:szCs w:val="21"/>
          <w:highlight w:val="none"/>
        </w:rPr>
        <w:t>承包人（全称）：</w:t>
      </w:r>
      <w:r>
        <w:rPr>
          <w:rFonts w:hint="eastAsia" w:ascii="宋体" w:hAnsi="宋体"/>
          <w:color w:val="auto"/>
          <w:szCs w:val="21"/>
          <w:highlight w:val="none"/>
          <w:u w:val="single"/>
        </w:rPr>
        <w:t xml:space="preserve">                             </w:t>
      </w:r>
    </w:p>
    <w:p w14:paraId="05610BE4">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根据国家有关部门以及有关工程建设、廉政建设的规定，为做好工程建设中的党风廉政建设，保证工程建设高效优质，保证建设资金的安全和有效使用以及投资效益，建设工程的项目法人（以下简称“发包人”）与承包人（以下简称“承包人”），特订立如下协议。</w:t>
      </w:r>
    </w:p>
    <w:p w14:paraId="26F4B761">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 xml:space="preserve"> 1. 发包人承包人的权利和义务</w:t>
      </w:r>
    </w:p>
    <w:p w14:paraId="74B82B07">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（1）严格遵守党的政策规定和国家有关法律法规及相关部门的有关规定。</w:t>
      </w:r>
    </w:p>
    <w:p w14:paraId="2E8F3EBA">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（2）严格执行 工程的合同文件，自觉按合同办事。</w:t>
      </w:r>
    </w:p>
    <w:p w14:paraId="7E0A2E67">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（3）双方的业务活动坚持公开、公正、诚信、透明的原则（法律认定的商业秘密和合同文件另有规定除外），不得损害国家和集体利益，违反工程建设管理规章制度。</w:t>
      </w:r>
    </w:p>
    <w:p w14:paraId="626DEDE8">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（4）建立健全廉政制度，开展廉政教育，设立廉政告示牌，公布举报电话，监督并认真查处违法违纪行为。</w:t>
      </w:r>
    </w:p>
    <w:p w14:paraId="74DB36D7">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（5）发现对方在业务活动中有违反廉政规定的行为，有及时提醒对方纠正的权利和义务。</w:t>
      </w:r>
    </w:p>
    <w:p w14:paraId="63DEDAFC">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（6）发现对方严重违反协议义务条款的行为，有向其上级有关部门举报、建议给予处理并要求告知处理结果的权利。</w:t>
      </w:r>
    </w:p>
    <w:p w14:paraId="3B849A3D">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 发包人的义务</w:t>
      </w:r>
    </w:p>
    <w:p w14:paraId="2B3DBD32">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（1）发包人及其工作人员不得索要或接受承包人的礼金、有价证券和贵重物品，不得在承包人报销任何应由发包人或发包人工作人员个人支付的费用等。</w:t>
      </w:r>
    </w:p>
    <w:p w14:paraId="0F46BA90">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（2）发包人工作人员不得参加承包人安排的超标准宴请和娱乐活动；不得接受承包人提供的通讯工具、交通工具和高档办公用品等。</w:t>
      </w:r>
    </w:p>
    <w:p w14:paraId="0C870422">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（3）发包人及其工作人员不得要求或者接受承包人为其住房装修、婚丧嫁娶活动、配偶子女的工作安排以及出国出境、旅游等提供方便等。</w:t>
      </w:r>
    </w:p>
    <w:p w14:paraId="2FC01AF3">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（4）发包人工作人员及其配偶、子女不得从事与发包人工程有关的材料设备供应、工程分包、劳务等经济活动等。</w:t>
      </w:r>
    </w:p>
    <w:p w14:paraId="5D123345">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（5）发包人及其工作人员不得以任何理由向承包人推荐分包单位或推销材料，不得要求承包人购买合同规定外的材料和设备。</w:t>
      </w:r>
    </w:p>
    <w:p w14:paraId="1FA9D453">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（6）发包人工作人员要秉公办事，不准营私舞弊，不准利用职权从事各种个人有偿中介活动和安排个人施工队伍。</w:t>
      </w:r>
    </w:p>
    <w:p w14:paraId="67E10584">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 承包人义务</w:t>
      </w:r>
    </w:p>
    <w:p w14:paraId="68980140">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（1）承包人不得以任何理由向发包人及其工作人员行贿或馈赠礼金、有价证券、贵重礼品。</w:t>
      </w:r>
    </w:p>
    <w:p w14:paraId="27DBB484">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（2）承包人不得以任何名义为发包人及其工作人员报销应由发包人单位或个人支付的任何费用。</w:t>
      </w:r>
    </w:p>
    <w:p w14:paraId="1404BE7F">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（3）承包人不得以任何理由安排发包人工作人员参加超标准宴请及娱乐活动。</w:t>
      </w:r>
    </w:p>
    <w:p w14:paraId="5148E6EB">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（4）承包人不得为发包人单位和个人购置或提供通讯工具、交通工具和高档办公用品等。</w:t>
      </w:r>
    </w:p>
    <w:p w14:paraId="368C860E">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 违约责任</w:t>
      </w:r>
    </w:p>
    <w:p w14:paraId="7EF5AE88">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（1）发包人及其工作人员违反合同第1、2条，按管理权限，依据有关规定给予党纪、政纪或组织处理；涉嫌犯罪的，移交司法机关追究刑事责任；给承包人单位造成经济损失的，应予以赔偿。</w:t>
      </w:r>
    </w:p>
    <w:p w14:paraId="47D4C098">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（2）承包人及其工作人员违反合同第1、3条，按管理权限，依据有关规定给予党纪、政纪或组织处理；给发包人单位造成经济损失的，应予以赔偿。</w:t>
      </w:r>
    </w:p>
    <w:p w14:paraId="7537C63C">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5. 双方约定：协议由双方或双方上级单位的纪检监察机关负责监督执行。由发包人或发包人上级单位的纪检监察机关约请承包人或承包人上级单位纪检监察机关对合同执行情况进行检查，提出在协议规定范围内的裁定意见。</w:t>
      </w:r>
    </w:p>
    <w:p w14:paraId="42F49AE3">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6. 协议有效期为甲乙双方签署之日起至该工程项目竣工验收后止。</w:t>
      </w:r>
    </w:p>
    <w:p w14:paraId="1FED34A0">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7.协议作为 工程施工合同的附件，与工程施工合同具有同等的法律效力，经合同双方签署立即生效。</w:t>
      </w:r>
    </w:p>
    <w:p w14:paraId="5F305C65">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（以下无正文）</w:t>
      </w:r>
    </w:p>
    <w:p w14:paraId="0C430C31">
      <w:pPr>
        <w:spacing w:line="360" w:lineRule="auto"/>
        <w:rPr>
          <w:rFonts w:ascii="宋体" w:hAnsi="宋体"/>
          <w:color w:val="auto"/>
          <w:szCs w:val="21"/>
          <w:highlight w:val="none"/>
        </w:rPr>
      </w:pPr>
    </w:p>
    <w:p w14:paraId="2486F2DC">
      <w:pPr>
        <w:pStyle w:val="2"/>
        <w:spacing w:line="360" w:lineRule="auto"/>
        <w:rPr>
          <w:rFonts w:ascii="宋体" w:hAnsi="宋体"/>
          <w:color w:val="auto"/>
          <w:szCs w:val="21"/>
          <w:highlight w:val="none"/>
        </w:rPr>
      </w:pPr>
    </w:p>
    <w:p w14:paraId="7D7CD796">
      <w:pPr>
        <w:pStyle w:val="2"/>
        <w:spacing w:line="360" w:lineRule="auto"/>
        <w:rPr>
          <w:rFonts w:ascii="宋体" w:hAnsi="宋体"/>
          <w:color w:val="auto"/>
          <w:szCs w:val="21"/>
          <w:highlight w:val="none"/>
        </w:rPr>
      </w:pPr>
    </w:p>
    <w:p w14:paraId="10409F86">
      <w:pPr>
        <w:spacing w:line="360" w:lineRule="auto"/>
        <w:rPr>
          <w:rFonts w:ascii="宋体" w:hAnsi="宋体"/>
          <w:color w:val="auto"/>
          <w:szCs w:val="21"/>
          <w:highlight w:val="none"/>
        </w:rPr>
      </w:pPr>
      <w:r>
        <w:rPr>
          <w:rFonts w:hint="eastAsia" w:ascii="宋体" w:hAnsi="宋体"/>
          <w:color w:val="auto"/>
          <w:szCs w:val="21"/>
          <w:highlight w:val="none"/>
        </w:rPr>
        <w:t>甲     方：                         乙     方：</w:t>
      </w:r>
    </w:p>
    <w:p w14:paraId="5BA30C17">
      <w:pPr>
        <w:spacing w:line="360" w:lineRule="auto"/>
        <w:rPr>
          <w:rFonts w:ascii="宋体" w:hAnsi="宋体"/>
          <w:color w:val="auto"/>
          <w:szCs w:val="21"/>
          <w:highlight w:val="none"/>
        </w:rPr>
      </w:pPr>
    </w:p>
    <w:p w14:paraId="25552059">
      <w:pPr>
        <w:spacing w:line="360" w:lineRule="auto"/>
        <w:rPr>
          <w:rFonts w:ascii="宋体" w:hAnsi="宋体"/>
          <w:color w:val="auto"/>
          <w:szCs w:val="21"/>
          <w:highlight w:val="none"/>
        </w:rPr>
      </w:pPr>
    </w:p>
    <w:p w14:paraId="2518DC3B">
      <w:pPr>
        <w:spacing w:line="360" w:lineRule="auto"/>
        <w:rPr>
          <w:rFonts w:ascii="宋体" w:hAnsi="宋体"/>
          <w:color w:val="auto"/>
          <w:szCs w:val="21"/>
          <w:highlight w:val="none"/>
        </w:rPr>
      </w:pPr>
      <w:r>
        <w:rPr>
          <w:rFonts w:hint="eastAsia" w:ascii="宋体" w:hAnsi="宋体"/>
          <w:color w:val="auto"/>
          <w:szCs w:val="21"/>
          <w:highlight w:val="none"/>
        </w:rPr>
        <w:t xml:space="preserve">法定代表人                          法定代表人                      </w:t>
      </w:r>
    </w:p>
    <w:p w14:paraId="3103B7F1">
      <w:pPr>
        <w:spacing w:line="360" w:lineRule="auto"/>
        <w:rPr>
          <w:rFonts w:ascii="宋体" w:hAnsi="宋体"/>
          <w:color w:val="auto"/>
          <w:szCs w:val="21"/>
          <w:highlight w:val="none"/>
        </w:rPr>
      </w:pPr>
    </w:p>
    <w:p w14:paraId="4E0A4253">
      <w:pPr>
        <w:spacing w:line="360" w:lineRule="auto"/>
        <w:rPr>
          <w:rFonts w:ascii="宋体" w:hAnsi="宋体"/>
          <w:color w:val="auto"/>
          <w:szCs w:val="21"/>
          <w:highlight w:val="none"/>
        </w:rPr>
      </w:pPr>
    </w:p>
    <w:p w14:paraId="1A6796D4">
      <w:pPr>
        <w:spacing w:line="360" w:lineRule="auto"/>
        <w:rPr>
          <w:rFonts w:ascii="宋体" w:hAnsi="宋体"/>
          <w:color w:val="auto"/>
          <w:szCs w:val="21"/>
          <w:highlight w:val="none"/>
        </w:rPr>
      </w:pPr>
      <w:r>
        <w:rPr>
          <w:rFonts w:hint="eastAsia" w:ascii="宋体" w:hAnsi="宋体"/>
          <w:color w:val="auto"/>
          <w:szCs w:val="21"/>
          <w:highlight w:val="none"/>
        </w:rPr>
        <w:t>或其授权的代理人：                  或授权的代理人：</w:t>
      </w:r>
    </w:p>
    <w:p w14:paraId="260126BA">
      <w:pPr>
        <w:spacing w:line="480" w:lineRule="auto"/>
        <w:rPr>
          <w:rFonts w:ascii="宋体" w:hAnsi="宋体"/>
          <w:color w:val="auto"/>
          <w:szCs w:val="21"/>
          <w:highlight w:val="none"/>
        </w:rPr>
      </w:pPr>
      <w:r>
        <w:rPr>
          <w:rFonts w:hint="eastAsia" w:ascii="宋体" w:hAnsi="宋体"/>
          <w:color w:val="auto"/>
          <w:szCs w:val="21"/>
          <w:highlight w:val="none"/>
        </w:rPr>
        <w:br w:type="page"/>
      </w:r>
      <w:r>
        <w:rPr>
          <w:rFonts w:hint="eastAsia" w:ascii="宋体" w:hAnsi="宋体"/>
          <w:color w:val="auto"/>
          <w:szCs w:val="21"/>
          <w:highlight w:val="none"/>
        </w:rPr>
        <w:t>附件</w:t>
      </w:r>
      <w:r>
        <w:rPr>
          <w:rFonts w:ascii="宋体" w:hAnsi="宋体"/>
          <w:color w:val="auto"/>
          <w:szCs w:val="21"/>
          <w:highlight w:val="none"/>
        </w:rPr>
        <w:t>9</w:t>
      </w:r>
      <w:r>
        <w:rPr>
          <w:rFonts w:hint="eastAsia" w:ascii="宋体" w:hAnsi="宋体"/>
          <w:color w:val="auto"/>
          <w:szCs w:val="21"/>
          <w:highlight w:val="none"/>
        </w:rPr>
        <w:t>：</w:t>
      </w:r>
    </w:p>
    <w:p w14:paraId="0BC5084B">
      <w:pPr>
        <w:spacing w:before="156" w:beforeLines="50" w:after="156" w:afterLines="50" w:line="480" w:lineRule="auto"/>
        <w:jc w:val="center"/>
        <w:rPr>
          <w:rFonts w:ascii="宋体" w:hAnsi="宋体"/>
          <w:color w:val="auto"/>
          <w:szCs w:val="21"/>
          <w:highlight w:val="none"/>
        </w:rPr>
      </w:pPr>
      <w:r>
        <w:rPr>
          <w:rFonts w:hint="eastAsia" w:ascii="宋体" w:hAnsi="宋体"/>
          <w:color w:val="auto"/>
          <w:szCs w:val="21"/>
          <w:highlight w:val="none"/>
        </w:rPr>
        <w:t>安全管理协议</w:t>
      </w:r>
    </w:p>
    <w:p w14:paraId="559E780B">
      <w:pPr>
        <w:snapToGrid w:val="0"/>
        <w:spacing w:line="360" w:lineRule="auto"/>
        <w:ind w:firstLine="422" w:firstLineChars="200"/>
        <w:rPr>
          <w:rFonts w:ascii="宋体" w:hAnsi="宋体"/>
          <w:b/>
          <w:color w:val="auto"/>
          <w:szCs w:val="21"/>
          <w:highlight w:val="none"/>
          <w:u w:val="single"/>
        </w:rPr>
      </w:pPr>
      <w:r>
        <w:rPr>
          <w:rFonts w:hint="eastAsia" w:ascii="宋体" w:hAnsi="宋体"/>
          <w:b/>
          <w:color w:val="auto"/>
          <w:szCs w:val="21"/>
          <w:highlight w:val="none"/>
        </w:rPr>
        <w:t>发包人（全称）：</w:t>
      </w:r>
      <w:r>
        <w:rPr>
          <w:rFonts w:hint="eastAsia" w:ascii="宋体" w:hAnsi="宋体"/>
          <w:color w:val="auto"/>
          <w:szCs w:val="21"/>
          <w:highlight w:val="none"/>
          <w:u w:val="single"/>
        </w:rPr>
        <w:t xml:space="preserve">                             </w:t>
      </w:r>
    </w:p>
    <w:p w14:paraId="12A5DF54">
      <w:pPr>
        <w:snapToGrid w:val="0"/>
        <w:spacing w:line="360" w:lineRule="auto"/>
        <w:ind w:firstLine="422" w:firstLineChars="200"/>
        <w:rPr>
          <w:rFonts w:ascii="宋体" w:hAnsi="宋体"/>
          <w:b/>
          <w:color w:val="auto"/>
          <w:szCs w:val="21"/>
          <w:highlight w:val="none"/>
          <w:u w:val="single"/>
        </w:rPr>
      </w:pPr>
      <w:r>
        <w:rPr>
          <w:rFonts w:hint="eastAsia" w:ascii="宋体" w:hAnsi="宋体"/>
          <w:b/>
          <w:color w:val="auto"/>
          <w:szCs w:val="21"/>
          <w:highlight w:val="none"/>
        </w:rPr>
        <w:t>承包人（全称）：</w:t>
      </w:r>
      <w:r>
        <w:rPr>
          <w:rFonts w:hint="eastAsia" w:ascii="宋体" w:hAnsi="宋体"/>
          <w:color w:val="auto"/>
          <w:szCs w:val="21"/>
          <w:highlight w:val="none"/>
          <w:u w:val="single"/>
        </w:rPr>
        <w:t xml:space="preserve">                            </w:t>
      </w:r>
    </w:p>
    <w:p w14:paraId="6BBC01A9">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为了确保实现</w:t>
      </w:r>
      <w:r>
        <w:rPr>
          <w:rFonts w:hint="eastAsia" w:ascii="宋体" w:hAnsi="宋体"/>
          <w:color w:val="auto"/>
          <w:szCs w:val="21"/>
          <w:highlight w:val="none"/>
          <w:u w:val="single"/>
        </w:rPr>
        <w:t xml:space="preserve">               </w:t>
      </w:r>
      <w:r>
        <w:rPr>
          <w:rFonts w:hint="eastAsia" w:ascii="宋体" w:hAnsi="宋体"/>
          <w:color w:val="auto"/>
          <w:szCs w:val="21"/>
          <w:highlight w:val="none"/>
        </w:rPr>
        <w:t>安全生产目标，进一步明确双方的安全管理责任，加强安全生产管理工作的协调、管理力度，</w:t>
      </w:r>
      <w:r>
        <w:rPr>
          <w:rFonts w:hint="eastAsia" w:ascii="宋体" w:hAnsi="宋体"/>
          <w:color w:val="auto"/>
          <w:szCs w:val="21"/>
          <w:highlight w:val="none"/>
          <w:u w:val="single"/>
        </w:rPr>
        <w:t xml:space="preserve">             </w:t>
      </w:r>
      <w:r>
        <w:rPr>
          <w:rFonts w:hint="eastAsia" w:ascii="宋体" w:hAnsi="宋体"/>
          <w:color w:val="auto"/>
          <w:szCs w:val="21"/>
          <w:highlight w:val="none"/>
        </w:rPr>
        <w:t>（以下简称“发包人”）与</w:t>
      </w:r>
      <w:r>
        <w:rPr>
          <w:rFonts w:hint="eastAsia" w:ascii="宋体" w:hAnsi="宋体"/>
          <w:color w:val="auto"/>
          <w:szCs w:val="21"/>
          <w:highlight w:val="none"/>
          <w:u w:val="single"/>
        </w:rPr>
        <w:t xml:space="preserve">                </w:t>
      </w:r>
      <w:r>
        <w:rPr>
          <w:rFonts w:hint="eastAsia" w:ascii="宋体" w:hAnsi="宋体"/>
          <w:color w:val="auto"/>
          <w:szCs w:val="21"/>
          <w:highlight w:val="none"/>
        </w:rPr>
        <w:t>（以下简称“承包人”）依据国家安全生产相关的法律、法规和安全方面的强制性国家标准或行业标准，双方同意签订该协议作为正式合同安全管理方面的补充规定，并承诺本协议具有与合同相同的法律效力。具体条款如下：</w:t>
      </w:r>
    </w:p>
    <w:p w14:paraId="0E1F67B2">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一、协议有效期限</w:t>
      </w:r>
    </w:p>
    <w:p w14:paraId="5204A2EC">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本协议中所涉及的安全管理责任自合同签订之日起开始生效，至合同工程全部完工验收且经发包人与承包人签订移交协议生效后之日终止。</w:t>
      </w:r>
    </w:p>
    <w:p w14:paraId="1BB1C240">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二、责任目标</w:t>
      </w:r>
    </w:p>
    <w:p w14:paraId="31C0A990">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（一）承包人承诺承担和履行合同和发包人所规定的安全责任，且满足要求。</w:t>
      </w:r>
    </w:p>
    <w:p w14:paraId="5E7C9EFC">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（二）承包人的安全控制目标是确保本工程在实施过程中：</w:t>
      </w:r>
    </w:p>
    <w:p w14:paraId="2ACBE340">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1．不发生人身重伤事故；</w:t>
      </w:r>
    </w:p>
    <w:p w14:paraId="447D4960">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2．不发生火灾事故；</w:t>
      </w:r>
    </w:p>
    <w:p w14:paraId="668FFF03">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3．不发生负有同等及以上事故责任的造成人身重伤的一般交通事故；</w:t>
      </w:r>
    </w:p>
    <w:p w14:paraId="4086FA82">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4．不发生集体食物中毒事件（同时5人及以上的食物中毒）；</w:t>
      </w:r>
    </w:p>
    <w:p w14:paraId="59BF0BB4">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5．不发生流行性传染病 （无甲型传染病、其他常见传染病未形成多人同时患病）；</w:t>
      </w:r>
    </w:p>
    <w:p w14:paraId="12252BDA">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6．不发生重大环境污染事件（生活、工业垃圾及其他污染物造成环境污染和大面积水土流失）；</w:t>
      </w:r>
    </w:p>
    <w:p w14:paraId="33EB3AA4">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7．不发生对施工区附近生产、生活造成重大影响的事件（如造成重大设备损坏、重大财产损失、人员伤害等）；</w:t>
      </w:r>
    </w:p>
    <w:p w14:paraId="456C1D1A">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8．不发生治安保卫事件（构成刑事拘留及以上的事件、盗窃直接损失超过1万元人民币的事件）。</w:t>
      </w:r>
    </w:p>
    <w:p w14:paraId="78FE3739">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（三）承包人承诺在施工中控制以下安全事故的发生：</w:t>
      </w:r>
    </w:p>
    <w:p w14:paraId="7F8ACCDB">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1．人员轻伤事故。</w:t>
      </w:r>
    </w:p>
    <w:p w14:paraId="2DBE373D">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2．负有同等及以上事故责任的人身轻伤交通事故。</w:t>
      </w:r>
    </w:p>
    <w:p w14:paraId="7A6D10C8">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3．其他安全未遂事故和异常事件。</w:t>
      </w:r>
    </w:p>
    <w:p w14:paraId="007E5A38">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三、安全责任</w:t>
      </w:r>
    </w:p>
    <w:p w14:paraId="24F84D3E">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1．承包人负有安全生产的管理责任和直接责任。</w:t>
      </w:r>
    </w:p>
    <w:p w14:paraId="0FC65F7D">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2．承包人的法人或签署合同的公司总经理或受委托的代理人对合同安全负有全面的领导责任。</w:t>
      </w:r>
    </w:p>
    <w:p w14:paraId="577EC087">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3．承包人项目经理对施工现场的安全工作负有全面的直接领导责任。</w:t>
      </w:r>
    </w:p>
    <w:p w14:paraId="55570A8F">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4．承包人保证执行“谁施工、谁负责”的施工安全原则。</w:t>
      </w:r>
    </w:p>
    <w:p w14:paraId="477049C6">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5．承包人保证服从发包人对安全工作的统一协调和管理。</w:t>
      </w:r>
    </w:p>
    <w:p w14:paraId="548D8E31">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6．承包人保证对本工程项目安全生产条件及其管理资源自行投入，保证安全资金的专款专用。</w:t>
      </w:r>
    </w:p>
    <w:p w14:paraId="4A8C56CE">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7．承包人保证建立本工程项目的安全管理体系及安全保证体系（注：项目安全管理大纲/手册、管理性的程序文件等）。</w:t>
      </w:r>
    </w:p>
    <w:p w14:paraId="50CB1DFE">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8．承包人保证现场的安全管理专职人员必须持有建设主管部门安全生产培训考核合格证书。</w:t>
      </w:r>
    </w:p>
    <w:p w14:paraId="06D6AE0C">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9．承包人保证为现场所有工作人员（含分包商员工及劳务人员）配备符合国家标准的有承包人和/或其下属分包商标志的个人基本劳动保护用品。</w:t>
      </w:r>
    </w:p>
    <w:p w14:paraId="24E09ADB">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10．承包人保证按照国家法律规定为现场所有工作人员（含分包商员工及劳务人员）购买意外伤害保险。</w:t>
      </w:r>
    </w:p>
    <w:p w14:paraId="22CBEFFD">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11．承包人保证施工生活营地（包括自建的和租用的营地）满足消防、安全用电、卫生防疫、防暴雨、防雷击等方面的安全要求。</w:t>
      </w:r>
    </w:p>
    <w:p w14:paraId="57090959">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12．承包人保证对带入现场的设备、工具、材料按照国家法规和标准进行检测、试验，并持有法定部门出具的检验证书。</w:t>
      </w:r>
    </w:p>
    <w:p w14:paraId="0AE84537">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13．承包人保证制订施工现场的文明施工措施，保护环境、树木和植被，保持施工现场的良好秩序和整洁的作业环境。</w:t>
      </w:r>
    </w:p>
    <w:p w14:paraId="5FE70C2A">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14．承包人负责在施工过程中与当地政府、周边群众及其他承包商保持良好的沟通和交流。承包人遇到与周边群众发生纠纷时，应负责协调工作，确保工程能够顺利进行。</w:t>
      </w:r>
    </w:p>
    <w:p w14:paraId="4ABE7AA2">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四、接口及协调</w:t>
      </w:r>
    </w:p>
    <w:p w14:paraId="78195795">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1．发包人委托监理公司对该工程实施监理，监理公司在安全管理方面代表发包人行使监督检查职能，承包人必须给予配合和支持。</w:t>
      </w:r>
    </w:p>
    <w:p w14:paraId="1F638532">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2．承包人人员、车辆的出入，带入现场的设备、机具、材料，在现场使用的或直接管理的办公、生活、生产性设施的安全管理须满足发包人现场管理的基本要求。</w:t>
      </w:r>
    </w:p>
    <w:p w14:paraId="3C1082CE">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3．承包人应指定专职安全管理人员与发包人委托的监理公司接口，参与安全协调和管理。安全协调和管理的内容包括职业健康、工业安全、消防安全、卫生防疫、交通安全、环境保护、治安保卫等各方面。</w:t>
      </w:r>
    </w:p>
    <w:p w14:paraId="799CD0CC">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承包人的专职安全管理人员应具备协调安全工作的能力和授权。发包人委托的监理公司有权对专职安全管理人员的能力和权力做出评价，对于不能胜任的专职安全管理人员，发包人委托的监理公司有权要求承包人换人。</w:t>
      </w:r>
    </w:p>
    <w:p w14:paraId="4A3DFDEC">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5．承包人指定的专职安全管理人员应与发包人委托的监理公司建立联系，在业务上接受发包人委托的监理公司的协调和指导。</w:t>
      </w:r>
    </w:p>
    <w:p w14:paraId="19063F94">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6．开工后承包人的专职安全管理人员应按照发包人委托的监理公司的规定，定期报送安全月度快报、季报、年报和各种专项事故报告等。</w:t>
      </w:r>
    </w:p>
    <w:p w14:paraId="70163145">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7．在工程实体未全部正式移交发包人施工管理部门之前，承包人依旧对施工范围内的安全管理负责。</w:t>
      </w:r>
    </w:p>
    <w:p w14:paraId="6CE3F288">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五、安全资质审查</w:t>
      </w:r>
    </w:p>
    <w:p w14:paraId="1E8E9EE6">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承包人在项目开工前5个工作天内向发包人委托的监理公司提供以下安全资质供审查和存档：</w:t>
      </w:r>
    </w:p>
    <w:p w14:paraId="3DD016B0">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1．企业安全生产许可证书复印件。</w:t>
      </w:r>
    </w:p>
    <w:p w14:paraId="6071082E">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2．企业近三年的施工简历及安全施工业绩证明文件。</w:t>
      </w:r>
    </w:p>
    <w:p w14:paraId="797468A8">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3．企业主要安全管理人员（包括项目经理、专职安全管理人员）经建设主管部门安全生产知识考核合格证书。</w:t>
      </w:r>
    </w:p>
    <w:p w14:paraId="489BF459">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4．特种作业人员资格证书。</w:t>
      </w:r>
    </w:p>
    <w:p w14:paraId="63482CA5">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5．项目安全管理机构及其人员配备（承包人必须配有专职的安全员）。</w:t>
      </w:r>
    </w:p>
    <w:p w14:paraId="04B30E11">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6．适用于项目的安全管理体系及保证体系文件（安全管理大纲及管理程序文件）。</w:t>
      </w:r>
    </w:p>
    <w:p w14:paraId="4969313C">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六、人员基本素质</w:t>
      </w:r>
    </w:p>
    <w:p w14:paraId="29BED8FE">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承包人提供的人员必须满足下列要求：</w:t>
      </w:r>
    </w:p>
    <w:p w14:paraId="04C49720">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1．身体健康，无影响工作的精神疾病、无传染病和其他重大疾病；承包人需对其雇用的施工人员签发健康声明并保证其健康。其中体检证明材料（县级以上医院）和健康声明作为人员办理入场证件的必备材料。</w:t>
      </w:r>
    </w:p>
    <w:p w14:paraId="300F3568">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2．无刑事案件牵连。</w:t>
      </w:r>
    </w:p>
    <w:p w14:paraId="73EC01A8">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3．无吸毒、酗酒、赌博、嫖娼等恶习及违法行为。</w:t>
      </w:r>
    </w:p>
    <w:p w14:paraId="0F7A778E">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七、劳动保护</w:t>
      </w:r>
    </w:p>
    <w:p w14:paraId="3E61930E">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1．承包人负责为本单位任何用工形式的员工提供个人劳动保护用品（包括工作服、安全帽、安全鞋等）。</w:t>
      </w:r>
    </w:p>
    <w:p w14:paraId="6A8AE2EA">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2．承包人负责向特殊工种的员工提供特殊劳动保护，否则不得从事特殊工种作业。</w:t>
      </w:r>
    </w:p>
    <w:p w14:paraId="5E5A3039">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3．发包人委托的监理公司有权检查承包人的个人劳动保护用品是否符合国家的相应标准。</w:t>
      </w:r>
    </w:p>
    <w:p w14:paraId="7E4E2194">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 承包人在特殊风险场所作业而需要特殊防护用品或安全仪表时，必须在上述防护用品全部到位后才能开工。</w:t>
      </w:r>
    </w:p>
    <w:p w14:paraId="79C8018D">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5．承包人应配备临时安全围栏、警示带、警告标志、防火布等集体防护用品。</w:t>
      </w:r>
    </w:p>
    <w:p w14:paraId="40D90F6F">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八、施工机具与材料</w:t>
      </w:r>
    </w:p>
    <w:p w14:paraId="02DF95B0">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1．承包人对带入现场的施工机械和工器具的安全负责。</w:t>
      </w:r>
    </w:p>
    <w:p w14:paraId="50D7E8D7">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2．对于承包人带入现场的特殊工器具，如起重设备、索具、机动车辆、压缩气瓶等，承包人必须按国家法规和标准进行检测、试验，并持有法定部门出具的检验证书。</w:t>
      </w:r>
    </w:p>
    <w:p w14:paraId="67AF697E">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3．对于不属于法定检测的工器具，承包人也必须建立相应的管理、检测制度，这些工器具包括登高工具、脚手架材料、电动工具、安全防护设备及用具等。</w:t>
      </w:r>
    </w:p>
    <w:p w14:paraId="3A4B54CC">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九、开工前安全条件检查</w:t>
      </w:r>
    </w:p>
    <w:p w14:paraId="03D5E6F5">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发包人委托的监理公司将在合同生效后，工程项目正式开工5个工作日前，依据合同安全条款的要求逐项对承包人安全准备情况进行检查。不满足开工安全条件时，承包人将不得开工，由此产生的工期和成本的影响，由承包人自行负责。</w:t>
      </w:r>
    </w:p>
    <w:p w14:paraId="577072C1">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开工前安全条件检查的基本内容包括：安全管理体系建设、安全资金投入、危险源识别和安全风险分析、施工机械的安全状况、安全工器具和材料、安全培训教材和教员、专职安全人员的到岗情况、培训的有效性、人员控制、个人劳动保护用品配备等内容。</w:t>
      </w:r>
    </w:p>
    <w:p w14:paraId="21C01F4F">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3．发包人委托的监理公司检查发现的缺陷，承包人应在规定期限内完成整改。对于重大缺陷，发包人委托的监理公司有权要求承包人推迟开工，由此对工期产生的影响或经济损失，由承包人承担。</w:t>
      </w:r>
    </w:p>
    <w:p w14:paraId="352A1305">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十、安全监督</w:t>
      </w:r>
    </w:p>
    <w:p w14:paraId="2D484EAB">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1．承包人应配备有满足项目安全管理需要的专职安全管理人员。</w:t>
      </w:r>
    </w:p>
    <w:p w14:paraId="16359D91">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2．承包人的专职安全管理人员必须持建设主管部门颁发的安全生产知识考核合格证书。</w:t>
      </w:r>
    </w:p>
    <w:p w14:paraId="106C4117">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3．承包人的专职安全管理人员在业务上接受发包人委托的监理公司和发包人安全管理部门的协调和指导。</w:t>
      </w:r>
    </w:p>
    <w:p w14:paraId="6C06D6CB">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4．承包人应建立班前安全交底制度；施工期间坚持开展安全检查和日常安全监督并形成相应的记录。</w:t>
      </w:r>
    </w:p>
    <w:p w14:paraId="245FE006">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5．承包人应在每个作业区任命兼职安全员，赋予兼职安全员相应的授权和义务，并对兼职安全员进行定期考核。</w:t>
      </w:r>
    </w:p>
    <w:p w14:paraId="0951A1E1">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6．承包人应接受和配合发包人专业部门及委托的监理公司的监督与安全评价。</w:t>
      </w:r>
    </w:p>
    <w:p w14:paraId="1FAAB7A8">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7．发包人和委托的监理公司有权对承包人履行安全管理协议的情况进行监督，并有权对违章行为实行停工和处罚，处罚情况将通知承包人。涉及经济处罚时将直接通知合同管理部门从合同结算中扣除。</w:t>
      </w:r>
    </w:p>
    <w:p w14:paraId="261EC5BF">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十一、安全培训与授权</w:t>
      </w:r>
    </w:p>
    <w:p w14:paraId="6DDE73F0">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1．承包人所有特殊工种人员必须持证上岗，发包人和发包人委托的监理公司有权对其进行抽查。承包人要建立特殊工种定期培训和检查计划，这些工种包括但不限于：机动车驾驶员、焊工、起重工、电工等。</w:t>
      </w:r>
    </w:p>
    <w:p w14:paraId="3D5DBEA8">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2．承包人应在特殊工种之外的其他工种中，筛选出高风险工种，并对其开展针对性的专题安全培训。</w:t>
      </w:r>
    </w:p>
    <w:p w14:paraId="7CC9B34F">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3．承包人应组织 “入场培训”和考核。发包人委托的监理公司有权监督培训、考核情况或组织抽查考核。</w:t>
      </w:r>
    </w:p>
    <w:p w14:paraId="75185EC1">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4．承包人应建立安全培训和考核机制，编制培训教材和培训滚动计划。承包人应组织安全考试/考核，建立培训考核记录，发包人委托的监理公司有权查看这些记录。</w:t>
      </w:r>
    </w:p>
    <w:p w14:paraId="4B5DCAC9">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十二、职业健康与卫生防疫</w:t>
      </w:r>
    </w:p>
    <w:p w14:paraId="6897AC95">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1．承包人应有特殊健康检查制度，预防有禁忌症患者从事有关职业，如恐高症患者不得从事高空作业，患有心血管疾病的人员不得从事繁重的体力劳动，特殊工种人员的体检应符合国家的规定。</w:t>
      </w:r>
    </w:p>
    <w:p w14:paraId="357B5327">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2．承包人应保证卫生防疫基本设施的投入，以满足医疗、急救的要求，建立外部医疗支持渠道。</w:t>
      </w:r>
    </w:p>
    <w:p w14:paraId="03FB0953">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应建立卫生防疫措施计划，做好生活区和施工区的卫生防疫工作；制定和执行保证饮水卫生、饮食卫生、环境卫生和预防集体食物中毒的措施；有灭蚊、灭鼠和消毒的专项工作计划；有针对性地制订预防SARS、禽流感、疟疾、霍乱、肠道传染病、肝炎、H1N1流感等疾病的措施。</w:t>
      </w:r>
    </w:p>
    <w:p w14:paraId="13D86537">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十三、文明施工与环保要求</w:t>
      </w:r>
    </w:p>
    <w:p w14:paraId="40A13F56">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1．承包人需制订施工现场的文明施工措施，保持良好的施工现场秩序。施工现场的物料堆放要摆放整齐，安全标志和宣传标志要清楚醒目，废料、废物要分类收集，安全通道要畅通。</w:t>
      </w:r>
    </w:p>
    <w:p w14:paraId="6221EB5D">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2．承包人作业时应避免建筑材料抛洒、飞扬、流淌；应尽可能降低噪音、震动。</w:t>
      </w:r>
    </w:p>
    <w:p w14:paraId="30C040AE">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3．承包人应根据实际需要，在施工现场布置临时卫生设施（洗手间、卫生间等），施工作业不破坏环境卫生，不污染现场环境。</w:t>
      </w:r>
    </w:p>
    <w:p w14:paraId="606AC4B0">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4．承包人在施工中应充分重视对环境的保护，保护绿色植被，保护古树。施工如需伤害古树，必须报告发包人委托的监理公司，在未得到指令前，禁止擅自伤害古树。</w:t>
      </w:r>
    </w:p>
    <w:p w14:paraId="36391E2F">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承包人应及时清理现场废物和垃圾。工业废料与生活垃圾必须分开，有害废物与普通废物必须分开（如油品废物、电池灯管等，必须单独收集、存放）；禁止在非指定场所乱倒、乱堆垃圾。禁止违章处理危险化学品和工业垃圾。</w:t>
      </w:r>
    </w:p>
    <w:p w14:paraId="13FB5B7D">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6．承包人在施工中应禁止向环境，排放工业污水、生活污水、废油或其他有害物质。</w:t>
      </w:r>
    </w:p>
    <w:p w14:paraId="17B4EC9D">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承包人在施工中应防止水土流失，应及时对裸露的地基、边坡、开挖出来的沙/土以及砂、石、水泥等建筑材料予以保护，防止风刮扬尘，雨水冲刷，流入下水道、排洪沟。如因防护不及时而造成大量水土流失、淤塞道路、沟道或污染环境的，承包人应承担清淤、清扫以及相应的赔偿责任。</w:t>
      </w:r>
    </w:p>
    <w:p w14:paraId="24E04917">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十四、工程风险管理与事故预防</w:t>
      </w:r>
    </w:p>
    <w:p w14:paraId="56240EE6">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（一）基本要求</w:t>
      </w:r>
    </w:p>
    <w:p w14:paraId="2168C74F">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1．承包人应对施工过程进行全面、深入的危险源识别和风险分析。在施工安全组织设计中提供危险源及重要危险源清单、作业风险分析报告，该报告应包括（但不限于）如下信息：</w:t>
      </w:r>
    </w:p>
    <w:p w14:paraId="6CE3118C">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（1）高风险作业和工种清单：作业名称、类别和数量、主要事故风险。</w:t>
      </w:r>
    </w:p>
    <w:p w14:paraId="28B74C1A">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（2）施工能源和机械的种类、数量和主要事故风险。</w:t>
      </w:r>
    </w:p>
    <w:p w14:paraId="0C1AFCEA">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（3）施工作业条件的类型和主要事故风险。</w:t>
      </w:r>
    </w:p>
    <w:p w14:paraId="39068BB3">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（4）主要工艺过程（或施工活动）的类别及其相关的事故风险。</w:t>
      </w:r>
    </w:p>
    <w:p w14:paraId="34657D34">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（5）主要火灾危险（可燃物、点火源）。</w:t>
      </w:r>
    </w:p>
    <w:p w14:paraId="0B418E4C">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（6）主要自然灾害（洪水、大风、雷暴、暴雨、地质灾害等）。</w:t>
      </w:r>
    </w:p>
    <w:p w14:paraId="31389A92">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（7）主要环境保护事件（有害垃圾、机械的跑冒滴漏、原材料流失、水土流失等）。</w:t>
      </w:r>
    </w:p>
    <w:p w14:paraId="6433D71F">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（8）其他。</w:t>
      </w:r>
    </w:p>
    <w:p w14:paraId="3D968ABA">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2．承包人应针对识别出的危险源制定有针对性的事故预防措施并确保在施工中得到有效落实。</w:t>
      </w:r>
    </w:p>
    <w:p w14:paraId="47362093">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3．承包人应建立日常施工活动的动态作业风险分析和安全交底制度。该制度应明确规定风险分析的方法、责任和交底的内容、时间及记录。</w:t>
      </w:r>
    </w:p>
    <w:p w14:paraId="78DFD281">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（二）现场作业基本安全条件</w:t>
      </w:r>
    </w:p>
    <w:p w14:paraId="1999FC24">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应规定现场作业的基本安全条件，包括照明条件、通风条件、作业平台和通道条件、物料堆放条件、供电供水条件、吸烟点、休息点等，并对临边现场、道路上作业现场、立体交叉作业现场、地面坑洞和沟道、夜间作业现场等的基本安全条件做出规定。</w:t>
      </w:r>
    </w:p>
    <w:p w14:paraId="32FEF302">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十五、事故报告与应急救援</w:t>
      </w:r>
    </w:p>
    <w:p w14:paraId="10F7E91E">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1．承包人应制定对于未遂事故及以上级别的安全事件和事故，定期报送安全月度快报、季报、年报和各种专项事故报告等。</w:t>
      </w:r>
    </w:p>
    <w:p w14:paraId="732E7BEE">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2．承包人应建立安全事故统计记录、未遂事故统计记录、违章统计记录，并根据统计情况进行分析，并就分析结果制定相应的预防措施。</w:t>
      </w:r>
    </w:p>
    <w:p w14:paraId="225BE1E7">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3．承包人应建立事故应急救援机制，明确事故处置的基本原则，即现场发生事故时，首先抢救生命，向救援组织报警，并采取措施限制事故扩大。</w:t>
      </w:r>
    </w:p>
    <w:p w14:paraId="0D3C78C0">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4．承包人应建立相应的应急响应组织，以便能迅速处理突发意外。</w:t>
      </w:r>
    </w:p>
    <w:p w14:paraId="48CFC409">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5．承包人应建立专项应急响应预案，包括重大人身伤亡事故的救护预案、火灾响应预案、“四防”预案（防风、防冻、防雷、防暴雨）、重大疫病防护预案、环境污染防护预案、地质灾害防护预案等。</w:t>
      </w:r>
    </w:p>
    <w:p w14:paraId="3BEF3B0C">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6．承包人应对应急预案进行适当演练，保证应急预案的可操作性。</w:t>
      </w:r>
    </w:p>
    <w:p w14:paraId="40A3D1B6">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7．在工地的其他施工单位发生重大事故时，承包人应无条件立即配合、支持事故抢险。</w:t>
      </w:r>
    </w:p>
    <w:p w14:paraId="5333CB7C">
      <w:pPr>
        <w:spacing w:line="340" w:lineRule="exact"/>
        <w:ind w:firstLine="420" w:firstLineChars="200"/>
        <w:jc w:val="left"/>
        <w:rPr>
          <w:rFonts w:ascii="宋体" w:hAnsi="宋体"/>
          <w:color w:val="auto"/>
          <w:szCs w:val="21"/>
          <w:highlight w:val="none"/>
        </w:rPr>
      </w:pPr>
      <w:r>
        <w:rPr>
          <w:rFonts w:hint="eastAsia" w:ascii="宋体" w:hAnsi="宋体"/>
          <w:color w:val="auto"/>
          <w:szCs w:val="21"/>
          <w:highlight w:val="none"/>
        </w:rPr>
        <w:t>8．承包人必须为事故处置支付各项费用，包括受伤者的抚恤、补偿等费用，并按合同要求赔偿对发包人造成的损失。</w:t>
      </w:r>
    </w:p>
    <w:p w14:paraId="4B26852D">
      <w:pPr>
        <w:spacing w:line="340" w:lineRule="exact"/>
        <w:ind w:firstLine="420" w:firstLineChars="200"/>
        <w:jc w:val="left"/>
        <w:rPr>
          <w:rFonts w:ascii="宋体" w:hAnsi="宋体"/>
          <w:color w:val="auto"/>
          <w:szCs w:val="21"/>
          <w:highlight w:val="none"/>
        </w:rPr>
      </w:pPr>
      <w:r>
        <w:rPr>
          <w:rFonts w:hint="eastAsia" w:ascii="宋体" w:hAnsi="宋体"/>
          <w:color w:val="auto"/>
          <w:szCs w:val="21"/>
          <w:highlight w:val="none"/>
        </w:rPr>
        <w:t>9．由于发包人原因而造成的事故，发包人应负责按事故的具体损失情况给予承包人经济赔偿。</w:t>
      </w:r>
    </w:p>
    <w:p w14:paraId="61FBDA2D">
      <w:pPr>
        <w:spacing w:line="340" w:lineRule="exact"/>
        <w:ind w:firstLine="420" w:firstLineChars="200"/>
        <w:jc w:val="left"/>
        <w:rPr>
          <w:rFonts w:ascii="宋体" w:hAnsi="宋体"/>
          <w:color w:val="auto"/>
          <w:szCs w:val="21"/>
          <w:highlight w:val="none"/>
        </w:rPr>
      </w:pPr>
      <w:r>
        <w:rPr>
          <w:rFonts w:hint="eastAsia" w:ascii="宋体" w:hAnsi="宋体"/>
          <w:color w:val="auto"/>
          <w:szCs w:val="21"/>
          <w:highlight w:val="none"/>
        </w:rPr>
        <w:t>10．涉及承包人员工的伤害事故，承包人除要报告发包人委托的监理公司外，还应负责按照国家、行业和本单位上级公司的要求，上报事故。</w:t>
      </w:r>
    </w:p>
    <w:p w14:paraId="161B5123">
      <w:pPr>
        <w:spacing w:line="340" w:lineRule="exact"/>
        <w:ind w:firstLine="420" w:firstLineChars="200"/>
        <w:rPr>
          <w:rFonts w:ascii="宋体" w:hAnsi="宋体"/>
          <w:color w:val="auto"/>
          <w:szCs w:val="21"/>
          <w:highlight w:val="none"/>
        </w:rPr>
      </w:pPr>
      <w:r>
        <w:rPr>
          <w:rFonts w:hint="eastAsia" w:ascii="宋体" w:hAnsi="宋体"/>
          <w:color w:val="auto"/>
          <w:szCs w:val="21"/>
          <w:highlight w:val="none"/>
        </w:rPr>
        <w:t>十六、安全业绩考核</w:t>
      </w:r>
    </w:p>
    <w:p w14:paraId="1ACA1921">
      <w:pPr>
        <w:spacing w:line="340" w:lineRule="exact"/>
        <w:ind w:firstLine="420" w:firstLineChars="200"/>
        <w:jc w:val="left"/>
        <w:rPr>
          <w:rFonts w:ascii="宋体" w:hAnsi="宋体"/>
          <w:color w:val="auto"/>
          <w:szCs w:val="21"/>
          <w:highlight w:val="none"/>
        </w:rPr>
      </w:pPr>
      <w:r>
        <w:rPr>
          <w:rFonts w:hint="eastAsia" w:ascii="宋体" w:hAnsi="宋体"/>
          <w:color w:val="auto"/>
          <w:szCs w:val="21"/>
          <w:highlight w:val="none"/>
        </w:rPr>
        <w:t>为了落实安全管理的责任，承包人在施工过程中发生安全事故时，承包人除应按国家有关规定承担责任和处罚外，发包人还将按照以下标准进行考核：</w:t>
      </w:r>
    </w:p>
    <w:tbl>
      <w:tblPr>
        <w:tblStyle w:val="46"/>
        <w:tblW w:w="7005" w:type="dxa"/>
        <w:jc w:val="center"/>
        <w:tblLayout w:type="fixed"/>
        <w:tblCellMar>
          <w:top w:w="0" w:type="dxa"/>
          <w:left w:w="0" w:type="dxa"/>
          <w:bottom w:w="0" w:type="dxa"/>
          <w:right w:w="0" w:type="dxa"/>
        </w:tblCellMar>
      </w:tblPr>
      <w:tblGrid>
        <w:gridCol w:w="3240"/>
        <w:gridCol w:w="3765"/>
      </w:tblGrid>
      <w:tr w14:paraId="73B577C1">
        <w:tblPrEx>
          <w:tblCellMar>
            <w:top w:w="0" w:type="dxa"/>
            <w:left w:w="0" w:type="dxa"/>
            <w:bottom w:w="0" w:type="dxa"/>
            <w:right w:w="0" w:type="dxa"/>
          </w:tblCellMar>
        </w:tblPrEx>
        <w:trPr>
          <w:trHeight w:val="188"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00812CAA">
            <w:pPr>
              <w:spacing w:line="340" w:lineRule="exact"/>
              <w:ind w:firstLine="420" w:firstLineChars="200"/>
              <w:jc w:val="left"/>
              <w:rPr>
                <w:rFonts w:ascii="宋体" w:hAnsi="宋体"/>
                <w:color w:val="auto"/>
                <w:szCs w:val="21"/>
                <w:highlight w:val="none"/>
              </w:rPr>
            </w:pPr>
            <w:r>
              <w:rPr>
                <w:rFonts w:hint="eastAsia" w:ascii="宋体" w:hAnsi="宋体"/>
                <w:color w:val="auto"/>
                <w:szCs w:val="21"/>
                <w:highlight w:val="none"/>
              </w:rPr>
              <w:t>事件类型</w:t>
            </w:r>
          </w:p>
        </w:tc>
        <w:tc>
          <w:tcPr>
            <w:tcW w:w="3765"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40F92B5A">
            <w:pPr>
              <w:spacing w:line="340" w:lineRule="exact"/>
              <w:ind w:firstLine="420" w:firstLineChars="200"/>
              <w:jc w:val="left"/>
              <w:rPr>
                <w:rFonts w:ascii="宋体" w:hAnsi="宋体"/>
                <w:color w:val="auto"/>
                <w:szCs w:val="21"/>
                <w:highlight w:val="none"/>
              </w:rPr>
            </w:pPr>
            <w:r>
              <w:rPr>
                <w:rFonts w:hint="eastAsia" w:ascii="宋体" w:hAnsi="宋体"/>
                <w:color w:val="auto"/>
                <w:szCs w:val="21"/>
                <w:highlight w:val="none"/>
              </w:rPr>
              <w:t>违约金额</w:t>
            </w:r>
          </w:p>
        </w:tc>
      </w:tr>
      <w:tr w14:paraId="42E7A1A6">
        <w:tblPrEx>
          <w:tblCellMar>
            <w:top w:w="0" w:type="dxa"/>
            <w:left w:w="0" w:type="dxa"/>
            <w:bottom w:w="0" w:type="dxa"/>
            <w:right w:w="0" w:type="dxa"/>
          </w:tblCellMar>
        </w:tblPrEx>
        <w:trPr>
          <w:trHeight w:val="281"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468AFCFE">
            <w:pPr>
              <w:spacing w:line="340" w:lineRule="exact"/>
              <w:ind w:firstLine="420" w:firstLineChars="200"/>
              <w:jc w:val="left"/>
              <w:rPr>
                <w:rFonts w:ascii="宋体" w:hAnsi="宋体"/>
                <w:color w:val="auto"/>
                <w:szCs w:val="21"/>
                <w:highlight w:val="none"/>
              </w:rPr>
            </w:pPr>
            <w:r>
              <w:rPr>
                <w:rFonts w:hint="eastAsia" w:ascii="宋体" w:hAnsi="宋体"/>
                <w:color w:val="auto"/>
                <w:szCs w:val="21"/>
                <w:highlight w:val="none"/>
              </w:rPr>
              <w:t>一般事故</w:t>
            </w:r>
          </w:p>
        </w:tc>
        <w:tc>
          <w:tcPr>
            <w:tcW w:w="3765" w:type="dxa"/>
            <w:tcBorders>
              <w:top w:val="single" w:color="auto" w:sz="8" w:space="0"/>
              <w:left w:val="nil"/>
              <w:bottom w:val="single" w:color="auto" w:sz="8" w:space="0"/>
              <w:right w:val="single" w:color="auto" w:sz="8" w:space="0"/>
            </w:tcBorders>
            <w:vAlign w:val="center"/>
          </w:tcPr>
          <w:p w14:paraId="696BCF22">
            <w:pPr>
              <w:spacing w:line="340" w:lineRule="exact"/>
              <w:ind w:firstLine="420" w:firstLineChars="200"/>
              <w:jc w:val="left"/>
              <w:rPr>
                <w:rFonts w:ascii="宋体" w:hAnsi="宋体"/>
                <w:color w:val="auto"/>
                <w:szCs w:val="21"/>
                <w:highlight w:val="none"/>
              </w:rPr>
            </w:pPr>
            <w:r>
              <w:rPr>
                <w:rFonts w:hint="eastAsia" w:ascii="宋体" w:hAnsi="宋体"/>
                <w:color w:val="auto"/>
                <w:kern w:val="0"/>
                <w:szCs w:val="21"/>
                <w:highlight w:val="none"/>
              </w:rPr>
              <w:t>签约合同价</w:t>
            </w:r>
            <w:r>
              <w:rPr>
                <w:rFonts w:hint="eastAsia" w:ascii="宋体" w:hAnsi="宋体"/>
                <w:color w:val="auto"/>
                <w:szCs w:val="21"/>
                <w:highlight w:val="none"/>
              </w:rPr>
              <w:t>的0.5‰</w:t>
            </w:r>
          </w:p>
        </w:tc>
      </w:tr>
      <w:tr w14:paraId="2ABE0A8E">
        <w:tblPrEx>
          <w:tblCellMar>
            <w:top w:w="0" w:type="dxa"/>
            <w:left w:w="0" w:type="dxa"/>
            <w:bottom w:w="0" w:type="dxa"/>
            <w:right w:w="0" w:type="dxa"/>
          </w:tblCellMar>
        </w:tblPrEx>
        <w:trPr>
          <w:trHeight w:val="274"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76109EDF">
            <w:pPr>
              <w:spacing w:line="340" w:lineRule="exact"/>
              <w:ind w:firstLine="420" w:firstLineChars="200"/>
              <w:jc w:val="left"/>
              <w:rPr>
                <w:rFonts w:ascii="宋体" w:hAnsi="宋体"/>
                <w:color w:val="auto"/>
                <w:szCs w:val="21"/>
                <w:highlight w:val="none"/>
              </w:rPr>
            </w:pPr>
            <w:r>
              <w:rPr>
                <w:rFonts w:hint="eastAsia" w:ascii="宋体" w:hAnsi="宋体"/>
                <w:color w:val="auto"/>
                <w:szCs w:val="21"/>
                <w:highlight w:val="none"/>
              </w:rPr>
              <w:t>较大事故</w:t>
            </w:r>
          </w:p>
        </w:tc>
        <w:tc>
          <w:tcPr>
            <w:tcW w:w="3765" w:type="dxa"/>
            <w:tcBorders>
              <w:top w:val="single" w:color="auto" w:sz="8" w:space="0"/>
              <w:left w:val="nil"/>
              <w:bottom w:val="single" w:color="auto" w:sz="8" w:space="0"/>
              <w:right w:val="single" w:color="auto" w:sz="8" w:space="0"/>
            </w:tcBorders>
            <w:vAlign w:val="center"/>
          </w:tcPr>
          <w:p w14:paraId="142BFA66">
            <w:pPr>
              <w:spacing w:line="340" w:lineRule="exact"/>
              <w:ind w:firstLine="420" w:firstLineChars="200"/>
              <w:jc w:val="left"/>
              <w:rPr>
                <w:rFonts w:ascii="宋体" w:hAnsi="宋体"/>
                <w:color w:val="auto"/>
                <w:szCs w:val="21"/>
                <w:highlight w:val="none"/>
              </w:rPr>
            </w:pPr>
            <w:r>
              <w:rPr>
                <w:rFonts w:hint="eastAsia" w:ascii="宋体" w:hAnsi="宋体"/>
                <w:color w:val="auto"/>
                <w:kern w:val="0"/>
                <w:szCs w:val="21"/>
                <w:highlight w:val="none"/>
              </w:rPr>
              <w:t>签约合同价</w:t>
            </w:r>
            <w:r>
              <w:rPr>
                <w:rFonts w:hint="eastAsia" w:ascii="宋体" w:hAnsi="宋体"/>
                <w:color w:val="auto"/>
                <w:szCs w:val="21"/>
                <w:highlight w:val="none"/>
              </w:rPr>
              <w:t>的1‰</w:t>
            </w:r>
          </w:p>
        </w:tc>
      </w:tr>
      <w:tr w14:paraId="566CB77F">
        <w:tblPrEx>
          <w:tblCellMar>
            <w:top w:w="0" w:type="dxa"/>
            <w:left w:w="0" w:type="dxa"/>
            <w:bottom w:w="0" w:type="dxa"/>
            <w:right w:w="0" w:type="dxa"/>
          </w:tblCellMar>
        </w:tblPrEx>
        <w:trPr>
          <w:trHeight w:val="138"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0FB5E137">
            <w:pPr>
              <w:spacing w:line="340" w:lineRule="exact"/>
              <w:ind w:firstLine="420" w:firstLineChars="200"/>
              <w:jc w:val="left"/>
              <w:rPr>
                <w:rFonts w:ascii="宋体" w:hAnsi="宋体"/>
                <w:color w:val="auto"/>
                <w:szCs w:val="21"/>
                <w:highlight w:val="none"/>
              </w:rPr>
            </w:pPr>
            <w:r>
              <w:rPr>
                <w:rFonts w:hint="eastAsia" w:ascii="宋体" w:hAnsi="宋体"/>
                <w:color w:val="auto"/>
                <w:szCs w:val="21"/>
                <w:highlight w:val="none"/>
              </w:rPr>
              <w:t>重大事故</w:t>
            </w:r>
          </w:p>
        </w:tc>
        <w:tc>
          <w:tcPr>
            <w:tcW w:w="3765" w:type="dxa"/>
            <w:tcBorders>
              <w:top w:val="single" w:color="auto" w:sz="8" w:space="0"/>
              <w:left w:val="nil"/>
              <w:bottom w:val="single" w:color="auto" w:sz="8" w:space="0"/>
              <w:right w:val="single" w:color="auto" w:sz="8" w:space="0"/>
            </w:tcBorders>
            <w:vAlign w:val="center"/>
          </w:tcPr>
          <w:p w14:paraId="043B671C">
            <w:pPr>
              <w:spacing w:line="340" w:lineRule="exact"/>
              <w:ind w:firstLine="420" w:firstLineChars="200"/>
              <w:jc w:val="left"/>
              <w:rPr>
                <w:rFonts w:ascii="宋体" w:hAnsi="宋体"/>
                <w:color w:val="auto"/>
                <w:szCs w:val="21"/>
                <w:highlight w:val="none"/>
              </w:rPr>
            </w:pPr>
            <w:r>
              <w:rPr>
                <w:rFonts w:hint="eastAsia" w:ascii="宋体" w:hAnsi="宋体"/>
                <w:color w:val="auto"/>
                <w:szCs w:val="21"/>
                <w:highlight w:val="none"/>
              </w:rPr>
              <w:t>签约合同价的2‰</w:t>
            </w:r>
          </w:p>
        </w:tc>
      </w:tr>
      <w:tr w14:paraId="4A15D4C5">
        <w:tblPrEx>
          <w:tblCellMar>
            <w:top w:w="0" w:type="dxa"/>
            <w:left w:w="0" w:type="dxa"/>
            <w:bottom w:w="0" w:type="dxa"/>
            <w:right w:w="0" w:type="dxa"/>
          </w:tblCellMar>
        </w:tblPrEx>
        <w:trPr>
          <w:trHeight w:val="138"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5A5AA9C2">
            <w:pPr>
              <w:spacing w:line="340" w:lineRule="exact"/>
              <w:ind w:firstLine="420" w:firstLineChars="200"/>
              <w:jc w:val="left"/>
              <w:rPr>
                <w:rFonts w:ascii="宋体" w:hAnsi="宋体"/>
                <w:color w:val="auto"/>
                <w:szCs w:val="21"/>
                <w:highlight w:val="none"/>
              </w:rPr>
            </w:pPr>
            <w:r>
              <w:rPr>
                <w:rFonts w:hint="eastAsia" w:ascii="宋体" w:hAnsi="宋体"/>
                <w:color w:val="auto"/>
                <w:szCs w:val="21"/>
                <w:highlight w:val="none"/>
              </w:rPr>
              <w:t>特别重大事故</w:t>
            </w:r>
          </w:p>
        </w:tc>
        <w:tc>
          <w:tcPr>
            <w:tcW w:w="3765" w:type="dxa"/>
            <w:tcBorders>
              <w:top w:val="single" w:color="auto" w:sz="8" w:space="0"/>
              <w:left w:val="nil"/>
              <w:bottom w:val="single" w:color="auto" w:sz="8" w:space="0"/>
              <w:right w:val="single" w:color="auto" w:sz="8" w:space="0"/>
            </w:tcBorders>
            <w:vAlign w:val="center"/>
          </w:tcPr>
          <w:p w14:paraId="77F9F348">
            <w:pPr>
              <w:spacing w:line="340" w:lineRule="exact"/>
              <w:ind w:firstLine="420" w:firstLineChars="200"/>
              <w:jc w:val="left"/>
              <w:rPr>
                <w:rFonts w:ascii="宋体" w:hAnsi="宋体"/>
                <w:color w:val="auto"/>
                <w:szCs w:val="21"/>
                <w:highlight w:val="none"/>
              </w:rPr>
            </w:pPr>
            <w:r>
              <w:rPr>
                <w:rFonts w:hint="eastAsia" w:ascii="宋体" w:hAnsi="宋体"/>
                <w:color w:val="auto"/>
                <w:szCs w:val="21"/>
                <w:highlight w:val="none"/>
              </w:rPr>
              <w:t>签约合同价的4‰</w:t>
            </w:r>
          </w:p>
        </w:tc>
      </w:tr>
    </w:tbl>
    <w:p w14:paraId="53C308F8">
      <w:pPr>
        <w:spacing w:line="340" w:lineRule="exact"/>
        <w:ind w:firstLine="420" w:firstLineChars="200"/>
        <w:jc w:val="left"/>
        <w:rPr>
          <w:rFonts w:ascii="宋体" w:hAnsi="宋体"/>
          <w:color w:val="auto"/>
          <w:szCs w:val="21"/>
          <w:highlight w:val="none"/>
        </w:rPr>
      </w:pPr>
      <w:r>
        <w:rPr>
          <w:rFonts w:hint="eastAsia" w:ascii="宋体" w:hAnsi="宋体"/>
          <w:color w:val="auto"/>
          <w:szCs w:val="21"/>
          <w:highlight w:val="none"/>
        </w:rPr>
        <w:t>（1）较大事故，是指造成3人以上10人以下死亡，或者10人以上50人以下重伤，或者1000万元以上5000万元以下直接经济损失的事故；</w:t>
      </w:r>
    </w:p>
    <w:p w14:paraId="27D197A7">
      <w:pPr>
        <w:spacing w:line="340" w:lineRule="exact"/>
        <w:ind w:firstLine="420" w:firstLineChars="200"/>
        <w:jc w:val="left"/>
        <w:rPr>
          <w:rFonts w:ascii="宋体" w:hAnsi="宋体"/>
          <w:color w:val="auto"/>
          <w:szCs w:val="21"/>
          <w:highlight w:val="none"/>
        </w:rPr>
      </w:pPr>
      <w:r>
        <w:rPr>
          <w:rFonts w:hint="eastAsia" w:ascii="宋体" w:hAnsi="宋体"/>
          <w:color w:val="auto"/>
          <w:szCs w:val="21"/>
          <w:highlight w:val="none"/>
        </w:rPr>
        <w:t>（2）重大事故，是指造成10人以上30人以下死亡，或者50人以上100人以下重伤，或者5000万元以上1亿元以下直接经济损失的事故；</w:t>
      </w:r>
    </w:p>
    <w:p w14:paraId="5B938078">
      <w:pPr>
        <w:spacing w:line="340" w:lineRule="exact"/>
        <w:ind w:firstLine="420" w:firstLineChars="200"/>
        <w:jc w:val="left"/>
        <w:rPr>
          <w:rFonts w:ascii="宋体" w:hAnsi="宋体"/>
          <w:color w:val="auto"/>
          <w:szCs w:val="21"/>
          <w:highlight w:val="none"/>
        </w:rPr>
      </w:pPr>
      <w:r>
        <w:rPr>
          <w:rFonts w:hint="eastAsia" w:ascii="宋体" w:hAnsi="宋体"/>
          <w:color w:val="auto"/>
          <w:szCs w:val="21"/>
          <w:highlight w:val="none"/>
        </w:rPr>
        <w:t>（3）特别重大事故，是指造成30人以上死亡，或者100人以上重伤（包括急性工业中毒，下同），或者1亿元以上直接经济损失的事故；</w:t>
      </w:r>
    </w:p>
    <w:p w14:paraId="7A420772">
      <w:pPr>
        <w:spacing w:line="340" w:lineRule="exact"/>
        <w:ind w:firstLine="420" w:firstLineChars="200"/>
        <w:jc w:val="left"/>
        <w:rPr>
          <w:rFonts w:ascii="宋体" w:hAnsi="宋体"/>
          <w:color w:val="auto"/>
          <w:szCs w:val="21"/>
          <w:highlight w:val="none"/>
        </w:rPr>
      </w:pPr>
      <w:r>
        <w:rPr>
          <w:rFonts w:hint="eastAsia" w:ascii="宋体" w:hAnsi="宋体"/>
          <w:color w:val="auto"/>
          <w:szCs w:val="21"/>
          <w:highlight w:val="none"/>
        </w:rPr>
        <w:t>（4）所称的“以上”包括本数，所称的“以下”不包括本数。</w:t>
      </w:r>
    </w:p>
    <w:p w14:paraId="58223F3D">
      <w:pPr>
        <w:spacing w:line="340" w:lineRule="exact"/>
        <w:ind w:firstLine="420" w:firstLineChars="200"/>
        <w:jc w:val="left"/>
        <w:rPr>
          <w:rFonts w:ascii="宋体" w:hAnsi="宋体"/>
          <w:color w:val="auto"/>
          <w:szCs w:val="21"/>
          <w:highlight w:val="none"/>
        </w:rPr>
      </w:pPr>
      <w:r>
        <w:rPr>
          <w:rFonts w:hint="eastAsia" w:ascii="宋体" w:hAnsi="宋体"/>
          <w:color w:val="auto"/>
          <w:szCs w:val="21"/>
          <w:highlight w:val="none"/>
        </w:rPr>
        <w:t xml:space="preserve">发包人委托的监理公司负责对承包人的安全业绩进行考核。每次合同支付前，承包人提交自我安全业绩评估报告，然后交发包人委托的监理公司评价。发包人委托的监理公司在签署评价意见后，将作为合同支付依据之一，同时也作为是否可接受承包人再次参加发包人项目投标的依据之一。 </w:t>
      </w:r>
    </w:p>
    <w:p w14:paraId="5A0D3FD6">
      <w:pPr>
        <w:spacing w:line="340" w:lineRule="exact"/>
        <w:ind w:firstLine="420" w:firstLineChars="200"/>
        <w:rPr>
          <w:rFonts w:ascii="宋体" w:hAnsi="宋体"/>
          <w:color w:val="auto"/>
          <w:szCs w:val="21"/>
          <w:highlight w:val="none"/>
        </w:rPr>
      </w:pPr>
      <w:r>
        <w:rPr>
          <w:rFonts w:hint="eastAsia" w:ascii="宋体" w:hAnsi="宋体"/>
          <w:color w:val="auto"/>
          <w:szCs w:val="21"/>
          <w:highlight w:val="none"/>
        </w:rPr>
        <w:t>十七、协议条款的修订</w:t>
      </w:r>
    </w:p>
    <w:p w14:paraId="36564BDA">
      <w:pPr>
        <w:spacing w:line="340" w:lineRule="exact"/>
        <w:ind w:firstLine="420" w:firstLineChars="200"/>
        <w:jc w:val="left"/>
        <w:rPr>
          <w:rFonts w:ascii="宋体" w:hAnsi="宋体"/>
          <w:color w:val="auto"/>
          <w:szCs w:val="21"/>
          <w:highlight w:val="none"/>
        </w:rPr>
      </w:pPr>
      <w:r>
        <w:rPr>
          <w:rFonts w:hint="eastAsia" w:ascii="宋体" w:hAnsi="宋体"/>
          <w:color w:val="auto"/>
          <w:szCs w:val="21"/>
          <w:highlight w:val="none"/>
        </w:rPr>
        <w:t>在项目实施过程中，经双方友好协商，本协议的有关条款也可做出相应的修改。</w:t>
      </w:r>
    </w:p>
    <w:p w14:paraId="116D2C3D">
      <w:pPr>
        <w:spacing w:line="340" w:lineRule="exact"/>
        <w:ind w:firstLine="420" w:firstLineChars="200"/>
        <w:jc w:val="left"/>
        <w:rPr>
          <w:rFonts w:ascii="宋体" w:hAnsi="宋体"/>
          <w:color w:val="auto"/>
          <w:szCs w:val="21"/>
          <w:highlight w:val="none"/>
        </w:rPr>
      </w:pPr>
      <w:r>
        <w:rPr>
          <w:rFonts w:hint="eastAsia" w:ascii="宋体" w:hAnsi="宋体"/>
          <w:color w:val="auto"/>
          <w:szCs w:val="21"/>
          <w:highlight w:val="none"/>
        </w:rPr>
        <w:t>本工程安全管理协议，由发包人、承包人双方在施工承包合同签订后7天内共同签署，作为施工合同附件。</w:t>
      </w:r>
    </w:p>
    <w:p w14:paraId="7CE8E24A">
      <w:pPr>
        <w:spacing w:line="340" w:lineRule="exact"/>
        <w:ind w:firstLine="420" w:firstLineChars="200"/>
        <w:jc w:val="left"/>
        <w:rPr>
          <w:rFonts w:ascii="宋体" w:hAnsi="宋体"/>
          <w:color w:val="auto"/>
          <w:szCs w:val="21"/>
          <w:highlight w:val="none"/>
        </w:rPr>
      </w:pPr>
      <w:r>
        <w:rPr>
          <w:rFonts w:hint="eastAsia" w:ascii="宋体" w:hAnsi="宋体"/>
          <w:color w:val="auto"/>
          <w:szCs w:val="21"/>
          <w:highlight w:val="none"/>
        </w:rPr>
        <w:t>发  包  人（单位公章）：</w:t>
      </w:r>
      <w:r>
        <w:rPr>
          <w:rFonts w:hint="eastAsia" w:ascii="宋体" w:hAnsi="宋体" w:cs="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s="宋体"/>
          <w:color w:val="auto"/>
          <w:szCs w:val="21"/>
          <w:highlight w:val="none"/>
          <w:u w:val="single"/>
        </w:rPr>
        <w:t xml:space="preserve">  </w:t>
      </w:r>
    </w:p>
    <w:p w14:paraId="4C3CC87E">
      <w:pPr>
        <w:spacing w:line="340" w:lineRule="exact"/>
        <w:ind w:firstLine="420" w:firstLineChars="200"/>
        <w:jc w:val="left"/>
        <w:rPr>
          <w:rFonts w:ascii="宋体" w:hAnsi="宋体"/>
          <w:color w:val="auto"/>
          <w:szCs w:val="21"/>
          <w:highlight w:val="none"/>
        </w:rPr>
      </w:pPr>
      <w:r>
        <w:rPr>
          <w:rFonts w:hint="eastAsia" w:ascii="宋体" w:hAnsi="宋体"/>
          <w:color w:val="auto"/>
          <w:szCs w:val="21"/>
          <w:highlight w:val="none"/>
        </w:rPr>
        <w:t>法定代表人（签名）：</w:t>
      </w:r>
      <w:r>
        <w:rPr>
          <w:rFonts w:hint="eastAsia" w:ascii="宋体" w:hAnsi="宋体" w:cs="宋体"/>
          <w:color w:val="auto"/>
          <w:szCs w:val="21"/>
          <w:highlight w:val="none"/>
          <w:u w:val="single"/>
        </w:rPr>
        <w:t xml:space="preserve">                       </w:t>
      </w:r>
      <w:r>
        <w:rPr>
          <w:rFonts w:hint="eastAsia" w:ascii="宋体" w:hAnsi="宋体"/>
          <w:color w:val="auto"/>
          <w:szCs w:val="21"/>
          <w:highlight w:val="none"/>
        </w:rPr>
        <w:t xml:space="preserve">  </w:t>
      </w:r>
    </w:p>
    <w:p w14:paraId="356EE5EA">
      <w:pPr>
        <w:spacing w:line="340" w:lineRule="exact"/>
        <w:ind w:firstLine="420" w:firstLineChars="200"/>
        <w:jc w:val="left"/>
        <w:rPr>
          <w:rFonts w:ascii="宋体" w:hAnsi="宋体"/>
          <w:color w:val="auto"/>
          <w:szCs w:val="21"/>
          <w:highlight w:val="none"/>
        </w:rPr>
      </w:pPr>
      <w:r>
        <w:rPr>
          <w:rFonts w:hint="eastAsia" w:ascii="宋体" w:hAnsi="宋体"/>
          <w:color w:val="auto"/>
          <w:szCs w:val="21"/>
          <w:highlight w:val="none"/>
        </w:rPr>
        <w:t>或其委托代理人（签名）：</w:t>
      </w:r>
      <w:r>
        <w:rPr>
          <w:rFonts w:hint="eastAsia" w:ascii="宋体" w:hAnsi="宋体" w:cs="宋体"/>
          <w:color w:val="auto"/>
          <w:szCs w:val="21"/>
          <w:highlight w:val="none"/>
          <w:u w:val="single"/>
        </w:rPr>
        <w:t xml:space="preserve">                   </w:t>
      </w:r>
      <w:r>
        <w:rPr>
          <w:rFonts w:hint="eastAsia" w:ascii="宋体" w:hAnsi="宋体"/>
          <w:color w:val="auto"/>
          <w:szCs w:val="21"/>
          <w:highlight w:val="none"/>
        </w:rPr>
        <w:t xml:space="preserve">  </w:t>
      </w:r>
    </w:p>
    <w:p w14:paraId="6A13F6F0">
      <w:pPr>
        <w:spacing w:line="340" w:lineRule="exact"/>
        <w:ind w:firstLine="420" w:firstLineChars="200"/>
        <w:jc w:val="left"/>
        <w:rPr>
          <w:rFonts w:ascii="宋体" w:hAnsi="宋体"/>
          <w:color w:val="auto"/>
          <w:szCs w:val="21"/>
          <w:highlight w:val="none"/>
        </w:rPr>
      </w:pPr>
    </w:p>
    <w:p w14:paraId="57E84542">
      <w:pPr>
        <w:spacing w:line="340" w:lineRule="exact"/>
        <w:ind w:firstLine="420" w:firstLineChars="200"/>
        <w:jc w:val="left"/>
        <w:rPr>
          <w:rFonts w:ascii="宋体" w:hAnsi="宋体"/>
          <w:color w:val="auto"/>
          <w:kern w:val="0"/>
          <w:szCs w:val="21"/>
          <w:highlight w:val="none"/>
        </w:rPr>
      </w:pPr>
      <w:r>
        <w:rPr>
          <w:rFonts w:hint="eastAsia" w:ascii="宋体" w:hAnsi="宋体"/>
          <w:color w:val="auto"/>
          <w:szCs w:val="21"/>
          <w:highlight w:val="none"/>
        </w:rPr>
        <w:t>承  包  人（单位公章）：</w:t>
      </w:r>
      <w:r>
        <w:rPr>
          <w:rFonts w:hint="eastAsia" w:ascii="宋体" w:hAnsi="宋体" w:cs="宋体"/>
          <w:color w:val="auto"/>
          <w:szCs w:val="21"/>
          <w:highlight w:val="none"/>
          <w:u w:val="single"/>
        </w:rPr>
        <w:t xml:space="preserve">                   </w:t>
      </w:r>
    </w:p>
    <w:p w14:paraId="7AC42F11">
      <w:pPr>
        <w:spacing w:line="340" w:lineRule="exact"/>
        <w:ind w:firstLine="420" w:firstLineChars="200"/>
        <w:jc w:val="left"/>
        <w:rPr>
          <w:rFonts w:ascii="宋体" w:hAnsi="宋体"/>
          <w:color w:val="auto"/>
          <w:szCs w:val="21"/>
          <w:highlight w:val="none"/>
        </w:rPr>
      </w:pPr>
      <w:r>
        <w:rPr>
          <w:rFonts w:hint="eastAsia" w:ascii="宋体" w:hAnsi="宋体"/>
          <w:color w:val="auto"/>
          <w:szCs w:val="21"/>
          <w:highlight w:val="none"/>
        </w:rPr>
        <w:t>法定代表人（签名）：</w:t>
      </w:r>
      <w:r>
        <w:rPr>
          <w:rFonts w:hint="eastAsia" w:ascii="宋体" w:hAnsi="宋体" w:cs="宋体"/>
          <w:color w:val="auto"/>
          <w:szCs w:val="21"/>
          <w:highlight w:val="none"/>
          <w:u w:val="single"/>
        </w:rPr>
        <w:t xml:space="preserve">                       </w:t>
      </w:r>
    </w:p>
    <w:p w14:paraId="51E1B3DF">
      <w:pPr>
        <w:spacing w:line="340" w:lineRule="exact"/>
        <w:ind w:firstLine="420" w:firstLineChars="200"/>
        <w:jc w:val="left"/>
        <w:rPr>
          <w:rFonts w:ascii="宋体" w:hAnsi="宋体"/>
          <w:color w:val="auto"/>
          <w:kern w:val="0"/>
          <w:szCs w:val="21"/>
          <w:highlight w:val="none"/>
        </w:rPr>
      </w:pPr>
      <w:r>
        <w:rPr>
          <w:rFonts w:hint="eastAsia" w:ascii="宋体" w:hAnsi="宋体"/>
          <w:color w:val="auto"/>
          <w:szCs w:val="21"/>
          <w:highlight w:val="none"/>
        </w:rPr>
        <w:t>或其委托代理人（签名）：</w:t>
      </w:r>
      <w:r>
        <w:rPr>
          <w:rFonts w:hint="eastAsia" w:ascii="宋体" w:hAnsi="宋体" w:cs="宋体"/>
          <w:color w:val="auto"/>
          <w:szCs w:val="21"/>
          <w:highlight w:val="none"/>
          <w:u w:val="single"/>
        </w:rPr>
        <w:t xml:space="preserve">                   </w:t>
      </w:r>
    </w:p>
    <w:p w14:paraId="1C9E6769">
      <w:pPr>
        <w:spacing w:line="360" w:lineRule="auto"/>
        <w:ind w:firstLine="420" w:firstLineChars="200"/>
        <w:jc w:val="left"/>
        <w:rPr>
          <w:rFonts w:ascii="宋体" w:hAnsi="宋体"/>
          <w:color w:val="auto"/>
          <w:kern w:val="0"/>
          <w:szCs w:val="21"/>
          <w:highlight w:val="none"/>
        </w:rPr>
      </w:pPr>
    </w:p>
    <w:p w14:paraId="73427B62">
      <w:pPr>
        <w:snapToGrid w:val="0"/>
        <w:spacing w:line="360" w:lineRule="auto"/>
        <w:jc w:val="left"/>
        <w:rPr>
          <w:rFonts w:ascii="宋体" w:hAnsi="宋体"/>
          <w:color w:val="auto"/>
          <w:kern w:val="0"/>
          <w:szCs w:val="21"/>
          <w:highlight w:val="none"/>
        </w:rPr>
      </w:pPr>
      <w:r>
        <w:rPr>
          <w:rFonts w:hint="eastAsia" w:ascii="宋体" w:hAnsi="宋体"/>
          <w:color w:val="auto"/>
          <w:szCs w:val="21"/>
          <w:highlight w:val="none"/>
        </w:rPr>
        <w:br w:type="page"/>
      </w:r>
    </w:p>
    <w:p w14:paraId="37B73640">
      <w:pPr>
        <w:spacing w:line="480" w:lineRule="auto"/>
        <w:rPr>
          <w:rFonts w:ascii="宋体" w:hAnsi="宋体"/>
          <w:color w:val="auto"/>
          <w:szCs w:val="21"/>
          <w:highlight w:val="none"/>
        </w:rPr>
      </w:pPr>
      <w:r>
        <w:rPr>
          <w:rFonts w:hint="eastAsia" w:ascii="宋体" w:hAnsi="宋体"/>
          <w:color w:val="auto"/>
          <w:szCs w:val="21"/>
          <w:highlight w:val="none"/>
        </w:rPr>
        <w:t>附件</w:t>
      </w:r>
      <w:r>
        <w:rPr>
          <w:rFonts w:ascii="宋体" w:hAnsi="宋体"/>
          <w:color w:val="auto"/>
          <w:szCs w:val="21"/>
          <w:highlight w:val="none"/>
        </w:rPr>
        <w:t>10</w:t>
      </w:r>
      <w:r>
        <w:rPr>
          <w:rFonts w:hint="eastAsia" w:ascii="宋体" w:hAnsi="宋体"/>
          <w:color w:val="auto"/>
          <w:szCs w:val="21"/>
          <w:highlight w:val="none"/>
        </w:rPr>
        <w:t>：</w:t>
      </w:r>
    </w:p>
    <w:p w14:paraId="3BFC7F7A">
      <w:pPr>
        <w:spacing w:before="156" w:beforeLines="50" w:after="156" w:afterLines="50" w:line="480" w:lineRule="auto"/>
        <w:jc w:val="center"/>
        <w:rPr>
          <w:rFonts w:ascii="宋体" w:hAnsi="宋体"/>
          <w:color w:val="auto"/>
          <w:szCs w:val="21"/>
          <w:highlight w:val="none"/>
        </w:rPr>
      </w:pPr>
      <w:r>
        <w:rPr>
          <w:rFonts w:hint="eastAsia" w:ascii="宋体" w:hAnsi="宋体"/>
          <w:color w:val="auto"/>
          <w:szCs w:val="21"/>
          <w:highlight w:val="none"/>
        </w:rPr>
        <w:t>保障农民工工资支付协议</w:t>
      </w:r>
    </w:p>
    <w:p w14:paraId="4004B542">
      <w:pPr>
        <w:snapToGrid w:val="0"/>
        <w:spacing w:line="480" w:lineRule="auto"/>
        <w:rPr>
          <w:rFonts w:ascii="宋体" w:hAnsi="宋体"/>
          <w:color w:val="auto"/>
          <w:szCs w:val="21"/>
          <w:highlight w:val="none"/>
        </w:rPr>
      </w:pPr>
      <w:r>
        <w:rPr>
          <w:rFonts w:hint="eastAsia" w:ascii="宋体" w:hAnsi="宋体"/>
          <w:color w:val="auto"/>
          <w:szCs w:val="21"/>
          <w:highlight w:val="none"/>
        </w:rPr>
        <w:t xml:space="preserve"> 发包人：</w:t>
      </w:r>
      <w:r>
        <w:rPr>
          <w:rFonts w:hint="eastAsia" w:ascii="宋体" w:hAnsi="宋体" w:cs="宋体"/>
          <w:color w:val="auto"/>
          <w:szCs w:val="21"/>
          <w:highlight w:val="none"/>
          <w:u w:val="single"/>
        </w:rPr>
        <w:t xml:space="preserve">                                 </w:t>
      </w:r>
      <w:r>
        <w:rPr>
          <w:rFonts w:hint="eastAsia" w:ascii="宋体" w:hAnsi="宋体"/>
          <w:color w:val="auto"/>
          <w:szCs w:val="21"/>
          <w:highlight w:val="none"/>
        </w:rPr>
        <w:t>（发包人）</w:t>
      </w:r>
    </w:p>
    <w:p w14:paraId="1B9B003F">
      <w:pPr>
        <w:snapToGrid w:val="0"/>
        <w:spacing w:line="360" w:lineRule="auto"/>
        <w:rPr>
          <w:rFonts w:ascii="宋体" w:hAnsi="宋体"/>
          <w:color w:val="auto"/>
          <w:szCs w:val="21"/>
          <w:highlight w:val="none"/>
        </w:rPr>
      </w:pPr>
      <w:r>
        <w:rPr>
          <w:rFonts w:hint="eastAsia" w:ascii="宋体" w:hAnsi="宋体"/>
          <w:color w:val="auto"/>
          <w:szCs w:val="21"/>
          <w:highlight w:val="none"/>
        </w:rPr>
        <w:t xml:space="preserve"> 承包人：</w:t>
      </w:r>
      <w:r>
        <w:rPr>
          <w:rFonts w:hint="eastAsia" w:ascii="宋体" w:hAnsi="宋体" w:cs="宋体"/>
          <w:color w:val="auto"/>
          <w:szCs w:val="21"/>
          <w:highlight w:val="none"/>
          <w:u w:val="single"/>
        </w:rPr>
        <w:t xml:space="preserve">                                 </w:t>
      </w:r>
      <w:r>
        <w:rPr>
          <w:rFonts w:hint="eastAsia" w:ascii="宋体" w:hAnsi="宋体"/>
          <w:color w:val="auto"/>
          <w:szCs w:val="21"/>
          <w:highlight w:val="none"/>
        </w:rPr>
        <w:t>（承包人）</w:t>
      </w:r>
    </w:p>
    <w:p w14:paraId="47CE5027">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为贯彻落实《国务院办公厅关于全面治理拖欠农民工工资问题的意见》（国办发〔2016〕1号），《重庆市人民政府办公厅关于全面治理拖欠农民工工资问题的实施意见》（渝府办发〔2016〕101号），健全预防和解决拖欠农民工工资问题的长效机制，切实保障农民工劳动报酬权益，维护社会公平正义，促进社会和谐稳定。经甲、乙双方结合实际情况，友好协商，达成如下协议：</w:t>
      </w:r>
    </w:p>
    <w:p w14:paraId="4D2EC792">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一、承包人申报工程进度款时，应对上月已支付工程款用于农民工工资发放的情况进行说明，并附农民工代表按时足额收取了工资的签名确认书。监理单位应对相关情况说明和签名确认书（详附件）进行审查签名后，与工程进度款申报资料一并提交给发包人。发包人审核合格后，才进行当期工程进度款的支付。</w:t>
      </w:r>
    </w:p>
    <w:p w14:paraId="6D0B2740">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二、由于工程进度款申报和审查需一定时间，其与农民工工资发放时间存在一定时间的延后，承包人应具有垫付不低于3个月农民工工资能力。承包人在本补充协议签订后申请的第一笔工程进度款时应出具垫付不低于3个月农民工工资的书面承诺给发包人。发包人将承包人是否做出承诺作为支付工程进度款的前提条件之一。</w:t>
      </w:r>
    </w:p>
    <w:p w14:paraId="48C1997B">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三、承包人每月10日前将本月作业班组、班组人数、农民工身份信息等报监理单位，10日～15日分别以作业班组为小组，每小组自行选举产生一名农民工代表，监理单位应全程监督，选举结果与当期工程款支付申请一并报送发包人。</w:t>
      </w:r>
    </w:p>
    <w:p w14:paraId="777169AB">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四、若发现承包人有下列事项的，发包人在支付当期进度款时暂扣当期应支付进度款5%比例的款项。</w:t>
      </w:r>
    </w:p>
    <w:p w14:paraId="0F8A255E">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 xml:space="preserve">    （一）现场检查发现项目存在拖欠农民工工资情况并经核查属实的；</w:t>
      </w:r>
    </w:p>
    <w:p w14:paraId="6BDEEDDF">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（二）相关行政管理部门检查发现存在拖欠农民工工资情况并经核查属实的；</w:t>
      </w:r>
    </w:p>
    <w:p w14:paraId="3BE0376F">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 xml:space="preserve">    （三）有拖欠农民工工资投诉事项并经核查属实的。</w:t>
      </w:r>
    </w:p>
    <w:p w14:paraId="7907C05A">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 xml:space="preserve">    五、对发现的存在拖欠农民工工资事项，承包人应在3天内限时整改，并将整改措施和结果报发包人审查，经发包人批准同意后，在下一期工程进度款支付中返还暂扣的工程款；如承包人未在3天内限时整改，暂扣工程款将继续扣留，直至整改完毕。暂扣款不计息。</w:t>
      </w:r>
    </w:p>
    <w:p w14:paraId="2D81BE59">
      <w:pPr>
        <w:tabs>
          <w:tab w:val="left" w:pos="1080"/>
          <w:tab w:val="left" w:pos="1260"/>
          <w:tab w:val="left" w:pos="1440"/>
        </w:tabs>
        <w:spacing w:line="360" w:lineRule="auto"/>
        <w:ind w:firstLine="420" w:firstLineChars="200"/>
        <w:rPr>
          <w:rFonts w:ascii="宋体" w:hAnsi="宋体"/>
          <w:snapToGrid w:val="0"/>
          <w:color w:val="auto"/>
          <w:spacing w:val="-4"/>
          <w:kern w:val="0"/>
          <w:szCs w:val="21"/>
          <w:highlight w:val="none"/>
        </w:rPr>
      </w:pPr>
      <w:r>
        <w:rPr>
          <w:rFonts w:hint="eastAsia" w:ascii="宋体" w:hAnsi="宋体"/>
          <w:color w:val="auto"/>
          <w:szCs w:val="21"/>
          <w:highlight w:val="none"/>
        </w:rPr>
        <w:t>六、本协议经双方法定代表人或委托代理人签名并加盖单位公章后生效，履行完毕后自然失效。</w:t>
      </w:r>
    </w:p>
    <w:p w14:paraId="1A744F07">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附件：</w:t>
      </w:r>
    </w:p>
    <w:p w14:paraId="3AB505A7">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1、关于农民工工资发放情况的说明表</w:t>
      </w:r>
    </w:p>
    <w:p w14:paraId="0758FAC8">
      <w:pPr>
        <w:pStyle w:val="2"/>
        <w:spacing w:line="360" w:lineRule="auto"/>
        <w:ind w:firstLine="420" w:firstLineChars="200"/>
        <w:rPr>
          <w:rFonts w:ascii="宋体" w:hAnsi="宋体"/>
          <w:color w:val="auto"/>
          <w:szCs w:val="21"/>
          <w:highlight w:val="none"/>
        </w:rPr>
      </w:pPr>
    </w:p>
    <w:p w14:paraId="4203E2FF">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（以下无正文）</w:t>
      </w:r>
    </w:p>
    <w:p w14:paraId="00145977">
      <w:pPr>
        <w:spacing w:line="360" w:lineRule="auto"/>
        <w:ind w:firstLine="420" w:firstLineChars="200"/>
        <w:rPr>
          <w:rFonts w:ascii="宋体" w:hAnsi="宋体"/>
          <w:color w:val="auto"/>
          <w:szCs w:val="21"/>
          <w:highlight w:val="none"/>
        </w:rPr>
      </w:pPr>
    </w:p>
    <w:p w14:paraId="42743A9D">
      <w:pPr>
        <w:spacing w:line="360" w:lineRule="auto"/>
        <w:ind w:firstLine="420" w:firstLineChars="200"/>
        <w:rPr>
          <w:rFonts w:ascii="宋体" w:hAnsi="宋体"/>
          <w:color w:val="auto"/>
          <w:szCs w:val="21"/>
          <w:highlight w:val="none"/>
        </w:rPr>
      </w:pPr>
    </w:p>
    <w:p w14:paraId="2B22237F">
      <w:pPr>
        <w:pStyle w:val="2"/>
        <w:spacing w:line="360" w:lineRule="auto"/>
        <w:rPr>
          <w:rFonts w:ascii="宋体" w:hAnsi="宋体"/>
          <w:color w:val="auto"/>
          <w:szCs w:val="21"/>
          <w:highlight w:val="none"/>
        </w:rPr>
      </w:pPr>
    </w:p>
    <w:p w14:paraId="56ED53F1">
      <w:pPr>
        <w:spacing w:line="360" w:lineRule="auto"/>
        <w:rPr>
          <w:rFonts w:ascii="宋体" w:hAnsi="宋体"/>
          <w:color w:val="auto"/>
          <w:szCs w:val="21"/>
          <w:highlight w:val="none"/>
        </w:rPr>
      </w:pPr>
      <w:r>
        <w:rPr>
          <w:rFonts w:hint="eastAsia" w:ascii="宋体" w:hAnsi="宋体"/>
          <w:color w:val="auto"/>
          <w:szCs w:val="21"/>
          <w:highlight w:val="none"/>
        </w:rPr>
        <w:t>发包人：</w:t>
      </w:r>
      <w:r>
        <w:rPr>
          <w:rFonts w:hint="eastAsia" w:ascii="宋体" w:hAnsi="宋体" w:cs="宋体"/>
          <w:color w:val="auto"/>
          <w:szCs w:val="21"/>
          <w:highlight w:val="none"/>
          <w:u w:val="single"/>
        </w:rPr>
        <w:t xml:space="preserve">       </w:t>
      </w:r>
      <w:r>
        <w:rPr>
          <w:rFonts w:hint="eastAsia" w:ascii="宋体" w:hAnsi="宋体"/>
          <w:color w:val="auto"/>
          <w:szCs w:val="21"/>
          <w:highlight w:val="none"/>
        </w:rPr>
        <w:t>（发包人）</w:t>
      </w:r>
    </w:p>
    <w:p w14:paraId="10EED1CB">
      <w:pPr>
        <w:spacing w:line="360" w:lineRule="auto"/>
        <w:rPr>
          <w:rFonts w:ascii="宋体" w:hAnsi="宋体"/>
          <w:color w:val="auto"/>
          <w:szCs w:val="21"/>
          <w:highlight w:val="none"/>
        </w:rPr>
      </w:pPr>
      <w:r>
        <w:rPr>
          <w:rFonts w:hint="eastAsia" w:ascii="宋体" w:hAnsi="宋体"/>
          <w:color w:val="auto"/>
          <w:szCs w:val="21"/>
          <w:highlight w:val="none"/>
        </w:rPr>
        <w:t>法定代表人：</w:t>
      </w:r>
      <w:r>
        <w:rPr>
          <w:rFonts w:hint="eastAsia" w:ascii="宋体" w:hAnsi="宋体" w:cs="宋体"/>
          <w:color w:val="auto"/>
          <w:szCs w:val="21"/>
          <w:highlight w:val="none"/>
          <w:u w:val="single"/>
        </w:rPr>
        <w:t xml:space="preserve">       </w:t>
      </w:r>
    </w:p>
    <w:p w14:paraId="77443302">
      <w:pPr>
        <w:spacing w:line="360" w:lineRule="auto"/>
        <w:rPr>
          <w:rFonts w:ascii="宋体" w:hAnsi="宋体"/>
          <w:color w:val="auto"/>
          <w:szCs w:val="21"/>
          <w:highlight w:val="none"/>
        </w:rPr>
      </w:pPr>
      <w:r>
        <w:rPr>
          <w:rFonts w:hint="eastAsia" w:ascii="宋体" w:hAnsi="宋体"/>
          <w:color w:val="auto"/>
          <w:szCs w:val="21"/>
          <w:highlight w:val="none"/>
        </w:rPr>
        <w:t>或委托代理人：</w:t>
      </w:r>
      <w:r>
        <w:rPr>
          <w:rFonts w:hint="eastAsia" w:ascii="宋体" w:hAnsi="宋体" w:cs="宋体"/>
          <w:color w:val="auto"/>
          <w:szCs w:val="21"/>
          <w:highlight w:val="none"/>
          <w:u w:val="single"/>
        </w:rPr>
        <w:t xml:space="preserve">       </w:t>
      </w:r>
    </w:p>
    <w:p w14:paraId="295967DC">
      <w:pPr>
        <w:spacing w:line="360" w:lineRule="auto"/>
        <w:rPr>
          <w:rFonts w:ascii="宋体" w:hAnsi="宋体"/>
          <w:color w:val="auto"/>
          <w:szCs w:val="21"/>
          <w:highlight w:val="none"/>
        </w:rPr>
      </w:pPr>
      <w:r>
        <w:rPr>
          <w:rFonts w:hint="eastAsia" w:ascii="宋体" w:hAnsi="宋体"/>
          <w:color w:val="auto"/>
          <w:szCs w:val="21"/>
          <w:highlight w:val="none"/>
        </w:rPr>
        <w:t>联系人：</w:t>
      </w:r>
      <w:r>
        <w:rPr>
          <w:rFonts w:hint="eastAsia" w:ascii="宋体" w:hAnsi="宋体" w:cs="宋体"/>
          <w:color w:val="auto"/>
          <w:szCs w:val="21"/>
          <w:highlight w:val="none"/>
          <w:u w:val="single"/>
        </w:rPr>
        <w:t xml:space="preserve">       </w:t>
      </w:r>
    </w:p>
    <w:p w14:paraId="63198BBB">
      <w:pPr>
        <w:spacing w:line="360" w:lineRule="auto"/>
        <w:rPr>
          <w:rFonts w:ascii="宋体" w:hAnsi="宋体"/>
          <w:color w:val="auto"/>
          <w:szCs w:val="21"/>
          <w:highlight w:val="none"/>
        </w:rPr>
      </w:pPr>
    </w:p>
    <w:p w14:paraId="4925F7E3">
      <w:pPr>
        <w:spacing w:line="360" w:lineRule="auto"/>
        <w:rPr>
          <w:rFonts w:ascii="宋体" w:hAnsi="宋体"/>
          <w:color w:val="auto"/>
          <w:szCs w:val="21"/>
          <w:highlight w:val="none"/>
        </w:rPr>
      </w:pPr>
    </w:p>
    <w:p w14:paraId="3FD93B59">
      <w:pPr>
        <w:spacing w:line="360" w:lineRule="auto"/>
        <w:rPr>
          <w:rFonts w:ascii="宋体" w:hAnsi="宋体"/>
          <w:color w:val="auto"/>
          <w:szCs w:val="21"/>
          <w:highlight w:val="none"/>
        </w:rPr>
      </w:pPr>
    </w:p>
    <w:p w14:paraId="288393B1">
      <w:pPr>
        <w:spacing w:line="360" w:lineRule="auto"/>
        <w:rPr>
          <w:rFonts w:ascii="宋体" w:hAnsi="宋体"/>
          <w:color w:val="auto"/>
          <w:szCs w:val="21"/>
          <w:highlight w:val="none"/>
        </w:rPr>
      </w:pPr>
      <w:r>
        <w:rPr>
          <w:rFonts w:hint="eastAsia" w:ascii="宋体" w:hAnsi="宋体"/>
          <w:color w:val="auto"/>
          <w:szCs w:val="21"/>
          <w:highlight w:val="none"/>
        </w:rPr>
        <w:t>承包人：</w:t>
      </w:r>
      <w:r>
        <w:rPr>
          <w:rFonts w:hint="eastAsia" w:ascii="宋体" w:hAnsi="宋体" w:cs="宋体"/>
          <w:color w:val="auto"/>
          <w:szCs w:val="21"/>
          <w:highlight w:val="none"/>
          <w:u w:val="single"/>
        </w:rPr>
        <w:t xml:space="preserve">       </w:t>
      </w:r>
      <w:r>
        <w:rPr>
          <w:rFonts w:hint="eastAsia" w:ascii="宋体" w:hAnsi="宋体"/>
          <w:color w:val="auto"/>
          <w:szCs w:val="21"/>
          <w:highlight w:val="none"/>
        </w:rPr>
        <w:t>（承包人）</w:t>
      </w:r>
    </w:p>
    <w:p w14:paraId="58D7BF73">
      <w:pPr>
        <w:spacing w:line="360" w:lineRule="auto"/>
        <w:rPr>
          <w:rFonts w:ascii="宋体" w:hAnsi="宋体"/>
          <w:color w:val="auto"/>
          <w:szCs w:val="21"/>
          <w:highlight w:val="none"/>
        </w:rPr>
      </w:pPr>
      <w:r>
        <w:rPr>
          <w:rFonts w:hint="eastAsia" w:ascii="宋体" w:hAnsi="宋体"/>
          <w:color w:val="auto"/>
          <w:szCs w:val="21"/>
          <w:highlight w:val="none"/>
        </w:rPr>
        <w:t>法定代表人：</w:t>
      </w:r>
      <w:r>
        <w:rPr>
          <w:rFonts w:hint="eastAsia" w:ascii="宋体" w:hAnsi="宋体" w:cs="宋体"/>
          <w:color w:val="auto"/>
          <w:szCs w:val="21"/>
          <w:highlight w:val="none"/>
          <w:u w:val="single"/>
        </w:rPr>
        <w:t xml:space="preserve">       </w:t>
      </w:r>
    </w:p>
    <w:p w14:paraId="4AAEF133">
      <w:pPr>
        <w:spacing w:line="360" w:lineRule="auto"/>
        <w:rPr>
          <w:rFonts w:ascii="宋体" w:hAnsi="宋体"/>
          <w:color w:val="auto"/>
          <w:szCs w:val="21"/>
          <w:highlight w:val="none"/>
        </w:rPr>
      </w:pPr>
      <w:r>
        <w:rPr>
          <w:rFonts w:hint="eastAsia" w:ascii="宋体" w:hAnsi="宋体"/>
          <w:color w:val="auto"/>
          <w:szCs w:val="21"/>
          <w:highlight w:val="none"/>
        </w:rPr>
        <w:t>或委托代理人：</w:t>
      </w:r>
      <w:r>
        <w:rPr>
          <w:rFonts w:hint="eastAsia" w:ascii="宋体" w:hAnsi="宋体" w:cs="宋体"/>
          <w:color w:val="auto"/>
          <w:szCs w:val="21"/>
          <w:highlight w:val="none"/>
          <w:u w:val="single"/>
        </w:rPr>
        <w:t xml:space="preserve">       </w:t>
      </w:r>
    </w:p>
    <w:p w14:paraId="343BD86E">
      <w:pPr>
        <w:spacing w:line="360" w:lineRule="auto"/>
        <w:rPr>
          <w:rFonts w:ascii="宋体" w:hAnsi="宋体"/>
          <w:color w:val="auto"/>
          <w:szCs w:val="21"/>
          <w:highlight w:val="none"/>
        </w:rPr>
      </w:pPr>
      <w:r>
        <w:rPr>
          <w:rFonts w:hint="eastAsia" w:ascii="宋体" w:hAnsi="宋体"/>
          <w:color w:val="auto"/>
          <w:szCs w:val="21"/>
          <w:highlight w:val="none"/>
        </w:rPr>
        <w:t>联系人：</w:t>
      </w:r>
      <w:r>
        <w:rPr>
          <w:rFonts w:hint="eastAsia" w:ascii="宋体" w:hAnsi="宋体" w:cs="宋体"/>
          <w:color w:val="auto"/>
          <w:szCs w:val="21"/>
          <w:highlight w:val="none"/>
          <w:u w:val="single"/>
        </w:rPr>
        <w:t xml:space="preserve">       </w:t>
      </w:r>
    </w:p>
    <w:p w14:paraId="140D798B">
      <w:pPr>
        <w:snapToGrid w:val="0"/>
        <w:spacing w:line="360" w:lineRule="auto"/>
        <w:ind w:firstLine="560"/>
        <w:rPr>
          <w:rFonts w:ascii="宋体" w:hAnsi="宋体"/>
          <w:color w:val="auto"/>
          <w:szCs w:val="21"/>
          <w:highlight w:val="none"/>
        </w:rPr>
      </w:pPr>
    </w:p>
    <w:p w14:paraId="374A6441">
      <w:pPr>
        <w:spacing w:line="480" w:lineRule="auto"/>
        <w:rPr>
          <w:rFonts w:ascii="宋体" w:hAnsi="宋体"/>
          <w:color w:val="auto"/>
          <w:szCs w:val="21"/>
          <w:highlight w:val="none"/>
        </w:rPr>
      </w:pPr>
      <w:r>
        <w:rPr>
          <w:rFonts w:hint="eastAsia" w:ascii="宋体" w:hAnsi="宋体"/>
          <w:color w:val="auto"/>
          <w:szCs w:val="21"/>
          <w:highlight w:val="none"/>
        </w:rPr>
        <w:br w:type="page"/>
      </w:r>
      <w:r>
        <w:rPr>
          <w:rFonts w:hint="eastAsia" w:ascii="宋体" w:hAnsi="宋体"/>
          <w:color w:val="auto"/>
          <w:szCs w:val="21"/>
          <w:highlight w:val="none"/>
        </w:rPr>
        <w:t>保障农民工工资支付协议附件1：</w:t>
      </w:r>
    </w:p>
    <w:p w14:paraId="7477BBD3">
      <w:pPr>
        <w:widowControl/>
        <w:snapToGrid w:val="0"/>
        <w:spacing w:after="100" w:afterAutospacing="1" w:line="480" w:lineRule="auto"/>
        <w:jc w:val="center"/>
        <w:rPr>
          <w:rFonts w:ascii="宋体" w:hAnsi="宋体"/>
          <w:color w:val="auto"/>
          <w:szCs w:val="21"/>
          <w:highlight w:val="none"/>
        </w:rPr>
      </w:pPr>
      <w:r>
        <w:rPr>
          <w:rFonts w:hint="eastAsia" w:ascii="宋体" w:hAnsi="宋体"/>
          <w:color w:val="auto"/>
          <w:szCs w:val="21"/>
          <w:highlight w:val="none"/>
        </w:rPr>
        <w:t>关于农民工工资发放情况的说明表</w:t>
      </w:r>
    </w:p>
    <w:tbl>
      <w:tblPr>
        <w:tblStyle w:val="46"/>
        <w:tblW w:w="84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6"/>
        <w:gridCol w:w="6201"/>
      </w:tblGrid>
      <w:tr w14:paraId="63BD8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7" w:type="dxa"/>
            <w:gridSpan w:val="2"/>
          </w:tcPr>
          <w:p w14:paraId="1A3B0DAE">
            <w:pPr>
              <w:widowControl/>
              <w:snapToGrid w:val="0"/>
              <w:spacing w:after="100" w:afterAutospacing="1" w:line="400" w:lineRule="exact"/>
              <w:jc w:val="left"/>
              <w:rPr>
                <w:rFonts w:ascii="宋体" w:hAnsi="宋体"/>
                <w:color w:val="auto"/>
                <w:kern w:val="0"/>
                <w:szCs w:val="21"/>
                <w:highlight w:val="none"/>
              </w:rPr>
            </w:pPr>
            <w:r>
              <w:rPr>
                <w:rFonts w:hint="eastAsia" w:ascii="宋体" w:hAnsi="宋体"/>
                <w:color w:val="auto"/>
                <w:kern w:val="0"/>
                <w:szCs w:val="21"/>
                <w:highlight w:val="none"/>
              </w:rPr>
              <w:t>工程名称：</w:t>
            </w:r>
          </w:p>
        </w:tc>
      </w:tr>
      <w:tr w14:paraId="7DEC1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2236" w:type="dxa"/>
          </w:tcPr>
          <w:p w14:paraId="4DC5DF26">
            <w:pPr>
              <w:widowControl/>
              <w:snapToGrid w:val="0"/>
              <w:spacing w:after="100" w:afterAutospacing="1" w:line="400" w:lineRule="exact"/>
              <w:rPr>
                <w:rFonts w:ascii="宋体" w:hAnsi="宋体"/>
                <w:color w:val="auto"/>
                <w:kern w:val="0"/>
                <w:szCs w:val="21"/>
                <w:highlight w:val="none"/>
              </w:rPr>
            </w:pPr>
            <w:r>
              <w:rPr>
                <w:rFonts w:hint="eastAsia" w:ascii="宋体" w:hAnsi="宋体"/>
                <w:color w:val="auto"/>
                <w:kern w:val="0"/>
                <w:szCs w:val="21"/>
                <w:highlight w:val="none"/>
              </w:rPr>
              <w:t>施工单位：</w:t>
            </w:r>
          </w:p>
        </w:tc>
        <w:tc>
          <w:tcPr>
            <w:tcW w:w="6201" w:type="dxa"/>
          </w:tcPr>
          <w:p w14:paraId="53C6C600">
            <w:pPr>
              <w:widowControl/>
              <w:snapToGrid w:val="0"/>
              <w:spacing w:after="100" w:afterAutospacing="1" w:line="400" w:lineRule="exact"/>
              <w:rPr>
                <w:rFonts w:ascii="宋体" w:hAnsi="宋体"/>
                <w:color w:val="auto"/>
                <w:kern w:val="0"/>
                <w:szCs w:val="21"/>
                <w:highlight w:val="none"/>
              </w:rPr>
            </w:pPr>
          </w:p>
        </w:tc>
      </w:tr>
      <w:tr w14:paraId="08178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36" w:type="dxa"/>
          </w:tcPr>
          <w:p w14:paraId="2C215C75">
            <w:pPr>
              <w:widowControl/>
              <w:snapToGrid w:val="0"/>
              <w:spacing w:after="100" w:afterAutospacing="1" w:line="400" w:lineRule="exact"/>
              <w:rPr>
                <w:rFonts w:ascii="宋体" w:hAnsi="宋体"/>
                <w:color w:val="auto"/>
                <w:kern w:val="0"/>
                <w:szCs w:val="21"/>
                <w:highlight w:val="none"/>
              </w:rPr>
            </w:pPr>
            <w:r>
              <w:rPr>
                <w:rFonts w:hint="eastAsia" w:ascii="宋体" w:hAnsi="宋体"/>
                <w:color w:val="auto"/>
                <w:kern w:val="0"/>
                <w:szCs w:val="21"/>
                <w:highlight w:val="none"/>
              </w:rPr>
              <w:t>监理单位：</w:t>
            </w:r>
          </w:p>
        </w:tc>
        <w:tc>
          <w:tcPr>
            <w:tcW w:w="6201" w:type="dxa"/>
          </w:tcPr>
          <w:p w14:paraId="53FC4678">
            <w:pPr>
              <w:widowControl/>
              <w:snapToGrid w:val="0"/>
              <w:spacing w:after="100" w:afterAutospacing="1" w:line="400" w:lineRule="exact"/>
              <w:rPr>
                <w:rFonts w:ascii="宋体" w:hAnsi="宋体"/>
                <w:color w:val="auto"/>
                <w:kern w:val="0"/>
                <w:szCs w:val="21"/>
                <w:highlight w:val="none"/>
              </w:rPr>
            </w:pPr>
          </w:p>
        </w:tc>
      </w:tr>
      <w:tr w14:paraId="657C1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5" w:hRule="atLeast"/>
          <w:jc w:val="center"/>
        </w:trPr>
        <w:tc>
          <w:tcPr>
            <w:tcW w:w="8437" w:type="dxa"/>
            <w:gridSpan w:val="2"/>
          </w:tcPr>
          <w:p w14:paraId="225154CF">
            <w:pPr>
              <w:widowControl/>
              <w:snapToGrid w:val="0"/>
              <w:spacing w:after="100" w:afterAutospacing="1" w:line="400" w:lineRule="exact"/>
              <w:rPr>
                <w:rFonts w:ascii="宋体" w:hAnsi="宋体"/>
                <w:color w:val="auto"/>
                <w:kern w:val="0"/>
                <w:szCs w:val="21"/>
                <w:highlight w:val="none"/>
                <w:u w:val="single"/>
              </w:rPr>
            </w:pPr>
          </w:p>
          <w:p w14:paraId="4F0EE96C">
            <w:pPr>
              <w:widowControl/>
              <w:snapToGrid w:val="0"/>
              <w:spacing w:after="100" w:afterAutospacing="1" w:line="400" w:lineRule="exact"/>
              <w:rPr>
                <w:rFonts w:ascii="宋体" w:hAnsi="宋体"/>
                <w:color w:val="auto"/>
                <w:kern w:val="0"/>
                <w:szCs w:val="21"/>
                <w:highlight w:val="none"/>
              </w:rPr>
            </w:pPr>
            <w:r>
              <w:rPr>
                <w:rFonts w:hint="eastAsia" w:ascii="宋体" w:hAnsi="宋体"/>
                <w:color w:val="auto"/>
                <w:kern w:val="0"/>
                <w:szCs w:val="21"/>
                <w:highlight w:val="none"/>
              </w:rPr>
              <w:t>（项目业主单位名称）：</w:t>
            </w:r>
          </w:p>
          <w:p w14:paraId="53AEB014">
            <w:pPr>
              <w:widowControl/>
              <w:snapToGrid w:val="0"/>
              <w:spacing w:after="100" w:afterAutospacing="1" w:line="400" w:lineRule="exact"/>
              <w:rPr>
                <w:rFonts w:ascii="宋体" w:hAnsi="宋体"/>
                <w:color w:val="auto"/>
                <w:kern w:val="0"/>
                <w:szCs w:val="21"/>
                <w:highlight w:val="none"/>
              </w:rPr>
            </w:pPr>
            <w:r>
              <w:rPr>
                <w:rFonts w:hint="eastAsia" w:ascii="宋体" w:hAnsi="宋体"/>
                <w:color w:val="auto"/>
                <w:kern w:val="0"/>
                <w:szCs w:val="21"/>
                <w:highlight w:val="none"/>
              </w:rPr>
              <w:t xml:space="preserve">    我单位负责承建的（工程名称）无拖欠农民工资的情况，贵单位先期支付我单位的工程款已优先用于支付了农民工工资，农民工工资全部按时足额进行了发放，请贵单位予以审核。</w:t>
            </w:r>
          </w:p>
          <w:p w14:paraId="668FF5AB">
            <w:pPr>
              <w:pStyle w:val="2"/>
              <w:rPr>
                <w:color w:val="auto"/>
                <w:highlight w:val="none"/>
              </w:rPr>
            </w:pPr>
          </w:p>
          <w:p w14:paraId="6062BB4F">
            <w:pPr>
              <w:widowControl/>
              <w:snapToGrid w:val="0"/>
              <w:spacing w:after="100" w:afterAutospacing="1" w:line="400" w:lineRule="exact"/>
              <w:ind w:firstLine="1260" w:firstLineChars="600"/>
              <w:rPr>
                <w:rFonts w:ascii="宋体" w:hAnsi="宋体"/>
                <w:color w:val="auto"/>
                <w:kern w:val="0"/>
                <w:szCs w:val="21"/>
                <w:highlight w:val="none"/>
                <w:u w:val="single"/>
              </w:rPr>
            </w:pPr>
            <w:r>
              <w:rPr>
                <w:rFonts w:hint="eastAsia" w:ascii="宋体" w:hAnsi="宋体"/>
                <w:color w:val="auto"/>
                <w:kern w:val="0"/>
                <w:szCs w:val="21"/>
                <w:highlight w:val="none"/>
              </w:rPr>
              <w:t>施工单位项目负责人签名（加盖项目章）：</w:t>
            </w:r>
            <w:r>
              <w:rPr>
                <w:rFonts w:hint="eastAsia" w:ascii="宋体" w:hAnsi="宋体"/>
                <w:color w:val="auto"/>
                <w:kern w:val="0"/>
                <w:szCs w:val="21"/>
                <w:highlight w:val="none"/>
                <w:u w:val="single"/>
              </w:rPr>
              <w:t xml:space="preserve">        </w:t>
            </w:r>
          </w:p>
        </w:tc>
      </w:tr>
      <w:tr w14:paraId="6DBB8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2236" w:type="dxa"/>
            <w:vAlign w:val="center"/>
          </w:tcPr>
          <w:p w14:paraId="364913D9">
            <w:pPr>
              <w:widowControl/>
              <w:snapToGrid w:val="0"/>
              <w:spacing w:after="100" w:afterAutospacing="1" w:line="40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监理单位意见：</w:t>
            </w:r>
          </w:p>
        </w:tc>
        <w:tc>
          <w:tcPr>
            <w:tcW w:w="6201" w:type="dxa"/>
          </w:tcPr>
          <w:p w14:paraId="48E77DB8">
            <w:pPr>
              <w:widowControl/>
              <w:snapToGrid w:val="0"/>
              <w:spacing w:after="100" w:afterAutospacing="1" w:line="400" w:lineRule="exact"/>
              <w:rPr>
                <w:rFonts w:ascii="宋体" w:hAnsi="宋体"/>
                <w:color w:val="auto"/>
                <w:kern w:val="0"/>
                <w:szCs w:val="21"/>
                <w:highlight w:val="none"/>
                <w:u w:val="single"/>
              </w:rPr>
            </w:pPr>
          </w:p>
          <w:p w14:paraId="316C62C4">
            <w:pPr>
              <w:widowControl/>
              <w:snapToGrid w:val="0"/>
              <w:spacing w:after="100" w:afterAutospacing="1" w:line="400" w:lineRule="exact"/>
              <w:rPr>
                <w:rFonts w:ascii="宋体" w:hAnsi="宋体"/>
                <w:color w:val="auto"/>
                <w:kern w:val="0"/>
                <w:szCs w:val="21"/>
                <w:highlight w:val="none"/>
                <w:u w:val="single"/>
              </w:rPr>
            </w:pPr>
            <w:r>
              <w:rPr>
                <w:rFonts w:hint="eastAsia" w:ascii="宋体" w:hAnsi="宋体"/>
                <w:color w:val="auto"/>
                <w:kern w:val="0"/>
                <w:szCs w:val="21"/>
                <w:highlight w:val="none"/>
              </w:rPr>
              <w:t xml:space="preserve">             总监签名并加盖项目章：</w:t>
            </w:r>
            <w:r>
              <w:rPr>
                <w:rFonts w:hint="eastAsia" w:ascii="宋体" w:hAnsi="宋体"/>
                <w:color w:val="auto"/>
                <w:kern w:val="0"/>
                <w:szCs w:val="21"/>
                <w:highlight w:val="none"/>
                <w:u w:val="single"/>
              </w:rPr>
              <w:t xml:space="preserve">        </w:t>
            </w:r>
          </w:p>
        </w:tc>
      </w:tr>
      <w:tr w14:paraId="18649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0" w:hRule="atLeast"/>
          <w:jc w:val="center"/>
        </w:trPr>
        <w:tc>
          <w:tcPr>
            <w:tcW w:w="2236" w:type="dxa"/>
            <w:vAlign w:val="center"/>
          </w:tcPr>
          <w:p w14:paraId="2354DC0C">
            <w:pPr>
              <w:widowControl/>
              <w:snapToGrid w:val="0"/>
              <w:spacing w:after="100" w:afterAutospacing="1" w:line="400" w:lineRule="exact"/>
              <w:jc w:val="center"/>
              <w:rPr>
                <w:rFonts w:ascii="宋体" w:hAnsi="宋体"/>
                <w:color w:val="auto"/>
                <w:kern w:val="0"/>
                <w:szCs w:val="21"/>
                <w:highlight w:val="none"/>
              </w:rPr>
            </w:pPr>
            <w:r>
              <w:rPr>
                <w:rFonts w:hint="eastAsia" w:ascii="宋体" w:hAnsi="宋体"/>
                <w:color w:val="auto"/>
                <w:kern w:val="0"/>
                <w:szCs w:val="21"/>
                <w:highlight w:val="none"/>
              </w:rPr>
              <w:t>工程部项目负责人意见：</w:t>
            </w:r>
          </w:p>
        </w:tc>
        <w:tc>
          <w:tcPr>
            <w:tcW w:w="6201" w:type="dxa"/>
          </w:tcPr>
          <w:p w14:paraId="74FDCD49">
            <w:pPr>
              <w:widowControl/>
              <w:snapToGrid w:val="0"/>
              <w:spacing w:after="100" w:afterAutospacing="1" w:line="400" w:lineRule="exact"/>
              <w:rPr>
                <w:rFonts w:ascii="宋体" w:hAnsi="宋体"/>
                <w:color w:val="auto"/>
                <w:kern w:val="0"/>
                <w:szCs w:val="21"/>
                <w:highlight w:val="none"/>
                <w:u w:val="single"/>
              </w:rPr>
            </w:pPr>
          </w:p>
          <w:p w14:paraId="728E5325">
            <w:pPr>
              <w:widowControl/>
              <w:snapToGrid w:val="0"/>
              <w:spacing w:after="100" w:afterAutospacing="1" w:line="400" w:lineRule="exact"/>
              <w:rPr>
                <w:rFonts w:ascii="宋体" w:hAnsi="宋体"/>
                <w:color w:val="auto"/>
                <w:kern w:val="0"/>
                <w:szCs w:val="21"/>
                <w:highlight w:val="none"/>
                <w:u w:val="single"/>
              </w:rPr>
            </w:pPr>
            <w:r>
              <w:rPr>
                <w:rFonts w:hint="eastAsia" w:ascii="宋体" w:hAnsi="宋体"/>
                <w:color w:val="auto"/>
                <w:kern w:val="0"/>
                <w:szCs w:val="21"/>
                <w:highlight w:val="none"/>
              </w:rPr>
              <w:t xml:space="preserve">                   项目负责人签名：</w:t>
            </w:r>
            <w:r>
              <w:rPr>
                <w:rFonts w:hint="eastAsia" w:ascii="宋体" w:hAnsi="宋体"/>
                <w:color w:val="auto"/>
                <w:kern w:val="0"/>
                <w:szCs w:val="21"/>
                <w:highlight w:val="none"/>
                <w:u w:val="single"/>
              </w:rPr>
              <w:t xml:space="preserve">        </w:t>
            </w:r>
          </w:p>
        </w:tc>
      </w:tr>
    </w:tbl>
    <w:p w14:paraId="14CB68E4">
      <w:pPr>
        <w:rPr>
          <w:rFonts w:ascii="宋体" w:hAnsi="宋体"/>
          <w:color w:val="auto"/>
          <w:sz w:val="24"/>
          <w:highlight w:val="none"/>
        </w:rPr>
      </w:pPr>
      <w:r>
        <w:rPr>
          <w:rFonts w:ascii="宋体" w:hAnsi="宋体"/>
          <w:color w:val="auto"/>
          <w:sz w:val="24"/>
          <w:highlight w:val="none"/>
        </w:rPr>
        <w:br w:type="page"/>
      </w:r>
    </w:p>
    <w:p w14:paraId="21DA511A">
      <w:pPr>
        <w:rPr>
          <w:rFonts w:ascii="宋体" w:hAnsi="宋体"/>
          <w:color w:val="auto"/>
          <w:sz w:val="24"/>
          <w:highlight w:val="none"/>
        </w:rPr>
      </w:pPr>
    </w:p>
    <w:p w14:paraId="4C382CE4">
      <w:pPr>
        <w:rPr>
          <w:rFonts w:ascii="宋体" w:hAnsi="宋体"/>
          <w:color w:val="auto"/>
          <w:szCs w:val="21"/>
          <w:highlight w:val="none"/>
        </w:rPr>
      </w:pPr>
      <w:r>
        <w:rPr>
          <w:rFonts w:hint="eastAsia" w:ascii="宋体" w:hAnsi="宋体"/>
          <w:color w:val="auto"/>
          <w:szCs w:val="21"/>
          <w:highlight w:val="none"/>
        </w:rPr>
        <w:t>附件11：低价风险担保保函示范文本（独立保函）（如有）</w:t>
      </w:r>
    </w:p>
    <w:p w14:paraId="062C752A">
      <w:pPr>
        <w:spacing w:line="360" w:lineRule="auto"/>
        <w:jc w:val="center"/>
        <w:rPr>
          <w:rFonts w:ascii="宋体" w:hAnsi="宋体" w:cs="宋体"/>
          <w:b/>
          <w:bCs/>
          <w:color w:val="auto"/>
          <w:szCs w:val="21"/>
          <w:highlight w:val="none"/>
        </w:rPr>
      </w:pPr>
    </w:p>
    <w:p w14:paraId="06C37C0D">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低价风险担保保函示范文本</w:t>
      </w:r>
    </w:p>
    <w:p w14:paraId="22635BAB">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（独立保函）</w:t>
      </w:r>
    </w:p>
    <w:p w14:paraId="2789AFDB">
      <w:pPr>
        <w:wordWrap w:val="0"/>
        <w:spacing w:line="360" w:lineRule="exact"/>
        <w:jc w:val="right"/>
        <w:rPr>
          <w:rFonts w:ascii="宋体" w:hAnsi="宋体" w:cs="宋体"/>
          <w:color w:val="auto"/>
          <w:szCs w:val="21"/>
          <w:highlight w:val="none"/>
        </w:rPr>
      </w:pPr>
      <w:r>
        <w:rPr>
          <w:rFonts w:hint="eastAsia" w:ascii="宋体" w:hAnsi="宋体" w:cs="宋体"/>
          <w:color w:val="auto"/>
          <w:szCs w:val="21"/>
          <w:highlight w:val="none"/>
        </w:rPr>
        <w:t xml:space="preserve">编号：           </w:t>
      </w:r>
    </w:p>
    <w:p w14:paraId="037FC526">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被保证人：</w:t>
      </w:r>
      <w:r>
        <w:rPr>
          <w:rFonts w:hint="eastAsia" w:asciiTheme="minorEastAsia" w:hAnsiTheme="minorEastAsia" w:eastAsiaTheme="minorEastAsia" w:cstheme="minorEastAsia"/>
          <w:color w:val="auto"/>
          <w:szCs w:val="21"/>
          <w:highlight w:val="none"/>
          <w:u w:val="single"/>
        </w:rPr>
        <w:t xml:space="preserve">                    </w:t>
      </w:r>
    </w:p>
    <w:p w14:paraId="0C4D8550">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地址：                       </w:t>
      </w:r>
    </w:p>
    <w:p w14:paraId="1923E1F3">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受益人：                     </w:t>
      </w:r>
    </w:p>
    <w:p w14:paraId="4340161D">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地址：</w:t>
      </w:r>
      <w:r>
        <w:rPr>
          <w:rFonts w:hint="eastAsia" w:asciiTheme="minorEastAsia" w:hAnsiTheme="minorEastAsia" w:eastAsiaTheme="minorEastAsia" w:cstheme="minorEastAsia"/>
          <w:color w:val="auto"/>
          <w:szCs w:val="21"/>
          <w:highlight w:val="none"/>
          <w:u w:val="single"/>
        </w:rPr>
        <w:t xml:space="preserve">                        </w:t>
      </w:r>
    </w:p>
    <w:p w14:paraId="1D9BF4C4">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开立人：</w:t>
      </w:r>
      <w:r>
        <w:rPr>
          <w:rFonts w:hint="eastAsia" w:asciiTheme="minorEastAsia" w:hAnsiTheme="minorEastAsia" w:eastAsiaTheme="minorEastAsia" w:cstheme="minorEastAsia"/>
          <w:color w:val="auto"/>
          <w:szCs w:val="21"/>
          <w:highlight w:val="none"/>
          <w:u w:val="single"/>
        </w:rPr>
        <w:t xml:space="preserve">                        </w:t>
      </w:r>
    </w:p>
    <w:p w14:paraId="72A75FED">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地址：</w:t>
      </w:r>
      <w:r>
        <w:rPr>
          <w:rFonts w:hint="eastAsia" w:asciiTheme="minorEastAsia" w:hAnsiTheme="minorEastAsia" w:eastAsiaTheme="minorEastAsia" w:cstheme="minorEastAsia"/>
          <w:color w:val="auto"/>
          <w:szCs w:val="21"/>
          <w:highlight w:val="none"/>
          <w:u w:val="single"/>
        </w:rPr>
        <w:t xml:space="preserve">                        </w:t>
      </w:r>
    </w:p>
    <w:p w14:paraId="37A1C54E">
      <w:pPr>
        <w:spacing w:line="360" w:lineRule="exact"/>
        <w:rPr>
          <w:rFonts w:asciiTheme="minorEastAsia" w:hAnsiTheme="minorEastAsia" w:eastAsiaTheme="minorEastAsia" w:cstheme="minorEastAsia"/>
          <w:color w:val="auto"/>
          <w:szCs w:val="21"/>
          <w:highlight w:val="none"/>
          <w:u w:val="single"/>
        </w:rPr>
      </w:pPr>
    </w:p>
    <w:p w14:paraId="5465C147">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（受益人名称）： </w:t>
      </w:r>
    </w:p>
    <w:p w14:paraId="1F06D154">
      <w:pPr>
        <w:pStyle w:val="2"/>
        <w:spacing w:line="36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鉴于</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（以下简称“被保证人”）于</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日参加</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（以下简称“受益人”）的</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（项目名称）的投标，收到受益人于</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签发的中标通知书，成为该项目的中标人。基于被保证人的请求，我方同意就被保证人履行该项目中标通知书、招标文件和投标文件约定的义务，向贵方提供不可撤销、不可转让的见索即付独立保函（以下简称“本保函”）。</w:t>
      </w:r>
    </w:p>
    <w:p w14:paraId="3DA5DD32">
      <w:pPr>
        <w:pStyle w:val="2"/>
        <w:spacing w:line="36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一、本保函担保范围：被保证人未按照中标通知书、招标文件和投标文件约定签订合同或未按签订的合同约定履行相关义务，应当向贵方承担的违约责任和赔偿因此造成的损失、利息、律师费、诉讼费用等实现债权的费用。</w:t>
      </w:r>
    </w:p>
    <w:p w14:paraId="31EDEB37">
      <w:pPr>
        <w:pStyle w:val="2"/>
        <w:spacing w:line="36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二、本保函担保金额最高不超过人民币（大写）</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w:t>
      </w:r>
    </w:p>
    <w:p w14:paraId="39FCC19C">
      <w:pPr>
        <w:pStyle w:val="2"/>
        <w:spacing w:line="360" w:lineRule="exact"/>
        <w:ind w:firstLine="420" w:firstLineChars="200"/>
        <w:rPr>
          <w:rFonts w:asciiTheme="minorEastAsia" w:hAnsi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三、本保函有效期自低价风险担保生效之日起至</w:t>
      </w:r>
      <w:r>
        <w:rPr>
          <w:rFonts w:hint="eastAsia" w:asciiTheme="minorEastAsia" w:hAnsiTheme="minorEastAsia" w:eastAsiaTheme="minorEastAsia" w:cstheme="minorEastAsia"/>
          <w:color w:val="auto"/>
          <w:szCs w:val="21"/>
          <w:highlight w:val="none"/>
          <w:u w:val="single"/>
        </w:rPr>
        <w:t>竣工验收合格之</w:t>
      </w:r>
      <w:r>
        <w:rPr>
          <w:rFonts w:hint="eastAsia" w:asciiTheme="minorEastAsia" w:hAnsiTheme="minorEastAsia" w:eastAsiaTheme="minorEastAsia" w:cstheme="minorEastAsia"/>
          <w:color w:val="auto"/>
          <w:szCs w:val="21"/>
          <w:highlight w:val="none"/>
        </w:rPr>
        <w:t>日止，最迟不超过</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w:t>
      </w:r>
      <w:r>
        <w:rPr>
          <w:rFonts w:hint="eastAsia" w:cs="宋体"/>
          <w:color w:val="auto"/>
          <w:szCs w:val="21"/>
          <w:highlight w:val="none"/>
        </w:rPr>
        <w:t>如保函到期项目仍未完工，经我行书面同意，可根据项目进度延续保函期限。</w:t>
      </w:r>
    </w:p>
    <w:p w14:paraId="68E0A5B7">
      <w:pPr>
        <w:pStyle w:val="2"/>
        <w:spacing w:line="36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四、我方承诺，在收到受益人发来的书面付款通知后的</w:t>
      </w:r>
      <w:r>
        <w:rPr>
          <w:rFonts w:hint="eastAsia" w:asciiTheme="minorEastAsia" w:hAnsiTheme="minorEastAsia" w:eastAsiaTheme="minorEastAsia" w:cstheme="minorEastAsia"/>
          <w:color w:val="auto"/>
          <w:szCs w:val="21"/>
          <w:highlight w:val="none"/>
          <w:u w:val="single"/>
        </w:rPr>
        <w:t>7个</w:t>
      </w:r>
      <w:r>
        <w:rPr>
          <w:rFonts w:hint="eastAsia" w:asciiTheme="minorEastAsia" w:hAnsiTheme="minorEastAsia" w:eastAsiaTheme="minorEastAsia" w:cstheme="minorEastAsia"/>
          <w:color w:val="auto"/>
          <w:szCs w:val="21"/>
          <w:highlight w:val="none"/>
        </w:rPr>
        <w:t>工作日内无条件支付，前述书面付款通知即为付款要求之单据，且应满足以下要求：</w:t>
      </w:r>
    </w:p>
    <w:p w14:paraId="11FA84A5">
      <w:pPr>
        <w:pStyle w:val="2"/>
        <w:spacing w:line="36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（1）付款通知到达的日期在本保函的有效期内；</w:t>
      </w:r>
    </w:p>
    <w:p w14:paraId="2170C702">
      <w:pPr>
        <w:pStyle w:val="2"/>
        <w:spacing w:line="36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（2）载明要求支付的金额；</w:t>
      </w:r>
    </w:p>
    <w:p w14:paraId="40599B9B">
      <w:pPr>
        <w:pStyle w:val="2"/>
        <w:spacing w:line="36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（3）载明被保证人未按照中标通知书、招标文件和投标文件约定签订合同或违反合同义务的条款和内容；</w:t>
      </w:r>
    </w:p>
    <w:p w14:paraId="4D8C9967">
      <w:pPr>
        <w:pStyle w:val="2"/>
        <w:spacing w:line="36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（4）付款通知中应声明不存在招标文件约定、合同文件约定或我国法律规定免除被保证人或开立人支付责任的情形；</w:t>
      </w:r>
    </w:p>
    <w:p w14:paraId="3938A544">
      <w:pPr>
        <w:pStyle w:val="2"/>
        <w:spacing w:line="36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（5）付款通知应在本保函有效期内到达的地址是：</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w:t>
      </w:r>
    </w:p>
    <w:p w14:paraId="749F654A">
      <w:pPr>
        <w:pStyle w:val="2"/>
        <w:spacing w:line="36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受益人发出的书面付款通知应由其为鉴明受益人法定代表人（负责人）或授权代理人签名加盖公章。</w:t>
      </w:r>
    </w:p>
    <w:p w14:paraId="604999AC">
      <w:pPr>
        <w:pStyle w:val="2"/>
        <w:spacing w:line="36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五、本保函项下的权利不得转让，不得设定担保。贵方未经我方书面同意转让本保函或其项下任何权利，对我方不发生法律效力。</w:t>
      </w:r>
    </w:p>
    <w:p w14:paraId="5376D3BD">
      <w:pPr>
        <w:pStyle w:val="2"/>
        <w:spacing w:line="36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六、与本保函有关的合同不成立、不生效、无效、被撤销、被解除，不影响本保函的独立有效。</w:t>
      </w:r>
    </w:p>
    <w:p w14:paraId="5BB4DFB0">
      <w:pPr>
        <w:pStyle w:val="2"/>
        <w:spacing w:line="36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七、贵方应在本保函到期后的七个工作日内将本保函正本退回我方注销，但是不论贵方是否按此要求将本保函正本退回我方，我方在本保函项下的义务和责任均在保函有效期到期后自动消灭。</w:t>
      </w:r>
    </w:p>
    <w:p w14:paraId="5554B22C">
      <w:pPr>
        <w:pStyle w:val="2"/>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八、本保函适用的法律为中华人民共和国法律，争议裁判管辖地为中华人民共和国</w:t>
      </w:r>
      <w:r>
        <w:rPr>
          <w:rFonts w:hint="eastAsia" w:asciiTheme="minorEastAsia" w:hAnsiTheme="minorEastAsia" w:eastAsiaTheme="minorEastAsia" w:cstheme="minorEastAsia"/>
          <w:color w:val="auto"/>
          <w:szCs w:val="21"/>
          <w:highlight w:val="none"/>
          <w:u w:val="single"/>
        </w:rPr>
        <w:t xml:space="preserve"> 重庆市 </w:t>
      </w:r>
      <w:r>
        <w:rPr>
          <w:rFonts w:hint="eastAsia" w:asciiTheme="minorEastAsia" w:hAnsiTheme="minorEastAsia" w:eastAsiaTheme="minorEastAsia" w:cstheme="minorEastAsia"/>
          <w:color w:val="auto"/>
          <w:szCs w:val="21"/>
          <w:highlight w:val="none"/>
        </w:rPr>
        <w:t>。</w:t>
      </w:r>
    </w:p>
    <w:p w14:paraId="273FBCED">
      <w:pPr>
        <w:pStyle w:val="2"/>
        <w:spacing w:line="360" w:lineRule="exact"/>
        <w:rPr>
          <w:rFonts w:ascii="黑体" w:hAnsi="黑体" w:eastAsia="黑体" w:cs="宋体"/>
          <w:b/>
          <w:color w:val="auto"/>
          <w:kern w:val="0"/>
          <w:sz w:val="24"/>
          <w:highlight w:val="none"/>
        </w:rPr>
      </w:pPr>
      <w:r>
        <w:rPr>
          <w:rFonts w:hint="eastAsia" w:asciiTheme="minorEastAsia" w:hAnsiTheme="minorEastAsia" w:eastAsiaTheme="minorEastAsia" w:cstheme="minorEastAsia"/>
          <w:color w:val="auto"/>
          <w:szCs w:val="21"/>
          <w:highlight w:val="none"/>
        </w:rPr>
        <w:t>九、本保函自我方法定代表人或授权代表签名并加盖公章之日起生效。</w:t>
      </w:r>
    </w:p>
    <w:p w14:paraId="601C6482">
      <w:pPr>
        <w:spacing w:line="360" w:lineRule="exact"/>
        <w:rPr>
          <w:rFonts w:ascii="黑体" w:hAnsi="黑体" w:eastAsia="黑体" w:cs="宋体"/>
          <w:b/>
          <w:color w:val="auto"/>
          <w:kern w:val="0"/>
          <w:sz w:val="24"/>
          <w:highlight w:val="none"/>
        </w:rPr>
      </w:pPr>
    </w:p>
    <w:p w14:paraId="083E3CD9">
      <w:pPr>
        <w:spacing w:line="360" w:lineRule="exact"/>
        <w:rPr>
          <w:rFonts w:ascii="黑体" w:hAnsi="黑体" w:eastAsia="黑体" w:cs="宋体"/>
          <w:b/>
          <w:color w:val="auto"/>
          <w:kern w:val="0"/>
          <w:sz w:val="24"/>
          <w:highlight w:val="none"/>
        </w:rPr>
      </w:pPr>
    </w:p>
    <w:p w14:paraId="2DD973E7">
      <w:pPr>
        <w:spacing w:line="360" w:lineRule="exact"/>
        <w:rPr>
          <w:rFonts w:ascii="黑体" w:hAnsi="黑体" w:eastAsia="黑体" w:cs="宋体"/>
          <w:b/>
          <w:color w:val="auto"/>
          <w:kern w:val="0"/>
          <w:sz w:val="24"/>
          <w:highlight w:val="none"/>
        </w:rPr>
      </w:pPr>
      <w:r>
        <w:rPr>
          <w:rFonts w:hint="eastAsia" w:ascii="黑体" w:hAnsi="黑体" w:eastAsia="黑体" w:cs="宋体"/>
          <w:b/>
          <w:color w:val="auto"/>
          <w:kern w:val="0"/>
          <w:sz w:val="24"/>
          <w:highlight w:val="none"/>
        </w:rPr>
        <w:t>公章：（盖章处）                               负责人：（盖章处）</w:t>
      </w:r>
    </w:p>
    <w:p w14:paraId="003C8F9A">
      <w:pPr>
        <w:pStyle w:val="2"/>
        <w:spacing w:line="360" w:lineRule="exact"/>
        <w:rPr>
          <w:color w:val="auto"/>
          <w:highlight w:val="none"/>
        </w:rPr>
      </w:pPr>
      <w:r>
        <w:rPr>
          <w:rFonts w:hint="eastAsia" w:ascii="黑体" w:hAnsi="黑体" w:eastAsia="黑体" w:cs="宋体"/>
          <w:bCs/>
          <w:color w:val="auto"/>
          <w:kern w:val="0"/>
          <w:sz w:val="24"/>
          <w:highlight w:val="none"/>
        </w:rPr>
        <w:t xml:space="preserve"> </w:t>
      </w:r>
      <w:r>
        <w:rPr>
          <w:rFonts w:hint="eastAsia"/>
          <w:color w:val="auto"/>
          <w:highlight w:val="none"/>
        </w:rPr>
        <w:t xml:space="preserve"> </w:t>
      </w:r>
      <w:r>
        <w:rPr>
          <w:color w:val="auto"/>
          <w:highlight w:val="none"/>
        </w:rPr>
        <w:t xml:space="preserve"> </w:t>
      </w:r>
    </w:p>
    <w:p w14:paraId="4830DE4C">
      <w:pPr>
        <w:pStyle w:val="2"/>
        <w:spacing w:line="360" w:lineRule="exact"/>
        <w:rPr>
          <w:color w:val="auto"/>
          <w:highlight w:val="none"/>
        </w:rPr>
      </w:pPr>
    </w:p>
    <w:p w14:paraId="1AA96431">
      <w:pPr>
        <w:pStyle w:val="2"/>
        <w:spacing w:before="5" w:line="360" w:lineRule="exact"/>
        <w:rPr>
          <w:color w:val="auto"/>
          <w:sz w:val="25"/>
          <w:highlight w:val="none"/>
        </w:rPr>
      </w:pPr>
    </w:p>
    <w:p w14:paraId="219C2952">
      <w:pPr>
        <w:pStyle w:val="2"/>
        <w:tabs>
          <w:tab w:val="left" w:pos="959"/>
        </w:tabs>
        <w:spacing w:before="1" w:line="360" w:lineRule="exact"/>
        <w:ind w:left="240"/>
        <w:rPr>
          <w:rFonts w:cs="Arial" w:asciiTheme="majorEastAsia" w:hAnsiTheme="majorEastAsia" w:eastAsiaTheme="majorEastAsia"/>
          <w:color w:val="auto"/>
          <w:highlight w:val="none"/>
        </w:rPr>
      </w:pPr>
      <w:r>
        <w:rPr>
          <w:rFonts w:hint="eastAsia" w:cs="Arial" w:asciiTheme="majorEastAsia" w:hAnsiTheme="majorEastAsia" w:eastAsiaTheme="majorEastAsia"/>
          <w:color w:val="auto"/>
          <w:highlight w:val="none"/>
        </w:rPr>
        <w:t>地    址：</w:t>
      </w:r>
      <w:r>
        <w:rPr>
          <w:rFonts w:hint="eastAsia" w:cs="Arial" w:asciiTheme="majorEastAsia" w:hAnsiTheme="majorEastAsia" w:eastAsiaTheme="majorEastAsia"/>
          <w:color w:val="auto"/>
          <w:highlight w:val="none"/>
          <w:u w:val="single"/>
        </w:rPr>
        <w:t xml:space="preserve">               </w:t>
      </w:r>
    </w:p>
    <w:p w14:paraId="65EFB243">
      <w:pPr>
        <w:pStyle w:val="2"/>
        <w:tabs>
          <w:tab w:val="left" w:pos="959"/>
        </w:tabs>
        <w:spacing w:before="1" w:line="360" w:lineRule="exact"/>
        <w:ind w:left="240"/>
        <w:rPr>
          <w:rFonts w:cs="Arial" w:asciiTheme="majorEastAsia" w:hAnsiTheme="majorEastAsia" w:eastAsiaTheme="majorEastAsia"/>
          <w:color w:val="auto"/>
          <w:highlight w:val="none"/>
        </w:rPr>
      </w:pPr>
      <w:r>
        <w:rPr>
          <w:rFonts w:hint="eastAsia" w:cs="Arial" w:asciiTheme="majorEastAsia" w:hAnsiTheme="majorEastAsia" w:eastAsiaTheme="majorEastAsia"/>
          <w:color w:val="auto"/>
          <w:highlight w:val="none"/>
        </w:rPr>
        <w:t>邮政编码：</w:t>
      </w:r>
      <w:r>
        <w:rPr>
          <w:rFonts w:hint="eastAsia" w:cs="Arial" w:asciiTheme="majorEastAsia" w:hAnsiTheme="majorEastAsia" w:eastAsiaTheme="majorEastAsia"/>
          <w:color w:val="auto"/>
          <w:highlight w:val="none"/>
          <w:u w:val="single"/>
        </w:rPr>
        <w:t xml:space="preserve">                 </w:t>
      </w:r>
    </w:p>
    <w:p w14:paraId="4CA956A5">
      <w:pPr>
        <w:pStyle w:val="2"/>
        <w:tabs>
          <w:tab w:val="left" w:pos="959"/>
        </w:tabs>
        <w:spacing w:before="1" w:line="360" w:lineRule="exact"/>
        <w:ind w:left="240"/>
        <w:rPr>
          <w:rFonts w:cs="Arial" w:asciiTheme="majorEastAsia" w:hAnsiTheme="majorEastAsia" w:eastAsiaTheme="majorEastAsia"/>
          <w:color w:val="auto"/>
          <w:highlight w:val="none"/>
          <w:u w:val="single"/>
        </w:rPr>
      </w:pPr>
      <w:r>
        <w:rPr>
          <w:rFonts w:hint="eastAsia" w:cs="Arial" w:asciiTheme="majorEastAsia" w:hAnsiTheme="majorEastAsia" w:eastAsiaTheme="majorEastAsia"/>
          <w:color w:val="auto"/>
          <w:highlight w:val="none"/>
        </w:rPr>
        <w:t>电    话：</w:t>
      </w:r>
      <w:r>
        <w:rPr>
          <w:rFonts w:hint="eastAsia" w:cs="Arial" w:asciiTheme="majorEastAsia" w:hAnsiTheme="majorEastAsia" w:eastAsiaTheme="majorEastAsia"/>
          <w:color w:val="auto"/>
          <w:highlight w:val="none"/>
          <w:u w:val="single"/>
        </w:rPr>
        <w:t xml:space="preserve">               </w:t>
      </w:r>
    </w:p>
    <w:p w14:paraId="12D4B2A8">
      <w:pPr>
        <w:pStyle w:val="2"/>
        <w:tabs>
          <w:tab w:val="left" w:pos="959"/>
        </w:tabs>
        <w:spacing w:before="1" w:line="360" w:lineRule="exact"/>
        <w:ind w:left="240"/>
        <w:rPr>
          <w:rFonts w:cs="Arial" w:asciiTheme="majorEastAsia" w:hAnsiTheme="majorEastAsia" w:eastAsiaTheme="majorEastAsia"/>
          <w:color w:val="auto"/>
          <w:highlight w:val="none"/>
        </w:rPr>
      </w:pPr>
      <w:r>
        <w:rPr>
          <w:rFonts w:hint="eastAsia" w:cs="Arial" w:asciiTheme="majorEastAsia" w:hAnsiTheme="majorEastAsia" w:eastAsiaTheme="majorEastAsia"/>
          <w:color w:val="auto"/>
          <w:highlight w:val="none"/>
        </w:rPr>
        <w:t>传    真：</w:t>
      </w:r>
      <w:r>
        <w:rPr>
          <w:rFonts w:hint="eastAsia" w:cs="Arial" w:asciiTheme="majorEastAsia" w:hAnsiTheme="majorEastAsia" w:eastAsiaTheme="majorEastAsia"/>
          <w:color w:val="auto"/>
          <w:highlight w:val="none"/>
          <w:u w:val="single"/>
        </w:rPr>
        <w:t xml:space="preserve">  </w:t>
      </w:r>
      <w:r>
        <w:rPr>
          <w:rFonts w:cs="Arial" w:asciiTheme="majorEastAsia" w:hAnsiTheme="majorEastAsia" w:eastAsiaTheme="majorEastAsia"/>
          <w:color w:val="auto"/>
          <w:highlight w:val="none"/>
          <w:u w:val="single"/>
        </w:rPr>
        <w:t>/</w:t>
      </w:r>
      <w:r>
        <w:rPr>
          <w:rFonts w:hint="eastAsia" w:cs="Arial" w:asciiTheme="majorEastAsia" w:hAnsiTheme="majorEastAsia" w:eastAsiaTheme="majorEastAsia"/>
          <w:color w:val="auto"/>
          <w:highlight w:val="none"/>
          <w:u w:val="single"/>
        </w:rPr>
        <w:t xml:space="preserve">  </w:t>
      </w:r>
    </w:p>
    <w:p w14:paraId="342C944F">
      <w:pPr>
        <w:pStyle w:val="2"/>
        <w:rPr>
          <w:rFonts w:ascii="宋体" w:hAnsi="宋体"/>
          <w:color w:val="auto"/>
          <w:sz w:val="24"/>
          <w:highlight w:val="none"/>
        </w:rPr>
      </w:pPr>
    </w:p>
    <w:p w14:paraId="4FACA74E">
      <w:pPr>
        <w:pStyle w:val="2"/>
        <w:rPr>
          <w:rFonts w:ascii="宋体" w:hAnsi="宋体"/>
          <w:color w:val="auto"/>
          <w:sz w:val="24"/>
          <w:highlight w:val="none"/>
        </w:rPr>
      </w:pPr>
    </w:p>
    <w:p w14:paraId="79A929A0">
      <w:pPr>
        <w:pStyle w:val="2"/>
        <w:rPr>
          <w:rFonts w:ascii="宋体" w:hAnsi="宋体"/>
          <w:color w:val="auto"/>
          <w:sz w:val="24"/>
          <w:highlight w:val="none"/>
        </w:rPr>
      </w:pPr>
    </w:p>
    <w:p w14:paraId="5EFAA371">
      <w:pPr>
        <w:pStyle w:val="2"/>
        <w:rPr>
          <w:rFonts w:ascii="宋体" w:hAnsi="宋体"/>
          <w:color w:val="auto"/>
          <w:sz w:val="24"/>
          <w:highlight w:val="none"/>
        </w:rPr>
      </w:pPr>
    </w:p>
    <w:p w14:paraId="0E4BE70B">
      <w:pPr>
        <w:pStyle w:val="2"/>
        <w:rPr>
          <w:rFonts w:ascii="宋体" w:hAnsi="宋体"/>
          <w:color w:val="auto"/>
          <w:sz w:val="24"/>
          <w:highlight w:val="none"/>
        </w:rPr>
      </w:pPr>
    </w:p>
    <w:p w14:paraId="2E4CDB60">
      <w:pPr>
        <w:pStyle w:val="2"/>
        <w:rPr>
          <w:rFonts w:ascii="宋体" w:hAnsi="宋体"/>
          <w:color w:val="auto"/>
          <w:sz w:val="24"/>
          <w:highlight w:val="none"/>
        </w:rPr>
      </w:pPr>
    </w:p>
    <w:p w14:paraId="34E343BB">
      <w:pPr>
        <w:pStyle w:val="2"/>
        <w:rPr>
          <w:rFonts w:ascii="宋体" w:hAnsi="宋体"/>
          <w:color w:val="auto"/>
          <w:sz w:val="24"/>
          <w:highlight w:val="none"/>
        </w:rPr>
      </w:pPr>
    </w:p>
    <w:p w14:paraId="56085394">
      <w:pPr>
        <w:spacing w:line="360" w:lineRule="auto"/>
        <w:jc w:val="left"/>
        <w:rPr>
          <w:rFonts w:ascii="宋体" w:hAnsi="宋体"/>
          <w:color w:val="auto"/>
          <w:sz w:val="24"/>
          <w:highlight w:val="none"/>
        </w:rPr>
      </w:pPr>
    </w:p>
    <w:p w14:paraId="2557AB10">
      <w:pPr>
        <w:spacing w:line="360" w:lineRule="auto"/>
        <w:rPr>
          <w:rFonts w:ascii="宋体" w:hAnsi="宋体"/>
          <w:color w:val="auto"/>
          <w:szCs w:val="20"/>
          <w:highlight w:val="none"/>
        </w:rPr>
      </w:pPr>
    </w:p>
    <w:p w14:paraId="2B78D23D">
      <w:pPr>
        <w:spacing w:line="240" w:lineRule="exact"/>
        <w:rPr>
          <w:rFonts w:ascii="宋体" w:hAnsi="宋体"/>
          <w:color w:val="auto"/>
          <w:szCs w:val="20"/>
          <w:highlight w:val="none"/>
        </w:rPr>
      </w:pPr>
      <w:r>
        <w:rPr>
          <w:rFonts w:ascii="宋体" w:hAnsi="宋体"/>
          <w:color w:val="auto"/>
          <w:szCs w:val="20"/>
          <w:highlight w:val="none"/>
        </w:rPr>
        <w:br w:type="page"/>
      </w:r>
    </w:p>
    <w:p w14:paraId="47352FE6">
      <w:pPr>
        <w:spacing w:line="360" w:lineRule="auto"/>
        <w:rPr>
          <w:rFonts w:ascii="宋体" w:hAnsi="宋体"/>
          <w:color w:val="auto"/>
          <w:szCs w:val="21"/>
          <w:highlight w:val="none"/>
        </w:rPr>
      </w:pPr>
      <w:r>
        <w:rPr>
          <w:rFonts w:hint="eastAsia" w:ascii="宋体" w:hAnsi="宋体"/>
          <w:color w:val="auto"/>
          <w:szCs w:val="20"/>
          <w:highlight w:val="none"/>
        </w:rPr>
        <w:t>附件12</w:t>
      </w:r>
      <w:r>
        <w:rPr>
          <w:rFonts w:hint="eastAsia" w:ascii="宋体" w:hAnsi="宋体"/>
          <w:color w:val="auto"/>
          <w:szCs w:val="21"/>
          <w:highlight w:val="none"/>
        </w:rPr>
        <w:t>：质量保证金保函（如有）</w:t>
      </w:r>
    </w:p>
    <w:p w14:paraId="1E937DD2">
      <w:pPr>
        <w:spacing w:line="360" w:lineRule="auto"/>
        <w:jc w:val="center"/>
        <w:rPr>
          <w:rFonts w:ascii="宋体" w:hAnsi="宋体" w:cs="宋体"/>
          <w:color w:val="auto"/>
          <w:szCs w:val="21"/>
          <w:highlight w:val="none"/>
        </w:rPr>
      </w:pPr>
    </w:p>
    <w:p w14:paraId="64950C47">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工程质量保函示范文本</w:t>
      </w:r>
    </w:p>
    <w:p w14:paraId="30D13E6D">
      <w:pPr>
        <w:wordWrap w:val="0"/>
        <w:spacing w:line="360" w:lineRule="auto"/>
        <w:jc w:val="right"/>
        <w:rPr>
          <w:rFonts w:ascii="宋体" w:hAnsi="宋体" w:cs="宋体"/>
          <w:color w:val="auto"/>
          <w:szCs w:val="21"/>
          <w:highlight w:val="none"/>
        </w:rPr>
      </w:pPr>
      <w:r>
        <w:rPr>
          <w:rFonts w:hint="eastAsia" w:ascii="宋体" w:hAnsi="宋体" w:cs="宋体"/>
          <w:color w:val="auto"/>
          <w:szCs w:val="21"/>
          <w:highlight w:val="none"/>
        </w:rPr>
        <w:t xml:space="preserve">        </w:t>
      </w:r>
    </w:p>
    <w:p w14:paraId="15FF6B95">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申请人：</w:t>
      </w:r>
    </w:p>
    <w:p w14:paraId="7874837B">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地  址：</w:t>
      </w:r>
    </w:p>
    <w:p w14:paraId="4AE5A9DE">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受益人：</w:t>
      </w:r>
    </w:p>
    <w:p w14:paraId="76B3ECE7">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地  址：</w:t>
      </w:r>
    </w:p>
    <w:p w14:paraId="1574BFA0">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开立人：</w:t>
      </w:r>
    </w:p>
    <w:p w14:paraId="2B70225E">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地  址：</w:t>
      </w:r>
    </w:p>
    <w:p w14:paraId="5C173DAC">
      <w:pPr>
        <w:spacing w:line="360" w:lineRule="auto"/>
        <w:rPr>
          <w:rFonts w:asciiTheme="minorEastAsia" w:hAnsiTheme="minorEastAsia" w:eastAsiaTheme="minorEastAsia" w:cstheme="minorEastAsia"/>
          <w:color w:val="auto"/>
          <w:szCs w:val="21"/>
          <w:highlight w:val="none"/>
        </w:rPr>
      </w:pPr>
    </w:p>
    <w:p w14:paraId="4D0DED0C">
      <w:pPr>
        <w:spacing w:line="360" w:lineRule="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（受益人名称）： </w:t>
      </w:r>
    </w:p>
    <w:p w14:paraId="1123A15F">
      <w:pPr>
        <w:overflowPunct w:val="0"/>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鉴于</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（以下简称“受益人”）与</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（以下简称“申请人”）于</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日就</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工程（以下简称“本工程”）施工和有关事项协商一致共同签订</w:t>
      </w:r>
      <w:r>
        <w:rPr>
          <w:rFonts w:hint="eastAsia" w:asciiTheme="minorEastAsia" w:hAnsiTheme="minorEastAsia" w:eastAsiaTheme="minorEastAsia" w:cstheme="minorEastAsia"/>
          <w:color w:val="auto"/>
          <w:szCs w:val="21"/>
          <w:highlight w:val="none"/>
          <w:u w:val="single"/>
        </w:rPr>
        <w:t>《         》</w:t>
      </w:r>
      <w:r>
        <w:rPr>
          <w:rFonts w:hint="eastAsia" w:asciiTheme="minorEastAsia" w:hAnsiTheme="minorEastAsia" w:eastAsiaTheme="minorEastAsia" w:cstheme="minorEastAsia"/>
          <w:color w:val="auto"/>
          <w:szCs w:val="21"/>
          <w:highlight w:val="none"/>
        </w:rPr>
        <w:t>（合同名称）合同编号</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我方（即“开立人”）根据上述合同了解到申请人为合同项下之承包人，受益人为合同项下之发包人，基于申请人的请求，我方同意就申请人履行与贵方签订的合同项下的义务，向贵方提供不可撤销、不可转让的见索即付保函（以下简称“本保函”）。</w:t>
      </w:r>
    </w:p>
    <w:p w14:paraId="3670FA94">
      <w:pPr>
        <w:overflowPunct w:val="0"/>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一、本保函担保范围：承包人未按照合同约定履行工程缺陷责任期内的保修义务，应当向贵方承担的违约责任和赔偿因此造成的损失、利息、律师费、诉讼费用等实现债权的费用。</w:t>
      </w:r>
    </w:p>
    <w:p w14:paraId="4B2005DD">
      <w:pPr>
        <w:overflowPunct w:val="0"/>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二、本保函担保金额最高不超过人民币（大写）</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元（¥</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w:t>
      </w:r>
    </w:p>
    <w:p w14:paraId="03F9BF3F">
      <w:pPr>
        <w:overflowPunct w:val="0"/>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三、本保函有效期（保证期间）为以下第</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种：</w:t>
      </w:r>
    </w:p>
    <w:p w14:paraId="4B9634A1">
      <w:pPr>
        <w:overflowPunct w:val="0"/>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（1）本保函有效期至</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w:t>
      </w:r>
    </w:p>
    <w:p w14:paraId="40CFACC2">
      <w:pPr>
        <w:overflowPunct w:val="0"/>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w:t>
      </w:r>
    </w:p>
    <w:p w14:paraId="2F508432">
      <w:pPr>
        <w:overflowPunct w:val="0"/>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四、我方承诺，在收到受益人发来的书面索赔通知和本保函原件后的</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个工作日内无条件支付至受益人指定账户，前述书面索赔通知即为付款要求之单据，且应满足以下要求：</w:t>
      </w:r>
    </w:p>
    <w:p w14:paraId="0E8363AE">
      <w:pPr>
        <w:overflowPunct w:val="0"/>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（1）索赔通知到达的日期在本保函的有效期内；</w:t>
      </w:r>
    </w:p>
    <w:p w14:paraId="75421756">
      <w:pPr>
        <w:overflowPunct w:val="0"/>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（2）载明要求支付的金额；</w:t>
      </w:r>
    </w:p>
    <w:p w14:paraId="6011481C">
      <w:pPr>
        <w:overflowPunct w:val="0"/>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（3）载明申请人违反合同义务的条款和内容；</w:t>
      </w:r>
    </w:p>
    <w:p w14:paraId="480D036E">
      <w:pPr>
        <w:overflowPunct w:val="0"/>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（4）声明不存在合同文件约定或我国法律规定免除申请人或开立人支付责任的情形；</w:t>
      </w:r>
    </w:p>
    <w:p w14:paraId="554D610F">
      <w:pPr>
        <w:overflowPunct w:val="0"/>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（5）索赔通知应在本保函有效期内到达的地址是：</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w:t>
      </w:r>
    </w:p>
    <w:p w14:paraId="5C9357C7">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受益人发出的书面索赔通知应由其为鉴明受益人法定代表人（负责人）或授权代理人签名或盖个人名章并加盖公章。</w:t>
      </w:r>
    </w:p>
    <w:p w14:paraId="335EA0AA">
      <w:pPr>
        <w:overflowPunct w:val="0"/>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五、本保函项下的权利不得转让，不得设定担保。贵方未经我方书面同意转让本保函或其项下任何权利，对我方不发生法律效力。</w:t>
      </w:r>
    </w:p>
    <w:p w14:paraId="21849B24">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六、与本保函有关的合同不成立、不生效、无效、被撤销、被解除，不影响本保函的独立有效。 </w:t>
      </w:r>
    </w:p>
    <w:p w14:paraId="5AC6D6BA">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七、贵方应在本保函到期后的七个工作日内将本保函正本退回我方注销，但是不论贵方是否按此要求将本保函正本退回我方，我方在本保函项下的义务和责任均在保函有效期到期后自动消灭。</w:t>
      </w:r>
    </w:p>
    <w:p w14:paraId="3C314F33">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八、本保函适用的法律为中华人民共和国法律，争议裁判管辖地为中华人民共和国</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w:t>
      </w:r>
    </w:p>
    <w:p w14:paraId="516A7130">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九、本保函自我方法定代表人或授权代表签名或盖个人名章并加盖公章或合同专用章之日起生效。</w:t>
      </w:r>
    </w:p>
    <w:p w14:paraId="37838491">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十、本保函在重庆市辖区范围内的核验地点：</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；核验方式：</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w:t>
      </w:r>
    </w:p>
    <w:p w14:paraId="21AD6328">
      <w:pPr>
        <w:spacing w:line="360" w:lineRule="auto"/>
        <w:ind w:firstLine="420" w:firstLineChars="200"/>
        <w:rPr>
          <w:rFonts w:asciiTheme="minorEastAsia" w:hAnsiTheme="minorEastAsia" w:eastAsiaTheme="minorEastAsia" w:cstheme="minorEastAsia"/>
          <w:color w:val="auto"/>
          <w:szCs w:val="21"/>
          <w:highlight w:val="none"/>
        </w:rPr>
      </w:pPr>
    </w:p>
    <w:p w14:paraId="3BC43EB2">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开 立 人： </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（公章）</w:t>
      </w:r>
    </w:p>
    <w:p w14:paraId="39A97235">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法定代表人（或授权代表）：</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（签名或盖个人名章）</w:t>
      </w:r>
    </w:p>
    <w:p w14:paraId="68E0A1FF">
      <w:pPr>
        <w:overflowPunct w:val="0"/>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地    址：</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 </w:t>
      </w:r>
    </w:p>
    <w:p w14:paraId="2D4B64A2">
      <w:pPr>
        <w:overflowPunct w:val="0"/>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邮政编码：</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 </w:t>
      </w:r>
    </w:p>
    <w:p w14:paraId="116AAA0B">
      <w:pPr>
        <w:overflowPunct w:val="0"/>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电    话：</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 </w:t>
      </w:r>
    </w:p>
    <w:p w14:paraId="00224DD5">
      <w:pPr>
        <w:overflowPunct w:val="0"/>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传    真：</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 </w:t>
      </w:r>
    </w:p>
    <w:p w14:paraId="1477664C">
      <w:pPr>
        <w:spacing w:line="240" w:lineRule="exact"/>
        <w:ind w:firstLine="420" w:firstLineChars="200"/>
        <w:rPr>
          <w:rFonts w:ascii="宋体" w:hAnsi="宋体"/>
          <w:color w:val="auto"/>
          <w:szCs w:val="20"/>
          <w:highlight w:val="none"/>
        </w:rPr>
      </w:pPr>
      <w:r>
        <w:rPr>
          <w:rFonts w:hint="eastAsia" w:asciiTheme="minorEastAsia" w:hAnsiTheme="minorEastAsia" w:eastAsiaTheme="minorEastAsia" w:cstheme="minorEastAsia"/>
          <w:color w:val="auto"/>
          <w:szCs w:val="21"/>
          <w:highlight w:val="none"/>
        </w:rPr>
        <w:t>开立时间：    年    月    日</w:t>
      </w:r>
      <w:r>
        <w:rPr>
          <w:rFonts w:ascii="宋体" w:hAnsi="宋体"/>
          <w:color w:val="auto"/>
          <w:szCs w:val="20"/>
          <w:highlight w:val="none"/>
        </w:rPr>
        <w:br w:type="page"/>
      </w:r>
      <w:bookmarkStart w:id="1981" w:name="招标文件05章工程量清单"/>
      <w:bookmarkEnd w:id="1981"/>
    </w:p>
    <w:p w14:paraId="7B20638B">
      <w:pPr>
        <w:pStyle w:val="3"/>
        <w:spacing w:before="0" w:after="0" w:line="360" w:lineRule="auto"/>
        <w:jc w:val="center"/>
        <w:rPr>
          <w:rFonts w:ascii="宋体" w:hAnsi="宋体"/>
          <w:color w:val="auto"/>
          <w:highlight w:val="none"/>
        </w:rPr>
      </w:pPr>
      <w:bookmarkStart w:id="1982" w:name="_Toc287620797"/>
      <w:bookmarkStart w:id="1983" w:name="_Toc509218843"/>
      <w:bookmarkStart w:id="1984" w:name="_Toc430530513"/>
      <w:bookmarkStart w:id="1985" w:name="_Toc287607855"/>
      <w:bookmarkStart w:id="1986" w:name="_Toc117005247"/>
      <w:bookmarkStart w:id="1987" w:name="_Toc534185822"/>
      <w:r>
        <w:rPr>
          <w:rFonts w:hint="eastAsia" w:ascii="宋体" w:hAnsi="宋体"/>
          <w:color w:val="auto"/>
          <w:highlight w:val="none"/>
        </w:rPr>
        <w:t>第五章  工程量清单</w:t>
      </w:r>
      <w:bookmarkEnd w:id="1982"/>
      <w:bookmarkEnd w:id="1983"/>
      <w:bookmarkEnd w:id="1984"/>
      <w:bookmarkEnd w:id="1985"/>
      <w:bookmarkEnd w:id="1986"/>
      <w:bookmarkEnd w:id="1987"/>
      <w:bookmarkStart w:id="1988" w:name="招标文件05章工程量清单01"/>
      <w:bookmarkEnd w:id="1988"/>
      <w:bookmarkStart w:id="1989" w:name="_Toc224103477"/>
      <w:bookmarkStart w:id="1990" w:name="_Toc287607856"/>
      <w:bookmarkStart w:id="1991" w:name="_Toc277082638"/>
      <w:bookmarkStart w:id="1992" w:name="_Toc430530514"/>
      <w:bookmarkStart w:id="1993" w:name="_Toc287620798"/>
    </w:p>
    <w:bookmarkEnd w:id="1989"/>
    <w:bookmarkEnd w:id="1990"/>
    <w:bookmarkEnd w:id="1991"/>
    <w:bookmarkEnd w:id="1992"/>
    <w:bookmarkEnd w:id="1993"/>
    <w:p w14:paraId="2F3D9EDA">
      <w:pPr>
        <w:snapToGrid w:val="0"/>
        <w:spacing w:line="360" w:lineRule="auto"/>
        <w:jc w:val="center"/>
        <w:rPr>
          <w:rFonts w:ascii="宋体" w:hAnsi="宋体"/>
          <w:color w:val="auto"/>
          <w:sz w:val="24"/>
          <w:highlight w:val="none"/>
        </w:rPr>
      </w:pPr>
    </w:p>
    <w:p w14:paraId="5B96D8BE">
      <w:pPr>
        <w:snapToGrid w:val="0"/>
        <w:spacing w:line="360" w:lineRule="auto"/>
        <w:jc w:val="center"/>
        <w:rPr>
          <w:rFonts w:ascii="宋体" w:hAnsi="宋体"/>
          <w:color w:val="auto"/>
          <w:szCs w:val="21"/>
          <w:highlight w:val="none"/>
        </w:rPr>
      </w:pPr>
      <w:r>
        <w:rPr>
          <w:rFonts w:hint="eastAsia" w:ascii="宋体" w:hAnsi="宋体"/>
          <w:color w:val="auto"/>
          <w:szCs w:val="20"/>
          <w:highlight w:val="none"/>
        </w:rPr>
        <w:t>在</w:t>
      </w:r>
      <w:r>
        <w:rPr>
          <w:rFonts w:hint="eastAsia" w:ascii="宋体" w:hAnsi="宋体"/>
          <w:color w:val="auto"/>
          <w:szCs w:val="20"/>
          <w:highlight w:val="none"/>
          <w:u w:val="single"/>
        </w:rPr>
        <w:t>重庆市公共资源交易网（www.cqggzy.com）</w:t>
      </w:r>
      <w:r>
        <w:rPr>
          <w:rFonts w:hint="eastAsia" w:ascii="宋体" w:hAnsi="宋体"/>
          <w:color w:val="auto"/>
          <w:szCs w:val="20"/>
          <w:highlight w:val="none"/>
        </w:rPr>
        <w:t>下载。</w:t>
      </w:r>
    </w:p>
    <w:p w14:paraId="27213DA4">
      <w:pPr>
        <w:ind w:right="561"/>
        <w:rPr>
          <w:rFonts w:ascii="宋体" w:hAnsi="宋体"/>
          <w:color w:val="auto"/>
          <w:szCs w:val="21"/>
          <w:highlight w:val="none"/>
        </w:rPr>
      </w:pPr>
      <w:r>
        <w:rPr>
          <w:rFonts w:ascii="宋体" w:hAnsi="宋体"/>
          <w:color w:val="auto"/>
          <w:sz w:val="24"/>
          <w:highlight w:val="none"/>
        </w:rPr>
        <w:br w:type="page"/>
      </w:r>
    </w:p>
    <w:p w14:paraId="14D02C15">
      <w:pPr>
        <w:pStyle w:val="3"/>
        <w:spacing w:before="0" w:after="0" w:line="360" w:lineRule="auto"/>
        <w:jc w:val="center"/>
        <w:rPr>
          <w:rFonts w:ascii="宋体" w:hAnsi="宋体"/>
          <w:color w:val="auto"/>
          <w:sz w:val="52"/>
          <w:szCs w:val="52"/>
          <w:highlight w:val="none"/>
        </w:rPr>
      </w:pPr>
      <w:bookmarkStart w:id="1994" w:name="_Toc509218844"/>
      <w:bookmarkStart w:id="1995" w:name="_Toc117005248"/>
      <w:bookmarkStart w:id="1996" w:name="_Toc534185823"/>
      <w:r>
        <w:rPr>
          <w:rFonts w:ascii="宋体" w:hAnsi="宋体"/>
          <w:color w:val="auto"/>
          <w:sz w:val="52"/>
          <w:szCs w:val="52"/>
          <w:highlight w:val="none"/>
        </w:rPr>
        <w:t>第 二 卷</w:t>
      </w:r>
      <w:bookmarkEnd w:id="1994"/>
      <w:bookmarkEnd w:id="1995"/>
      <w:bookmarkEnd w:id="1996"/>
    </w:p>
    <w:p w14:paraId="70F4826B">
      <w:pPr>
        <w:spacing w:line="360" w:lineRule="auto"/>
        <w:rPr>
          <w:rFonts w:ascii="宋体" w:hAnsi="宋体"/>
          <w:color w:val="auto"/>
          <w:szCs w:val="20"/>
          <w:highlight w:val="none"/>
        </w:rPr>
      </w:pPr>
      <w:r>
        <w:rPr>
          <w:rFonts w:ascii="宋体" w:hAnsi="宋体"/>
          <w:color w:val="auto"/>
          <w:szCs w:val="20"/>
          <w:highlight w:val="none"/>
        </w:rPr>
        <w:br w:type="page"/>
      </w:r>
    </w:p>
    <w:p w14:paraId="1E22F256">
      <w:pPr>
        <w:pStyle w:val="3"/>
        <w:spacing w:line="360" w:lineRule="auto"/>
        <w:jc w:val="center"/>
        <w:rPr>
          <w:rFonts w:ascii="宋体" w:hAnsi="宋体"/>
          <w:color w:val="auto"/>
          <w:highlight w:val="none"/>
        </w:rPr>
      </w:pPr>
      <w:bookmarkStart w:id="1997" w:name="招标文件06章图纸"/>
      <w:bookmarkEnd w:id="1997"/>
      <w:bookmarkStart w:id="1998" w:name="_Toc117005249"/>
      <w:bookmarkStart w:id="1999" w:name="_Toc430530519"/>
      <w:bookmarkStart w:id="2000" w:name="_Toc287607861"/>
      <w:bookmarkStart w:id="2001" w:name="_Toc534185825"/>
      <w:bookmarkStart w:id="2002" w:name="_Toc287620803"/>
      <w:bookmarkStart w:id="2003" w:name="_Toc509218846"/>
      <w:r>
        <w:rPr>
          <w:rFonts w:hint="eastAsia" w:ascii="宋体" w:hAnsi="宋体"/>
          <w:color w:val="auto"/>
          <w:highlight w:val="none"/>
        </w:rPr>
        <w:t>第六章  图纸</w:t>
      </w:r>
      <w:bookmarkEnd w:id="1998"/>
      <w:bookmarkEnd w:id="1999"/>
      <w:bookmarkEnd w:id="2000"/>
      <w:bookmarkEnd w:id="2001"/>
      <w:bookmarkEnd w:id="2002"/>
      <w:bookmarkEnd w:id="2003"/>
    </w:p>
    <w:p w14:paraId="50745AD1">
      <w:pPr>
        <w:spacing w:line="360" w:lineRule="auto"/>
        <w:jc w:val="center"/>
        <w:rPr>
          <w:rFonts w:ascii="宋体" w:hAnsi="宋体"/>
          <w:color w:val="auto"/>
          <w:szCs w:val="20"/>
          <w:highlight w:val="none"/>
        </w:rPr>
      </w:pPr>
      <w:r>
        <w:rPr>
          <w:rFonts w:hint="eastAsia" w:ascii="宋体" w:hAnsi="宋体"/>
          <w:color w:val="auto"/>
          <w:szCs w:val="20"/>
          <w:highlight w:val="none"/>
        </w:rPr>
        <w:t>在</w:t>
      </w:r>
      <w:r>
        <w:rPr>
          <w:rFonts w:hint="eastAsia" w:ascii="宋体" w:hAnsi="宋体"/>
          <w:color w:val="auto"/>
          <w:szCs w:val="20"/>
          <w:highlight w:val="none"/>
          <w:u w:val="single"/>
        </w:rPr>
        <w:t>重庆市公共资源交易网（www.cqggzy.com）</w:t>
      </w:r>
      <w:r>
        <w:rPr>
          <w:rFonts w:hint="eastAsia" w:ascii="宋体" w:hAnsi="宋体"/>
          <w:color w:val="auto"/>
          <w:szCs w:val="20"/>
          <w:highlight w:val="none"/>
        </w:rPr>
        <w:t>下载。</w:t>
      </w:r>
    </w:p>
    <w:p w14:paraId="33AA87DE">
      <w:pPr>
        <w:spacing w:line="360" w:lineRule="auto"/>
        <w:rPr>
          <w:rFonts w:ascii="宋体" w:hAnsi="宋体"/>
          <w:color w:val="auto"/>
          <w:szCs w:val="20"/>
          <w:highlight w:val="none"/>
        </w:rPr>
      </w:pPr>
      <w:bookmarkStart w:id="2004" w:name="招标文件06章图纸01"/>
      <w:bookmarkEnd w:id="2004"/>
      <w:bookmarkStart w:id="2005" w:name="_Toc430530520"/>
      <w:bookmarkStart w:id="2006" w:name="_Toc287620804"/>
    </w:p>
    <w:bookmarkEnd w:id="2005"/>
    <w:bookmarkEnd w:id="2006"/>
    <w:p w14:paraId="10D6203D">
      <w:pPr>
        <w:spacing w:line="360" w:lineRule="auto"/>
        <w:rPr>
          <w:rFonts w:ascii="宋体" w:hAnsi="宋体"/>
          <w:color w:val="auto"/>
          <w:highlight w:val="none"/>
        </w:rPr>
      </w:pPr>
      <w:r>
        <w:rPr>
          <w:rFonts w:ascii="宋体" w:hAnsi="宋体"/>
          <w:color w:val="auto"/>
          <w:szCs w:val="20"/>
          <w:highlight w:val="none"/>
        </w:rPr>
        <w:br w:type="page"/>
      </w:r>
    </w:p>
    <w:p w14:paraId="294CFF17">
      <w:pPr>
        <w:pStyle w:val="3"/>
        <w:spacing w:before="0" w:after="0" w:line="360" w:lineRule="auto"/>
        <w:jc w:val="center"/>
        <w:rPr>
          <w:rFonts w:ascii="宋体" w:hAnsi="宋体"/>
          <w:color w:val="auto"/>
          <w:sz w:val="52"/>
          <w:szCs w:val="52"/>
          <w:highlight w:val="none"/>
        </w:rPr>
      </w:pPr>
      <w:bookmarkStart w:id="2007" w:name="_Toc117005250"/>
      <w:r>
        <w:rPr>
          <w:rFonts w:hint="eastAsia" w:ascii="宋体" w:hAnsi="宋体"/>
          <w:color w:val="auto"/>
          <w:sz w:val="52"/>
          <w:szCs w:val="52"/>
          <w:highlight w:val="none"/>
        </w:rPr>
        <w:t>第 三 卷</w:t>
      </w:r>
      <w:bookmarkEnd w:id="2007"/>
      <w:bookmarkStart w:id="2008" w:name="_Toc509218847"/>
      <w:bookmarkStart w:id="2009" w:name="_Toc13210772"/>
      <w:bookmarkStart w:id="2010" w:name="_Toc536797121"/>
      <w:bookmarkStart w:id="2011" w:name="_Toc13211206"/>
      <w:bookmarkStart w:id="2012" w:name="_Toc536797255"/>
      <w:bookmarkStart w:id="2013" w:name="_Toc534185826"/>
      <w:bookmarkStart w:id="2014" w:name="_Toc536628344"/>
      <w:bookmarkStart w:id="2015" w:name="_Toc536797390"/>
      <w:bookmarkStart w:id="2016" w:name="_Toc536796850"/>
      <w:bookmarkStart w:id="2017" w:name="_Toc13211764"/>
      <w:bookmarkStart w:id="2018" w:name="_Toc536620100"/>
      <w:bookmarkStart w:id="2019" w:name="_Toc536619968"/>
      <w:bookmarkStart w:id="2020" w:name="_Toc536796986"/>
      <w:bookmarkStart w:id="2021" w:name="_Toc536621880"/>
    </w:p>
    <w:bookmarkEnd w:id="2008"/>
    <w:p w14:paraId="0B0F72D0">
      <w:pPr>
        <w:rPr>
          <w:color w:val="auto"/>
          <w:highlight w:val="none"/>
        </w:rPr>
      </w:pPr>
      <w:r>
        <w:rPr>
          <w:color w:val="auto"/>
          <w:highlight w:val="none"/>
        </w:rPr>
        <w:br w:type="page"/>
      </w:r>
      <w:bookmarkEnd w:id="2009"/>
      <w:bookmarkEnd w:id="2010"/>
      <w:bookmarkEnd w:id="2011"/>
      <w:bookmarkEnd w:id="2012"/>
      <w:bookmarkEnd w:id="2013"/>
      <w:bookmarkEnd w:id="2014"/>
      <w:bookmarkEnd w:id="2015"/>
      <w:bookmarkEnd w:id="2016"/>
      <w:bookmarkEnd w:id="2017"/>
      <w:bookmarkEnd w:id="2018"/>
      <w:bookmarkEnd w:id="2019"/>
      <w:bookmarkEnd w:id="2020"/>
      <w:bookmarkEnd w:id="2021"/>
    </w:p>
    <w:p w14:paraId="42749B39">
      <w:pPr>
        <w:pStyle w:val="3"/>
        <w:spacing w:line="360" w:lineRule="auto"/>
        <w:jc w:val="center"/>
        <w:rPr>
          <w:rFonts w:ascii="宋体" w:hAnsi="宋体"/>
          <w:color w:val="auto"/>
          <w:highlight w:val="none"/>
        </w:rPr>
      </w:pPr>
      <w:bookmarkStart w:id="2022" w:name="招标文件07章技术标准和要求"/>
      <w:bookmarkEnd w:id="2022"/>
      <w:bookmarkStart w:id="2023" w:name="_Toc117005251"/>
      <w:r>
        <w:rPr>
          <w:rFonts w:ascii="宋体" w:hAnsi="宋体"/>
          <w:color w:val="auto"/>
          <w:highlight w:val="none"/>
        </w:rPr>
        <w:t>第七章</w:t>
      </w:r>
      <w:r>
        <w:rPr>
          <w:rFonts w:hint="eastAsia" w:ascii="宋体" w:hAnsi="宋体"/>
          <w:color w:val="auto"/>
          <w:highlight w:val="none"/>
        </w:rPr>
        <w:t xml:space="preserve">  </w:t>
      </w:r>
      <w:r>
        <w:rPr>
          <w:rFonts w:ascii="宋体" w:hAnsi="宋体"/>
          <w:color w:val="auto"/>
          <w:highlight w:val="none"/>
        </w:rPr>
        <w:t>技术标准和要求</w:t>
      </w:r>
      <w:bookmarkEnd w:id="2023"/>
      <w:bookmarkStart w:id="2024" w:name="招标文件07章技术标准和要求01"/>
      <w:bookmarkEnd w:id="2024"/>
      <w:bookmarkStart w:id="2025" w:name="_Toc287620808"/>
      <w:bookmarkStart w:id="2026" w:name="_Toc430530524"/>
    </w:p>
    <w:bookmarkEnd w:id="2025"/>
    <w:bookmarkEnd w:id="2026"/>
    <w:p w14:paraId="0582CF37">
      <w:pPr>
        <w:spacing w:line="360" w:lineRule="auto"/>
        <w:jc w:val="center"/>
        <w:rPr>
          <w:rStyle w:val="55"/>
          <w:color w:val="auto"/>
          <w:highlight w:val="none"/>
        </w:rPr>
      </w:pPr>
      <w:r>
        <w:rPr>
          <w:rFonts w:ascii="宋体" w:hAnsi="宋体"/>
          <w:color w:val="auto"/>
          <w:szCs w:val="21"/>
          <w:highlight w:val="none"/>
        </w:rPr>
        <w:t>由招标人根据招标项目的实际情况编写</w:t>
      </w:r>
      <w:r>
        <w:rPr>
          <w:rFonts w:hint="eastAsia" w:ascii="宋体" w:hAnsi="宋体"/>
          <w:color w:val="auto"/>
          <w:szCs w:val="21"/>
          <w:highlight w:val="none"/>
        </w:rPr>
        <w:t>（如有）。</w:t>
      </w:r>
    </w:p>
    <w:p w14:paraId="6CC42D5A">
      <w:pPr>
        <w:spacing w:line="360" w:lineRule="auto"/>
        <w:rPr>
          <w:rFonts w:ascii="宋体" w:hAnsi="宋体"/>
          <w:color w:val="auto"/>
          <w:highlight w:val="none"/>
        </w:rPr>
      </w:pPr>
      <w:r>
        <w:rPr>
          <w:rFonts w:ascii="宋体" w:hAnsi="宋体"/>
          <w:color w:val="auto"/>
          <w:highlight w:val="none"/>
        </w:rPr>
        <w:br w:type="page"/>
      </w:r>
    </w:p>
    <w:p w14:paraId="5857744F">
      <w:pPr>
        <w:pStyle w:val="3"/>
        <w:spacing w:before="0" w:after="0" w:line="360" w:lineRule="auto"/>
        <w:jc w:val="center"/>
        <w:rPr>
          <w:rFonts w:ascii="宋体" w:hAnsi="宋体"/>
          <w:color w:val="auto"/>
          <w:sz w:val="52"/>
          <w:szCs w:val="52"/>
          <w:highlight w:val="none"/>
        </w:rPr>
      </w:pPr>
      <w:bookmarkStart w:id="2027" w:name="_Toc117005252"/>
      <w:bookmarkStart w:id="2028" w:name="_Toc534185827"/>
      <w:bookmarkStart w:id="2029" w:name="_Toc509218849"/>
      <w:r>
        <w:rPr>
          <w:rFonts w:ascii="宋体" w:hAnsi="宋体"/>
          <w:color w:val="auto"/>
          <w:sz w:val="52"/>
          <w:szCs w:val="52"/>
          <w:highlight w:val="none"/>
        </w:rPr>
        <w:t>第 四 卷</w:t>
      </w:r>
      <w:bookmarkEnd w:id="2027"/>
      <w:bookmarkEnd w:id="2028"/>
      <w:bookmarkEnd w:id="2029"/>
      <w:bookmarkStart w:id="2030" w:name="_Toc13210775"/>
      <w:bookmarkStart w:id="2031" w:name="_Toc536797124"/>
      <w:bookmarkStart w:id="2032" w:name="_Toc13211767"/>
      <w:bookmarkStart w:id="2033" w:name="_Toc536620102"/>
      <w:bookmarkStart w:id="2034" w:name="_Toc536796989"/>
      <w:bookmarkStart w:id="2035" w:name="_Toc509218850"/>
      <w:bookmarkStart w:id="2036" w:name="_Toc536619970"/>
      <w:bookmarkStart w:id="2037" w:name="_Toc534185828"/>
      <w:bookmarkStart w:id="2038" w:name="_Toc536797258"/>
      <w:bookmarkStart w:id="2039" w:name="_Toc536796853"/>
      <w:bookmarkStart w:id="2040" w:name="_Toc536628347"/>
      <w:bookmarkStart w:id="2041" w:name="_Toc536797393"/>
      <w:bookmarkStart w:id="2042" w:name="_Toc13211209"/>
      <w:bookmarkStart w:id="2043" w:name="_Toc536621883"/>
    </w:p>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p w14:paraId="5A125FF3">
      <w:pPr>
        <w:rPr>
          <w:color w:val="auto"/>
          <w:highlight w:val="none"/>
        </w:rPr>
      </w:pPr>
      <w:r>
        <w:rPr>
          <w:color w:val="auto"/>
          <w:highlight w:val="none"/>
        </w:rPr>
        <w:br w:type="page"/>
      </w:r>
      <w:bookmarkStart w:id="2044" w:name="招标文件08章投标文件格式"/>
      <w:bookmarkEnd w:id="2044"/>
      <w:bookmarkStart w:id="2045" w:name="_Toc287620812"/>
      <w:bookmarkStart w:id="2046" w:name="_Toc287607865"/>
    </w:p>
    <w:p w14:paraId="1E7AA084">
      <w:pPr>
        <w:pStyle w:val="3"/>
        <w:spacing w:line="360" w:lineRule="auto"/>
        <w:jc w:val="center"/>
        <w:rPr>
          <w:rFonts w:ascii="宋体" w:hAnsi="宋体"/>
          <w:color w:val="auto"/>
          <w:highlight w:val="none"/>
        </w:rPr>
      </w:pPr>
      <w:bookmarkStart w:id="2047" w:name="_Toc534185829"/>
      <w:bookmarkStart w:id="2048" w:name="_Toc430530528"/>
      <w:bookmarkStart w:id="2049" w:name="_Toc509218852"/>
      <w:bookmarkStart w:id="2050" w:name="_Toc117005253"/>
      <w:r>
        <w:rPr>
          <w:rFonts w:hint="eastAsia" w:ascii="宋体" w:hAnsi="宋体"/>
          <w:color w:val="auto"/>
          <w:highlight w:val="none"/>
        </w:rPr>
        <w:t>第八章  投标文件格式</w:t>
      </w:r>
      <w:bookmarkEnd w:id="2045"/>
      <w:bookmarkEnd w:id="2046"/>
      <w:bookmarkEnd w:id="2047"/>
      <w:bookmarkEnd w:id="2048"/>
      <w:bookmarkEnd w:id="2049"/>
      <w:bookmarkEnd w:id="2050"/>
    </w:p>
    <w:p w14:paraId="0EF638AD">
      <w:pPr>
        <w:spacing w:line="360" w:lineRule="auto"/>
        <w:rPr>
          <w:rFonts w:ascii="宋体" w:hAnsi="宋体"/>
          <w:color w:val="auto"/>
          <w:sz w:val="32"/>
          <w:szCs w:val="32"/>
          <w:highlight w:val="none"/>
        </w:rPr>
      </w:pPr>
    </w:p>
    <w:p w14:paraId="410975FD">
      <w:pPr>
        <w:spacing w:line="360" w:lineRule="auto"/>
        <w:jc w:val="center"/>
        <w:rPr>
          <w:rFonts w:ascii="宋体" w:hAnsi="宋体"/>
          <w:color w:val="auto"/>
          <w:sz w:val="36"/>
          <w:szCs w:val="36"/>
          <w:highlight w:val="none"/>
        </w:rPr>
      </w:pPr>
      <w:r>
        <w:rPr>
          <w:rFonts w:ascii="宋体" w:hAnsi="宋体"/>
          <w:color w:val="auto"/>
          <w:szCs w:val="20"/>
          <w:highlight w:val="none"/>
        </w:rPr>
        <w:br w:type="page"/>
      </w:r>
      <w:bookmarkStart w:id="2051" w:name="_Toc224103493"/>
      <w:r>
        <w:rPr>
          <w:rFonts w:hint="eastAsia" w:ascii="宋体" w:hAnsi="宋体"/>
          <w:color w:val="auto"/>
          <w:sz w:val="36"/>
          <w:szCs w:val="36"/>
          <w:highlight w:val="none"/>
        </w:rPr>
        <w:t>目  录</w:t>
      </w:r>
      <w:bookmarkEnd w:id="2051"/>
    </w:p>
    <w:p w14:paraId="5F547863">
      <w:pPr>
        <w:spacing w:line="360" w:lineRule="auto"/>
        <w:jc w:val="center"/>
        <w:rPr>
          <w:rFonts w:ascii="宋体" w:hAnsi="宋体"/>
          <w:color w:val="auto"/>
          <w:szCs w:val="20"/>
          <w:highlight w:val="none"/>
        </w:rPr>
      </w:pPr>
    </w:p>
    <w:p w14:paraId="68B57F3D">
      <w:pPr>
        <w:spacing w:line="360" w:lineRule="auto"/>
        <w:rPr>
          <w:rFonts w:ascii="宋体" w:hAnsi="宋体"/>
          <w:b/>
          <w:color w:val="auto"/>
          <w:highlight w:val="none"/>
        </w:rPr>
      </w:pPr>
      <w:r>
        <w:rPr>
          <w:rFonts w:hint="eastAsia" w:ascii="宋体" w:hAnsi="宋体"/>
          <w:b/>
          <w:color w:val="auto"/>
          <w:highlight w:val="none"/>
        </w:rPr>
        <w:t>一</w:t>
      </w:r>
      <w:r>
        <w:rPr>
          <w:rFonts w:ascii="宋体" w:hAnsi="宋体"/>
          <w:b/>
          <w:color w:val="auto"/>
          <w:highlight w:val="none"/>
        </w:rPr>
        <w:t>、投标函部分</w:t>
      </w:r>
    </w:p>
    <w:p w14:paraId="56F2991E">
      <w:pPr>
        <w:spacing w:line="360" w:lineRule="auto"/>
        <w:ind w:firstLine="420" w:firstLineChars="200"/>
        <w:rPr>
          <w:rFonts w:ascii="宋体" w:hAnsi="宋体"/>
          <w:color w:val="auto"/>
          <w:highlight w:val="none"/>
        </w:rPr>
      </w:pPr>
      <w:r>
        <w:rPr>
          <w:rFonts w:ascii="宋体" w:hAnsi="宋体"/>
          <w:color w:val="auto"/>
          <w:highlight w:val="none"/>
        </w:rPr>
        <w:t>（一）投标函</w:t>
      </w:r>
    </w:p>
    <w:p w14:paraId="16C38F09">
      <w:pPr>
        <w:spacing w:line="360" w:lineRule="auto"/>
        <w:ind w:firstLine="420" w:firstLineChars="200"/>
        <w:rPr>
          <w:rFonts w:ascii="宋体" w:hAnsi="宋体"/>
          <w:color w:val="auto"/>
          <w:highlight w:val="none"/>
        </w:rPr>
      </w:pPr>
      <w:r>
        <w:rPr>
          <w:rFonts w:ascii="宋体" w:hAnsi="宋体"/>
          <w:color w:val="auto"/>
          <w:highlight w:val="none"/>
        </w:rPr>
        <w:t>（二）投标函附录</w:t>
      </w:r>
    </w:p>
    <w:p w14:paraId="767BCE62">
      <w:pPr>
        <w:spacing w:line="360" w:lineRule="auto"/>
        <w:ind w:firstLine="420" w:firstLineChars="200"/>
        <w:rPr>
          <w:rFonts w:ascii="宋体" w:hAnsi="宋体"/>
          <w:color w:val="auto"/>
          <w:highlight w:val="none"/>
        </w:rPr>
      </w:pPr>
      <w:r>
        <w:rPr>
          <w:rFonts w:ascii="宋体" w:hAnsi="宋体"/>
          <w:color w:val="auto"/>
          <w:highlight w:val="none"/>
        </w:rPr>
        <w:t>（三）</w:t>
      </w:r>
      <w:r>
        <w:rPr>
          <w:rFonts w:hint="eastAsia" w:ascii="宋体" w:hAnsi="宋体"/>
          <w:color w:val="auto"/>
          <w:highlight w:val="none"/>
        </w:rPr>
        <w:t>法定代表人身份证明或附有法定代表人身份证明的授权委托书</w:t>
      </w:r>
    </w:p>
    <w:p w14:paraId="3735FB7E">
      <w:pPr>
        <w:spacing w:line="360" w:lineRule="auto"/>
        <w:ind w:firstLine="420" w:firstLineChars="200"/>
        <w:rPr>
          <w:rFonts w:ascii="宋体" w:hAnsi="宋体"/>
          <w:color w:val="auto"/>
          <w:highlight w:val="none"/>
        </w:rPr>
      </w:pPr>
      <w:r>
        <w:rPr>
          <w:rFonts w:ascii="宋体" w:hAnsi="宋体"/>
          <w:color w:val="auto"/>
          <w:highlight w:val="none"/>
        </w:rPr>
        <w:t>（四）</w:t>
      </w:r>
      <w:r>
        <w:rPr>
          <w:rFonts w:hint="eastAsia" w:ascii="宋体" w:hAnsi="宋体"/>
          <w:color w:val="auto"/>
          <w:highlight w:val="none"/>
        </w:rPr>
        <w:t>低价风险担保提交承诺书（如有）</w:t>
      </w:r>
    </w:p>
    <w:p w14:paraId="4EE73693">
      <w:pPr>
        <w:spacing w:line="360" w:lineRule="auto"/>
        <w:rPr>
          <w:rFonts w:ascii="宋体" w:hAnsi="宋体"/>
          <w:b/>
          <w:color w:val="auto"/>
          <w:highlight w:val="none"/>
        </w:rPr>
      </w:pPr>
      <w:r>
        <w:rPr>
          <w:rFonts w:hint="eastAsia" w:ascii="宋体" w:hAnsi="宋体"/>
          <w:b/>
          <w:color w:val="auto"/>
          <w:highlight w:val="none"/>
        </w:rPr>
        <w:t>二</w:t>
      </w:r>
      <w:r>
        <w:rPr>
          <w:rFonts w:ascii="宋体" w:hAnsi="宋体"/>
          <w:b/>
          <w:color w:val="auto"/>
          <w:highlight w:val="none"/>
        </w:rPr>
        <w:t>、</w:t>
      </w:r>
      <w:r>
        <w:rPr>
          <w:rFonts w:hint="eastAsia" w:ascii="宋体" w:hAnsi="宋体"/>
          <w:b/>
          <w:color w:val="auto"/>
          <w:highlight w:val="none"/>
        </w:rPr>
        <w:t>经济</w:t>
      </w:r>
      <w:r>
        <w:rPr>
          <w:rFonts w:ascii="宋体" w:hAnsi="宋体"/>
          <w:b/>
          <w:color w:val="auto"/>
          <w:highlight w:val="none"/>
        </w:rPr>
        <w:t>部分</w:t>
      </w:r>
    </w:p>
    <w:p w14:paraId="098EC487">
      <w:pPr>
        <w:spacing w:line="360" w:lineRule="auto"/>
        <w:ind w:firstLine="420" w:firstLineChars="200"/>
        <w:rPr>
          <w:rFonts w:ascii="宋体" w:hAnsi="宋体"/>
          <w:color w:val="auto"/>
          <w:highlight w:val="none"/>
        </w:rPr>
      </w:pPr>
      <w:r>
        <w:rPr>
          <w:rFonts w:ascii="宋体" w:hAnsi="宋体"/>
          <w:color w:val="auto"/>
          <w:highlight w:val="none"/>
        </w:rPr>
        <w:t>已标价工程量清单</w:t>
      </w:r>
    </w:p>
    <w:p w14:paraId="44E72F02">
      <w:pPr>
        <w:spacing w:line="360" w:lineRule="auto"/>
        <w:rPr>
          <w:rFonts w:ascii="宋体" w:hAnsi="宋体"/>
          <w:b/>
          <w:color w:val="auto"/>
          <w:highlight w:val="none"/>
        </w:rPr>
      </w:pPr>
      <w:r>
        <w:rPr>
          <w:rFonts w:hint="eastAsia" w:ascii="宋体" w:hAnsi="宋体"/>
          <w:b/>
          <w:color w:val="auto"/>
          <w:highlight w:val="none"/>
        </w:rPr>
        <w:t>三</w:t>
      </w:r>
      <w:r>
        <w:rPr>
          <w:rFonts w:ascii="宋体" w:hAnsi="宋体"/>
          <w:b/>
          <w:color w:val="auto"/>
          <w:highlight w:val="none"/>
        </w:rPr>
        <w:t>、技术部分</w:t>
      </w:r>
    </w:p>
    <w:p w14:paraId="3FBCFCF4">
      <w:pPr>
        <w:spacing w:line="360" w:lineRule="auto"/>
        <w:ind w:firstLine="420" w:firstLineChars="200"/>
        <w:rPr>
          <w:rFonts w:ascii="宋体" w:hAnsi="宋体"/>
          <w:color w:val="auto"/>
          <w:highlight w:val="none"/>
        </w:rPr>
      </w:pPr>
      <w:r>
        <w:rPr>
          <w:rFonts w:hint="eastAsia" w:ascii="宋体" w:hAnsi="宋体"/>
          <w:color w:val="auto"/>
          <w:highlight w:val="none"/>
        </w:rPr>
        <w:t>技术方案</w:t>
      </w:r>
    </w:p>
    <w:p w14:paraId="268B3325">
      <w:pPr>
        <w:spacing w:line="360" w:lineRule="auto"/>
        <w:ind w:firstLine="420" w:firstLineChars="200"/>
        <w:rPr>
          <w:rFonts w:ascii="宋体" w:hAnsi="宋体"/>
          <w:color w:val="auto"/>
          <w:highlight w:val="none"/>
        </w:rPr>
      </w:pPr>
      <w:r>
        <w:rPr>
          <w:rFonts w:ascii="宋体" w:hAnsi="宋体"/>
          <w:color w:val="auto"/>
          <w:highlight w:val="none"/>
        </w:rPr>
        <w:t>附表一</w:t>
      </w:r>
      <w:r>
        <w:rPr>
          <w:rFonts w:hint="eastAsia" w:ascii="宋体" w:hAnsi="宋体"/>
          <w:color w:val="auto"/>
          <w:highlight w:val="none"/>
        </w:rPr>
        <w:t xml:space="preserve"> </w:t>
      </w:r>
      <w:r>
        <w:rPr>
          <w:rFonts w:ascii="宋体" w:hAnsi="宋体"/>
          <w:color w:val="auto"/>
          <w:highlight w:val="none"/>
        </w:rPr>
        <w:t>拟投入本标段的主要施工设备表</w:t>
      </w:r>
    </w:p>
    <w:p w14:paraId="25DF0F7A">
      <w:pPr>
        <w:spacing w:line="360" w:lineRule="auto"/>
        <w:ind w:firstLine="420" w:firstLineChars="200"/>
        <w:rPr>
          <w:rFonts w:ascii="宋体" w:hAnsi="宋体"/>
          <w:color w:val="auto"/>
          <w:highlight w:val="none"/>
        </w:rPr>
      </w:pPr>
      <w:r>
        <w:rPr>
          <w:rFonts w:ascii="宋体" w:hAnsi="宋体"/>
          <w:color w:val="auto"/>
          <w:highlight w:val="none"/>
        </w:rPr>
        <w:t>附表二</w:t>
      </w:r>
      <w:r>
        <w:rPr>
          <w:rFonts w:hint="eastAsia" w:ascii="宋体" w:hAnsi="宋体"/>
          <w:color w:val="auto"/>
          <w:highlight w:val="none"/>
        </w:rPr>
        <w:t xml:space="preserve"> </w:t>
      </w:r>
      <w:r>
        <w:rPr>
          <w:rFonts w:ascii="宋体" w:hAnsi="宋体"/>
          <w:color w:val="auto"/>
          <w:highlight w:val="none"/>
        </w:rPr>
        <w:t>拟配备本标段的试验和检测仪器设备表</w:t>
      </w:r>
    </w:p>
    <w:p w14:paraId="7FD7425F">
      <w:pPr>
        <w:spacing w:line="360" w:lineRule="auto"/>
        <w:ind w:firstLine="420" w:firstLineChars="200"/>
        <w:rPr>
          <w:rFonts w:ascii="宋体" w:hAnsi="宋体"/>
          <w:color w:val="auto"/>
          <w:highlight w:val="none"/>
        </w:rPr>
      </w:pPr>
      <w:r>
        <w:rPr>
          <w:rFonts w:ascii="宋体" w:hAnsi="宋体"/>
          <w:color w:val="auto"/>
          <w:highlight w:val="none"/>
        </w:rPr>
        <w:t>附表三</w:t>
      </w:r>
      <w:r>
        <w:rPr>
          <w:rFonts w:hint="eastAsia" w:ascii="宋体" w:hAnsi="宋体"/>
          <w:color w:val="auto"/>
          <w:highlight w:val="none"/>
        </w:rPr>
        <w:t xml:space="preserve"> </w:t>
      </w:r>
      <w:r>
        <w:rPr>
          <w:rFonts w:ascii="宋体" w:hAnsi="宋体"/>
          <w:color w:val="auto"/>
          <w:highlight w:val="none"/>
        </w:rPr>
        <w:t>劳动力计划表</w:t>
      </w:r>
    </w:p>
    <w:p w14:paraId="04864353">
      <w:pPr>
        <w:spacing w:line="360" w:lineRule="auto"/>
        <w:ind w:firstLine="420" w:firstLineChars="200"/>
        <w:rPr>
          <w:rFonts w:ascii="宋体" w:hAnsi="宋体"/>
          <w:color w:val="auto"/>
          <w:highlight w:val="none"/>
        </w:rPr>
      </w:pPr>
      <w:r>
        <w:rPr>
          <w:rFonts w:ascii="宋体" w:hAnsi="宋体"/>
          <w:color w:val="auto"/>
          <w:highlight w:val="none"/>
        </w:rPr>
        <w:t>附表四</w:t>
      </w:r>
      <w:r>
        <w:rPr>
          <w:rFonts w:hint="eastAsia" w:ascii="宋体" w:hAnsi="宋体"/>
          <w:color w:val="auto"/>
          <w:highlight w:val="none"/>
        </w:rPr>
        <w:t xml:space="preserve"> </w:t>
      </w:r>
      <w:r>
        <w:rPr>
          <w:rFonts w:ascii="宋体" w:hAnsi="宋体"/>
          <w:color w:val="auto"/>
          <w:highlight w:val="none"/>
        </w:rPr>
        <w:t>计划开、竣工日期和施工进度网络图</w:t>
      </w:r>
    </w:p>
    <w:p w14:paraId="569E8883">
      <w:pPr>
        <w:spacing w:line="360" w:lineRule="auto"/>
        <w:ind w:firstLine="420" w:firstLineChars="200"/>
        <w:rPr>
          <w:rFonts w:ascii="宋体" w:hAnsi="宋体"/>
          <w:color w:val="auto"/>
          <w:highlight w:val="none"/>
        </w:rPr>
      </w:pPr>
      <w:r>
        <w:rPr>
          <w:rFonts w:ascii="宋体" w:hAnsi="宋体"/>
          <w:color w:val="auto"/>
          <w:highlight w:val="none"/>
        </w:rPr>
        <w:t>附表五</w:t>
      </w:r>
      <w:r>
        <w:rPr>
          <w:rFonts w:hint="eastAsia" w:ascii="宋体" w:hAnsi="宋体"/>
          <w:color w:val="auto"/>
          <w:highlight w:val="none"/>
        </w:rPr>
        <w:t xml:space="preserve"> </w:t>
      </w:r>
      <w:r>
        <w:rPr>
          <w:rFonts w:ascii="宋体" w:hAnsi="宋体"/>
          <w:color w:val="auto"/>
          <w:highlight w:val="none"/>
        </w:rPr>
        <w:t>施工总平面图</w:t>
      </w:r>
    </w:p>
    <w:p w14:paraId="43916620">
      <w:pPr>
        <w:spacing w:line="360" w:lineRule="auto"/>
        <w:ind w:firstLine="420" w:firstLineChars="200"/>
        <w:rPr>
          <w:rFonts w:ascii="宋体" w:hAnsi="宋体"/>
          <w:color w:val="auto"/>
          <w:highlight w:val="none"/>
        </w:rPr>
      </w:pPr>
      <w:r>
        <w:rPr>
          <w:rFonts w:ascii="宋体" w:hAnsi="宋体"/>
          <w:color w:val="auto"/>
          <w:highlight w:val="none"/>
        </w:rPr>
        <w:t>附表六</w:t>
      </w:r>
      <w:r>
        <w:rPr>
          <w:rFonts w:hint="eastAsia" w:ascii="宋体" w:hAnsi="宋体"/>
          <w:color w:val="auto"/>
          <w:highlight w:val="none"/>
        </w:rPr>
        <w:t xml:space="preserve"> </w:t>
      </w:r>
      <w:r>
        <w:rPr>
          <w:rFonts w:ascii="宋体" w:hAnsi="宋体"/>
          <w:color w:val="auto"/>
          <w:highlight w:val="none"/>
        </w:rPr>
        <w:t>临时用地表</w:t>
      </w:r>
    </w:p>
    <w:p w14:paraId="64469EFC">
      <w:pPr>
        <w:spacing w:line="360" w:lineRule="auto"/>
        <w:rPr>
          <w:rFonts w:ascii="宋体" w:hAnsi="宋体"/>
          <w:b/>
          <w:color w:val="auto"/>
          <w:highlight w:val="none"/>
        </w:rPr>
      </w:pPr>
      <w:r>
        <w:rPr>
          <w:rFonts w:hint="eastAsia" w:ascii="宋体" w:hAnsi="宋体"/>
          <w:b/>
          <w:color w:val="auto"/>
          <w:highlight w:val="none"/>
        </w:rPr>
        <w:t>四</w:t>
      </w:r>
      <w:r>
        <w:rPr>
          <w:rFonts w:ascii="宋体" w:hAnsi="宋体"/>
          <w:b/>
          <w:color w:val="auto"/>
          <w:highlight w:val="none"/>
        </w:rPr>
        <w:t>、</w:t>
      </w:r>
      <w:r>
        <w:rPr>
          <w:rFonts w:hint="eastAsia" w:ascii="宋体" w:hAnsi="宋体"/>
          <w:b/>
          <w:color w:val="auto"/>
          <w:highlight w:val="none"/>
        </w:rPr>
        <w:t>资格审查部分</w:t>
      </w:r>
    </w:p>
    <w:p w14:paraId="6AE1C861">
      <w:pPr>
        <w:spacing w:line="360" w:lineRule="auto"/>
        <w:ind w:firstLine="420" w:firstLineChars="200"/>
        <w:rPr>
          <w:rFonts w:ascii="宋体" w:hAnsi="宋体"/>
          <w:color w:val="auto"/>
          <w:highlight w:val="none"/>
        </w:rPr>
      </w:pPr>
      <w:r>
        <w:rPr>
          <w:rFonts w:ascii="宋体" w:hAnsi="宋体"/>
          <w:color w:val="auto"/>
          <w:highlight w:val="none"/>
        </w:rPr>
        <w:t>（一）</w:t>
      </w:r>
      <w:r>
        <w:rPr>
          <w:rFonts w:hint="eastAsia" w:ascii="宋体" w:hAnsi="宋体"/>
          <w:color w:val="auto"/>
          <w:highlight w:val="none"/>
        </w:rPr>
        <w:t>法定代表人身份证明或附有法定代表人身份证明的授权委托书</w:t>
      </w:r>
    </w:p>
    <w:p w14:paraId="2FB124A4">
      <w:pPr>
        <w:spacing w:line="360" w:lineRule="auto"/>
        <w:ind w:firstLine="420" w:firstLineChars="200"/>
        <w:rPr>
          <w:rFonts w:ascii="宋体" w:hAnsi="宋体"/>
          <w:color w:val="auto"/>
          <w:highlight w:val="none"/>
        </w:rPr>
      </w:pPr>
      <w:r>
        <w:rPr>
          <w:rFonts w:ascii="宋体" w:hAnsi="宋体"/>
          <w:color w:val="auto"/>
          <w:highlight w:val="none"/>
        </w:rPr>
        <w:t>（二）投标人基本情况表</w:t>
      </w:r>
    </w:p>
    <w:p w14:paraId="2AFC45DF">
      <w:pPr>
        <w:spacing w:line="360" w:lineRule="auto"/>
        <w:ind w:firstLine="420" w:firstLineChars="200"/>
        <w:rPr>
          <w:rFonts w:ascii="宋体" w:hAnsi="宋体"/>
          <w:color w:val="auto"/>
          <w:highlight w:val="none"/>
        </w:rPr>
      </w:pPr>
      <w:r>
        <w:rPr>
          <w:rFonts w:ascii="宋体" w:hAnsi="宋体"/>
          <w:color w:val="auto"/>
          <w:highlight w:val="none"/>
        </w:rPr>
        <w:t>（三）项目管理机构</w:t>
      </w:r>
    </w:p>
    <w:p w14:paraId="75A4567B">
      <w:pPr>
        <w:spacing w:line="360" w:lineRule="auto"/>
        <w:ind w:firstLine="420" w:firstLineChars="200"/>
        <w:rPr>
          <w:rFonts w:ascii="宋体" w:hAnsi="宋体"/>
          <w:color w:val="auto"/>
          <w:highlight w:val="none"/>
        </w:rPr>
      </w:pPr>
      <w:r>
        <w:rPr>
          <w:rFonts w:ascii="宋体" w:hAnsi="宋体"/>
          <w:color w:val="auto"/>
          <w:highlight w:val="none"/>
        </w:rPr>
        <w:t>（四）近年财务状况表</w:t>
      </w:r>
    </w:p>
    <w:p w14:paraId="30ACAEFE">
      <w:pPr>
        <w:spacing w:line="360" w:lineRule="auto"/>
        <w:ind w:firstLine="420" w:firstLineChars="200"/>
        <w:rPr>
          <w:rFonts w:ascii="宋体" w:hAnsi="宋体"/>
          <w:color w:val="auto"/>
          <w:highlight w:val="none"/>
        </w:rPr>
      </w:pPr>
      <w:r>
        <w:rPr>
          <w:rFonts w:ascii="宋体" w:hAnsi="宋体"/>
          <w:color w:val="auto"/>
          <w:highlight w:val="none"/>
        </w:rPr>
        <w:t>（五）类似项目情况表</w:t>
      </w:r>
    </w:p>
    <w:p w14:paraId="1CB5948B">
      <w:pPr>
        <w:spacing w:line="360" w:lineRule="auto"/>
        <w:ind w:firstLine="420" w:firstLineChars="200"/>
        <w:rPr>
          <w:rFonts w:ascii="宋体" w:hAnsi="宋体"/>
          <w:color w:val="auto"/>
          <w:highlight w:val="none"/>
        </w:rPr>
      </w:pPr>
      <w:r>
        <w:rPr>
          <w:rFonts w:ascii="宋体" w:hAnsi="宋体"/>
          <w:color w:val="auto"/>
          <w:highlight w:val="none"/>
        </w:rPr>
        <w:t>（六）</w:t>
      </w:r>
      <w:r>
        <w:rPr>
          <w:rFonts w:hint="eastAsia" w:ascii="宋体" w:hAnsi="宋体"/>
          <w:color w:val="auto"/>
          <w:highlight w:val="none"/>
        </w:rPr>
        <w:t>承诺</w:t>
      </w:r>
    </w:p>
    <w:p w14:paraId="33F8904B">
      <w:pPr>
        <w:spacing w:line="360" w:lineRule="auto"/>
        <w:ind w:firstLine="420" w:firstLineChars="200"/>
        <w:rPr>
          <w:rFonts w:ascii="宋体" w:hAnsi="宋体"/>
          <w:color w:val="auto"/>
          <w:highlight w:val="none"/>
        </w:rPr>
      </w:pPr>
      <w:r>
        <w:rPr>
          <w:rFonts w:ascii="宋体" w:hAnsi="宋体"/>
          <w:color w:val="auto"/>
          <w:highlight w:val="none"/>
        </w:rPr>
        <w:t>（七）其他资料</w:t>
      </w:r>
    </w:p>
    <w:p w14:paraId="319C5DDF">
      <w:pPr>
        <w:autoSpaceDE w:val="0"/>
        <w:autoSpaceDN w:val="0"/>
        <w:adjustRightInd w:val="0"/>
        <w:spacing w:line="276" w:lineRule="auto"/>
        <w:ind w:right="-23"/>
        <w:jc w:val="left"/>
        <w:rPr>
          <w:rFonts w:ascii="宋体" w:hAnsi="宋体"/>
          <w:color w:val="auto"/>
          <w:kern w:val="0"/>
          <w:szCs w:val="21"/>
          <w:highlight w:val="none"/>
          <w:u w:val="single"/>
        </w:rPr>
      </w:pPr>
      <w:r>
        <w:rPr>
          <w:rFonts w:ascii="宋体" w:hAnsi="宋体"/>
          <w:b/>
          <w:color w:val="auto"/>
          <w:kern w:val="0"/>
          <w:sz w:val="24"/>
          <w:highlight w:val="none"/>
        </w:rPr>
        <w:br w:type="page"/>
      </w:r>
      <w:bookmarkStart w:id="2052" w:name="_Toc224103494"/>
      <w:bookmarkStart w:id="2053" w:name="_Toc287620813"/>
      <w:bookmarkStart w:id="2054" w:name="_Toc287607866"/>
      <w:bookmarkStart w:id="2055" w:name="_Toc430530529"/>
      <w:bookmarkStart w:id="2056" w:name="_Toc277082642"/>
    </w:p>
    <w:p w14:paraId="132560FC">
      <w:pPr>
        <w:pStyle w:val="4"/>
        <w:spacing w:line="360" w:lineRule="auto"/>
        <w:jc w:val="center"/>
        <w:rPr>
          <w:rFonts w:ascii="宋体" w:hAnsi="宋体"/>
          <w:b w:val="0"/>
          <w:bCs w:val="0"/>
          <w:color w:val="auto"/>
          <w:sz w:val="44"/>
          <w:szCs w:val="44"/>
          <w:highlight w:val="none"/>
        </w:rPr>
      </w:pPr>
      <w:bookmarkStart w:id="2057" w:name="_Toc117005254"/>
      <w:r>
        <w:rPr>
          <w:rFonts w:hint="eastAsia" w:ascii="宋体" w:hAnsi="宋体"/>
          <w:b w:val="0"/>
          <w:bCs w:val="0"/>
          <w:color w:val="auto"/>
          <w:sz w:val="44"/>
          <w:szCs w:val="44"/>
          <w:highlight w:val="none"/>
        </w:rPr>
        <w:t>一、投标函部分</w:t>
      </w:r>
      <w:bookmarkEnd w:id="2052"/>
      <w:bookmarkEnd w:id="2053"/>
      <w:bookmarkEnd w:id="2054"/>
      <w:bookmarkEnd w:id="2055"/>
      <w:bookmarkEnd w:id="2056"/>
      <w:bookmarkEnd w:id="2057"/>
    </w:p>
    <w:p w14:paraId="2361E578">
      <w:pPr>
        <w:tabs>
          <w:tab w:val="left" w:pos="2580"/>
          <w:tab w:val="left" w:pos="5940"/>
        </w:tabs>
        <w:autoSpaceDE w:val="0"/>
        <w:autoSpaceDN w:val="0"/>
        <w:adjustRightInd w:val="0"/>
        <w:snapToGrid w:val="0"/>
        <w:spacing w:line="360" w:lineRule="auto"/>
        <w:jc w:val="left"/>
        <w:rPr>
          <w:rFonts w:ascii="宋体" w:hAnsi="宋体"/>
          <w:color w:val="auto"/>
          <w:kern w:val="0"/>
          <w:sz w:val="28"/>
          <w:szCs w:val="28"/>
          <w:highlight w:val="none"/>
        </w:rPr>
      </w:pPr>
      <w:r>
        <w:rPr>
          <w:rFonts w:ascii="宋体" w:hAnsi="宋体"/>
          <w:color w:val="auto"/>
          <w:kern w:val="0"/>
          <w:sz w:val="28"/>
          <w:szCs w:val="28"/>
          <w:highlight w:val="none"/>
        </w:rPr>
        <w:br w:type="page"/>
      </w:r>
    </w:p>
    <w:p w14:paraId="4CD3D179">
      <w:pPr>
        <w:spacing w:line="360" w:lineRule="auto"/>
        <w:jc w:val="center"/>
        <w:rPr>
          <w:rFonts w:ascii="宋体" w:hAnsi="宋体"/>
          <w:color w:val="auto"/>
          <w:kern w:val="0"/>
          <w:sz w:val="32"/>
          <w:szCs w:val="32"/>
          <w:highlight w:val="none"/>
        </w:rPr>
      </w:pPr>
      <w:r>
        <w:rPr>
          <w:rFonts w:hint="eastAsia" w:ascii="宋体" w:hAnsi="宋体"/>
          <w:color w:val="auto"/>
          <w:kern w:val="0"/>
          <w:sz w:val="32"/>
          <w:szCs w:val="32"/>
          <w:highlight w:val="none"/>
          <w:u w:val="single"/>
        </w:rPr>
        <w:t xml:space="preserve">                   （项目名称）</w:t>
      </w:r>
    </w:p>
    <w:p w14:paraId="31AD9454">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14:paraId="2B6E17D4">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14:paraId="377A20D8">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14:paraId="4EE35524">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14:paraId="7825EACF">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14:paraId="3CFCFDF2">
      <w:pPr>
        <w:tabs>
          <w:tab w:val="left" w:pos="3600"/>
          <w:tab w:val="left" w:pos="4480"/>
          <w:tab w:val="left" w:pos="5360"/>
        </w:tabs>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投 标 文 件</w:t>
      </w:r>
    </w:p>
    <w:p w14:paraId="637208EB">
      <w:pPr>
        <w:autoSpaceDE w:val="0"/>
        <w:autoSpaceDN w:val="0"/>
        <w:adjustRightInd w:val="0"/>
        <w:snapToGrid w:val="0"/>
        <w:spacing w:line="360" w:lineRule="auto"/>
        <w:jc w:val="left"/>
        <w:rPr>
          <w:rFonts w:ascii="宋体" w:hAnsi="宋体"/>
          <w:color w:val="auto"/>
          <w:kern w:val="0"/>
          <w:sz w:val="16"/>
          <w:szCs w:val="16"/>
          <w:highlight w:val="none"/>
        </w:rPr>
      </w:pPr>
    </w:p>
    <w:p w14:paraId="5457F473">
      <w:pPr>
        <w:autoSpaceDE w:val="0"/>
        <w:autoSpaceDN w:val="0"/>
        <w:adjustRightInd w:val="0"/>
        <w:snapToGrid w:val="0"/>
        <w:spacing w:line="360" w:lineRule="auto"/>
        <w:jc w:val="center"/>
        <w:rPr>
          <w:rFonts w:ascii="宋体" w:hAnsi="宋体"/>
          <w:color w:val="auto"/>
          <w:kern w:val="0"/>
          <w:sz w:val="36"/>
          <w:szCs w:val="36"/>
          <w:highlight w:val="none"/>
        </w:rPr>
      </w:pPr>
      <w:r>
        <w:rPr>
          <w:rFonts w:hint="eastAsia" w:ascii="宋体" w:hAnsi="宋体"/>
          <w:color w:val="auto"/>
          <w:kern w:val="0"/>
          <w:sz w:val="36"/>
          <w:szCs w:val="36"/>
          <w:highlight w:val="none"/>
        </w:rPr>
        <w:t>投标函部分</w:t>
      </w:r>
    </w:p>
    <w:p w14:paraId="047D8200">
      <w:pPr>
        <w:autoSpaceDE w:val="0"/>
        <w:autoSpaceDN w:val="0"/>
        <w:adjustRightInd w:val="0"/>
        <w:snapToGrid w:val="0"/>
        <w:spacing w:line="360" w:lineRule="auto"/>
        <w:jc w:val="left"/>
        <w:rPr>
          <w:rFonts w:ascii="宋体" w:hAnsi="宋体"/>
          <w:b/>
          <w:color w:val="auto"/>
          <w:kern w:val="0"/>
          <w:sz w:val="20"/>
          <w:szCs w:val="20"/>
          <w:highlight w:val="none"/>
        </w:rPr>
      </w:pPr>
    </w:p>
    <w:p w14:paraId="628A1540">
      <w:pPr>
        <w:autoSpaceDE w:val="0"/>
        <w:autoSpaceDN w:val="0"/>
        <w:adjustRightInd w:val="0"/>
        <w:snapToGrid w:val="0"/>
        <w:spacing w:line="360" w:lineRule="auto"/>
        <w:jc w:val="left"/>
        <w:rPr>
          <w:rFonts w:ascii="宋体" w:hAnsi="宋体"/>
          <w:b/>
          <w:color w:val="auto"/>
          <w:kern w:val="0"/>
          <w:sz w:val="20"/>
          <w:szCs w:val="20"/>
          <w:highlight w:val="none"/>
        </w:rPr>
      </w:pPr>
    </w:p>
    <w:p w14:paraId="7E336871">
      <w:pPr>
        <w:autoSpaceDE w:val="0"/>
        <w:autoSpaceDN w:val="0"/>
        <w:adjustRightInd w:val="0"/>
        <w:snapToGrid w:val="0"/>
        <w:spacing w:line="360" w:lineRule="auto"/>
        <w:jc w:val="left"/>
        <w:rPr>
          <w:rFonts w:ascii="宋体" w:hAnsi="宋体"/>
          <w:b/>
          <w:color w:val="auto"/>
          <w:kern w:val="0"/>
          <w:sz w:val="20"/>
          <w:szCs w:val="20"/>
          <w:highlight w:val="none"/>
        </w:rPr>
      </w:pPr>
    </w:p>
    <w:p w14:paraId="39EC5834">
      <w:pPr>
        <w:autoSpaceDE w:val="0"/>
        <w:autoSpaceDN w:val="0"/>
        <w:adjustRightInd w:val="0"/>
        <w:snapToGrid w:val="0"/>
        <w:spacing w:line="360" w:lineRule="auto"/>
        <w:jc w:val="left"/>
        <w:rPr>
          <w:rFonts w:ascii="宋体" w:hAnsi="宋体"/>
          <w:b/>
          <w:color w:val="auto"/>
          <w:kern w:val="0"/>
          <w:sz w:val="20"/>
          <w:szCs w:val="20"/>
          <w:highlight w:val="none"/>
        </w:rPr>
      </w:pPr>
    </w:p>
    <w:p w14:paraId="577E5239">
      <w:pPr>
        <w:autoSpaceDE w:val="0"/>
        <w:autoSpaceDN w:val="0"/>
        <w:adjustRightInd w:val="0"/>
        <w:snapToGrid w:val="0"/>
        <w:spacing w:line="360" w:lineRule="auto"/>
        <w:jc w:val="left"/>
        <w:rPr>
          <w:rFonts w:ascii="宋体" w:hAnsi="宋体"/>
          <w:b/>
          <w:color w:val="auto"/>
          <w:kern w:val="0"/>
          <w:sz w:val="20"/>
          <w:szCs w:val="20"/>
          <w:highlight w:val="none"/>
        </w:rPr>
      </w:pPr>
    </w:p>
    <w:p w14:paraId="21FDEE9A">
      <w:pPr>
        <w:autoSpaceDE w:val="0"/>
        <w:autoSpaceDN w:val="0"/>
        <w:adjustRightInd w:val="0"/>
        <w:snapToGrid w:val="0"/>
        <w:spacing w:line="360" w:lineRule="auto"/>
        <w:jc w:val="left"/>
        <w:rPr>
          <w:rFonts w:ascii="宋体" w:hAnsi="宋体"/>
          <w:b/>
          <w:color w:val="auto"/>
          <w:kern w:val="0"/>
          <w:sz w:val="20"/>
          <w:szCs w:val="20"/>
          <w:highlight w:val="none"/>
        </w:rPr>
      </w:pPr>
    </w:p>
    <w:p w14:paraId="217AA2CC">
      <w:pPr>
        <w:autoSpaceDE w:val="0"/>
        <w:autoSpaceDN w:val="0"/>
        <w:adjustRightInd w:val="0"/>
        <w:snapToGrid w:val="0"/>
        <w:spacing w:line="360" w:lineRule="auto"/>
        <w:jc w:val="left"/>
        <w:rPr>
          <w:rFonts w:ascii="宋体" w:hAnsi="宋体"/>
          <w:b/>
          <w:color w:val="auto"/>
          <w:kern w:val="0"/>
          <w:sz w:val="20"/>
          <w:szCs w:val="20"/>
          <w:highlight w:val="none"/>
        </w:rPr>
      </w:pPr>
    </w:p>
    <w:p w14:paraId="26C6C3A0">
      <w:pPr>
        <w:autoSpaceDE w:val="0"/>
        <w:autoSpaceDN w:val="0"/>
        <w:adjustRightInd w:val="0"/>
        <w:snapToGrid w:val="0"/>
        <w:spacing w:line="360" w:lineRule="auto"/>
        <w:jc w:val="left"/>
        <w:rPr>
          <w:rFonts w:ascii="宋体" w:hAnsi="宋体"/>
          <w:b/>
          <w:color w:val="auto"/>
          <w:kern w:val="0"/>
          <w:sz w:val="20"/>
          <w:szCs w:val="20"/>
          <w:highlight w:val="none"/>
        </w:rPr>
      </w:pPr>
    </w:p>
    <w:p w14:paraId="2985F5BB">
      <w:pPr>
        <w:autoSpaceDE w:val="0"/>
        <w:autoSpaceDN w:val="0"/>
        <w:adjustRightInd w:val="0"/>
        <w:snapToGrid w:val="0"/>
        <w:spacing w:line="360" w:lineRule="auto"/>
        <w:jc w:val="left"/>
        <w:rPr>
          <w:rFonts w:ascii="宋体" w:hAnsi="宋体"/>
          <w:b/>
          <w:color w:val="auto"/>
          <w:kern w:val="0"/>
          <w:sz w:val="20"/>
          <w:szCs w:val="20"/>
          <w:highlight w:val="none"/>
        </w:rPr>
      </w:pPr>
    </w:p>
    <w:p w14:paraId="653CCA4B">
      <w:pPr>
        <w:autoSpaceDE w:val="0"/>
        <w:autoSpaceDN w:val="0"/>
        <w:adjustRightInd w:val="0"/>
        <w:snapToGrid w:val="0"/>
        <w:spacing w:line="360" w:lineRule="auto"/>
        <w:jc w:val="left"/>
        <w:rPr>
          <w:rFonts w:ascii="宋体" w:hAnsi="宋体"/>
          <w:b/>
          <w:color w:val="auto"/>
          <w:kern w:val="0"/>
          <w:sz w:val="20"/>
          <w:szCs w:val="20"/>
          <w:highlight w:val="none"/>
        </w:rPr>
      </w:pPr>
    </w:p>
    <w:p w14:paraId="34676112">
      <w:pPr>
        <w:autoSpaceDE w:val="0"/>
        <w:autoSpaceDN w:val="0"/>
        <w:adjustRightInd w:val="0"/>
        <w:snapToGrid w:val="0"/>
        <w:spacing w:line="360" w:lineRule="auto"/>
        <w:jc w:val="left"/>
        <w:rPr>
          <w:rFonts w:ascii="宋体" w:hAnsi="宋体"/>
          <w:b/>
          <w:color w:val="auto"/>
          <w:kern w:val="0"/>
          <w:sz w:val="20"/>
          <w:szCs w:val="20"/>
          <w:highlight w:val="none"/>
        </w:rPr>
      </w:pPr>
    </w:p>
    <w:p w14:paraId="292F5019">
      <w:pPr>
        <w:tabs>
          <w:tab w:val="left" w:pos="6080"/>
          <w:tab w:val="left" w:pos="6640"/>
        </w:tabs>
        <w:autoSpaceDE w:val="0"/>
        <w:autoSpaceDN w:val="0"/>
        <w:adjustRightInd w:val="0"/>
        <w:snapToGrid w:val="0"/>
        <w:spacing w:after="156" w:afterLines="50" w:line="360" w:lineRule="auto"/>
        <w:jc w:val="center"/>
        <w:rPr>
          <w:rFonts w:ascii="宋体" w:hAnsi="宋体"/>
          <w:color w:val="auto"/>
          <w:w w:val="99"/>
          <w:kern w:val="0"/>
          <w:sz w:val="28"/>
          <w:szCs w:val="28"/>
          <w:highlight w:val="none"/>
        </w:rPr>
      </w:pPr>
      <w:r>
        <w:rPr>
          <w:rFonts w:ascii="宋体" w:hAnsi="宋体"/>
          <w:color w:val="auto"/>
          <w:w w:val="99"/>
          <w:kern w:val="0"/>
          <w:sz w:val="28"/>
          <w:szCs w:val="28"/>
          <w:highlight w:val="none"/>
        </w:rPr>
        <w:t>投标人</w:t>
      </w:r>
      <w:r>
        <w:rPr>
          <w:rFonts w:ascii="宋体" w:hAnsi="宋体"/>
          <w:color w:val="auto"/>
          <w:spacing w:val="1"/>
          <w:w w:val="99"/>
          <w:kern w:val="0"/>
          <w:sz w:val="28"/>
          <w:szCs w:val="28"/>
          <w:highlight w:val="none"/>
        </w:rPr>
        <w:t>：</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（盖单位法人章）</w:t>
      </w:r>
    </w:p>
    <w:p w14:paraId="1F312145">
      <w:pPr>
        <w:tabs>
          <w:tab w:val="left" w:pos="6080"/>
          <w:tab w:val="left" w:pos="6640"/>
        </w:tabs>
        <w:autoSpaceDE w:val="0"/>
        <w:autoSpaceDN w:val="0"/>
        <w:adjustRightInd w:val="0"/>
        <w:snapToGrid w:val="0"/>
        <w:spacing w:after="156" w:afterLines="50" w:line="360" w:lineRule="auto"/>
        <w:jc w:val="center"/>
        <w:rPr>
          <w:rFonts w:ascii="宋体" w:hAnsi="宋体"/>
          <w:color w:val="auto"/>
          <w:kern w:val="0"/>
          <w:sz w:val="28"/>
          <w:szCs w:val="28"/>
          <w:highlight w:val="none"/>
        </w:rPr>
      </w:pPr>
      <w:r>
        <w:rPr>
          <w:rFonts w:ascii="宋体" w:hAnsi="宋体"/>
          <w:color w:val="auto"/>
          <w:w w:val="99"/>
          <w:kern w:val="0"/>
          <w:sz w:val="28"/>
          <w:szCs w:val="28"/>
          <w:highlight w:val="none"/>
        </w:rPr>
        <w:t>法定代表人或其委托代理人：</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w:t>
      </w:r>
      <w:r>
        <w:rPr>
          <w:rFonts w:hint="eastAsia" w:ascii="宋体" w:hAnsi="宋体"/>
          <w:color w:val="auto"/>
          <w:w w:val="99"/>
          <w:kern w:val="0"/>
          <w:sz w:val="28"/>
          <w:szCs w:val="28"/>
          <w:highlight w:val="none"/>
        </w:rPr>
        <w:t>签名</w:t>
      </w:r>
      <w:r>
        <w:rPr>
          <w:rFonts w:ascii="宋体" w:hAnsi="宋体"/>
          <w:color w:val="auto"/>
          <w:w w:val="99"/>
          <w:kern w:val="0"/>
          <w:sz w:val="28"/>
          <w:szCs w:val="28"/>
          <w:highlight w:val="none"/>
        </w:rPr>
        <w:t>或盖章）</w:t>
      </w:r>
    </w:p>
    <w:p w14:paraId="0CB276B6">
      <w:pPr>
        <w:autoSpaceDE w:val="0"/>
        <w:autoSpaceDN w:val="0"/>
        <w:adjustRightInd w:val="0"/>
        <w:snapToGrid w:val="0"/>
        <w:spacing w:line="360" w:lineRule="auto"/>
        <w:jc w:val="center"/>
        <w:rPr>
          <w:rFonts w:ascii="宋体" w:hAnsi="宋体"/>
          <w:color w:val="auto"/>
          <w:kern w:val="0"/>
          <w:sz w:val="24"/>
          <w:szCs w:val="21"/>
          <w:highlight w:val="none"/>
        </w:rPr>
      </w:pPr>
      <w:r>
        <w:rPr>
          <w:rFonts w:hint="eastAsia" w:ascii="宋体" w:hAnsi="宋体"/>
          <w:color w:val="auto"/>
          <w:w w:val="99"/>
          <w:kern w:val="0"/>
          <w:sz w:val="28"/>
          <w:szCs w:val="28"/>
          <w:highlight w:val="none"/>
          <w:u w:val="single"/>
        </w:rPr>
        <w:t xml:space="preserve">    </w:t>
      </w:r>
      <w:r>
        <w:rPr>
          <w:rFonts w:hint="eastAsia" w:ascii="宋体" w:hAnsi="宋体"/>
          <w:color w:val="auto"/>
          <w:w w:val="99"/>
          <w:kern w:val="0"/>
          <w:sz w:val="28"/>
          <w:szCs w:val="28"/>
          <w:highlight w:val="none"/>
        </w:rPr>
        <w:t>年</w:t>
      </w:r>
      <w:r>
        <w:rPr>
          <w:rFonts w:hint="eastAsia" w:ascii="宋体" w:hAnsi="宋体"/>
          <w:color w:val="auto"/>
          <w:w w:val="99"/>
          <w:kern w:val="0"/>
          <w:sz w:val="28"/>
          <w:szCs w:val="28"/>
          <w:highlight w:val="none"/>
          <w:u w:val="single"/>
        </w:rPr>
        <w:t xml:space="preserve">    </w:t>
      </w:r>
      <w:r>
        <w:rPr>
          <w:rFonts w:hint="eastAsia" w:ascii="宋体" w:hAnsi="宋体"/>
          <w:color w:val="auto"/>
          <w:w w:val="99"/>
          <w:kern w:val="0"/>
          <w:sz w:val="28"/>
          <w:szCs w:val="28"/>
          <w:highlight w:val="none"/>
        </w:rPr>
        <w:t>月</w:t>
      </w:r>
      <w:r>
        <w:rPr>
          <w:rFonts w:hint="eastAsia" w:ascii="宋体" w:hAnsi="宋体"/>
          <w:color w:val="auto"/>
          <w:w w:val="99"/>
          <w:kern w:val="0"/>
          <w:sz w:val="28"/>
          <w:szCs w:val="28"/>
          <w:highlight w:val="none"/>
          <w:u w:val="single"/>
        </w:rPr>
        <w:t xml:space="preserve">    </w:t>
      </w:r>
      <w:r>
        <w:rPr>
          <w:rFonts w:hint="eastAsia" w:ascii="宋体" w:hAnsi="宋体"/>
          <w:color w:val="auto"/>
          <w:w w:val="99"/>
          <w:kern w:val="0"/>
          <w:sz w:val="28"/>
          <w:szCs w:val="28"/>
          <w:highlight w:val="none"/>
        </w:rPr>
        <w:t>日</w:t>
      </w:r>
      <w:r>
        <w:rPr>
          <w:rFonts w:ascii="宋体" w:hAnsi="宋体"/>
          <w:color w:val="auto"/>
          <w:kern w:val="0"/>
          <w:sz w:val="24"/>
          <w:szCs w:val="21"/>
          <w:highlight w:val="none"/>
        </w:rPr>
        <w:br w:type="page"/>
      </w:r>
    </w:p>
    <w:p w14:paraId="0A346671">
      <w:pPr>
        <w:autoSpaceDE w:val="0"/>
        <w:autoSpaceDN w:val="0"/>
        <w:adjustRightInd w:val="0"/>
        <w:snapToGrid w:val="0"/>
        <w:spacing w:line="360" w:lineRule="auto"/>
        <w:jc w:val="center"/>
        <w:rPr>
          <w:rFonts w:ascii="宋体" w:hAnsi="宋体"/>
          <w:color w:val="auto"/>
          <w:kern w:val="0"/>
          <w:sz w:val="36"/>
          <w:szCs w:val="36"/>
          <w:highlight w:val="none"/>
        </w:rPr>
      </w:pPr>
      <w:r>
        <w:rPr>
          <w:rFonts w:hint="eastAsia" w:ascii="宋体" w:hAnsi="宋体"/>
          <w:color w:val="auto"/>
          <w:kern w:val="0"/>
          <w:sz w:val="36"/>
          <w:szCs w:val="36"/>
          <w:highlight w:val="none"/>
        </w:rPr>
        <w:t>目  录</w:t>
      </w:r>
    </w:p>
    <w:p w14:paraId="668DD66C">
      <w:pPr>
        <w:autoSpaceDE w:val="0"/>
        <w:autoSpaceDN w:val="0"/>
        <w:adjustRightInd w:val="0"/>
        <w:snapToGrid w:val="0"/>
        <w:spacing w:line="360" w:lineRule="auto"/>
        <w:jc w:val="left"/>
        <w:rPr>
          <w:rFonts w:ascii="宋体" w:hAnsi="宋体"/>
          <w:color w:val="auto"/>
          <w:kern w:val="0"/>
          <w:sz w:val="24"/>
          <w:szCs w:val="21"/>
          <w:highlight w:val="none"/>
        </w:rPr>
      </w:pPr>
    </w:p>
    <w:p w14:paraId="3F3E0A79">
      <w:pPr>
        <w:autoSpaceDE w:val="0"/>
        <w:autoSpaceDN w:val="0"/>
        <w:adjustRightInd w:val="0"/>
        <w:spacing w:line="360" w:lineRule="auto"/>
        <w:ind w:firstLine="480" w:firstLineChars="200"/>
        <w:jc w:val="left"/>
        <w:rPr>
          <w:rFonts w:ascii="宋体" w:hAnsi="宋体"/>
          <w:color w:val="auto"/>
          <w:kern w:val="0"/>
          <w:sz w:val="24"/>
          <w:highlight w:val="none"/>
        </w:rPr>
      </w:pPr>
      <w:r>
        <w:rPr>
          <w:rFonts w:ascii="宋体" w:hAnsi="宋体"/>
          <w:color w:val="auto"/>
          <w:kern w:val="0"/>
          <w:sz w:val="24"/>
          <w:highlight w:val="none"/>
        </w:rPr>
        <w:t>（一）投标函</w:t>
      </w:r>
    </w:p>
    <w:p w14:paraId="7D77D9B9">
      <w:pPr>
        <w:autoSpaceDE w:val="0"/>
        <w:autoSpaceDN w:val="0"/>
        <w:adjustRightInd w:val="0"/>
        <w:spacing w:line="360" w:lineRule="auto"/>
        <w:ind w:firstLine="480" w:firstLineChars="200"/>
        <w:jc w:val="left"/>
        <w:rPr>
          <w:rFonts w:ascii="宋体" w:hAnsi="宋体"/>
          <w:color w:val="auto"/>
          <w:kern w:val="0"/>
          <w:sz w:val="24"/>
          <w:highlight w:val="none"/>
        </w:rPr>
      </w:pPr>
      <w:r>
        <w:rPr>
          <w:rFonts w:ascii="宋体" w:hAnsi="宋体"/>
          <w:color w:val="auto"/>
          <w:kern w:val="0"/>
          <w:sz w:val="24"/>
          <w:highlight w:val="none"/>
        </w:rPr>
        <w:t>（二）投标函附录</w:t>
      </w:r>
    </w:p>
    <w:p w14:paraId="085A0515">
      <w:pPr>
        <w:autoSpaceDE w:val="0"/>
        <w:autoSpaceDN w:val="0"/>
        <w:adjustRightInd w:val="0"/>
        <w:spacing w:line="360" w:lineRule="auto"/>
        <w:ind w:firstLine="480" w:firstLineChars="200"/>
        <w:jc w:val="left"/>
        <w:rPr>
          <w:rFonts w:ascii="宋体" w:hAnsi="宋体"/>
          <w:color w:val="auto"/>
          <w:kern w:val="0"/>
          <w:sz w:val="24"/>
          <w:highlight w:val="none"/>
        </w:rPr>
      </w:pPr>
      <w:r>
        <w:rPr>
          <w:rFonts w:ascii="宋体" w:hAnsi="宋体"/>
          <w:color w:val="auto"/>
          <w:kern w:val="0"/>
          <w:sz w:val="24"/>
          <w:highlight w:val="none"/>
        </w:rPr>
        <w:t>（三）</w:t>
      </w:r>
      <w:r>
        <w:rPr>
          <w:rFonts w:hint="eastAsia" w:ascii="宋体" w:hAnsi="宋体"/>
          <w:color w:val="auto"/>
          <w:kern w:val="0"/>
          <w:sz w:val="24"/>
          <w:highlight w:val="none"/>
        </w:rPr>
        <w:t>法定代表人身份证明或附有法定代表人身份证明的授权委托书</w:t>
      </w:r>
    </w:p>
    <w:p w14:paraId="32276776">
      <w:pPr>
        <w:autoSpaceDE w:val="0"/>
        <w:autoSpaceDN w:val="0"/>
        <w:adjustRightInd w:val="0"/>
        <w:spacing w:line="360" w:lineRule="auto"/>
        <w:ind w:firstLine="480" w:firstLineChars="200"/>
        <w:jc w:val="left"/>
        <w:rPr>
          <w:rFonts w:ascii="宋体" w:hAnsi="宋体"/>
          <w:color w:val="auto"/>
          <w:kern w:val="0"/>
          <w:sz w:val="24"/>
          <w:highlight w:val="none"/>
        </w:rPr>
      </w:pPr>
      <w:r>
        <w:rPr>
          <w:rFonts w:ascii="宋体" w:hAnsi="宋体"/>
          <w:color w:val="auto"/>
          <w:kern w:val="0"/>
          <w:sz w:val="24"/>
          <w:highlight w:val="none"/>
        </w:rPr>
        <w:t>（四）</w:t>
      </w:r>
      <w:r>
        <w:rPr>
          <w:rFonts w:hint="eastAsia" w:ascii="宋体" w:hAnsi="宋体"/>
          <w:color w:val="auto"/>
          <w:kern w:val="0"/>
          <w:sz w:val="24"/>
          <w:highlight w:val="none"/>
        </w:rPr>
        <w:t>低价风险担保提交承诺书（如有）</w:t>
      </w:r>
    </w:p>
    <w:p w14:paraId="61D3651A">
      <w:pPr>
        <w:pStyle w:val="5"/>
        <w:spacing w:before="0" w:after="0" w:line="240" w:lineRule="auto"/>
        <w:jc w:val="center"/>
        <w:rPr>
          <w:rFonts w:ascii="宋体" w:hAnsi="宋体"/>
          <w:b w:val="0"/>
          <w:color w:val="auto"/>
          <w:highlight w:val="none"/>
        </w:rPr>
      </w:pPr>
      <w:bookmarkStart w:id="2058" w:name="_Toc287620814"/>
      <w:bookmarkStart w:id="2059" w:name="_Toc509218854"/>
      <w:bookmarkStart w:id="2060" w:name="_Toc534185831"/>
      <w:bookmarkStart w:id="2061" w:name="_Toc287607867"/>
      <w:bookmarkStart w:id="2062" w:name="_Toc224103495"/>
      <w:bookmarkStart w:id="2063" w:name="_Toc430530530"/>
      <w:bookmarkStart w:id="2064" w:name="_Toc277082643"/>
      <w:r>
        <w:rPr>
          <w:rFonts w:ascii="宋体" w:hAnsi="宋体"/>
          <w:color w:val="auto"/>
          <w:highlight w:val="none"/>
        </w:rPr>
        <w:br w:type="page"/>
      </w:r>
      <w:bookmarkStart w:id="2065" w:name="_Toc117005255"/>
      <w:r>
        <w:rPr>
          <w:rFonts w:hint="eastAsia" w:ascii="宋体" w:hAnsi="宋体"/>
          <w:b w:val="0"/>
          <w:bCs w:val="0"/>
          <w:color w:val="auto"/>
          <w:highlight w:val="none"/>
        </w:rPr>
        <w:t>（一）投标函</w:t>
      </w:r>
      <w:bookmarkEnd w:id="2058"/>
      <w:bookmarkEnd w:id="2059"/>
      <w:bookmarkEnd w:id="2060"/>
      <w:bookmarkEnd w:id="2061"/>
      <w:bookmarkEnd w:id="2062"/>
      <w:bookmarkEnd w:id="2063"/>
      <w:bookmarkEnd w:id="2064"/>
      <w:bookmarkEnd w:id="2065"/>
    </w:p>
    <w:p w14:paraId="1E9C87F2">
      <w:pPr>
        <w:tabs>
          <w:tab w:val="left" w:pos="2640"/>
        </w:tabs>
        <w:autoSpaceDE w:val="0"/>
        <w:autoSpaceDN w:val="0"/>
        <w:adjustRightInd w:val="0"/>
        <w:spacing w:line="400" w:lineRule="exact"/>
        <w:rPr>
          <w:rFonts w:ascii="宋体" w:hAnsi="宋体"/>
          <w:snapToGrid w:val="0"/>
          <w:color w:val="auto"/>
          <w:kern w:val="0"/>
          <w:szCs w:val="21"/>
          <w:highlight w:val="none"/>
        </w:rPr>
      </w:pP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（招标人名称）</w:t>
      </w:r>
      <w:r>
        <w:rPr>
          <w:rFonts w:ascii="宋体" w:hAnsi="宋体"/>
          <w:snapToGrid w:val="0"/>
          <w:color w:val="auto"/>
          <w:kern w:val="0"/>
          <w:szCs w:val="21"/>
          <w:highlight w:val="none"/>
        </w:rPr>
        <w:t>：</w:t>
      </w:r>
    </w:p>
    <w:p w14:paraId="4388C975">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1</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我方已仔细研究了</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（项目名称）</w:t>
      </w:r>
      <w:r>
        <w:rPr>
          <w:rFonts w:ascii="宋体" w:hAnsi="宋体"/>
          <w:snapToGrid w:val="0"/>
          <w:color w:val="auto"/>
          <w:kern w:val="0"/>
          <w:szCs w:val="21"/>
          <w:highlight w:val="none"/>
        </w:rPr>
        <w:t>招标文件的全部内容，愿意以人民币（大写）</w:t>
      </w:r>
      <w:r>
        <w:rPr>
          <w:rFonts w:ascii="宋体" w:hAnsi="宋体"/>
          <w:snapToGrid w:val="0"/>
          <w:color w:val="auto"/>
          <w:kern w:val="0"/>
          <w:szCs w:val="21"/>
          <w:highlight w:val="none"/>
          <w:u w:val="single"/>
        </w:rPr>
        <w:tab/>
      </w:r>
      <w:r>
        <w:rPr>
          <w:rFonts w:ascii="宋体" w:hAnsi="宋体"/>
          <w:snapToGrid w:val="0"/>
          <w:color w:val="auto"/>
          <w:kern w:val="0"/>
          <w:szCs w:val="21"/>
          <w:highlight w:val="none"/>
        </w:rPr>
        <w:t>（¥</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）的投标总报价进行报价，其中</w:t>
      </w:r>
      <w:r>
        <w:rPr>
          <w:rFonts w:ascii="宋体" w:hAnsi="宋体"/>
          <w:snapToGrid w:val="0"/>
          <w:color w:val="auto"/>
          <w:kern w:val="0"/>
          <w:highlight w:val="none"/>
        </w:rPr>
        <w:t>安全文明施工费暂定金额为人民币</w:t>
      </w:r>
      <w:r>
        <w:rPr>
          <w:rFonts w:ascii="宋体" w:hAnsi="宋体"/>
          <w:snapToGrid w:val="0"/>
          <w:color w:val="auto"/>
          <w:kern w:val="0"/>
          <w:szCs w:val="21"/>
          <w:highlight w:val="none"/>
        </w:rPr>
        <w:t>（大写）</w:t>
      </w:r>
      <w:r>
        <w:rPr>
          <w:rFonts w:ascii="宋体" w:hAnsi="宋体"/>
          <w:snapToGrid w:val="0"/>
          <w:color w:val="auto"/>
          <w:kern w:val="0"/>
          <w:szCs w:val="21"/>
          <w:highlight w:val="none"/>
          <w:u w:val="single"/>
        </w:rPr>
        <w:tab/>
      </w:r>
      <w:r>
        <w:rPr>
          <w:rFonts w:ascii="宋体" w:hAnsi="宋体"/>
          <w:snapToGrid w:val="0"/>
          <w:color w:val="auto"/>
          <w:kern w:val="0"/>
          <w:szCs w:val="21"/>
          <w:highlight w:val="none"/>
        </w:rPr>
        <w:t>（¥</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），该工程</w:t>
      </w:r>
      <w:r>
        <w:rPr>
          <w:rFonts w:ascii="宋体" w:hAnsi="宋体"/>
          <w:snapToGrid w:val="0"/>
          <w:color w:val="auto"/>
          <w:kern w:val="0"/>
          <w:highlight w:val="none"/>
        </w:rPr>
        <w:t>项目经理为</w:t>
      </w:r>
      <w:r>
        <w:rPr>
          <w:rFonts w:hint="eastAsia" w:ascii="宋体" w:hAnsi="宋体"/>
          <w:snapToGrid w:val="0"/>
          <w:color w:val="auto"/>
          <w:kern w:val="0"/>
          <w:highlight w:val="none"/>
          <w:u w:val="single"/>
        </w:rPr>
        <w:t xml:space="preserve">        </w:t>
      </w:r>
      <w:r>
        <w:rPr>
          <w:rFonts w:hint="eastAsia" w:ascii="宋体" w:hAnsi="宋体"/>
          <w:snapToGrid w:val="0"/>
          <w:color w:val="auto"/>
          <w:kern w:val="0"/>
          <w:szCs w:val="21"/>
          <w:highlight w:val="none"/>
        </w:rPr>
        <w:t>，身份证号码为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；委托代理人为：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，身份证号码为</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。工期</w:t>
      </w:r>
      <w:r>
        <w:rPr>
          <w:rFonts w:hint="eastAsia" w:ascii="宋体" w:hAnsi="宋体"/>
          <w:snapToGrid w:val="0"/>
          <w:color w:val="auto"/>
          <w:kern w:val="0"/>
          <w:szCs w:val="21"/>
          <w:highlight w:val="none"/>
          <w:u w:val="single"/>
        </w:rPr>
        <w:t>达到招标文件的要求</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缺陷责任期</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w:t>
      </w:r>
      <w:r>
        <w:rPr>
          <w:rFonts w:ascii="宋体" w:hAnsi="宋体"/>
          <w:snapToGrid w:val="0"/>
          <w:color w:val="auto"/>
          <w:kern w:val="0"/>
          <w:szCs w:val="21"/>
          <w:highlight w:val="none"/>
        </w:rPr>
        <w:t xml:space="preserve"> 按合同约定实施和完成承包工程，修补工程中的任何缺陷，工程质量</w:t>
      </w:r>
      <w:r>
        <w:rPr>
          <w:rFonts w:hint="eastAsia" w:ascii="宋体" w:hAnsi="宋体"/>
          <w:snapToGrid w:val="0"/>
          <w:color w:val="auto"/>
          <w:kern w:val="0"/>
          <w:szCs w:val="21"/>
          <w:highlight w:val="none"/>
          <w:u w:val="single"/>
        </w:rPr>
        <w:t>达到招标文件的要求</w:t>
      </w:r>
      <w:r>
        <w:rPr>
          <w:rFonts w:ascii="宋体" w:hAnsi="宋体"/>
          <w:snapToGrid w:val="0"/>
          <w:color w:val="auto"/>
          <w:kern w:val="0"/>
          <w:szCs w:val="21"/>
          <w:highlight w:val="none"/>
        </w:rPr>
        <w:t>。</w:t>
      </w:r>
    </w:p>
    <w:p w14:paraId="7DDF5BB3">
      <w:pPr>
        <w:autoSpaceDE w:val="0"/>
        <w:autoSpaceDN w:val="0"/>
        <w:adjustRightInd w:val="0"/>
        <w:spacing w:line="400" w:lineRule="exact"/>
        <w:ind w:firstLine="420" w:firstLineChars="200"/>
        <w:rPr>
          <w:rFonts w:ascii="宋体" w:hAnsi="宋体"/>
          <w:snapToGrid w:val="0"/>
          <w:color w:val="auto"/>
          <w:kern w:val="0"/>
          <w:sz w:val="10"/>
          <w:szCs w:val="10"/>
          <w:highlight w:val="none"/>
        </w:rPr>
      </w:pPr>
      <w:r>
        <w:rPr>
          <w:rFonts w:ascii="宋体" w:hAnsi="宋体"/>
          <w:snapToGrid w:val="0"/>
          <w:color w:val="auto"/>
          <w:kern w:val="0"/>
          <w:szCs w:val="21"/>
          <w:highlight w:val="none"/>
        </w:rPr>
        <w:t>2</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我方承诺</w:t>
      </w:r>
      <w:r>
        <w:rPr>
          <w:rFonts w:hint="eastAsia" w:ascii="宋体" w:hAnsi="宋体"/>
          <w:snapToGrid w:val="0"/>
          <w:color w:val="auto"/>
          <w:kern w:val="0"/>
          <w:szCs w:val="21"/>
          <w:highlight w:val="none"/>
        </w:rPr>
        <w:t>响应招标文件规定的投标有效期，</w:t>
      </w:r>
      <w:r>
        <w:rPr>
          <w:rFonts w:ascii="宋体" w:hAnsi="宋体"/>
          <w:snapToGrid w:val="0"/>
          <w:color w:val="auto"/>
          <w:kern w:val="0"/>
          <w:szCs w:val="21"/>
          <w:highlight w:val="none"/>
        </w:rPr>
        <w:t>在投标有效期内不修改、撤销投标文件。</w:t>
      </w:r>
    </w:p>
    <w:p w14:paraId="2FD85E60">
      <w:pPr>
        <w:tabs>
          <w:tab w:val="left" w:pos="2730"/>
          <w:tab w:val="left" w:pos="7980"/>
        </w:tabs>
        <w:autoSpaceDE w:val="0"/>
        <w:autoSpaceDN w:val="0"/>
        <w:adjustRightInd w:val="0"/>
        <w:spacing w:line="400" w:lineRule="exact"/>
        <w:ind w:firstLine="420" w:firstLineChars="200"/>
        <w:rPr>
          <w:rFonts w:ascii="宋体" w:hAnsi="宋体"/>
          <w:snapToGrid w:val="0"/>
          <w:color w:val="auto"/>
          <w:kern w:val="0"/>
          <w:sz w:val="10"/>
          <w:szCs w:val="10"/>
          <w:highlight w:val="none"/>
        </w:rPr>
      </w:pPr>
      <w:r>
        <w:rPr>
          <w:rFonts w:ascii="宋体" w:hAnsi="宋体"/>
          <w:snapToGrid w:val="0"/>
          <w:color w:val="auto"/>
          <w:kern w:val="0"/>
          <w:szCs w:val="21"/>
          <w:highlight w:val="none"/>
        </w:rPr>
        <w:t>3</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随同本投标函提交投标保证金一份，金额为人民币（大写）</w:t>
      </w:r>
      <w:r>
        <w:rPr>
          <w:rFonts w:ascii="宋体" w:hAnsi="宋体"/>
          <w:snapToGrid w:val="0"/>
          <w:color w:val="auto"/>
          <w:kern w:val="0"/>
          <w:szCs w:val="21"/>
          <w:highlight w:val="none"/>
          <w:u w:val="single"/>
        </w:rPr>
        <w:tab/>
      </w:r>
      <w:r>
        <w:rPr>
          <w:rFonts w:ascii="宋体" w:hAnsi="宋体"/>
          <w:snapToGrid w:val="0"/>
          <w:color w:val="auto"/>
          <w:kern w:val="0"/>
          <w:szCs w:val="21"/>
          <w:highlight w:val="none"/>
        </w:rPr>
        <w:t>（¥</w:t>
      </w:r>
      <w:r>
        <w:rPr>
          <w:rFonts w:ascii="宋体" w:hAnsi="宋体"/>
          <w:snapToGrid w:val="0"/>
          <w:color w:val="auto"/>
          <w:kern w:val="0"/>
          <w:szCs w:val="21"/>
          <w:highlight w:val="none"/>
          <w:u w:val="single"/>
        </w:rPr>
        <w:tab/>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投标保证金有效期</w:t>
      </w:r>
      <w:r>
        <w:rPr>
          <w:rFonts w:ascii="宋体" w:hAnsi="宋体"/>
          <w:snapToGrid w:val="0"/>
          <w:color w:val="auto"/>
          <w:kern w:val="0"/>
          <w:szCs w:val="21"/>
          <w:highlight w:val="none"/>
        </w:rPr>
        <w:t>与</w:t>
      </w:r>
      <w:r>
        <w:rPr>
          <w:rFonts w:hint="eastAsia" w:ascii="宋体" w:hAnsi="宋体"/>
          <w:snapToGrid w:val="0"/>
          <w:color w:val="auto"/>
          <w:kern w:val="0"/>
          <w:szCs w:val="21"/>
          <w:highlight w:val="none"/>
        </w:rPr>
        <w:t>投标有效期</w:t>
      </w:r>
      <w:r>
        <w:rPr>
          <w:rFonts w:ascii="宋体" w:hAnsi="宋体"/>
          <w:snapToGrid w:val="0"/>
          <w:color w:val="auto"/>
          <w:kern w:val="0"/>
          <w:szCs w:val="21"/>
          <w:highlight w:val="none"/>
        </w:rPr>
        <w:t>一致，在此期间，若我方违反招投标有关法律、法规及本招标文件的相关规定，投标保证金的受益人为招标人。</w:t>
      </w:r>
    </w:p>
    <w:p w14:paraId="11F1F7AA">
      <w:pPr>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如我方中标：</w:t>
      </w:r>
    </w:p>
    <w:p w14:paraId="572798D4">
      <w:pPr>
        <w:autoSpaceDE w:val="0"/>
        <w:autoSpaceDN w:val="0"/>
        <w:adjustRightInd w:val="0"/>
        <w:spacing w:line="400" w:lineRule="exact"/>
        <w:ind w:firstLine="420" w:firstLineChars="200"/>
        <w:rPr>
          <w:rFonts w:ascii="宋体" w:hAnsi="宋体"/>
          <w:snapToGrid w:val="0"/>
          <w:color w:val="auto"/>
          <w:kern w:val="0"/>
          <w:sz w:val="10"/>
          <w:szCs w:val="10"/>
          <w:highlight w:val="none"/>
        </w:rPr>
      </w:pPr>
      <w:r>
        <w:rPr>
          <w:rFonts w:ascii="宋体" w:hAnsi="宋体"/>
          <w:snapToGrid w:val="0"/>
          <w:color w:val="auto"/>
          <w:kern w:val="0"/>
          <w:szCs w:val="21"/>
          <w:highlight w:val="none"/>
        </w:rPr>
        <w:t>（1）我方承诺在收到中标通知书后，在中标通知书规定的期限内与你方签订合同。</w:t>
      </w:r>
    </w:p>
    <w:p w14:paraId="17B62971">
      <w:pPr>
        <w:autoSpaceDE w:val="0"/>
        <w:autoSpaceDN w:val="0"/>
        <w:adjustRightInd w:val="0"/>
        <w:spacing w:line="400" w:lineRule="exact"/>
        <w:ind w:firstLine="420" w:firstLineChars="200"/>
        <w:rPr>
          <w:rFonts w:ascii="宋体" w:hAnsi="宋体"/>
          <w:snapToGrid w:val="0"/>
          <w:color w:val="auto"/>
          <w:kern w:val="0"/>
          <w:sz w:val="10"/>
          <w:szCs w:val="10"/>
          <w:highlight w:val="none"/>
        </w:rPr>
      </w:pPr>
      <w:r>
        <w:rPr>
          <w:rFonts w:ascii="宋体" w:hAnsi="宋体"/>
          <w:snapToGrid w:val="0"/>
          <w:color w:val="auto"/>
          <w:kern w:val="0"/>
          <w:szCs w:val="21"/>
          <w:highlight w:val="none"/>
        </w:rPr>
        <w:t>（2）随同本投标函递交的投标函附录属于合同文件的组成部分。</w:t>
      </w:r>
    </w:p>
    <w:p w14:paraId="37547903">
      <w:pPr>
        <w:autoSpaceDE w:val="0"/>
        <w:autoSpaceDN w:val="0"/>
        <w:adjustRightInd w:val="0"/>
        <w:spacing w:line="400" w:lineRule="exact"/>
        <w:ind w:firstLine="420" w:firstLineChars="200"/>
        <w:rPr>
          <w:rFonts w:ascii="宋体" w:hAnsi="宋体"/>
          <w:snapToGrid w:val="0"/>
          <w:color w:val="auto"/>
          <w:kern w:val="0"/>
          <w:sz w:val="10"/>
          <w:szCs w:val="10"/>
          <w:highlight w:val="none"/>
        </w:rPr>
      </w:pPr>
      <w:r>
        <w:rPr>
          <w:rFonts w:ascii="宋体" w:hAnsi="宋体"/>
          <w:snapToGrid w:val="0"/>
          <w:color w:val="auto"/>
          <w:kern w:val="0"/>
          <w:szCs w:val="21"/>
          <w:highlight w:val="none"/>
        </w:rPr>
        <w:t>（3）我方承诺按照招标文件规定向你方递交履约担保。</w:t>
      </w:r>
    </w:p>
    <w:p w14:paraId="3D30CE59">
      <w:pPr>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（4）我方承诺在合同约定的期限内完成并移交全部合同工程。</w:t>
      </w:r>
    </w:p>
    <w:p w14:paraId="03AD83E7">
      <w:pPr>
        <w:autoSpaceDE w:val="0"/>
        <w:autoSpaceDN w:val="0"/>
        <w:adjustRightInd w:val="0"/>
        <w:spacing w:line="400" w:lineRule="exact"/>
        <w:ind w:firstLine="420" w:firstLineChars="200"/>
        <w:rPr>
          <w:rFonts w:ascii="宋体" w:hAnsi="宋体"/>
          <w:snapToGrid w:val="0"/>
          <w:color w:val="auto"/>
          <w:kern w:val="0"/>
          <w:sz w:val="10"/>
          <w:szCs w:val="10"/>
          <w:highlight w:val="none"/>
        </w:rPr>
      </w:pPr>
      <w:r>
        <w:rPr>
          <w:rFonts w:hint="eastAsia" w:ascii="宋体" w:hAnsi="宋体"/>
          <w:snapToGrid w:val="0"/>
          <w:color w:val="auto"/>
          <w:kern w:val="0"/>
          <w:szCs w:val="21"/>
          <w:highlight w:val="none"/>
        </w:rPr>
        <w:t>（5）我方承诺以不低于招标文件第七章 技术标准和要求中所列的技术指标和参数要求完成全部合同工程。</w:t>
      </w:r>
    </w:p>
    <w:p w14:paraId="4EEDC81D">
      <w:pPr>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5</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我方</w:t>
      </w:r>
      <w:r>
        <w:rPr>
          <w:rFonts w:ascii="宋体" w:hAnsi="宋体"/>
          <w:snapToGrid w:val="0"/>
          <w:color w:val="auto"/>
          <w:spacing w:val="-2"/>
          <w:kern w:val="0"/>
          <w:szCs w:val="21"/>
          <w:highlight w:val="none"/>
        </w:rPr>
        <w:t>在此声明，所递交的投标文件及有关资料内容完整、真实和准确，且不存在第二章“投标人</w:t>
      </w:r>
      <w:r>
        <w:rPr>
          <w:rFonts w:ascii="宋体" w:hAnsi="宋体"/>
          <w:snapToGrid w:val="0"/>
          <w:color w:val="auto"/>
          <w:kern w:val="0"/>
          <w:szCs w:val="21"/>
          <w:highlight w:val="none"/>
        </w:rPr>
        <w:t>须知”第 1.4.3 项规定的任何一种情形。同时我方承诺接受招标文件及附件、</w:t>
      </w:r>
      <w:r>
        <w:rPr>
          <w:rFonts w:hint="eastAsia" w:ascii="宋体" w:hAnsi="宋体"/>
          <w:snapToGrid w:val="0"/>
          <w:color w:val="auto"/>
          <w:kern w:val="0"/>
          <w:szCs w:val="21"/>
          <w:highlight w:val="none"/>
        </w:rPr>
        <w:t>澄清</w:t>
      </w:r>
      <w:r>
        <w:rPr>
          <w:rFonts w:ascii="宋体" w:hAnsi="宋体"/>
          <w:snapToGrid w:val="0"/>
          <w:color w:val="auto"/>
          <w:kern w:val="0"/>
          <w:szCs w:val="21"/>
          <w:highlight w:val="none"/>
        </w:rPr>
        <w:t>及</w:t>
      </w:r>
      <w:r>
        <w:rPr>
          <w:rFonts w:hint="eastAsia" w:ascii="宋体" w:hAnsi="宋体"/>
          <w:snapToGrid w:val="0"/>
          <w:color w:val="auto"/>
          <w:kern w:val="0"/>
          <w:szCs w:val="21"/>
          <w:highlight w:val="none"/>
        </w:rPr>
        <w:t>修改</w:t>
      </w:r>
      <w:r>
        <w:rPr>
          <w:rFonts w:ascii="宋体" w:hAnsi="宋体"/>
          <w:snapToGrid w:val="0"/>
          <w:color w:val="auto"/>
          <w:kern w:val="0"/>
          <w:szCs w:val="21"/>
          <w:highlight w:val="none"/>
        </w:rPr>
        <w:t>通知中所有的内容。</w:t>
      </w:r>
    </w:p>
    <w:p w14:paraId="3E8D9271">
      <w:pPr>
        <w:tabs>
          <w:tab w:val="left" w:pos="5985"/>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6</w:t>
      </w:r>
      <w:r>
        <w:rPr>
          <w:rFonts w:hint="eastAsia" w:ascii="宋体" w:hAnsi="宋体"/>
          <w:snapToGrid w:val="0"/>
          <w:color w:val="auto"/>
          <w:kern w:val="0"/>
          <w:szCs w:val="21"/>
          <w:highlight w:val="none"/>
        </w:rPr>
        <w:t xml:space="preserve">. </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（其他补充说明）</w:t>
      </w:r>
      <w:r>
        <w:rPr>
          <w:rFonts w:ascii="宋体" w:hAnsi="宋体"/>
          <w:snapToGrid w:val="0"/>
          <w:color w:val="auto"/>
          <w:kern w:val="0"/>
          <w:szCs w:val="21"/>
          <w:highlight w:val="none"/>
        </w:rPr>
        <w:t>。</w:t>
      </w:r>
    </w:p>
    <w:p w14:paraId="13DFC919">
      <w:pPr>
        <w:tabs>
          <w:tab w:val="left" w:pos="7140"/>
          <w:tab w:val="left" w:pos="7560"/>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投  标  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（盖单位法人章） </w:t>
      </w:r>
    </w:p>
    <w:p w14:paraId="77A53BA6">
      <w:pPr>
        <w:tabs>
          <w:tab w:val="left" w:pos="7140"/>
          <w:tab w:val="left" w:pos="7560"/>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法定代表人</w:t>
      </w:r>
      <w:r>
        <w:rPr>
          <w:rFonts w:hint="eastAsia" w:ascii="宋体" w:hAnsi="宋体"/>
          <w:snapToGrid w:val="0"/>
          <w:color w:val="auto"/>
          <w:kern w:val="0"/>
          <w:szCs w:val="21"/>
          <w:highlight w:val="none"/>
        </w:rPr>
        <w:t>或其委托代理人</w:t>
      </w:r>
      <w:r>
        <w:rPr>
          <w:rFonts w:ascii="宋体" w:hAnsi="宋体"/>
          <w:snapToGrid w:val="0"/>
          <w:color w:val="auto"/>
          <w:kern w:val="0"/>
          <w:szCs w:val="21"/>
          <w:highlight w:val="none"/>
        </w:rPr>
        <w:t>：</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签名</w:t>
      </w:r>
      <w:r>
        <w:rPr>
          <w:rFonts w:ascii="宋体" w:hAnsi="宋体"/>
          <w:snapToGrid w:val="0"/>
          <w:color w:val="auto"/>
          <w:kern w:val="0"/>
          <w:szCs w:val="21"/>
          <w:highlight w:val="none"/>
        </w:rPr>
        <w:t>或盖章）</w:t>
      </w:r>
    </w:p>
    <w:p w14:paraId="6C4B71DF">
      <w:pPr>
        <w:tabs>
          <w:tab w:val="left" w:pos="7035"/>
          <w:tab w:val="left" w:pos="7560"/>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地</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址：</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14:paraId="1C4221DA">
      <w:pPr>
        <w:tabs>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网</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址：</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14:paraId="1D41733D">
      <w:pPr>
        <w:tabs>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hint="eastAsia" w:ascii="宋体" w:hAnsi="宋体"/>
          <w:snapToGrid w:val="0"/>
          <w:color w:val="auto"/>
          <w:kern w:val="0"/>
          <w:szCs w:val="21"/>
          <w:highlight w:val="none"/>
        </w:rPr>
        <w:t>单位电话（座机）：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委托代理人电话（手机）：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14:paraId="4B4B6A66">
      <w:pPr>
        <w:tabs>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传</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真：</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14:paraId="488A7BE0">
      <w:pPr>
        <w:tabs>
          <w:tab w:val="left" w:pos="8300"/>
        </w:tabs>
        <w:autoSpaceDE w:val="0"/>
        <w:autoSpaceDN w:val="0"/>
        <w:adjustRightInd w:val="0"/>
        <w:spacing w:line="400" w:lineRule="exact"/>
        <w:ind w:firstLine="420" w:firstLineChars="200"/>
        <w:rPr>
          <w:rFonts w:ascii="宋体" w:hAnsi="宋体"/>
          <w:snapToGrid w:val="0"/>
          <w:color w:val="auto"/>
          <w:kern w:val="0"/>
          <w:szCs w:val="21"/>
          <w:highlight w:val="none"/>
          <w:u w:val="single"/>
        </w:rPr>
      </w:pPr>
      <w:r>
        <w:rPr>
          <w:rFonts w:ascii="宋体" w:hAnsi="宋体"/>
          <w:snapToGrid w:val="0"/>
          <w:color w:val="auto"/>
          <w:kern w:val="0"/>
          <w:szCs w:val="21"/>
          <w:highlight w:val="none"/>
        </w:rPr>
        <w:t>邮政编码：</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14:paraId="2D8D4E0B">
      <w:pPr>
        <w:tabs>
          <w:tab w:val="left" w:pos="8300"/>
        </w:tabs>
        <w:autoSpaceDE w:val="0"/>
        <w:autoSpaceDN w:val="0"/>
        <w:adjustRightInd w:val="0"/>
        <w:spacing w:line="400" w:lineRule="exact"/>
        <w:ind w:firstLine="400" w:firstLineChars="200"/>
        <w:rPr>
          <w:rFonts w:ascii="宋体" w:hAnsi="宋体"/>
          <w:snapToGrid w:val="0"/>
          <w:color w:val="auto"/>
          <w:kern w:val="0"/>
          <w:sz w:val="20"/>
          <w:szCs w:val="20"/>
          <w:highlight w:val="none"/>
        </w:rPr>
      </w:pPr>
    </w:p>
    <w:p w14:paraId="0EA9C7CD">
      <w:pPr>
        <w:tabs>
          <w:tab w:val="left" w:pos="8300"/>
        </w:tabs>
        <w:autoSpaceDE w:val="0"/>
        <w:autoSpaceDN w:val="0"/>
        <w:adjustRightInd w:val="0"/>
        <w:spacing w:line="400" w:lineRule="exact"/>
        <w:ind w:firstLine="420" w:firstLineChars="200"/>
        <w:jc w:val="right"/>
        <w:rPr>
          <w:rFonts w:ascii="宋体" w:hAnsi="宋体"/>
          <w:color w:val="auto"/>
          <w:kern w:val="0"/>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14:paraId="657AEBCB">
      <w:pPr>
        <w:tabs>
          <w:tab w:val="left" w:pos="8300"/>
        </w:tabs>
        <w:autoSpaceDE w:val="0"/>
        <w:autoSpaceDN w:val="0"/>
        <w:adjustRightInd w:val="0"/>
        <w:spacing w:line="400" w:lineRule="exact"/>
        <w:ind w:firstLine="420" w:firstLineChars="200"/>
        <w:jc w:val="right"/>
        <w:rPr>
          <w:rFonts w:ascii="宋体" w:hAnsi="宋体"/>
          <w:color w:val="auto"/>
          <w:kern w:val="0"/>
          <w:szCs w:val="21"/>
          <w:highlight w:val="none"/>
        </w:rPr>
      </w:pPr>
    </w:p>
    <w:p w14:paraId="4F2685ED">
      <w:pPr>
        <w:pStyle w:val="5"/>
        <w:spacing w:before="0" w:after="0" w:line="240" w:lineRule="auto"/>
        <w:jc w:val="center"/>
        <w:rPr>
          <w:rFonts w:ascii="宋体" w:hAnsi="宋体"/>
          <w:snapToGrid w:val="0"/>
          <w:color w:val="auto"/>
          <w:kern w:val="0"/>
          <w:szCs w:val="21"/>
          <w:highlight w:val="none"/>
        </w:rPr>
      </w:pPr>
      <w:bookmarkStart w:id="2066" w:name="_Toc287620815"/>
      <w:bookmarkStart w:id="2067" w:name="_Toc430530531"/>
      <w:bookmarkStart w:id="2068" w:name="_Toc287607868"/>
      <w:bookmarkStart w:id="2069" w:name="_Toc277082644"/>
      <w:bookmarkStart w:id="2070" w:name="_Toc224103496"/>
      <w:r>
        <w:rPr>
          <w:rFonts w:ascii="宋体" w:hAnsi="宋体"/>
          <w:color w:val="auto"/>
          <w:sz w:val="28"/>
          <w:highlight w:val="none"/>
        </w:rPr>
        <w:br w:type="page"/>
      </w:r>
      <w:bookmarkStart w:id="2071" w:name="_Toc534185832"/>
      <w:bookmarkStart w:id="2072" w:name="_Toc509218855"/>
      <w:bookmarkStart w:id="2073" w:name="_Toc117005256"/>
      <w:r>
        <w:rPr>
          <w:rFonts w:ascii="宋体" w:hAnsi="宋体"/>
          <w:b w:val="0"/>
          <w:bCs w:val="0"/>
          <w:color w:val="auto"/>
          <w:highlight w:val="none"/>
        </w:rPr>
        <w:t>（二）投标函附录</w:t>
      </w:r>
      <w:bookmarkEnd w:id="2066"/>
      <w:bookmarkEnd w:id="2067"/>
      <w:bookmarkEnd w:id="2068"/>
      <w:bookmarkEnd w:id="2069"/>
      <w:bookmarkEnd w:id="2070"/>
      <w:bookmarkEnd w:id="2071"/>
      <w:bookmarkEnd w:id="2072"/>
      <w:bookmarkEnd w:id="2073"/>
    </w:p>
    <w:tbl>
      <w:tblPr>
        <w:tblStyle w:val="46"/>
        <w:tblW w:w="946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20"/>
        <w:gridCol w:w="2582"/>
        <w:gridCol w:w="2388"/>
        <w:gridCol w:w="2987"/>
        <w:gridCol w:w="792"/>
      </w:tblGrid>
      <w:tr w14:paraId="7DE53C4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14:paraId="3AB992CE">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序号</w:t>
            </w:r>
          </w:p>
        </w:tc>
        <w:tc>
          <w:tcPr>
            <w:tcW w:w="2582" w:type="dxa"/>
            <w:vAlign w:val="center"/>
          </w:tcPr>
          <w:p w14:paraId="1822A046">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条款名称</w:t>
            </w:r>
          </w:p>
        </w:tc>
        <w:tc>
          <w:tcPr>
            <w:tcW w:w="2388" w:type="dxa"/>
            <w:vAlign w:val="center"/>
          </w:tcPr>
          <w:p w14:paraId="1BB502AD">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合同条款号</w:t>
            </w:r>
          </w:p>
        </w:tc>
        <w:tc>
          <w:tcPr>
            <w:tcW w:w="2987" w:type="dxa"/>
            <w:vAlign w:val="center"/>
          </w:tcPr>
          <w:p w14:paraId="23B8823B">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约定内容</w:t>
            </w:r>
          </w:p>
        </w:tc>
        <w:tc>
          <w:tcPr>
            <w:tcW w:w="792" w:type="dxa"/>
            <w:vAlign w:val="center"/>
          </w:tcPr>
          <w:p w14:paraId="31688BC9">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备注</w:t>
            </w:r>
          </w:p>
        </w:tc>
      </w:tr>
      <w:tr w14:paraId="7B0BC27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14:paraId="474BA082">
            <w:pPr>
              <w:autoSpaceDE w:val="0"/>
              <w:autoSpaceDN w:val="0"/>
              <w:adjustRightInd w:val="0"/>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rPr>
              <w:t>1</w:t>
            </w:r>
          </w:p>
        </w:tc>
        <w:tc>
          <w:tcPr>
            <w:tcW w:w="2582" w:type="dxa"/>
            <w:vAlign w:val="center"/>
          </w:tcPr>
          <w:p w14:paraId="3723D92A">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工期</w:t>
            </w:r>
          </w:p>
        </w:tc>
        <w:tc>
          <w:tcPr>
            <w:tcW w:w="2388" w:type="dxa"/>
            <w:vAlign w:val="center"/>
          </w:tcPr>
          <w:p w14:paraId="418A1977">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1.1.4.3</w:t>
            </w:r>
          </w:p>
        </w:tc>
        <w:tc>
          <w:tcPr>
            <w:tcW w:w="2987" w:type="dxa"/>
            <w:vAlign w:val="center"/>
          </w:tcPr>
          <w:p w14:paraId="0B5FF3F9">
            <w:pPr>
              <w:tabs>
                <w:tab w:val="left" w:pos="1560"/>
              </w:tabs>
              <w:autoSpaceDE w:val="0"/>
              <w:autoSpaceDN w:val="0"/>
              <w:adjustRightInd w:val="0"/>
              <w:jc w:val="center"/>
              <w:rPr>
                <w:rFonts w:ascii="宋体" w:hAnsi="宋体"/>
                <w:snapToGrid w:val="0"/>
                <w:color w:val="auto"/>
                <w:kern w:val="0"/>
                <w:szCs w:val="21"/>
                <w:highlight w:val="none"/>
              </w:rPr>
            </w:pPr>
          </w:p>
        </w:tc>
        <w:tc>
          <w:tcPr>
            <w:tcW w:w="792" w:type="dxa"/>
            <w:vAlign w:val="center"/>
          </w:tcPr>
          <w:p w14:paraId="4A134C8A">
            <w:pPr>
              <w:autoSpaceDE w:val="0"/>
              <w:autoSpaceDN w:val="0"/>
              <w:adjustRightInd w:val="0"/>
              <w:jc w:val="center"/>
              <w:rPr>
                <w:rFonts w:ascii="宋体" w:hAnsi="宋体"/>
                <w:snapToGrid w:val="0"/>
                <w:color w:val="auto"/>
                <w:kern w:val="0"/>
                <w:szCs w:val="21"/>
                <w:highlight w:val="none"/>
              </w:rPr>
            </w:pPr>
          </w:p>
        </w:tc>
      </w:tr>
      <w:tr w14:paraId="48A8039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14:paraId="55F16CCE">
            <w:pPr>
              <w:autoSpaceDE w:val="0"/>
              <w:autoSpaceDN w:val="0"/>
              <w:adjustRightInd w:val="0"/>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rPr>
              <w:t>2</w:t>
            </w:r>
          </w:p>
        </w:tc>
        <w:tc>
          <w:tcPr>
            <w:tcW w:w="2582" w:type="dxa"/>
            <w:vAlign w:val="center"/>
          </w:tcPr>
          <w:p w14:paraId="0454BF97">
            <w:pPr>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分包</w:t>
            </w:r>
          </w:p>
        </w:tc>
        <w:tc>
          <w:tcPr>
            <w:tcW w:w="2388" w:type="dxa"/>
            <w:vAlign w:val="center"/>
          </w:tcPr>
          <w:p w14:paraId="22BCE650">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3.5</w:t>
            </w:r>
          </w:p>
        </w:tc>
        <w:tc>
          <w:tcPr>
            <w:tcW w:w="2987" w:type="dxa"/>
            <w:vAlign w:val="center"/>
          </w:tcPr>
          <w:p w14:paraId="619F96AC">
            <w:pPr>
              <w:autoSpaceDE w:val="0"/>
              <w:autoSpaceDN w:val="0"/>
              <w:adjustRightInd w:val="0"/>
              <w:jc w:val="center"/>
              <w:rPr>
                <w:rFonts w:ascii="宋体" w:hAnsi="宋体"/>
                <w:snapToGrid w:val="0"/>
                <w:color w:val="auto"/>
                <w:kern w:val="0"/>
                <w:szCs w:val="21"/>
                <w:highlight w:val="none"/>
              </w:rPr>
            </w:pPr>
          </w:p>
        </w:tc>
        <w:tc>
          <w:tcPr>
            <w:tcW w:w="792" w:type="dxa"/>
            <w:vAlign w:val="center"/>
          </w:tcPr>
          <w:p w14:paraId="43D3B935">
            <w:pPr>
              <w:autoSpaceDE w:val="0"/>
              <w:autoSpaceDN w:val="0"/>
              <w:adjustRightInd w:val="0"/>
              <w:jc w:val="center"/>
              <w:rPr>
                <w:rFonts w:ascii="宋体" w:hAnsi="宋体"/>
                <w:snapToGrid w:val="0"/>
                <w:color w:val="auto"/>
                <w:kern w:val="0"/>
                <w:szCs w:val="21"/>
                <w:highlight w:val="none"/>
              </w:rPr>
            </w:pPr>
          </w:p>
        </w:tc>
      </w:tr>
      <w:tr w14:paraId="4C9F637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14:paraId="5A7A70B7">
            <w:pPr>
              <w:autoSpaceDE w:val="0"/>
              <w:autoSpaceDN w:val="0"/>
              <w:adjustRightInd w:val="0"/>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rPr>
              <w:t>3</w:t>
            </w:r>
          </w:p>
        </w:tc>
        <w:tc>
          <w:tcPr>
            <w:tcW w:w="2582" w:type="dxa"/>
            <w:vAlign w:val="center"/>
          </w:tcPr>
          <w:p w14:paraId="301BAF8E">
            <w:pPr>
              <w:autoSpaceDE w:val="0"/>
              <w:autoSpaceDN w:val="0"/>
              <w:adjustRightInd w:val="0"/>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rPr>
              <w:t>工程质量</w:t>
            </w:r>
          </w:p>
        </w:tc>
        <w:tc>
          <w:tcPr>
            <w:tcW w:w="2388" w:type="dxa"/>
            <w:vAlign w:val="center"/>
          </w:tcPr>
          <w:p w14:paraId="12D2E588">
            <w:pPr>
              <w:tabs>
                <w:tab w:val="left" w:pos="2051"/>
              </w:tabs>
              <w:autoSpaceDE w:val="0"/>
              <w:autoSpaceDN w:val="0"/>
              <w:adjustRightInd w:val="0"/>
              <w:jc w:val="center"/>
              <w:rPr>
                <w:rFonts w:ascii="宋体" w:hAnsi="宋体"/>
                <w:snapToGrid w:val="0"/>
                <w:color w:val="auto"/>
                <w:kern w:val="0"/>
                <w:szCs w:val="21"/>
                <w:highlight w:val="none"/>
              </w:rPr>
            </w:pPr>
            <w:r>
              <w:rPr>
                <w:rFonts w:hint="eastAsia" w:ascii="宋体" w:hAnsi="宋体"/>
                <w:snapToGrid w:val="0"/>
                <w:color w:val="auto"/>
                <w:kern w:val="0"/>
                <w:szCs w:val="21"/>
                <w:highlight w:val="none"/>
              </w:rPr>
              <w:t>5.1</w:t>
            </w:r>
          </w:p>
        </w:tc>
        <w:tc>
          <w:tcPr>
            <w:tcW w:w="2987" w:type="dxa"/>
            <w:vAlign w:val="center"/>
          </w:tcPr>
          <w:p w14:paraId="782418BF">
            <w:pPr>
              <w:autoSpaceDE w:val="0"/>
              <w:autoSpaceDN w:val="0"/>
              <w:adjustRightInd w:val="0"/>
              <w:jc w:val="center"/>
              <w:rPr>
                <w:rFonts w:ascii="宋体" w:hAnsi="宋体"/>
                <w:snapToGrid w:val="0"/>
                <w:color w:val="auto"/>
                <w:kern w:val="0"/>
                <w:szCs w:val="21"/>
                <w:highlight w:val="none"/>
              </w:rPr>
            </w:pPr>
          </w:p>
        </w:tc>
        <w:tc>
          <w:tcPr>
            <w:tcW w:w="792" w:type="dxa"/>
            <w:vAlign w:val="center"/>
          </w:tcPr>
          <w:p w14:paraId="11E18C02">
            <w:pPr>
              <w:autoSpaceDE w:val="0"/>
              <w:autoSpaceDN w:val="0"/>
              <w:adjustRightInd w:val="0"/>
              <w:jc w:val="center"/>
              <w:rPr>
                <w:rFonts w:ascii="宋体" w:hAnsi="宋体"/>
                <w:snapToGrid w:val="0"/>
                <w:color w:val="auto"/>
                <w:kern w:val="0"/>
                <w:szCs w:val="21"/>
                <w:highlight w:val="none"/>
              </w:rPr>
            </w:pPr>
          </w:p>
        </w:tc>
      </w:tr>
      <w:tr w14:paraId="5B6DD5B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14:paraId="55AEECA4">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2582" w:type="dxa"/>
            <w:vAlign w:val="center"/>
          </w:tcPr>
          <w:p w14:paraId="26BE4038">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2388" w:type="dxa"/>
            <w:vAlign w:val="center"/>
          </w:tcPr>
          <w:p w14:paraId="7A13F036">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2987" w:type="dxa"/>
            <w:vAlign w:val="center"/>
          </w:tcPr>
          <w:p w14:paraId="5A8917FB">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792" w:type="dxa"/>
            <w:vAlign w:val="center"/>
          </w:tcPr>
          <w:p w14:paraId="6A90C79D">
            <w:pPr>
              <w:autoSpaceDE w:val="0"/>
              <w:autoSpaceDN w:val="0"/>
              <w:adjustRightInd w:val="0"/>
              <w:jc w:val="center"/>
              <w:rPr>
                <w:rFonts w:ascii="宋体" w:hAnsi="宋体"/>
                <w:snapToGrid w:val="0"/>
                <w:color w:val="auto"/>
                <w:kern w:val="0"/>
                <w:szCs w:val="21"/>
                <w:highlight w:val="none"/>
              </w:rPr>
            </w:pPr>
          </w:p>
        </w:tc>
      </w:tr>
      <w:tr w14:paraId="3558D37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14:paraId="23034BBE">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2582" w:type="dxa"/>
            <w:vAlign w:val="center"/>
          </w:tcPr>
          <w:p w14:paraId="31C62737">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2388" w:type="dxa"/>
            <w:vAlign w:val="center"/>
          </w:tcPr>
          <w:p w14:paraId="6B1220C1">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2987" w:type="dxa"/>
            <w:vAlign w:val="center"/>
          </w:tcPr>
          <w:p w14:paraId="12360D38">
            <w:pPr>
              <w:tabs>
                <w:tab w:val="left" w:pos="2051"/>
              </w:tabs>
              <w:autoSpaceDE w:val="0"/>
              <w:autoSpaceDN w:val="0"/>
              <w:adjustRightInd w:val="0"/>
              <w:jc w:val="center"/>
              <w:rPr>
                <w:rFonts w:ascii="宋体" w:hAnsi="宋体"/>
                <w:snapToGrid w:val="0"/>
                <w:color w:val="auto"/>
                <w:kern w:val="0"/>
                <w:szCs w:val="21"/>
                <w:highlight w:val="none"/>
              </w:rPr>
            </w:pPr>
            <w:r>
              <w:rPr>
                <w:rFonts w:ascii="宋体" w:hAnsi="宋体"/>
                <w:snapToGrid w:val="0"/>
                <w:color w:val="auto"/>
                <w:kern w:val="0"/>
                <w:szCs w:val="21"/>
                <w:highlight w:val="none"/>
              </w:rPr>
              <w:t>……</w:t>
            </w:r>
          </w:p>
        </w:tc>
        <w:tc>
          <w:tcPr>
            <w:tcW w:w="792" w:type="dxa"/>
            <w:vAlign w:val="center"/>
          </w:tcPr>
          <w:p w14:paraId="1D5AFC6F">
            <w:pPr>
              <w:autoSpaceDE w:val="0"/>
              <w:autoSpaceDN w:val="0"/>
              <w:adjustRightInd w:val="0"/>
              <w:jc w:val="center"/>
              <w:rPr>
                <w:rFonts w:ascii="宋体" w:hAnsi="宋体"/>
                <w:snapToGrid w:val="0"/>
                <w:color w:val="auto"/>
                <w:kern w:val="0"/>
                <w:szCs w:val="21"/>
                <w:highlight w:val="none"/>
              </w:rPr>
            </w:pPr>
          </w:p>
        </w:tc>
      </w:tr>
    </w:tbl>
    <w:p w14:paraId="46740A35">
      <w:pPr>
        <w:spacing w:line="360" w:lineRule="auto"/>
        <w:rPr>
          <w:rFonts w:ascii="宋体" w:hAnsi="宋体"/>
          <w:snapToGrid w:val="0"/>
          <w:color w:val="auto"/>
          <w:w w:val="99"/>
          <w:highlight w:val="none"/>
        </w:rPr>
      </w:pPr>
    </w:p>
    <w:p w14:paraId="1333F920">
      <w:pPr>
        <w:spacing w:line="360" w:lineRule="auto"/>
        <w:rPr>
          <w:rFonts w:ascii="宋体" w:hAnsi="宋体"/>
          <w:snapToGrid w:val="0"/>
          <w:color w:val="auto"/>
          <w:kern w:val="0"/>
          <w:sz w:val="32"/>
          <w:szCs w:val="32"/>
          <w:highlight w:val="none"/>
        </w:rPr>
      </w:pPr>
    </w:p>
    <w:p w14:paraId="75AA4181">
      <w:pPr>
        <w:spacing w:line="360" w:lineRule="auto"/>
        <w:rPr>
          <w:rFonts w:ascii="宋体" w:hAnsi="宋体"/>
          <w:snapToGrid w:val="0"/>
          <w:color w:val="auto"/>
          <w:highlight w:val="none"/>
        </w:rPr>
      </w:pPr>
    </w:p>
    <w:p w14:paraId="3766A6C4">
      <w:pPr>
        <w:tabs>
          <w:tab w:val="left" w:pos="7140"/>
          <w:tab w:val="left" w:pos="7560"/>
          <w:tab w:val="left" w:pos="8300"/>
        </w:tabs>
        <w:autoSpaceDE w:val="0"/>
        <w:autoSpaceDN w:val="0"/>
        <w:adjustRightInd w:val="0"/>
        <w:spacing w:line="360" w:lineRule="auto"/>
        <w:ind w:right="210" w:firstLine="2396" w:firstLineChars="1141"/>
        <w:rPr>
          <w:rFonts w:ascii="宋体" w:hAnsi="宋体"/>
          <w:snapToGrid w:val="0"/>
          <w:color w:val="auto"/>
          <w:kern w:val="0"/>
          <w:szCs w:val="21"/>
          <w:highlight w:val="none"/>
        </w:rPr>
      </w:pPr>
      <w:r>
        <w:rPr>
          <w:rFonts w:ascii="宋体" w:hAnsi="宋体"/>
          <w:snapToGrid w:val="0"/>
          <w:color w:val="auto"/>
          <w:kern w:val="0"/>
          <w:szCs w:val="21"/>
          <w:highlight w:val="none"/>
        </w:rPr>
        <w:t>投  标  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（盖单位法人章） </w:t>
      </w:r>
    </w:p>
    <w:p w14:paraId="6A6A2AAF">
      <w:pPr>
        <w:tabs>
          <w:tab w:val="left" w:pos="7140"/>
          <w:tab w:val="left" w:pos="7560"/>
          <w:tab w:val="left" w:pos="8300"/>
        </w:tabs>
        <w:autoSpaceDE w:val="0"/>
        <w:autoSpaceDN w:val="0"/>
        <w:adjustRightInd w:val="0"/>
        <w:spacing w:line="360" w:lineRule="auto"/>
        <w:ind w:right="210" w:firstLine="1984" w:firstLineChars="945"/>
        <w:rPr>
          <w:rFonts w:ascii="宋体" w:hAnsi="宋体"/>
          <w:snapToGrid w:val="0"/>
          <w:color w:val="auto"/>
          <w:kern w:val="0"/>
          <w:szCs w:val="21"/>
          <w:highlight w:val="none"/>
        </w:rPr>
      </w:pPr>
      <w:r>
        <w:rPr>
          <w:rFonts w:hint="eastAsia" w:ascii="宋体" w:hAnsi="宋体"/>
          <w:snapToGrid w:val="0"/>
          <w:color w:val="auto"/>
          <w:kern w:val="0"/>
          <w:szCs w:val="21"/>
          <w:highlight w:val="none"/>
        </w:rPr>
        <w:t xml:space="preserve">   </w:t>
      </w:r>
    </w:p>
    <w:p w14:paraId="77097A02">
      <w:pPr>
        <w:tabs>
          <w:tab w:val="left" w:pos="7140"/>
          <w:tab w:val="left" w:pos="7560"/>
          <w:tab w:val="left" w:pos="8300"/>
        </w:tabs>
        <w:autoSpaceDE w:val="0"/>
        <w:autoSpaceDN w:val="0"/>
        <w:adjustRightInd w:val="0"/>
        <w:spacing w:line="360" w:lineRule="auto"/>
        <w:ind w:right="210" w:firstLine="2415" w:firstLineChars="1150"/>
        <w:rPr>
          <w:rFonts w:ascii="宋体" w:hAnsi="宋体"/>
          <w:snapToGrid w:val="0"/>
          <w:color w:val="auto"/>
          <w:kern w:val="0"/>
          <w:szCs w:val="21"/>
          <w:highlight w:val="none"/>
        </w:rPr>
      </w:pPr>
      <w:r>
        <w:rPr>
          <w:rFonts w:ascii="宋体" w:hAnsi="宋体"/>
          <w:snapToGrid w:val="0"/>
          <w:color w:val="auto"/>
          <w:kern w:val="0"/>
          <w:szCs w:val="21"/>
          <w:highlight w:val="none"/>
        </w:rPr>
        <w:t>法定代表人或其委托代理人：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签名</w:t>
      </w:r>
      <w:r>
        <w:rPr>
          <w:rFonts w:ascii="宋体" w:hAnsi="宋体"/>
          <w:snapToGrid w:val="0"/>
          <w:color w:val="auto"/>
          <w:kern w:val="0"/>
          <w:szCs w:val="21"/>
          <w:highlight w:val="none"/>
        </w:rPr>
        <w:t xml:space="preserve">或盖章） </w:t>
      </w:r>
    </w:p>
    <w:p w14:paraId="348D8B0D">
      <w:pPr>
        <w:tabs>
          <w:tab w:val="left" w:pos="7140"/>
          <w:tab w:val="left" w:pos="7560"/>
          <w:tab w:val="left" w:pos="8300"/>
        </w:tabs>
        <w:autoSpaceDE w:val="0"/>
        <w:autoSpaceDN w:val="0"/>
        <w:adjustRightInd w:val="0"/>
        <w:spacing w:line="360" w:lineRule="auto"/>
        <w:ind w:right="210" w:firstLine="1995" w:firstLineChars="950"/>
        <w:rPr>
          <w:rFonts w:ascii="宋体" w:hAnsi="宋体"/>
          <w:snapToGrid w:val="0"/>
          <w:color w:val="auto"/>
          <w:kern w:val="0"/>
          <w:szCs w:val="21"/>
          <w:highlight w:val="none"/>
        </w:rPr>
      </w:pPr>
    </w:p>
    <w:p w14:paraId="116CCF1E">
      <w:pPr>
        <w:pStyle w:val="5"/>
        <w:spacing w:before="0" w:after="0" w:line="240" w:lineRule="auto"/>
        <w:jc w:val="center"/>
        <w:rPr>
          <w:rFonts w:ascii="宋体" w:hAnsi="宋体"/>
          <w:snapToGrid w:val="0"/>
          <w:color w:val="auto"/>
          <w:kern w:val="0"/>
          <w:szCs w:val="21"/>
          <w:highlight w:val="none"/>
        </w:rPr>
      </w:pPr>
      <w:r>
        <w:rPr>
          <w:rFonts w:ascii="宋体" w:hAnsi="宋体"/>
          <w:snapToGrid w:val="0"/>
          <w:color w:val="auto"/>
          <w:highlight w:val="none"/>
        </w:rPr>
        <w:br w:type="page"/>
      </w:r>
      <w:bookmarkStart w:id="2074" w:name="_Toc430530532"/>
      <w:bookmarkStart w:id="2075" w:name="_Toc287620816"/>
      <w:bookmarkStart w:id="2076" w:name="_Toc287607869"/>
      <w:bookmarkStart w:id="2077" w:name="_Toc277082645"/>
      <w:bookmarkStart w:id="2078" w:name="_Toc117005257"/>
      <w:bookmarkStart w:id="2079" w:name="_Toc224103497"/>
      <w:r>
        <w:rPr>
          <w:rFonts w:ascii="宋体" w:hAnsi="宋体"/>
          <w:b w:val="0"/>
          <w:bCs w:val="0"/>
          <w:color w:val="auto"/>
          <w:sz w:val="28"/>
          <w:highlight w:val="none"/>
        </w:rPr>
        <w:t>（三）</w:t>
      </w:r>
      <w:r>
        <w:rPr>
          <w:rFonts w:hint="eastAsia" w:ascii="宋体" w:hAnsi="宋体"/>
          <w:b w:val="0"/>
          <w:bCs w:val="0"/>
          <w:color w:val="auto"/>
          <w:sz w:val="28"/>
          <w:highlight w:val="none"/>
        </w:rPr>
        <w:t>法定代表人身份证明或附有法定代表人身份证明的授权委托书</w:t>
      </w:r>
      <w:bookmarkEnd w:id="2074"/>
      <w:bookmarkEnd w:id="2075"/>
      <w:bookmarkEnd w:id="2076"/>
      <w:bookmarkEnd w:id="2077"/>
      <w:bookmarkEnd w:id="2078"/>
      <w:bookmarkEnd w:id="2079"/>
    </w:p>
    <w:p w14:paraId="2EA61A96">
      <w:pPr>
        <w:spacing w:line="480" w:lineRule="auto"/>
        <w:jc w:val="center"/>
        <w:rPr>
          <w:rFonts w:ascii="宋体" w:hAnsi="宋体"/>
          <w:color w:val="auto"/>
          <w:sz w:val="28"/>
          <w:highlight w:val="none"/>
        </w:rPr>
      </w:pPr>
      <w:r>
        <w:rPr>
          <w:rFonts w:hint="eastAsia" w:ascii="宋体" w:hAnsi="宋体"/>
          <w:color w:val="auto"/>
          <w:sz w:val="28"/>
          <w:highlight w:val="none"/>
        </w:rPr>
        <w:t>法定代表人身份证明</w:t>
      </w:r>
    </w:p>
    <w:p w14:paraId="2B169035">
      <w:pPr>
        <w:spacing w:line="480" w:lineRule="auto"/>
        <w:jc w:val="center"/>
        <w:rPr>
          <w:rFonts w:ascii="宋体" w:hAnsi="宋体"/>
          <w:color w:val="auto"/>
          <w:highlight w:val="none"/>
        </w:rPr>
      </w:pPr>
    </w:p>
    <w:p w14:paraId="102939B1">
      <w:pPr>
        <w:tabs>
          <w:tab w:val="left" w:pos="556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投标人名称：</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14:paraId="2C7AA50A">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单位性质：</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14:paraId="7F837C58">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地</w:t>
      </w:r>
      <w:r>
        <w:rPr>
          <w:rFonts w:hint="eastAsia" w:ascii="宋体" w:hAnsi="宋体"/>
          <w:color w:val="auto"/>
          <w:kern w:val="0"/>
          <w:szCs w:val="21"/>
          <w:highlight w:val="none"/>
        </w:rPr>
        <w:t xml:space="preserve">    </w:t>
      </w:r>
      <w:r>
        <w:rPr>
          <w:rFonts w:ascii="宋体" w:hAnsi="宋体"/>
          <w:color w:val="auto"/>
          <w:kern w:val="0"/>
          <w:szCs w:val="21"/>
          <w:highlight w:val="none"/>
        </w:rPr>
        <w:t>址：</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14:paraId="002CCB7F">
      <w:pPr>
        <w:tabs>
          <w:tab w:val="left" w:pos="2520"/>
          <w:tab w:val="left" w:pos="3836"/>
        </w:tabs>
        <w:autoSpaceDE w:val="0"/>
        <w:autoSpaceDN w:val="0"/>
        <w:adjustRightInd w:val="0"/>
        <w:snapToGrid w:val="0"/>
        <w:spacing w:line="480" w:lineRule="auto"/>
        <w:ind w:firstLine="390" w:firstLineChars="186"/>
        <w:jc w:val="left"/>
        <w:rPr>
          <w:rFonts w:ascii="宋体" w:hAnsi="宋体"/>
          <w:color w:val="auto"/>
          <w:kern w:val="0"/>
          <w:sz w:val="10"/>
          <w:szCs w:val="10"/>
          <w:highlight w:val="none"/>
        </w:rPr>
      </w:pPr>
      <w:r>
        <w:rPr>
          <w:rFonts w:ascii="宋体" w:hAnsi="宋体"/>
          <w:color w:val="auto"/>
          <w:kern w:val="0"/>
          <w:szCs w:val="21"/>
          <w:highlight w:val="none"/>
        </w:rPr>
        <w:t>成立时间：</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p>
    <w:p w14:paraId="3C08B2F6">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经营期限：</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14:paraId="41B93699">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姓名：</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性别</w:t>
      </w:r>
      <w:r>
        <w:rPr>
          <w:rFonts w:ascii="宋体" w:hAnsi="宋体"/>
          <w:color w:val="auto"/>
          <w:spacing w:val="-1"/>
          <w:kern w:val="0"/>
          <w:szCs w:val="21"/>
          <w:highlight w:val="none"/>
        </w:rPr>
        <w:t>：</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spacing w:val="-1"/>
          <w:kern w:val="0"/>
          <w:szCs w:val="21"/>
          <w:highlight w:val="none"/>
        </w:rPr>
        <w:t>年</w:t>
      </w:r>
      <w:r>
        <w:rPr>
          <w:rFonts w:ascii="宋体" w:hAnsi="宋体"/>
          <w:color w:val="auto"/>
          <w:kern w:val="0"/>
          <w:szCs w:val="21"/>
          <w:highlight w:val="none"/>
        </w:rPr>
        <w:t>龄：</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职务：</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p>
    <w:p w14:paraId="511ADB65">
      <w:pPr>
        <w:tabs>
          <w:tab w:val="left" w:pos="336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系</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（投标人名称）</w:t>
      </w:r>
      <w:r>
        <w:rPr>
          <w:rFonts w:ascii="宋体" w:hAnsi="宋体"/>
          <w:color w:val="auto"/>
          <w:kern w:val="0"/>
          <w:szCs w:val="21"/>
          <w:highlight w:val="none"/>
        </w:rPr>
        <w:t>的法定代表人。</w:t>
      </w:r>
    </w:p>
    <w:p w14:paraId="1DADFAB2">
      <w:pPr>
        <w:tabs>
          <w:tab w:val="left" w:pos="336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特此证明。</w:t>
      </w:r>
    </w:p>
    <w:p w14:paraId="2E49EB0F">
      <w:pPr>
        <w:autoSpaceDE w:val="0"/>
        <w:autoSpaceDN w:val="0"/>
        <w:adjustRightInd w:val="0"/>
        <w:snapToGrid w:val="0"/>
        <w:spacing w:line="48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附：法定代表人身份证扫描件（双面）</w:t>
      </w:r>
    </w:p>
    <w:p w14:paraId="17FA7FD6">
      <w:pPr>
        <w:autoSpaceDE w:val="0"/>
        <w:autoSpaceDN w:val="0"/>
        <w:adjustRightInd w:val="0"/>
        <w:snapToGrid w:val="0"/>
        <w:spacing w:line="360" w:lineRule="auto"/>
        <w:jc w:val="left"/>
        <w:rPr>
          <w:rFonts w:ascii="宋体" w:hAnsi="宋体"/>
          <w:color w:val="auto"/>
          <w:szCs w:val="21"/>
          <w:highlight w:val="none"/>
        </w:rPr>
      </w:pPr>
    </w:p>
    <w:p w14:paraId="512E6229">
      <w:pPr>
        <w:pStyle w:val="2"/>
        <w:spacing w:after="0" w:line="360" w:lineRule="auto"/>
        <w:rPr>
          <w:rFonts w:ascii="宋体" w:hAnsi="宋体"/>
          <w:color w:val="auto"/>
          <w:szCs w:val="21"/>
          <w:highlight w:val="none"/>
        </w:rPr>
      </w:pPr>
    </w:p>
    <w:p w14:paraId="35063B7C">
      <w:pPr>
        <w:pStyle w:val="2"/>
        <w:spacing w:after="0" w:line="360" w:lineRule="auto"/>
        <w:rPr>
          <w:rFonts w:ascii="宋体" w:hAnsi="宋体"/>
          <w:color w:val="auto"/>
          <w:szCs w:val="21"/>
          <w:highlight w:val="none"/>
        </w:rPr>
      </w:pPr>
    </w:p>
    <w:p w14:paraId="1C258293">
      <w:pPr>
        <w:pStyle w:val="2"/>
        <w:spacing w:after="0" w:line="360" w:lineRule="auto"/>
        <w:rPr>
          <w:rFonts w:ascii="宋体" w:hAnsi="宋体"/>
          <w:color w:val="auto"/>
          <w:szCs w:val="21"/>
          <w:highlight w:val="none"/>
        </w:rPr>
      </w:pPr>
    </w:p>
    <w:p w14:paraId="4C65BBB9">
      <w:pPr>
        <w:pStyle w:val="2"/>
        <w:spacing w:after="0" w:line="360" w:lineRule="auto"/>
        <w:rPr>
          <w:rFonts w:ascii="宋体" w:hAnsi="宋体"/>
          <w:color w:val="auto"/>
          <w:szCs w:val="21"/>
          <w:highlight w:val="none"/>
        </w:rPr>
      </w:pPr>
    </w:p>
    <w:p w14:paraId="36D0687D">
      <w:pPr>
        <w:pStyle w:val="2"/>
        <w:spacing w:after="0" w:line="360" w:lineRule="auto"/>
        <w:rPr>
          <w:rFonts w:ascii="宋体" w:hAnsi="宋体"/>
          <w:color w:val="auto"/>
          <w:szCs w:val="21"/>
          <w:highlight w:val="none"/>
        </w:rPr>
      </w:pPr>
    </w:p>
    <w:p w14:paraId="7B4B358C">
      <w:pPr>
        <w:tabs>
          <w:tab w:val="left" w:pos="5475"/>
        </w:tabs>
        <w:autoSpaceDE w:val="0"/>
        <w:autoSpaceDN w:val="0"/>
        <w:adjustRightInd w:val="0"/>
        <w:snapToGrid w:val="0"/>
        <w:spacing w:line="480" w:lineRule="auto"/>
        <w:ind w:firstLine="372" w:firstLineChars="186"/>
        <w:jc w:val="left"/>
        <w:rPr>
          <w:rFonts w:ascii="宋体" w:hAnsi="宋体"/>
          <w:color w:val="auto"/>
          <w:kern w:val="0"/>
          <w:sz w:val="20"/>
          <w:szCs w:val="20"/>
          <w:highlight w:val="none"/>
        </w:rPr>
      </w:pPr>
    </w:p>
    <w:p w14:paraId="7B72743A">
      <w:pPr>
        <w:tabs>
          <w:tab w:val="left" w:pos="5460"/>
        </w:tabs>
        <w:autoSpaceDE w:val="0"/>
        <w:autoSpaceDN w:val="0"/>
        <w:adjustRightInd w:val="0"/>
        <w:snapToGrid w:val="0"/>
        <w:spacing w:line="480" w:lineRule="auto"/>
        <w:ind w:firstLine="2100"/>
        <w:jc w:val="right"/>
        <w:rPr>
          <w:rFonts w:ascii="宋体" w:hAnsi="宋体"/>
          <w:color w:val="auto"/>
          <w:kern w:val="0"/>
          <w:szCs w:val="21"/>
          <w:highlight w:val="none"/>
        </w:rPr>
      </w:pPr>
      <w:r>
        <w:rPr>
          <w:rFonts w:ascii="宋体" w:hAnsi="宋体"/>
          <w:color w:val="auto"/>
          <w:kern w:val="0"/>
          <w:szCs w:val="21"/>
          <w:highlight w:val="none"/>
        </w:rPr>
        <w:t>投标</w:t>
      </w:r>
      <w:r>
        <w:rPr>
          <w:rFonts w:ascii="宋体" w:hAnsi="宋体"/>
          <w:color w:val="auto"/>
          <w:spacing w:val="-1"/>
          <w:kern w:val="0"/>
          <w:szCs w:val="21"/>
          <w:highlight w:val="none"/>
        </w:rPr>
        <w:t>人</w:t>
      </w:r>
      <w:r>
        <w:rPr>
          <w:rFonts w:ascii="宋体" w:hAnsi="宋体"/>
          <w:color w:val="auto"/>
          <w:kern w:val="0"/>
          <w:szCs w:val="21"/>
          <w:highlight w:val="none"/>
        </w:rPr>
        <w:t>：</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ab/>
      </w:r>
      <w:r>
        <w:rPr>
          <w:rFonts w:ascii="宋体" w:hAnsi="宋体"/>
          <w:color w:val="auto"/>
          <w:spacing w:val="-1"/>
          <w:kern w:val="0"/>
          <w:szCs w:val="21"/>
          <w:highlight w:val="none"/>
        </w:rPr>
        <w:t>（</w:t>
      </w:r>
      <w:r>
        <w:rPr>
          <w:rFonts w:ascii="宋体" w:hAnsi="宋体"/>
          <w:color w:val="auto"/>
          <w:kern w:val="0"/>
          <w:szCs w:val="21"/>
          <w:highlight w:val="none"/>
        </w:rPr>
        <w:t>盖单位法人章）</w:t>
      </w:r>
    </w:p>
    <w:p w14:paraId="59D8C8F3">
      <w:pPr>
        <w:autoSpaceDE w:val="0"/>
        <w:autoSpaceDN w:val="0"/>
        <w:adjustRightInd w:val="0"/>
        <w:snapToGrid w:val="0"/>
        <w:spacing w:line="480" w:lineRule="auto"/>
        <w:jc w:val="left"/>
        <w:rPr>
          <w:rFonts w:ascii="宋体" w:hAnsi="宋体"/>
          <w:color w:val="auto"/>
          <w:kern w:val="0"/>
          <w:sz w:val="20"/>
          <w:szCs w:val="20"/>
          <w:highlight w:val="none"/>
        </w:rPr>
      </w:pPr>
    </w:p>
    <w:p w14:paraId="72DC4554">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r>
        <w:rPr>
          <w:rFonts w:hint="eastAsia" w:ascii="宋体" w:hAnsi="宋体"/>
          <w:color w:val="auto"/>
          <w:kern w:val="0"/>
          <w:szCs w:val="21"/>
          <w:highlight w:val="none"/>
        </w:rPr>
        <w:t xml:space="preserve">  </w:t>
      </w:r>
    </w:p>
    <w:p w14:paraId="2D1F5D2E">
      <w:pPr>
        <w:autoSpaceDE w:val="0"/>
        <w:autoSpaceDN w:val="0"/>
        <w:adjustRightInd w:val="0"/>
        <w:snapToGrid w:val="0"/>
        <w:spacing w:line="360" w:lineRule="auto"/>
        <w:jc w:val="left"/>
        <w:rPr>
          <w:rFonts w:ascii="宋体" w:hAnsi="宋体"/>
          <w:color w:val="auto"/>
          <w:kern w:val="0"/>
          <w:highlight w:val="none"/>
        </w:rPr>
      </w:pPr>
    </w:p>
    <w:p w14:paraId="3EC76104">
      <w:pPr>
        <w:autoSpaceDE w:val="0"/>
        <w:autoSpaceDN w:val="0"/>
        <w:adjustRightInd w:val="0"/>
        <w:snapToGrid w:val="0"/>
        <w:spacing w:line="360" w:lineRule="auto"/>
        <w:jc w:val="left"/>
        <w:rPr>
          <w:rFonts w:ascii="宋体" w:hAnsi="宋体"/>
          <w:color w:val="auto"/>
          <w:kern w:val="0"/>
          <w:highlight w:val="none"/>
        </w:rPr>
      </w:pPr>
    </w:p>
    <w:p w14:paraId="796ADB0E">
      <w:pPr>
        <w:spacing w:line="360" w:lineRule="auto"/>
        <w:ind w:firstLine="420" w:firstLineChars="200"/>
        <w:rPr>
          <w:rFonts w:ascii="宋体" w:hAnsi="宋体"/>
          <w:color w:val="auto"/>
          <w:highlight w:val="none"/>
        </w:rPr>
      </w:pPr>
      <w:r>
        <w:rPr>
          <w:rFonts w:ascii="宋体" w:hAnsi="宋体"/>
          <w:color w:val="auto"/>
          <w:highlight w:val="none"/>
        </w:rPr>
        <w:t>注：法定代表人身份证明需按上述格式填写完整，不可缺少内容。在此基础上增加内容的不影响其有效性。</w:t>
      </w:r>
    </w:p>
    <w:p w14:paraId="34550997">
      <w:pPr>
        <w:spacing w:line="360" w:lineRule="auto"/>
        <w:ind w:firstLine="420" w:firstLineChars="200"/>
        <w:rPr>
          <w:rFonts w:ascii="宋体" w:hAnsi="宋体"/>
          <w:color w:val="auto"/>
          <w:highlight w:val="none"/>
        </w:rPr>
      </w:pPr>
    </w:p>
    <w:p w14:paraId="0DD8E549">
      <w:pPr>
        <w:tabs>
          <w:tab w:val="left" w:pos="1680"/>
          <w:tab w:val="left" w:pos="4215"/>
          <w:tab w:val="left" w:pos="4305"/>
          <w:tab w:val="left" w:pos="8000"/>
        </w:tabs>
        <w:autoSpaceDE w:val="0"/>
        <w:autoSpaceDN w:val="0"/>
        <w:adjustRightInd w:val="0"/>
        <w:snapToGrid w:val="0"/>
        <w:spacing w:line="360" w:lineRule="auto"/>
        <w:jc w:val="center"/>
        <w:rPr>
          <w:rFonts w:ascii="宋体" w:hAnsi="宋体"/>
          <w:color w:val="auto"/>
          <w:kern w:val="0"/>
          <w:sz w:val="28"/>
          <w:szCs w:val="28"/>
          <w:highlight w:val="none"/>
        </w:rPr>
      </w:pPr>
      <w:r>
        <w:rPr>
          <w:rFonts w:ascii="宋体" w:hAnsi="宋体"/>
          <w:color w:val="auto"/>
          <w:kern w:val="0"/>
          <w:highlight w:val="none"/>
        </w:rPr>
        <w:br w:type="page"/>
      </w:r>
      <w:r>
        <w:rPr>
          <w:rFonts w:ascii="宋体" w:hAnsi="宋体"/>
          <w:snapToGrid w:val="0"/>
          <w:color w:val="auto"/>
          <w:kern w:val="0"/>
          <w:sz w:val="32"/>
          <w:szCs w:val="32"/>
          <w:highlight w:val="none"/>
        </w:rPr>
        <w:t>授权委托书</w:t>
      </w:r>
    </w:p>
    <w:p w14:paraId="55A61BF8">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color w:val="auto"/>
          <w:kern w:val="0"/>
          <w:szCs w:val="21"/>
          <w:highlight w:val="none"/>
        </w:rPr>
      </w:pPr>
      <w:r>
        <w:rPr>
          <w:rFonts w:ascii="宋体" w:hAnsi="宋体"/>
          <w:color w:val="auto"/>
          <w:kern w:val="0"/>
          <w:szCs w:val="21"/>
          <w:highlight w:val="none"/>
        </w:rPr>
        <w:t>本人</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系</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w:t>
      </w:r>
      <w:r>
        <w:rPr>
          <w:rFonts w:ascii="宋体" w:hAnsi="宋体"/>
          <w:color w:val="auto"/>
          <w:spacing w:val="-1"/>
          <w:kern w:val="0"/>
          <w:szCs w:val="21"/>
          <w:highlight w:val="none"/>
          <w:u w:val="single"/>
        </w:rPr>
        <w:t>投</w:t>
      </w:r>
      <w:r>
        <w:rPr>
          <w:rFonts w:ascii="宋体" w:hAnsi="宋体"/>
          <w:color w:val="auto"/>
          <w:kern w:val="0"/>
          <w:szCs w:val="21"/>
          <w:highlight w:val="none"/>
          <w:u w:val="single"/>
        </w:rPr>
        <w:t>标人名称</w:t>
      </w:r>
      <w:r>
        <w:rPr>
          <w:rFonts w:ascii="宋体" w:hAnsi="宋体"/>
          <w:color w:val="auto"/>
          <w:spacing w:val="1"/>
          <w:kern w:val="0"/>
          <w:szCs w:val="21"/>
          <w:highlight w:val="none"/>
          <w:u w:val="single"/>
        </w:rPr>
        <w:t>）</w:t>
      </w:r>
      <w:r>
        <w:rPr>
          <w:rFonts w:ascii="宋体" w:hAnsi="宋体"/>
          <w:color w:val="auto"/>
          <w:kern w:val="0"/>
          <w:szCs w:val="21"/>
          <w:highlight w:val="none"/>
        </w:rPr>
        <w:t>的法定代</w:t>
      </w:r>
      <w:r>
        <w:rPr>
          <w:rFonts w:ascii="宋体" w:hAnsi="宋体"/>
          <w:color w:val="auto"/>
          <w:spacing w:val="1"/>
          <w:kern w:val="0"/>
          <w:szCs w:val="21"/>
          <w:highlight w:val="none"/>
        </w:rPr>
        <w:t>表</w:t>
      </w:r>
      <w:r>
        <w:rPr>
          <w:rFonts w:ascii="宋体" w:hAnsi="宋体"/>
          <w:color w:val="auto"/>
          <w:kern w:val="0"/>
          <w:szCs w:val="21"/>
          <w:highlight w:val="none"/>
        </w:rPr>
        <w:t>人，现委托</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为我方代理人。代理人根据授权，以我方名义签署、澄清、说明、补正、递交、撤回、 修改</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（项</w:t>
      </w:r>
      <w:r>
        <w:rPr>
          <w:rFonts w:ascii="宋体" w:hAnsi="宋体"/>
          <w:color w:val="auto"/>
          <w:spacing w:val="-1"/>
          <w:kern w:val="0"/>
          <w:szCs w:val="21"/>
          <w:highlight w:val="none"/>
          <w:u w:val="single"/>
        </w:rPr>
        <w:t>目</w:t>
      </w:r>
      <w:r>
        <w:rPr>
          <w:rFonts w:ascii="宋体" w:hAnsi="宋体"/>
          <w:color w:val="auto"/>
          <w:kern w:val="0"/>
          <w:szCs w:val="21"/>
          <w:highlight w:val="none"/>
          <w:u w:val="single"/>
        </w:rPr>
        <w:t>名称）</w:t>
      </w:r>
      <w:r>
        <w:rPr>
          <w:rFonts w:ascii="宋体" w:hAnsi="宋体"/>
          <w:color w:val="auto"/>
          <w:kern w:val="0"/>
          <w:szCs w:val="21"/>
          <w:highlight w:val="none"/>
        </w:rPr>
        <w:t>投标文件、签订合同和处理有关事宜， 其法律后果由我方承担。</w:t>
      </w:r>
    </w:p>
    <w:p w14:paraId="36AF12F4">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委托</w:t>
      </w:r>
      <w:r>
        <w:rPr>
          <w:rFonts w:ascii="宋体" w:hAnsi="宋体"/>
          <w:color w:val="auto"/>
          <w:spacing w:val="-1"/>
          <w:kern w:val="0"/>
          <w:szCs w:val="21"/>
          <w:highlight w:val="none"/>
        </w:rPr>
        <w:t>期</w:t>
      </w:r>
      <w:r>
        <w:rPr>
          <w:rFonts w:ascii="宋体" w:hAnsi="宋体"/>
          <w:color w:val="auto"/>
          <w:kern w:val="0"/>
          <w:szCs w:val="21"/>
          <w:highlight w:val="none"/>
        </w:rPr>
        <w:t>限：</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 xml:space="preserve">。 </w:t>
      </w:r>
    </w:p>
    <w:p w14:paraId="6345068A">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代理人无转委托权。</w:t>
      </w:r>
    </w:p>
    <w:p w14:paraId="0B0CE476">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投  标  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14:paraId="2C9ED502">
      <w:pPr>
        <w:tabs>
          <w:tab w:val="left" w:pos="630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或盖章）</w:t>
      </w:r>
    </w:p>
    <w:p w14:paraId="0C0AAB81">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14:paraId="2E561A11">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委托代理人：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w:t>
      </w:r>
    </w:p>
    <w:p w14:paraId="5AED7FE3">
      <w:pPr>
        <w:tabs>
          <w:tab w:val="left" w:pos="6825"/>
        </w:tabs>
        <w:autoSpaceDE w:val="0"/>
        <w:autoSpaceDN w:val="0"/>
        <w:adjustRightInd w:val="0"/>
        <w:snapToGrid w:val="0"/>
        <w:spacing w:line="480" w:lineRule="auto"/>
        <w:ind w:firstLine="420" w:firstLineChars="200"/>
        <w:jc w:val="left"/>
        <w:rPr>
          <w:rFonts w:ascii="宋体" w:hAnsi="宋体"/>
          <w:color w:val="auto"/>
          <w:w w:val="200"/>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14:paraId="7515E12A">
      <w:pPr>
        <w:tabs>
          <w:tab w:val="left" w:pos="6825"/>
        </w:tabs>
        <w:autoSpaceDE w:val="0"/>
        <w:autoSpaceDN w:val="0"/>
        <w:adjustRightInd w:val="0"/>
        <w:snapToGrid w:val="0"/>
        <w:spacing w:line="480" w:lineRule="auto"/>
        <w:ind w:firstLine="420" w:firstLineChars="200"/>
        <w:jc w:val="left"/>
        <w:rPr>
          <w:rFonts w:ascii="宋体" w:hAnsi="宋体"/>
          <w:color w:val="auto"/>
          <w:kern w:val="0"/>
          <w:szCs w:val="21"/>
          <w:highlight w:val="none"/>
          <w:u w:val="single"/>
        </w:rPr>
      </w:pPr>
      <w:r>
        <w:rPr>
          <w:rFonts w:hint="eastAsia" w:ascii="宋体" w:hAnsi="宋体"/>
          <w:color w:val="auto"/>
          <w:kern w:val="0"/>
          <w:szCs w:val="21"/>
          <w:highlight w:val="none"/>
        </w:rPr>
        <w:t>单位电话（座机）：</w:t>
      </w:r>
      <w:r>
        <w:rPr>
          <w:rFonts w:hint="eastAsia" w:ascii="宋体" w:hAnsi="宋体"/>
          <w:color w:val="auto"/>
          <w:kern w:val="0"/>
          <w:szCs w:val="21"/>
          <w:highlight w:val="none"/>
          <w:u w:val="single"/>
        </w:rPr>
        <w:t xml:space="preserve">                              </w:t>
      </w:r>
    </w:p>
    <w:p w14:paraId="795D8A6E">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 xml:space="preserve">委托代理人电话（手机）：                                          </w:t>
      </w:r>
    </w:p>
    <w:p w14:paraId="1C8A8D71">
      <w:pPr>
        <w:autoSpaceDE w:val="0"/>
        <w:autoSpaceDN w:val="0"/>
        <w:adjustRightInd w:val="0"/>
        <w:snapToGrid w:val="0"/>
        <w:spacing w:line="48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附：法定代表人和委托代理人身份证扫描件（双面）</w:t>
      </w:r>
    </w:p>
    <w:p w14:paraId="1B0CC0C0">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14:paraId="3468D7E3">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14:paraId="1BD4A015">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14:paraId="7F3230D5">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14:paraId="31E6B84A">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14:paraId="6B81E3D2">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14:paraId="2EBA74FD">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日</w:t>
      </w:r>
      <w:r>
        <w:rPr>
          <w:rFonts w:hint="eastAsia" w:ascii="宋体" w:hAnsi="宋体"/>
          <w:color w:val="auto"/>
          <w:kern w:val="0"/>
          <w:szCs w:val="21"/>
          <w:highlight w:val="none"/>
        </w:rPr>
        <w:t xml:space="preserve"> </w:t>
      </w:r>
    </w:p>
    <w:p w14:paraId="10712252">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kern w:val="0"/>
          <w:szCs w:val="21"/>
          <w:highlight w:val="none"/>
        </w:rPr>
      </w:pPr>
    </w:p>
    <w:p w14:paraId="213F13CC">
      <w:pPr>
        <w:tabs>
          <w:tab w:val="left" w:pos="5760"/>
        </w:tabs>
        <w:autoSpaceDE w:val="0"/>
        <w:autoSpaceDN w:val="0"/>
        <w:adjustRightInd w:val="0"/>
        <w:spacing w:line="360" w:lineRule="auto"/>
        <w:ind w:firstLine="420" w:firstLineChars="200"/>
        <w:rPr>
          <w:rFonts w:ascii="宋体" w:hAnsi="宋体"/>
          <w:color w:val="auto"/>
          <w:kern w:val="0"/>
          <w:highlight w:val="none"/>
        </w:rPr>
      </w:pPr>
    </w:p>
    <w:p w14:paraId="3D6EF7C1">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14:paraId="272BA02B">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kern w:val="0"/>
          <w:szCs w:val="21"/>
          <w:highlight w:val="none"/>
        </w:rPr>
        <w:t>2.</w:t>
      </w:r>
      <w:r>
        <w:rPr>
          <w:rFonts w:hint="eastAsia" w:ascii="宋体" w:hAnsi="宋体"/>
          <w:color w:val="auto"/>
          <w:highlight w:val="none"/>
        </w:rPr>
        <w:t>授权委托书</w:t>
      </w:r>
      <w:r>
        <w:rPr>
          <w:rFonts w:ascii="宋体" w:hAnsi="宋体"/>
          <w:color w:val="auto"/>
          <w:highlight w:val="none"/>
        </w:rPr>
        <w:t>需按上述格式填写完整，不可缺少内容。在此基础上增加内容的不影响其有效性。</w:t>
      </w:r>
    </w:p>
    <w:p w14:paraId="4F7322DC">
      <w:pPr>
        <w:spacing w:line="360" w:lineRule="auto"/>
        <w:ind w:firstLine="420" w:firstLineChars="200"/>
        <w:rPr>
          <w:rFonts w:ascii="宋体" w:hAnsi="宋体"/>
          <w:color w:val="auto"/>
          <w:highlight w:val="none"/>
        </w:rPr>
      </w:pPr>
      <w:r>
        <w:rPr>
          <w:rFonts w:ascii="宋体" w:hAnsi="宋体"/>
          <w:color w:val="auto"/>
          <w:highlight w:val="none"/>
        </w:rPr>
        <w:br w:type="page"/>
      </w:r>
    </w:p>
    <w:p w14:paraId="4B035DB3">
      <w:pPr>
        <w:pStyle w:val="5"/>
        <w:spacing w:before="0" w:after="0" w:line="240" w:lineRule="auto"/>
        <w:jc w:val="center"/>
        <w:rPr>
          <w:rFonts w:ascii="宋体" w:hAnsi="宋体"/>
          <w:b w:val="0"/>
          <w:bCs w:val="0"/>
          <w:color w:val="auto"/>
          <w:highlight w:val="none"/>
        </w:rPr>
      </w:pPr>
      <w:bookmarkStart w:id="2080" w:name="_Toc287607870"/>
      <w:bookmarkStart w:id="2081" w:name="_Toc277082646"/>
      <w:bookmarkStart w:id="2082" w:name="_Toc224103498"/>
      <w:bookmarkStart w:id="2083" w:name="_Toc287620817"/>
      <w:bookmarkStart w:id="2084" w:name="_Toc117005258"/>
      <w:bookmarkStart w:id="2085" w:name="_Toc430530533"/>
      <w:r>
        <w:rPr>
          <w:rFonts w:ascii="宋体" w:hAnsi="宋体"/>
          <w:b w:val="0"/>
          <w:bCs w:val="0"/>
          <w:color w:val="auto"/>
          <w:highlight w:val="none"/>
        </w:rPr>
        <w:t>（四）</w:t>
      </w:r>
      <w:bookmarkEnd w:id="2080"/>
      <w:bookmarkEnd w:id="2081"/>
      <w:bookmarkEnd w:id="2082"/>
      <w:bookmarkEnd w:id="2083"/>
      <w:bookmarkStart w:id="2086" w:name="_Toc224103499"/>
      <w:bookmarkStart w:id="2087" w:name="_Toc287620818"/>
      <w:bookmarkStart w:id="2088" w:name="_Toc287607871"/>
      <w:bookmarkStart w:id="2089" w:name="_Toc277082647"/>
      <w:r>
        <w:rPr>
          <w:rFonts w:hint="eastAsia" w:ascii="宋体" w:hAnsi="宋体"/>
          <w:b w:val="0"/>
          <w:bCs w:val="0"/>
          <w:color w:val="auto"/>
          <w:highlight w:val="none"/>
        </w:rPr>
        <w:t>低价风险担保提交承诺书</w:t>
      </w:r>
      <w:bookmarkEnd w:id="2084"/>
    </w:p>
    <w:p w14:paraId="798DCF64">
      <w:pPr>
        <w:autoSpaceDE w:val="0"/>
        <w:autoSpaceDN w:val="0"/>
        <w:adjustRightInd w:val="0"/>
        <w:snapToGrid w:val="0"/>
        <w:spacing w:line="360" w:lineRule="auto"/>
        <w:jc w:val="center"/>
        <w:rPr>
          <w:rFonts w:ascii="宋体" w:hAnsi="宋体"/>
          <w:snapToGrid w:val="0"/>
          <w:color w:val="auto"/>
          <w:kern w:val="0"/>
          <w:sz w:val="32"/>
          <w:szCs w:val="32"/>
          <w:highlight w:val="none"/>
        </w:rPr>
      </w:pPr>
    </w:p>
    <w:p w14:paraId="4FAE1AAA">
      <w:pPr>
        <w:autoSpaceDE w:val="0"/>
        <w:autoSpaceDN w:val="0"/>
        <w:adjustRightInd w:val="0"/>
        <w:snapToGrid w:val="0"/>
        <w:spacing w:line="360" w:lineRule="auto"/>
        <w:jc w:val="center"/>
        <w:rPr>
          <w:rFonts w:ascii="宋体" w:hAnsi="宋体"/>
          <w:snapToGrid w:val="0"/>
          <w:color w:val="auto"/>
          <w:kern w:val="0"/>
          <w:sz w:val="32"/>
          <w:szCs w:val="32"/>
          <w:highlight w:val="none"/>
        </w:rPr>
      </w:pPr>
      <w:r>
        <w:rPr>
          <w:rFonts w:hint="eastAsia" w:ascii="宋体" w:hAnsi="宋体"/>
          <w:snapToGrid w:val="0"/>
          <w:color w:val="auto"/>
          <w:kern w:val="0"/>
          <w:sz w:val="32"/>
          <w:szCs w:val="32"/>
          <w:highlight w:val="none"/>
        </w:rPr>
        <w:t>（投标报价低于招标项目最高限价的85%时采用）</w:t>
      </w:r>
    </w:p>
    <w:p w14:paraId="08154AB3">
      <w:pPr>
        <w:autoSpaceDE w:val="0"/>
        <w:autoSpaceDN w:val="0"/>
        <w:adjustRightInd w:val="0"/>
        <w:snapToGrid w:val="0"/>
        <w:spacing w:line="360" w:lineRule="auto"/>
        <w:jc w:val="center"/>
        <w:rPr>
          <w:rFonts w:ascii="宋体" w:hAnsi="宋体"/>
          <w:snapToGrid w:val="0"/>
          <w:color w:val="auto"/>
          <w:kern w:val="0"/>
          <w:sz w:val="32"/>
          <w:szCs w:val="32"/>
          <w:highlight w:val="none"/>
        </w:rPr>
      </w:pPr>
    </w:p>
    <w:p w14:paraId="03DF98F1">
      <w:pPr>
        <w:autoSpaceDE w:val="0"/>
        <w:autoSpaceDN w:val="0"/>
        <w:adjustRightInd w:val="0"/>
        <w:snapToGrid w:val="0"/>
        <w:spacing w:line="360" w:lineRule="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u w:val="single"/>
        </w:rPr>
        <w:t xml:space="preserve">        （招标人名称）</w:t>
      </w:r>
      <w:r>
        <w:rPr>
          <w:rFonts w:hint="eastAsia" w:ascii="宋体" w:hAnsi="宋体" w:cs="宋体"/>
          <w:snapToGrid w:val="0"/>
          <w:color w:val="auto"/>
          <w:kern w:val="0"/>
          <w:szCs w:val="21"/>
          <w:highlight w:val="none"/>
        </w:rPr>
        <w:t>：</w:t>
      </w:r>
    </w:p>
    <w:p w14:paraId="4689C5CB">
      <w:pPr>
        <w:autoSpaceDE w:val="0"/>
        <w:autoSpaceDN w:val="0"/>
        <w:adjustRightInd w:val="0"/>
        <w:snapToGrid w:val="0"/>
        <w:spacing w:line="360" w:lineRule="auto"/>
        <w:ind w:firstLine="420" w:firstLineChars="20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我公司</w:t>
      </w:r>
      <w:r>
        <w:rPr>
          <w:rFonts w:hint="eastAsia" w:ascii="宋体" w:hAnsi="宋体" w:cs="宋体"/>
          <w:snapToGrid w:val="0"/>
          <w:color w:val="auto"/>
          <w:kern w:val="0"/>
          <w:szCs w:val="21"/>
          <w:highlight w:val="none"/>
          <w:u w:val="single"/>
        </w:rPr>
        <w:t xml:space="preserve">        （投标人名称）</w:t>
      </w:r>
      <w:r>
        <w:rPr>
          <w:rFonts w:hint="eastAsia" w:ascii="宋体" w:hAnsi="宋体" w:cs="宋体"/>
          <w:snapToGrid w:val="0"/>
          <w:color w:val="auto"/>
          <w:kern w:val="0"/>
          <w:szCs w:val="21"/>
          <w:highlight w:val="none"/>
        </w:rPr>
        <w:t>参加了你单位</w:t>
      </w:r>
      <w:r>
        <w:rPr>
          <w:rFonts w:hint="eastAsia" w:ascii="宋体" w:hAnsi="宋体" w:cs="宋体"/>
          <w:snapToGrid w:val="0"/>
          <w:color w:val="auto"/>
          <w:kern w:val="0"/>
          <w:szCs w:val="21"/>
          <w:highlight w:val="none"/>
          <w:u w:val="single"/>
        </w:rPr>
        <w:t xml:space="preserve">        （项目名称）</w:t>
      </w:r>
      <w:r>
        <w:rPr>
          <w:rFonts w:hint="eastAsia" w:ascii="宋体" w:hAnsi="宋体" w:cs="宋体"/>
          <w:snapToGrid w:val="0"/>
          <w:color w:val="auto"/>
          <w:kern w:val="0"/>
          <w:szCs w:val="21"/>
          <w:highlight w:val="none"/>
        </w:rPr>
        <w:t>的投标。我公司投标报价低于最高限价的85%，若获得中标资格，我公司承诺按照招标文件的规定递交低价风险担保。同时，我公司已落实低价风险担保的提交方案，承诺如采用保函形式提交低价风险担保，保函的格式和内容符合招标文件的要求。否则，我公司愿承担招标文件中约定的，因未按规定递交低价风险担保的相应责任。</w:t>
      </w:r>
    </w:p>
    <w:p w14:paraId="277E9521">
      <w:pPr>
        <w:autoSpaceDE w:val="0"/>
        <w:autoSpaceDN w:val="0"/>
        <w:adjustRightInd w:val="0"/>
        <w:snapToGrid w:val="0"/>
        <w:spacing w:line="360" w:lineRule="auto"/>
        <w:ind w:firstLine="640"/>
        <w:rPr>
          <w:rFonts w:ascii="宋体" w:hAnsi="宋体" w:cs="宋体"/>
          <w:snapToGrid w:val="0"/>
          <w:color w:val="auto"/>
          <w:kern w:val="0"/>
          <w:szCs w:val="21"/>
          <w:highlight w:val="none"/>
        </w:rPr>
      </w:pPr>
    </w:p>
    <w:p w14:paraId="59A7F0DF">
      <w:pPr>
        <w:autoSpaceDE w:val="0"/>
        <w:autoSpaceDN w:val="0"/>
        <w:adjustRightInd w:val="0"/>
        <w:snapToGrid w:val="0"/>
        <w:spacing w:line="360" w:lineRule="auto"/>
        <w:ind w:firstLine="64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特此承诺。</w:t>
      </w:r>
    </w:p>
    <w:p w14:paraId="38D6E73E">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14:paraId="11E869A7">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14:paraId="4A2BA071">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14:paraId="45FBF179">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14:paraId="4EEC4A07">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14:paraId="5BF75E8A">
      <w:pPr>
        <w:tabs>
          <w:tab w:val="left" w:pos="4200"/>
          <w:tab w:val="left" w:pos="4620"/>
        </w:tabs>
        <w:autoSpaceDE w:val="0"/>
        <w:autoSpaceDN w:val="0"/>
        <w:adjustRightInd w:val="0"/>
        <w:snapToGri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投  标  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14:paraId="60ACBB2B">
      <w:pPr>
        <w:tabs>
          <w:tab w:val="left" w:pos="6300"/>
        </w:tabs>
        <w:autoSpaceDE w:val="0"/>
        <w:autoSpaceDN w:val="0"/>
        <w:adjustRightInd w:val="0"/>
        <w:snapToGri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或盖章）</w:t>
      </w:r>
    </w:p>
    <w:p w14:paraId="78B4F075">
      <w:pPr>
        <w:tabs>
          <w:tab w:val="left" w:pos="7140"/>
          <w:tab w:val="left" w:pos="7560"/>
          <w:tab w:val="left" w:pos="8300"/>
        </w:tabs>
        <w:autoSpaceDE w:val="0"/>
        <w:autoSpaceDN w:val="0"/>
        <w:adjustRightInd w:val="0"/>
        <w:spacing w:line="360" w:lineRule="auto"/>
        <w:ind w:firstLine="420" w:firstLineChars="200"/>
        <w:rPr>
          <w:rFonts w:ascii="宋体" w:hAnsi="宋体"/>
          <w:snapToGrid w:val="0"/>
          <w:color w:val="auto"/>
          <w:kern w:val="0"/>
          <w:szCs w:val="21"/>
          <w:highlight w:val="none"/>
        </w:rPr>
      </w:pPr>
    </w:p>
    <w:p w14:paraId="051AF673">
      <w:pPr>
        <w:tabs>
          <w:tab w:val="left" w:pos="3840"/>
          <w:tab w:val="left" w:pos="4780"/>
          <w:tab w:val="left" w:pos="5720"/>
        </w:tabs>
        <w:autoSpaceDE w:val="0"/>
        <w:autoSpaceDN w:val="0"/>
        <w:adjustRightInd w:val="0"/>
        <w:snapToGrid w:val="0"/>
        <w:spacing w:before="156" w:beforeLines="50" w:line="360" w:lineRule="auto"/>
        <w:ind w:right="420" w:firstLine="5565" w:firstLineChars="2650"/>
        <w:jc w:val="right"/>
        <w:rPr>
          <w:rFonts w:ascii="宋体" w:hAnsi="宋体"/>
          <w:snapToGrid w:val="0"/>
          <w:color w:val="auto"/>
          <w:kern w:val="0"/>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14:paraId="0F1206A3">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14:paraId="47B6AC9A">
      <w:pPr>
        <w:autoSpaceDE w:val="0"/>
        <w:autoSpaceDN w:val="0"/>
        <w:adjustRightInd w:val="0"/>
        <w:snapToGrid w:val="0"/>
        <w:spacing w:line="360" w:lineRule="auto"/>
        <w:jc w:val="center"/>
        <w:rPr>
          <w:rFonts w:ascii="宋体" w:hAnsi="宋体"/>
          <w:snapToGrid w:val="0"/>
          <w:color w:val="auto"/>
          <w:kern w:val="0"/>
          <w:sz w:val="32"/>
          <w:szCs w:val="32"/>
          <w:highlight w:val="none"/>
        </w:rPr>
      </w:pPr>
    </w:p>
    <w:p w14:paraId="4CF1698E">
      <w:pPr>
        <w:pStyle w:val="2"/>
        <w:rPr>
          <w:rFonts w:ascii="宋体" w:hAnsi="宋体"/>
          <w:snapToGrid w:val="0"/>
          <w:color w:val="auto"/>
          <w:kern w:val="0"/>
          <w:sz w:val="32"/>
          <w:szCs w:val="32"/>
          <w:highlight w:val="none"/>
        </w:rPr>
      </w:pPr>
      <w:r>
        <w:rPr>
          <w:rFonts w:ascii="宋体" w:hAnsi="宋体"/>
          <w:snapToGrid w:val="0"/>
          <w:color w:val="auto"/>
          <w:kern w:val="0"/>
          <w:sz w:val="32"/>
          <w:szCs w:val="32"/>
          <w:highlight w:val="none"/>
        </w:rPr>
        <w:br w:type="page"/>
      </w:r>
    </w:p>
    <w:bookmarkEnd w:id="2085"/>
    <w:bookmarkEnd w:id="2086"/>
    <w:bookmarkEnd w:id="2087"/>
    <w:bookmarkEnd w:id="2088"/>
    <w:bookmarkEnd w:id="2089"/>
    <w:p w14:paraId="2D90BEF0">
      <w:pPr>
        <w:pStyle w:val="4"/>
        <w:spacing w:line="360" w:lineRule="auto"/>
        <w:jc w:val="center"/>
        <w:rPr>
          <w:rFonts w:ascii="宋体" w:hAnsi="宋体"/>
          <w:b w:val="0"/>
          <w:bCs w:val="0"/>
          <w:color w:val="auto"/>
          <w:sz w:val="44"/>
          <w:szCs w:val="44"/>
          <w:highlight w:val="none"/>
        </w:rPr>
      </w:pPr>
      <w:bookmarkStart w:id="2090" w:name="_Toc430530534"/>
      <w:bookmarkStart w:id="2091" w:name="_Toc224103500"/>
      <w:bookmarkStart w:id="2092" w:name="_Toc287607872"/>
      <w:bookmarkStart w:id="2093" w:name="_Toc117005259"/>
      <w:bookmarkStart w:id="2094" w:name="_Toc287620819"/>
      <w:r>
        <w:rPr>
          <w:rFonts w:hint="eastAsia" w:ascii="宋体" w:hAnsi="宋体"/>
          <w:b w:val="0"/>
          <w:bCs w:val="0"/>
          <w:color w:val="auto"/>
          <w:sz w:val="44"/>
          <w:szCs w:val="44"/>
          <w:highlight w:val="none"/>
        </w:rPr>
        <w:t>二、经济部分</w:t>
      </w:r>
      <w:bookmarkEnd w:id="2090"/>
      <w:bookmarkEnd w:id="2091"/>
      <w:bookmarkEnd w:id="2092"/>
      <w:bookmarkEnd w:id="2093"/>
      <w:bookmarkEnd w:id="2094"/>
    </w:p>
    <w:p w14:paraId="6DE5AC9E">
      <w:pPr>
        <w:spacing w:line="360" w:lineRule="auto"/>
        <w:jc w:val="center"/>
        <w:rPr>
          <w:rFonts w:ascii="宋体" w:hAnsi="宋体"/>
          <w:color w:val="auto"/>
          <w:kern w:val="0"/>
          <w:sz w:val="32"/>
          <w:szCs w:val="32"/>
          <w:highlight w:val="none"/>
        </w:rPr>
      </w:pPr>
      <w:r>
        <w:rPr>
          <w:rFonts w:ascii="宋体" w:hAnsi="宋体"/>
          <w:color w:val="auto"/>
          <w:kern w:val="0"/>
          <w:sz w:val="28"/>
          <w:szCs w:val="28"/>
          <w:highlight w:val="none"/>
        </w:rPr>
        <w:br w:type="page"/>
      </w:r>
      <w:r>
        <w:rPr>
          <w:rFonts w:hint="eastAsia" w:ascii="宋体" w:hAnsi="宋体"/>
          <w:color w:val="auto"/>
          <w:kern w:val="0"/>
          <w:sz w:val="32"/>
          <w:szCs w:val="32"/>
          <w:highlight w:val="none"/>
          <w:u w:val="single"/>
        </w:rPr>
        <w:t xml:space="preserve">                   （项目名称）</w:t>
      </w:r>
    </w:p>
    <w:p w14:paraId="4DC8C17B">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14:paraId="70760D36">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14:paraId="43E1AE6B">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14:paraId="4C04EC55">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14:paraId="370368B7">
      <w:pPr>
        <w:tabs>
          <w:tab w:val="left" w:pos="3600"/>
          <w:tab w:val="left" w:pos="4480"/>
          <w:tab w:val="left" w:pos="5360"/>
        </w:tabs>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投 标 文 件</w:t>
      </w:r>
    </w:p>
    <w:p w14:paraId="26C7322D">
      <w:pPr>
        <w:autoSpaceDE w:val="0"/>
        <w:autoSpaceDN w:val="0"/>
        <w:adjustRightInd w:val="0"/>
        <w:snapToGrid w:val="0"/>
        <w:spacing w:line="360" w:lineRule="auto"/>
        <w:jc w:val="left"/>
        <w:rPr>
          <w:rFonts w:ascii="宋体" w:hAnsi="宋体"/>
          <w:color w:val="auto"/>
          <w:kern w:val="0"/>
          <w:sz w:val="16"/>
          <w:szCs w:val="16"/>
          <w:highlight w:val="none"/>
        </w:rPr>
      </w:pPr>
    </w:p>
    <w:p w14:paraId="215B5E9C">
      <w:pPr>
        <w:autoSpaceDE w:val="0"/>
        <w:autoSpaceDN w:val="0"/>
        <w:adjustRightInd w:val="0"/>
        <w:snapToGrid w:val="0"/>
        <w:spacing w:line="360" w:lineRule="auto"/>
        <w:jc w:val="center"/>
        <w:rPr>
          <w:rFonts w:ascii="宋体" w:hAnsi="宋体"/>
          <w:color w:val="auto"/>
          <w:kern w:val="0"/>
          <w:sz w:val="36"/>
          <w:szCs w:val="36"/>
          <w:highlight w:val="none"/>
        </w:rPr>
      </w:pPr>
      <w:r>
        <w:rPr>
          <w:rFonts w:hint="eastAsia" w:ascii="宋体" w:hAnsi="宋体"/>
          <w:color w:val="auto"/>
          <w:kern w:val="0"/>
          <w:sz w:val="36"/>
          <w:szCs w:val="36"/>
          <w:highlight w:val="none"/>
        </w:rPr>
        <w:t>经济部分</w:t>
      </w:r>
    </w:p>
    <w:p w14:paraId="249AF32B">
      <w:pPr>
        <w:autoSpaceDE w:val="0"/>
        <w:autoSpaceDN w:val="0"/>
        <w:adjustRightInd w:val="0"/>
        <w:snapToGrid w:val="0"/>
        <w:spacing w:line="360" w:lineRule="auto"/>
        <w:jc w:val="left"/>
        <w:rPr>
          <w:rFonts w:ascii="宋体" w:hAnsi="宋体"/>
          <w:b/>
          <w:color w:val="auto"/>
          <w:kern w:val="0"/>
          <w:sz w:val="20"/>
          <w:szCs w:val="20"/>
          <w:highlight w:val="none"/>
        </w:rPr>
      </w:pPr>
    </w:p>
    <w:p w14:paraId="50E7DFF7">
      <w:pPr>
        <w:autoSpaceDE w:val="0"/>
        <w:autoSpaceDN w:val="0"/>
        <w:adjustRightInd w:val="0"/>
        <w:snapToGrid w:val="0"/>
        <w:spacing w:line="360" w:lineRule="auto"/>
        <w:jc w:val="left"/>
        <w:rPr>
          <w:rFonts w:ascii="宋体" w:hAnsi="宋体"/>
          <w:b/>
          <w:color w:val="auto"/>
          <w:kern w:val="0"/>
          <w:sz w:val="20"/>
          <w:szCs w:val="20"/>
          <w:highlight w:val="none"/>
        </w:rPr>
      </w:pPr>
    </w:p>
    <w:p w14:paraId="38E7F950">
      <w:pPr>
        <w:autoSpaceDE w:val="0"/>
        <w:autoSpaceDN w:val="0"/>
        <w:adjustRightInd w:val="0"/>
        <w:snapToGrid w:val="0"/>
        <w:spacing w:line="360" w:lineRule="auto"/>
        <w:jc w:val="left"/>
        <w:rPr>
          <w:rFonts w:ascii="宋体" w:hAnsi="宋体"/>
          <w:b/>
          <w:color w:val="auto"/>
          <w:kern w:val="0"/>
          <w:sz w:val="20"/>
          <w:szCs w:val="20"/>
          <w:highlight w:val="none"/>
        </w:rPr>
      </w:pPr>
    </w:p>
    <w:p w14:paraId="6D56D9D2">
      <w:pPr>
        <w:autoSpaceDE w:val="0"/>
        <w:autoSpaceDN w:val="0"/>
        <w:adjustRightInd w:val="0"/>
        <w:snapToGrid w:val="0"/>
        <w:spacing w:line="360" w:lineRule="auto"/>
        <w:jc w:val="left"/>
        <w:rPr>
          <w:rFonts w:ascii="宋体" w:hAnsi="宋体"/>
          <w:b/>
          <w:color w:val="auto"/>
          <w:kern w:val="0"/>
          <w:sz w:val="20"/>
          <w:szCs w:val="20"/>
          <w:highlight w:val="none"/>
        </w:rPr>
      </w:pPr>
    </w:p>
    <w:p w14:paraId="36A70C01">
      <w:pPr>
        <w:autoSpaceDE w:val="0"/>
        <w:autoSpaceDN w:val="0"/>
        <w:adjustRightInd w:val="0"/>
        <w:snapToGrid w:val="0"/>
        <w:spacing w:line="360" w:lineRule="auto"/>
        <w:jc w:val="left"/>
        <w:rPr>
          <w:rFonts w:ascii="宋体" w:hAnsi="宋体"/>
          <w:b/>
          <w:color w:val="auto"/>
          <w:kern w:val="0"/>
          <w:sz w:val="20"/>
          <w:szCs w:val="20"/>
          <w:highlight w:val="none"/>
        </w:rPr>
      </w:pPr>
    </w:p>
    <w:p w14:paraId="77C902AE">
      <w:pPr>
        <w:autoSpaceDE w:val="0"/>
        <w:autoSpaceDN w:val="0"/>
        <w:adjustRightInd w:val="0"/>
        <w:snapToGrid w:val="0"/>
        <w:spacing w:line="360" w:lineRule="auto"/>
        <w:jc w:val="left"/>
        <w:rPr>
          <w:rFonts w:ascii="宋体" w:hAnsi="宋体"/>
          <w:b/>
          <w:color w:val="auto"/>
          <w:kern w:val="0"/>
          <w:sz w:val="20"/>
          <w:szCs w:val="20"/>
          <w:highlight w:val="none"/>
        </w:rPr>
      </w:pPr>
    </w:p>
    <w:p w14:paraId="299071A8">
      <w:pPr>
        <w:autoSpaceDE w:val="0"/>
        <w:autoSpaceDN w:val="0"/>
        <w:adjustRightInd w:val="0"/>
        <w:snapToGrid w:val="0"/>
        <w:spacing w:line="360" w:lineRule="auto"/>
        <w:jc w:val="left"/>
        <w:rPr>
          <w:rFonts w:ascii="宋体" w:hAnsi="宋体"/>
          <w:b/>
          <w:color w:val="auto"/>
          <w:kern w:val="0"/>
          <w:sz w:val="20"/>
          <w:szCs w:val="20"/>
          <w:highlight w:val="none"/>
        </w:rPr>
      </w:pPr>
    </w:p>
    <w:p w14:paraId="3A3F986F">
      <w:pPr>
        <w:autoSpaceDE w:val="0"/>
        <w:autoSpaceDN w:val="0"/>
        <w:adjustRightInd w:val="0"/>
        <w:snapToGrid w:val="0"/>
        <w:spacing w:line="360" w:lineRule="auto"/>
        <w:jc w:val="left"/>
        <w:rPr>
          <w:rFonts w:ascii="宋体" w:hAnsi="宋体"/>
          <w:b/>
          <w:color w:val="auto"/>
          <w:kern w:val="0"/>
          <w:sz w:val="20"/>
          <w:szCs w:val="20"/>
          <w:highlight w:val="none"/>
        </w:rPr>
      </w:pPr>
    </w:p>
    <w:p w14:paraId="36E00E40">
      <w:pPr>
        <w:autoSpaceDE w:val="0"/>
        <w:autoSpaceDN w:val="0"/>
        <w:adjustRightInd w:val="0"/>
        <w:snapToGrid w:val="0"/>
        <w:spacing w:line="360" w:lineRule="auto"/>
        <w:jc w:val="left"/>
        <w:rPr>
          <w:rFonts w:ascii="宋体" w:hAnsi="宋体"/>
          <w:b/>
          <w:color w:val="auto"/>
          <w:kern w:val="0"/>
          <w:sz w:val="20"/>
          <w:szCs w:val="20"/>
          <w:highlight w:val="none"/>
        </w:rPr>
      </w:pPr>
    </w:p>
    <w:p w14:paraId="6FDEDE75">
      <w:pPr>
        <w:autoSpaceDE w:val="0"/>
        <w:autoSpaceDN w:val="0"/>
        <w:adjustRightInd w:val="0"/>
        <w:snapToGrid w:val="0"/>
        <w:spacing w:line="360" w:lineRule="auto"/>
        <w:jc w:val="left"/>
        <w:rPr>
          <w:rFonts w:ascii="宋体" w:hAnsi="宋体"/>
          <w:b/>
          <w:color w:val="auto"/>
          <w:kern w:val="0"/>
          <w:sz w:val="20"/>
          <w:szCs w:val="20"/>
          <w:highlight w:val="none"/>
        </w:rPr>
      </w:pPr>
    </w:p>
    <w:p w14:paraId="6BF9E04F">
      <w:pPr>
        <w:autoSpaceDE w:val="0"/>
        <w:autoSpaceDN w:val="0"/>
        <w:adjustRightInd w:val="0"/>
        <w:snapToGrid w:val="0"/>
        <w:spacing w:line="360" w:lineRule="auto"/>
        <w:jc w:val="left"/>
        <w:rPr>
          <w:rFonts w:ascii="宋体" w:hAnsi="宋体"/>
          <w:b/>
          <w:color w:val="auto"/>
          <w:kern w:val="0"/>
          <w:sz w:val="20"/>
          <w:szCs w:val="20"/>
          <w:highlight w:val="none"/>
        </w:rPr>
      </w:pPr>
    </w:p>
    <w:p w14:paraId="47A2F1B5">
      <w:pPr>
        <w:autoSpaceDE w:val="0"/>
        <w:autoSpaceDN w:val="0"/>
        <w:adjustRightInd w:val="0"/>
        <w:snapToGrid w:val="0"/>
        <w:spacing w:line="360" w:lineRule="auto"/>
        <w:jc w:val="left"/>
        <w:rPr>
          <w:rFonts w:ascii="宋体" w:hAnsi="宋体"/>
          <w:b/>
          <w:color w:val="auto"/>
          <w:kern w:val="0"/>
          <w:sz w:val="20"/>
          <w:szCs w:val="20"/>
          <w:highlight w:val="none"/>
        </w:rPr>
      </w:pPr>
    </w:p>
    <w:p w14:paraId="6CD3F6C8">
      <w:pPr>
        <w:autoSpaceDE w:val="0"/>
        <w:autoSpaceDN w:val="0"/>
        <w:adjustRightInd w:val="0"/>
        <w:snapToGrid w:val="0"/>
        <w:spacing w:line="360" w:lineRule="auto"/>
        <w:jc w:val="left"/>
        <w:rPr>
          <w:rFonts w:ascii="宋体" w:hAnsi="宋体"/>
          <w:b/>
          <w:color w:val="auto"/>
          <w:kern w:val="0"/>
          <w:sz w:val="20"/>
          <w:szCs w:val="20"/>
          <w:highlight w:val="none"/>
        </w:rPr>
      </w:pPr>
    </w:p>
    <w:p w14:paraId="530352E2">
      <w:pPr>
        <w:tabs>
          <w:tab w:val="left" w:pos="6080"/>
          <w:tab w:val="left" w:pos="6640"/>
        </w:tabs>
        <w:autoSpaceDE w:val="0"/>
        <w:autoSpaceDN w:val="0"/>
        <w:adjustRightInd w:val="0"/>
        <w:snapToGrid w:val="0"/>
        <w:spacing w:after="156" w:afterLines="50" w:line="360" w:lineRule="auto"/>
        <w:jc w:val="center"/>
        <w:rPr>
          <w:rFonts w:ascii="宋体" w:hAnsi="宋体"/>
          <w:color w:val="auto"/>
          <w:w w:val="99"/>
          <w:kern w:val="0"/>
          <w:sz w:val="28"/>
          <w:szCs w:val="28"/>
          <w:highlight w:val="none"/>
        </w:rPr>
      </w:pPr>
      <w:r>
        <w:rPr>
          <w:rFonts w:ascii="宋体" w:hAnsi="宋体"/>
          <w:color w:val="auto"/>
          <w:w w:val="99"/>
          <w:kern w:val="0"/>
          <w:sz w:val="28"/>
          <w:szCs w:val="28"/>
          <w:highlight w:val="none"/>
        </w:rPr>
        <w:t>投标人</w:t>
      </w:r>
      <w:r>
        <w:rPr>
          <w:rFonts w:ascii="宋体" w:hAnsi="宋体"/>
          <w:color w:val="auto"/>
          <w:spacing w:val="1"/>
          <w:w w:val="99"/>
          <w:kern w:val="0"/>
          <w:sz w:val="28"/>
          <w:szCs w:val="28"/>
          <w:highlight w:val="none"/>
        </w:rPr>
        <w:t>：</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（盖单位法人章）</w:t>
      </w:r>
    </w:p>
    <w:p w14:paraId="393CFC8E">
      <w:pPr>
        <w:tabs>
          <w:tab w:val="left" w:pos="6080"/>
          <w:tab w:val="left" w:pos="6640"/>
        </w:tabs>
        <w:autoSpaceDE w:val="0"/>
        <w:autoSpaceDN w:val="0"/>
        <w:adjustRightInd w:val="0"/>
        <w:snapToGrid w:val="0"/>
        <w:spacing w:after="156" w:afterLines="50" w:line="360" w:lineRule="auto"/>
        <w:jc w:val="center"/>
        <w:rPr>
          <w:rFonts w:ascii="宋体" w:hAnsi="宋体"/>
          <w:b/>
          <w:color w:val="auto"/>
          <w:kern w:val="0"/>
          <w:sz w:val="28"/>
          <w:szCs w:val="28"/>
          <w:highlight w:val="none"/>
        </w:rPr>
      </w:pPr>
      <w:r>
        <w:rPr>
          <w:rFonts w:ascii="宋体" w:hAnsi="宋体"/>
          <w:color w:val="auto"/>
          <w:w w:val="99"/>
          <w:kern w:val="0"/>
          <w:sz w:val="28"/>
          <w:szCs w:val="28"/>
          <w:highlight w:val="none"/>
        </w:rPr>
        <w:t>法定代表人或其委托代理人：</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w:t>
      </w:r>
      <w:r>
        <w:rPr>
          <w:rFonts w:hint="eastAsia" w:ascii="宋体" w:hAnsi="宋体"/>
          <w:color w:val="auto"/>
          <w:w w:val="99"/>
          <w:kern w:val="0"/>
          <w:sz w:val="28"/>
          <w:szCs w:val="28"/>
          <w:highlight w:val="none"/>
        </w:rPr>
        <w:t>签名</w:t>
      </w:r>
      <w:r>
        <w:rPr>
          <w:rFonts w:ascii="宋体" w:hAnsi="宋体"/>
          <w:color w:val="auto"/>
          <w:w w:val="99"/>
          <w:kern w:val="0"/>
          <w:sz w:val="28"/>
          <w:szCs w:val="28"/>
          <w:highlight w:val="none"/>
        </w:rPr>
        <w:t>或盖章）</w:t>
      </w:r>
    </w:p>
    <w:p w14:paraId="33E161D6">
      <w:pPr>
        <w:tabs>
          <w:tab w:val="left" w:pos="3280"/>
          <w:tab w:val="left" w:pos="4680"/>
          <w:tab w:val="left" w:pos="6080"/>
        </w:tabs>
        <w:autoSpaceDE w:val="0"/>
        <w:autoSpaceDN w:val="0"/>
        <w:adjustRightInd w:val="0"/>
        <w:snapToGrid w:val="0"/>
        <w:spacing w:after="156" w:afterLines="50" w:line="360" w:lineRule="auto"/>
        <w:jc w:val="center"/>
        <w:rPr>
          <w:rFonts w:ascii="宋体" w:hAnsi="宋体"/>
          <w:color w:val="auto"/>
          <w:kern w:val="0"/>
          <w:sz w:val="28"/>
          <w:szCs w:val="28"/>
          <w:highlight w:val="none"/>
        </w:rPr>
      </w:pP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年</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月</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日</w:t>
      </w:r>
    </w:p>
    <w:p w14:paraId="1D3DCD0A">
      <w:pPr>
        <w:autoSpaceDE w:val="0"/>
        <w:autoSpaceDN w:val="0"/>
        <w:adjustRightInd w:val="0"/>
        <w:snapToGrid w:val="0"/>
        <w:spacing w:line="360" w:lineRule="auto"/>
        <w:jc w:val="left"/>
        <w:rPr>
          <w:rFonts w:ascii="宋体" w:hAnsi="宋体"/>
          <w:color w:val="auto"/>
          <w:kern w:val="0"/>
          <w:sz w:val="24"/>
          <w:szCs w:val="21"/>
          <w:highlight w:val="none"/>
        </w:rPr>
      </w:pPr>
      <w:r>
        <w:rPr>
          <w:rFonts w:ascii="宋体" w:hAnsi="宋体"/>
          <w:color w:val="auto"/>
          <w:kern w:val="0"/>
          <w:sz w:val="24"/>
          <w:szCs w:val="21"/>
          <w:highlight w:val="none"/>
        </w:rPr>
        <w:br w:type="page"/>
      </w:r>
    </w:p>
    <w:p w14:paraId="123F6312">
      <w:pPr>
        <w:autoSpaceDE w:val="0"/>
        <w:autoSpaceDN w:val="0"/>
        <w:adjustRightInd w:val="0"/>
        <w:snapToGrid w:val="0"/>
        <w:spacing w:line="360" w:lineRule="auto"/>
        <w:jc w:val="center"/>
        <w:rPr>
          <w:rFonts w:ascii="宋体" w:hAnsi="宋体"/>
          <w:color w:val="auto"/>
          <w:kern w:val="0"/>
          <w:szCs w:val="21"/>
          <w:highlight w:val="none"/>
        </w:rPr>
      </w:pPr>
      <w:r>
        <w:rPr>
          <w:rFonts w:hint="eastAsia" w:ascii="宋体" w:hAnsi="宋体"/>
          <w:color w:val="auto"/>
          <w:kern w:val="0"/>
          <w:sz w:val="36"/>
          <w:szCs w:val="36"/>
          <w:highlight w:val="none"/>
        </w:rPr>
        <w:t>目  录</w:t>
      </w:r>
    </w:p>
    <w:p w14:paraId="01654569">
      <w:pPr>
        <w:autoSpaceDE w:val="0"/>
        <w:autoSpaceDN w:val="0"/>
        <w:adjustRightInd w:val="0"/>
        <w:snapToGrid w:val="0"/>
        <w:spacing w:line="360" w:lineRule="auto"/>
        <w:jc w:val="left"/>
        <w:rPr>
          <w:rFonts w:ascii="宋体" w:hAnsi="宋体"/>
          <w:color w:val="auto"/>
          <w:kern w:val="0"/>
          <w:szCs w:val="21"/>
          <w:highlight w:val="none"/>
        </w:rPr>
      </w:pPr>
    </w:p>
    <w:p w14:paraId="0A47AA83">
      <w:pPr>
        <w:autoSpaceDE w:val="0"/>
        <w:autoSpaceDN w:val="0"/>
        <w:adjustRightInd w:val="0"/>
        <w:snapToGrid w:val="0"/>
        <w:spacing w:line="360" w:lineRule="auto"/>
        <w:jc w:val="center"/>
        <w:rPr>
          <w:rFonts w:ascii="宋体" w:hAnsi="宋体"/>
          <w:i/>
          <w:iCs/>
          <w:color w:val="auto"/>
          <w:kern w:val="0"/>
          <w:szCs w:val="21"/>
          <w:highlight w:val="none"/>
        </w:rPr>
      </w:pPr>
      <w:r>
        <w:rPr>
          <w:rFonts w:ascii="宋体" w:hAnsi="宋体"/>
          <w:i/>
          <w:iCs/>
          <w:color w:val="auto"/>
          <w:kern w:val="0"/>
          <w:szCs w:val="21"/>
          <w:highlight w:val="none"/>
        </w:rPr>
        <w:t>[</w:t>
      </w:r>
      <w:r>
        <w:rPr>
          <w:rFonts w:hint="eastAsia" w:ascii="宋体" w:hAnsi="宋体"/>
          <w:i/>
          <w:iCs/>
          <w:color w:val="auto"/>
          <w:kern w:val="0"/>
          <w:szCs w:val="21"/>
          <w:highlight w:val="none"/>
        </w:rPr>
        <w:t>提示：</w:t>
      </w:r>
      <w:r>
        <w:rPr>
          <w:rFonts w:ascii="宋体" w:hAnsi="宋体"/>
          <w:i/>
          <w:iCs/>
          <w:color w:val="auto"/>
          <w:kern w:val="0"/>
          <w:szCs w:val="21"/>
          <w:highlight w:val="none"/>
        </w:rPr>
        <w:t>目录由投标人自行编制]</w:t>
      </w:r>
    </w:p>
    <w:p w14:paraId="3DC37B61">
      <w:pPr>
        <w:pStyle w:val="5"/>
        <w:spacing w:before="0" w:after="0" w:line="240" w:lineRule="auto"/>
        <w:jc w:val="center"/>
        <w:rPr>
          <w:rFonts w:ascii="宋体" w:hAnsi="宋体"/>
          <w:b w:val="0"/>
          <w:bCs w:val="0"/>
          <w:color w:val="auto"/>
          <w:highlight w:val="none"/>
        </w:rPr>
      </w:pPr>
      <w:bookmarkStart w:id="2095" w:name="_Toc224103501"/>
      <w:bookmarkStart w:id="2096" w:name="_Toc277082648"/>
      <w:bookmarkStart w:id="2097" w:name="_Toc287620820"/>
      <w:bookmarkStart w:id="2098" w:name="_Toc430530535"/>
      <w:bookmarkStart w:id="2099" w:name="_Toc287607873"/>
      <w:r>
        <w:rPr>
          <w:rFonts w:ascii="宋体" w:hAnsi="宋体"/>
          <w:b w:val="0"/>
          <w:bCs w:val="0"/>
          <w:color w:val="auto"/>
          <w:kern w:val="0"/>
          <w:sz w:val="21"/>
          <w:szCs w:val="21"/>
          <w:highlight w:val="none"/>
        </w:rPr>
        <w:br w:type="page"/>
      </w:r>
      <w:bookmarkStart w:id="2100" w:name="_Toc117005260"/>
      <w:r>
        <w:rPr>
          <w:rFonts w:hint="eastAsia" w:ascii="宋体" w:hAnsi="宋体"/>
          <w:b w:val="0"/>
          <w:bCs w:val="0"/>
          <w:color w:val="auto"/>
          <w:highlight w:val="none"/>
        </w:rPr>
        <w:t>（一）已标价工程量清单</w:t>
      </w:r>
      <w:bookmarkEnd w:id="2095"/>
      <w:bookmarkEnd w:id="2096"/>
      <w:bookmarkEnd w:id="2097"/>
      <w:bookmarkEnd w:id="2098"/>
      <w:bookmarkEnd w:id="2099"/>
      <w:bookmarkEnd w:id="2100"/>
    </w:p>
    <w:p w14:paraId="391AEEBA">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14:paraId="7D7BD000">
      <w:pPr>
        <w:pStyle w:val="4"/>
        <w:spacing w:line="360" w:lineRule="auto"/>
        <w:rPr>
          <w:rFonts w:ascii="宋体" w:hAnsi="宋体"/>
          <w:color w:val="auto"/>
          <w:kern w:val="0"/>
          <w:sz w:val="24"/>
          <w:szCs w:val="21"/>
          <w:highlight w:val="none"/>
        </w:rPr>
      </w:pPr>
      <w:bookmarkStart w:id="2101" w:name="_Toc430530536"/>
      <w:bookmarkStart w:id="2102" w:name="_Toc224103502"/>
      <w:bookmarkStart w:id="2103" w:name="_Toc287607874"/>
      <w:bookmarkStart w:id="2104" w:name="_Toc287620821"/>
      <w:r>
        <w:rPr>
          <w:rFonts w:ascii="宋体" w:hAnsi="宋体"/>
          <w:color w:val="auto"/>
          <w:highlight w:val="none"/>
        </w:rPr>
        <w:br w:type="page"/>
      </w:r>
    </w:p>
    <w:p w14:paraId="4E58C343">
      <w:pPr>
        <w:pStyle w:val="4"/>
        <w:spacing w:line="360" w:lineRule="auto"/>
        <w:jc w:val="center"/>
        <w:rPr>
          <w:rFonts w:ascii="宋体" w:hAnsi="宋体"/>
          <w:b w:val="0"/>
          <w:bCs w:val="0"/>
          <w:color w:val="auto"/>
          <w:sz w:val="44"/>
          <w:szCs w:val="44"/>
          <w:highlight w:val="none"/>
        </w:rPr>
      </w:pPr>
      <w:bookmarkStart w:id="2105" w:name="_Toc117005261"/>
      <w:r>
        <w:rPr>
          <w:rFonts w:hint="eastAsia" w:ascii="宋体" w:hAnsi="宋体"/>
          <w:b w:val="0"/>
          <w:bCs w:val="0"/>
          <w:color w:val="auto"/>
          <w:sz w:val="44"/>
          <w:szCs w:val="44"/>
          <w:highlight w:val="none"/>
        </w:rPr>
        <w:t>三、技术部分</w:t>
      </w:r>
      <w:bookmarkEnd w:id="2101"/>
      <w:bookmarkEnd w:id="2102"/>
      <w:bookmarkEnd w:id="2105"/>
    </w:p>
    <w:bookmarkEnd w:id="2103"/>
    <w:bookmarkEnd w:id="2104"/>
    <w:p w14:paraId="412222D2">
      <w:pPr>
        <w:jc w:val="center"/>
        <w:rPr>
          <w:color w:val="auto"/>
          <w:highlight w:val="none"/>
        </w:rPr>
      </w:pPr>
      <w:r>
        <w:rPr>
          <w:rFonts w:hint="eastAsia" w:ascii="宋体" w:hAnsi="宋体"/>
          <w:color w:val="auto"/>
          <w:kern w:val="0"/>
          <w:szCs w:val="21"/>
          <w:highlight w:val="none"/>
        </w:rPr>
        <w:t>（注：</w:t>
      </w:r>
      <w:r>
        <w:rPr>
          <w:rFonts w:hint="eastAsia" w:ascii="宋体" w:hAnsi="宋体"/>
          <w:color w:val="auto"/>
          <w:szCs w:val="21"/>
          <w:highlight w:val="none"/>
        </w:rPr>
        <w:t>电子投标文件技术暗标不设封面</w:t>
      </w:r>
      <w:r>
        <w:rPr>
          <w:rFonts w:hint="eastAsia" w:ascii="宋体" w:hAnsi="宋体"/>
          <w:color w:val="auto"/>
          <w:kern w:val="0"/>
          <w:szCs w:val="21"/>
          <w:highlight w:val="none"/>
        </w:rPr>
        <w:t>）</w:t>
      </w:r>
    </w:p>
    <w:p w14:paraId="64185CC0">
      <w:pPr>
        <w:autoSpaceDE w:val="0"/>
        <w:autoSpaceDN w:val="0"/>
        <w:adjustRightInd w:val="0"/>
        <w:snapToGrid w:val="0"/>
        <w:spacing w:line="360" w:lineRule="auto"/>
        <w:ind w:firstLine="472" w:firstLineChars="196"/>
        <w:rPr>
          <w:rFonts w:ascii="宋体" w:hAnsi="宋体"/>
          <w:b/>
          <w:snapToGrid w:val="0"/>
          <w:color w:val="auto"/>
          <w:kern w:val="0"/>
          <w:sz w:val="24"/>
          <w:highlight w:val="none"/>
        </w:rPr>
      </w:pPr>
    </w:p>
    <w:p w14:paraId="0E686BCF">
      <w:pPr>
        <w:autoSpaceDE w:val="0"/>
        <w:autoSpaceDN w:val="0"/>
        <w:adjustRightInd w:val="0"/>
        <w:snapToGrid w:val="0"/>
        <w:spacing w:line="360" w:lineRule="auto"/>
        <w:jc w:val="center"/>
        <w:rPr>
          <w:rFonts w:ascii="宋体" w:hAnsi="宋体"/>
          <w:color w:val="auto"/>
          <w:kern w:val="0"/>
          <w:sz w:val="24"/>
          <w:highlight w:val="none"/>
        </w:rPr>
      </w:pPr>
      <w:r>
        <w:rPr>
          <w:rFonts w:ascii="宋体" w:hAnsi="宋体"/>
          <w:color w:val="auto"/>
          <w:kern w:val="0"/>
          <w:sz w:val="24"/>
          <w:highlight w:val="none"/>
        </w:rPr>
        <w:br w:type="page"/>
      </w:r>
    </w:p>
    <w:p w14:paraId="6608A064">
      <w:pPr>
        <w:autoSpaceDE w:val="0"/>
        <w:autoSpaceDN w:val="0"/>
        <w:adjustRightInd w:val="0"/>
        <w:snapToGrid w:val="0"/>
        <w:spacing w:line="360" w:lineRule="auto"/>
        <w:jc w:val="left"/>
        <w:rPr>
          <w:rFonts w:ascii="宋体" w:hAnsi="宋体"/>
          <w:color w:val="auto"/>
          <w:kern w:val="0"/>
          <w:sz w:val="24"/>
          <w:szCs w:val="21"/>
          <w:highlight w:val="none"/>
        </w:rPr>
      </w:pPr>
    </w:p>
    <w:p w14:paraId="31B2D4BB">
      <w:pPr>
        <w:autoSpaceDE w:val="0"/>
        <w:autoSpaceDN w:val="0"/>
        <w:adjustRightInd w:val="0"/>
        <w:snapToGrid w:val="0"/>
        <w:spacing w:line="360" w:lineRule="auto"/>
        <w:jc w:val="center"/>
        <w:rPr>
          <w:rFonts w:ascii="宋体" w:hAnsi="宋体"/>
          <w:color w:val="auto"/>
          <w:kern w:val="0"/>
          <w:sz w:val="32"/>
          <w:szCs w:val="32"/>
          <w:highlight w:val="none"/>
        </w:rPr>
      </w:pPr>
      <w:r>
        <w:rPr>
          <w:rFonts w:hint="eastAsia" w:ascii="宋体" w:hAnsi="宋体"/>
          <w:color w:val="auto"/>
          <w:kern w:val="0"/>
          <w:sz w:val="36"/>
          <w:szCs w:val="36"/>
          <w:highlight w:val="none"/>
        </w:rPr>
        <w:t>目  录</w:t>
      </w:r>
    </w:p>
    <w:p w14:paraId="597C1FCA">
      <w:pPr>
        <w:autoSpaceDE w:val="0"/>
        <w:autoSpaceDN w:val="0"/>
        <w:adjustRightInd w:val="0"/>
        <w:snapToGrid w:val="0"/>
        <w:spacing w:line="360" w:lineRule="auto"/>
        <w:jc w:val="left"/>
        <w:rPr>
          <w:rFonts w:ascii="宋体" w:hAnsi="宋体"/>
          <w:color w:val="auto"/>
          <w:kern w:val="0"/>
          <w:sz w:val="32"/>
          <w:szCs w:val="32"/>
          <w:highlight w:val="none"/>
        </w:rPr>
      </w:pPr>
    </w:p>
    <w:p w14:paraId="4A72C335">
      <w:pPr>
        <w:autoSpaceDE w:val="0"/>
        <w:autoSpaceDN w:val="0"/>
        <w:adjustRightInd w:val="0"/>
        <w:snapToGrid w:val="0"/>
        <w:spacing w:line="360" w:lineRule="auto"/>
        <w:jc w:val="center"/>
        <w:rPr>
          <w:rFonts w:ascii="宋体" w:hAnsi="宋体"/>
          <w:i/>
          <w:iCs/>
          <w:color w:val="auto"/>
          <w:kern w:val="0"/>
          <w:szCs w:val="21"/>
          <w:highlight w:val="none"/>
        </w:rPr>
      </w:pPr>
      <w:r>
        <w:rPr>
          <w:rFonts w:ascii="宋体" w:hAnsi="宋体"/>
          <w:i/>
          <w:iCs/>
          <w:color w:val="auto"/>
          <w:kern w:val="0"/>
          <w:szCs w:val="21"/>
          <w:highlight w:val="none"/>
        </w:rPr>
        <w:t>[</w:t>
      </w:r>
      <w:r>
        <w:rPr>
          <w:rFonts w:hint="eastAsia" w:ascii="宋体" w:hAnsi="宋体"/>
          <w:i/>
          <w:iCs/>
          <w:color w:val="auto"/>
          <w:kern w:val="0"/>
          <w:szCs w:val="21"/>
          <w:highlight w:val="none"/>
        </w:rPr>
        <w:t>提示：</w:t>
      </w:r>
      <w:r>
        <w:rPr>
          <w:rFonts w:ascii="宋体" w:hAnsi="宋体"/>
          <w:i/>
          <w:iCs/>
          <w:color w:val="auto"/>
          <w:kern w:val="0"/>
          <w:szCs w:val="21"/>
          <w:highlight w:val="none"/>
        </w:rPr>
        <w:t>目录由投标人自行编制]</w:t>
      </w:r>
    </w:p>
    <w:p w14:paraId="108A0545">
      <w:pPr>
        <w:pStyle w:val="5"/>
        <w:spacing w:before="0" w:after="0" w:line="240" w:lineRule="auto"/>
        <w:jc w:val="center"/>
        <w:rPr>
          <w:rFonts w:ascii="宋体" w:hAnsi="宋体"/>
          <w:b w:val="0"/>
          <w:color w:val="auto"/>
          <w:sz w:val="36"/>
          <w:szCs w:val="36"/>
          <w:highlight w:val="none"/>
        </w:rPr>
      </w:pPr>
      <w:r>
        <w:rPr>
          <w:rFonts w:ascii="宋体" w:hAnsi="宋体"/>
          <w:color w:val="auto"/>
          <w:highlight w:val="none"/>
        </w:rPr>
        <w:br w:type="page"/>
      </w:r>
      <w:bookmarkStart w:id="2106" w:name="_Toc117005262"/>
      <w:r>
        <w:rPr>
          <w:rFonts w:hint="eastAsia" w:ascii="宋体" w:hAnsi="宋体"/>
          <w:b w:val="0"/>
          <w:color w:val="auto"/>
          <w:highlight w:val="none"/>
        </w:rPr>
        <w:t>（一）</w:t>
      </w:r>
      <w:r>
        <w:rPr>
          <w:rFonts w:hint="eastAsia" w:ascii="宋体" w:hAnsi="宋体"/>
          <w:b w:val="0"/>
          <w:bCs w:val="0"/>
          <w:color w:val="auto"/>
          <w:highlight w:val="none"/>
        </w:rPr>
        <w:t>技术方案</w:t>
      </w:r>
      <w:bookmarkEnd w:id="2106"/>
    </w:p>
    <w:p w14:paraId="1B76B1F8">
      <w:pPr>
        <w:autoSpaceDE w:val="0"/>
        <w:autoSpaceDN w:val="0"/>
        <w:adjustRightInd w:val="0"/>
        <w:snapToGrid w:val="0"/>
        <w:spacing w:line="360" w:lineRule="auto"/>
        <w:jc w:val="left"/>
        <w:rPr>
          <w:rFonts w:ascii="宋体" w:hAnsi="宋体"/>
          <w:color w:val="auto"/>
          <w:kern w:val="0"/>
          <w:sz w:val="12"/>
          <w:szCs w:val="12"/>
          <w:highlight w:val="none"/>
        </w:rPr>
      </w:pPr>
    </w:p>
    <w:p w14:paraId="20B122CF">
      <w:pPr>
        <w:autoSpaceDE w:val="0"/>
        <w:autoSpaceDN w:val="0"/>
        <w:adjustRightInd w:val="0"/>
        <w:snapToGrid w:val="0"/>
        <w:spacing w:line="360" w:lineRule="auto"/>
        <w:ind w:firstLine="420"/>
        <w:rPr>
          <w:rFonts w:ascii="宋体" w:hAnsi="宋体"/>
          <w:color w:val="auto"/>
          <w:kern w:val="0"/>
          <w:szCs w:val="21"/>
          <w:highlight w:val="none"/>
        </w:rPr>
      </w:pPr>
      <w:r>
        <w:rPr>
          <w:rFonts w:ascii="宋体" w:hAnsi="宋体"/>
          <w:color w:val="auto"/>
          <w:kern w:val="0"/>
          <w:szCs w:val="21"/>
          <w:highlight w:val="none"/>
        </w:rPr>
        <w:t>1.</w:t>
      </w:r>
      <w:r>
        <w:rPr>
          <w:color w:val="auto"/>
          <w:highlight w:val="none"/>
        </w:rPr>
        <w:t>投标人编制技术方案的要求：编制时应采用文字并结合图表形式说明施工方法； 拟投入本标段的主要施工设备情况、拟配备本标段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w:t>
      </w:r>
      <w:r>
        <w:rPr>
          <w:rFonts w:hint="eastAsia"/>
          <w:color w:val="auto"/>
          <w:highlight w:val="none"/>
        </w:rPr>
        <w:t>；BIM、CIM、智慧工地建设管理方案及措施（如有）；危大工程清单安全管理措施（如有）</w:t>
      </w:r>
      <w:r>
        <w:rPr>
          <w:color w:val="auto"/>
          <w:highlight w:val="none"/>
        </w:rPr>
        <w:t>等</w:t>
      </w:r>
      <w:r>
        <w:rPr>
          <w:rFonts w:ascii="宋体" w:hAnsi="宋体"/>
          <w:color w:val="auto"/>
          <w:kern w:val="0"/>
          <w:szCs w:val="21"/>
          <w:highlight w:val="none"/>
        </w:rPr>
        <w:t>。</w:t>
      </w:r>
    </w:p>
    <w:p w14:paraId="2E192676">
      <w:pPr>
        <w:tabs>
          <w:tab w:val="left" w:pos="735"/>
          <w:tab w:val="left" w:pos="840"/>
          <w:tab w:val="left" w:pos="1050"/>
          <w:tab w:val="left" w:pos="1700"/>
        </w:tabs>
        <w:autoSpaceDE w:val="0"/>
        <w:autoSpaceDN w:val="0"/>
        <w:adjustRightInd w:val="0"/>
        <w:snapToGrid w:val="0"/>
        <w:spacing w:line="360" w:lineRule="auto"/>
        <w:ind w:left="-2" w:leftChars="-1" w:firstLine="424" w:firstLineChars="202"/>
        <w:jc w:val="left"/>
        <w:rPr>
          <w:rFonts w:ascii="宋体" w:hAnsi="宋体"/>
          <w:color w:val="auto"/>
          <w:kern w:val="0"/>
          <w:szCs w:val="21"/>
          <w:highlight w:val="none"/>
        </w:rPr>
      </w:pPr>
      <w:r>
        <w:rPr>
          <w:rFonts w:ascii="宋体" w:hAnsi="宋体"/>
          <w:color w:val="auto"/>
          <w:kern w:val="0"/>
          <w:szCs w:val="21"/>
          <w:highlight w:val="none"/>
        </w:rPr>
        <w:t>2.技术方案除采用文字表述外可附下列图表，图表及格式要求附后</w:t>
      </w:r>
      <w:r>
        <w:rPr>
          <w:rFonts w:hint="eastAsia" w:ascii="宋体" w:hAnsi="宋体"/>
          <w:color w:val="auto"/>
          <w:kern w:val="0"/>
          <w:szCs w:val="21"/>
          <w:highlight w:val="none"/>
        </w:rPr>
        <w:t>，仅作参考</w:t>
      </w:r>
      <w:r>
        <w:rPr>
          <w:rFonts w:ascii="宋体" w:hAnsi="宋体"/>
          <w:color w:val="auto"/>
          <w:kern w:val="0"/>
          <w:szCs w:val="21"/>
          <w:highlight w:val="none"/>
        </w:rPr>
        <w:t xml:space="preserve">。 </w:t>
      </w:r>
    </w:p>
    <w:p w14:paraId="46E7C6DA">
      <w:pPr>
        <w:tabs>
          <w:tab w:val="left" w:pos="1700"/>
        </w:tabs>
        <w:autoSpaceDE w:val="0"/>
        <w:autoSpaceDN w:val="0"/>
        <w:adjustRightInd w:val="0"/>
        <w:snapToGrid w:val="0"/>
        <w:spacing w:line="360" w:lineRule="auto"/>
        <w:ind w:firstLine="424" w:firstLineChars="202"/>
        <w:jc w:val="left"/>
        <w:rPr>
          <w:rFonts w:ascii="宋体" w:hAnsi="宋体"/>
          <w:color w:val="auto"/>
          <w:kern w:val="0"/>
          <w:szCs w:val="21"/>
          <w:highlight w:val="none"/>
        </w:rPr>
      </w:pPr>
    </w:p>
    <w:p w14:paraId="2E868468">
      <w:pPr>
        <w:tabs>
          <w:tab w:val="left" w:pos="1700"/>
        </w:tabs>
        <w:autoSpaceDE w:val="0"/>
        <w:autoSpaceDN w:val="0"/>
        <w:adjustRightInd w:val="0"/>
        <w:snapToGrid w:val="0"/>
        <w:spacing w:line="360" w:lineRule="auto"/>
        <w:ind w:firstLine="424" w:firstLineChars="202"/>
        <w:jc w:val="left"/>
        <w:rPr>
          <w:rFonts w:ascii="宋体" w:hAnsi="宋体"/>
          <w:color w:val="auto"/>
          <w:kern w:val="0"/>
          <w:szCs w:val="21"/>
          <w:highlight w:val="none"/>
        </w:rPr>
      </w:pPr>
      <w:r>
        <w:rPr>
          <w:rFonts w:ascii="宋体" w:hAnsi="宋体"/>
          <w:color w:val="auto"/>
          <w:kern w:val="0"/>
          <w:szCs w:val="21"/>
          <w:highlight w:val="none"/>
        </w:rPr>
        <w:t>附表一</w:t>
      </w:r>
      <w:r>
        <w:rPr>
          <w:rFonts w:hint="eastAsia" w:ascii="宋体" w:hAnsi="宋体"/>
          <w:color w:val="auto"/>
          <w:kern w:val="0"/>
          <w:szCs w:val="21"/>
          <w:highlight w:val="none"/>
        </w:rPr>
        <w:t xml:space="preserve">  </w:t>
      </w:r>
      <w:r>
        <w:rPr>
          <w:rFonts w:ascii="宋体" w:hAnsi="宋体"/>
          <w:color w:val="auto"/>
          <w:kern w:val="0"/>
          <w:szCs w:val="21"/>
          <w:highlight w:val="none"/>
        </w:rPr>
        <w:t>拟投入本标段的主要施工设备表</w:t>
      </w:r>
    </w:p>
    <w:p w14:paraId="39DE5B76">
      <w:pPr>
        <w:tabs>
          <w:tab w:val="left" w:pos="1700"/>
        </w:tabs>
        <w:autoSpaceDE w:val="0"/>
        <w:autoSpaceDN w:val="0"/>
        <w:adjustRightInd w:val="0"/>
        <w:snapToGrid w:val="0"/>
        <w:spacing w:line="360" w:lineRule="auto"/>
        <w:ind w:firstLine="424" w:firstLineChars="202"/>
        <w:jc w:val="left"/>
        <w:rPr>
          <w:rFonts w:ascii="宋体" w:hAnsi="宋体"/>
          <w:color w:val="auto"/>
          <w:kern w:val="0"/>
          <w:szCs w:val="21"/>
          <w:highlight w:val="none"/>
        </w:rPr>
      </w:pPr>
      <w:r>
        <w:rPr>
          <w:rFonts w:ascii="宋体" w:hAnsi="宋体"/>
          <w:color w:val="auto"/>
          <w:kern w:val="0"/>
          <w:szCs w:val="21"/>
          <w:highlight w:val="none"/>
        </w:rPr>
        <w:t>附表二</w:t>
      </w:r>
      <w:r>
        <w:rPr>
          <w:rFonts w:hint="eastAsia" w:ascii="宋体" w:hAnsi="宋体"/>
          <w:color w:val="auto"/>
          <w:kern w:val="0"/>
          <w:szCs w:val="21"/>
          <w:highlight w:val="none"/>
        </w:rPr>
        <w:t xml:space="preserve">  </w:t>
      </w:r>
      <w:r>
        <w:rPr>
          <w:rFonts w:ascii="宋体" w:hAnsi="宋体"/>
          <w:color w:val="auto"/>
          <w:kern w:val="0"/>
          <w:szCs w:val="21"/>
          <w:highlight w:val="none"/>
        </w:rPr>
        <w:t>拟配备本标段的试验和检测仪器设备表</w:t>
      </w:r>
    </w:p>
    <w:p w14:paraId="050E98F0">
      <w:pPr>
        <w:tabs>
          <w:tab w:val="left" w:pos="1700"/>
        </w:tabs>
        <w:autoSpaceDE w:val="0"/>
        <w:autoSpaceDN w:val="0"/>
        <w:adjustRightInd w:val="0"/>
        <w:snapToGrid w:val="0"/>
        <w:spacing w:line="360" w:lineRule="auto"/>
        <w:ind w:firstLine="424" w:firstLineChars="202"/>
        <w:jc w:val="left"/>
        <w:rPr>
          <w:rFonts w:ascii="宋体" w:hAnsi="宋体"/>
          <w:color w:val="auto"/>
          <w:kern w:val="0"/>
          <w:szCs w:val="21"/>
          <w:highlight w:val="none"/>
        </w:rPr>
      </w:pPr>
      <w:r>
        <w:rPr>
          <w:rFonts w:ascii="宋体" w:hAnsi="宋体"/>
          <w:color w:val="auto"/>
          <w:kern w:val="0"/>
          <w:szCs w:val="21"/>
          <w:highlight w:val="none"/>
        </w:rPr>
        <w:t>附表三</w:t>
      </w:r>
      <w:r>
        <w:rPr>
          <w:rFonts w:hint="eastAsia" w:ascii="宋体" w:hAnsi="宋体"/>
          <w:color w:val="auto"/>
          <w:kern w:val="0"/>
          <w:szCs w:val="21"/>
          <w:highlight w:val="none"/>
        </w:rPr>
        <w:t xml:space="preserve">  </w:t>
      </w:r>
      <w:r>
        <w:rPr>
          <w:rFonts w:ascii="宋体" w:hAnsi="宋体"/>
          <w:color w:val="auto"/>
          <w:kern w:val="0"/>
          <w:szCs w:val="21"/>
          <w:highlight w:val="none"/>
        </w:rPr>
        <w:t>劳动力计划表</w:t>
      </w:r>
    </w:p>
    <w:p w14:paraId="4A7B96DB">
      <w:pPr>
        <w:tabs>
          <w:tab w:val="left" w:pos="1700"/>
        </w:tabs>
        <w:autoSpaceDE w:val="0"/>
        <w:autoSpaceDN w:val="0"/>
        <w:adjustRightInd w:val="0"/>
        <w:snapToGrid w:val="0"/>
        <w:spacing w:line="360" w:lineRule="auto"/>
        <w:ind w:firstLine="424" w:firstLineChars="202"/>
        <w:jc w:val="left"/>
        <w:rPr>
          <w:rFonts w:ascii="宋体" w:hAnsi="宋体"/>
          <w:color w:val="auto"/>
          <w:kern w:val="0"/>
          <w:szCs w:val="21"/>
          <w:highlight w:val="none"/>
        </w:rPr>
      </w:pPr>
      <w:r>
        <w:rPr>
          <w:rFonts w:ascii="宋体" w:hAnsi="宋体"/>
          <w:color w:val="auto"/>
          <w:kern w:val="0"/>
          <w:szCs w:val="21"/>
          <w:highlight w:val="none"/>
        </w:rPr>
        <w:t>附表四</w:t>
      </w:r>
      <w:r>
        <w:rPr>
          <w:rFonts w:hint="eastAsia" w:ascii="宋体" w:hAnsi="宋体"/>
          <w:color w:val="auto"/>
          <w:kern w:val="0"/>
          <w:szCs w:val="21"/>
          <w:highlight w:val="none"/>
        </w:rPr>
        <w:t xml:space="preserve">  </w:t>
      </w:r>
      <w:r>
        <w:rPr>
          <w:rFonts w:ascii="宋体" w:hAnsi="宋体"/>
          <w:color w:val="auto"/>
          <w:kern w:val="0"/>
          <w:szCs w:val="21"/>
          <w:highlight w:val="none"/>
        </w:rPr>
        <w:t>计划开、竣工日期和施工进度网络图</w:t>
      </w:r>
    </w:p>
    <w:p w14:paraId="642F625A">
      <w:pPr>
        <w:tabs>
          <w:tab w:val="left" w:pos="1700"/>
        </w:tabs>
        <w:autoSpaceDE w:val="0"/>
        <w:autoSpaceDN w:val="0"/>
        <w:adjustRightInd w:val="0"/>
        <w:snapToGrid w:val="0"/>
        <w:spacing w:line="360" w:lineRule="auto"/>
        <w:ind w:firstLine="424" w:firstLineChars="202"/>
        <w:jc w:val="left"/>
        <w:rPr>
          <w:rFonts w:ascii="宋体" w:hAnsi="宋体"/>
          <w:color w:val="auto"/>
          <w:kern w:val="0"/>
          <w:szCs w:val="21"/>
          <w:highlight w:val="none"/>
        </w:rPr>
      </w:pPr>
      <w:r>
        <w:rPr>
          <w:rFonts w:ascii="宋体" w:hAnsi="宋体"/>
          <w:color w:val="auto"/>
          <w:kern w:val="0"/>
          <w:szCs w:val="21"/>
          <w:highlight w:val="none"/>
        </w:rPr>
        <w:t>附表五</w:t>
      </w:r>
      <w:r>
        <w:rPr>
          <w:rFonts w:hint="eastAsia" w:ascii="宋体" w:hAnsi="宋体"/>
          <w:color w:val="auto"/>
          <w:kern w:val="0"/>
          <w:szCs w:val="21"/>
          <w:highlight w:val="none"/>
        </w:rPr>
        <w:t xml:space="preserve">  </w:t>
      </w:r>
      <w:r>
        <w:rPr>
          <w:rFonts w:ascii="宋体" w:hAnsi="宋体"/>
          <w:color w:val="auto"/>
          <w:kern w:val="0"/>
          <w:szCs w:val="21"/>
          <w:highlight w:val="none"/>
        </w:rPr>
        <w:t>施工总平面图</w:t>
      </w:r>
    </w:p>
    <w:p w14:paraId="3915152B">
      <w:pPr>
        <w:tabs>
          <w:tab w:val="left" w:pos="1700"/>
        </w:tabs>
        <w:autoSpaceDE w:val="0"/>
        <w:autoSpaceDN w:val="0"/>
        <w:adjustRightInd w:val="0"/>
        <w:snapToGrid w:val="0"/>
        <w:spacing w:line="360" w:lineRule="auto"/>
        <w:ind w:firstLine="424" w:firstLineChars="202"/>
        <w:jc w:val="left"/>
        <w:rPr>
          <w:rFonts w:ascii="宋体" w:hAnsi="宋体"/>
          <w:color w:val="auto"/>
          <w:kern w:val="0"/>
          <w:szCs w:val="21"/>
          <w:highlight w:val="none"/>
        </w:rPr>
      </w:pPr>
      <w:r>
        <w:rPr>
          <w:rFonts w:ascii="宋体" w:hAnsi="宋体"/>
          <w:color w:val="auto"/>
          <w:kern w:val="0"/>
          <w:szCs w:val="21"/>
          <w:highlight w:val="none"/>
        </w:rPr>
        <w:t>附表六</w:t>
      </w:r>
      <w:r>
        <w:rPr>
          <w:rFonts w:hint="eastAsia" w:ascii="宋体" w:hAnsi="宋体"/>
          <w:color w:val="auto"/>
          <w:kern w:val="0"/>
          <w:szCs w:val="21"/>
          <w:highlight w:val="none"/>
        </w:rPr>
        <w:t xml:space="preserve">  </w:t>
      </w:r>
      <w:r>
        <w:rPr>
          <w:rFonts w:ascii="宋体" w:hAnsi="宋体"/>
          <w:color w:val="auto"/>
          <w:kern w:val="0"/>
          <w:szCs w:val="21"/>
          <w:highlight w:val="none"/>
        </w:rPr>
        <w:t>临时用地表</w:t>
      </w:r>
    </w:p>
    <w:p w14:paraId="465FCD1A">
      <w:pPr>
        <w:jc w:val="center"/>
        <w:rPr>
          <w:color w:val="auto"/>
          <w:sz w:val="32"/>
          <w:szCs w:val="32"/>
          <w:highlight w:val="none"/>
        </w:rPr>
      </w:pPr>
      <w:bookmarkStart w:id="2107" w:name="_Toc534185834"/>
      <w:bookmarkStart w:id="2108" w:name="_Toc509218857"/>
      <w:bookmarkStart w:id="2109" w:name="_Toc430530539"/>
      <w:bookmarkStart w:id="2110" w:name="_Toc287607876"/>
      <w:bookmarkStart w:id="2111" w:name="_Toc287620823"/>
      <w:bookmarkStart w:id="2112" w:name="_Toc224103504"/>
      <w:bookmarkStart w:id="2113" w:name="_Toc277082650"/>
      <w:bookmarkStart w:id="2114" w:name="_Toc277082653"/>
      <w:bookmarkStart w:id="2115" w:name="_Toc224103507"/>
      <w:bookmarkStart w:id="2116" w:name="_Toc287620826"/>
      <w:bookmarkStart w:id="2117" w:name="_Toc287607879"/>
      <w:r>
        <w:rPr>
          <w:rFonts w:ascii="宋体" w:hAnsi="宋体"/>
          <w:color w:val="auto"/>
          <w:kern w:val="0"/>
          <w:sz w:val="24"/>
          <w:highlight w:val="none"/>
        </w:rPr>
        <w:br w:type="page"/>
      </w:r>
      <w:r>
        <w:rPr>
          <w:rFonts w:hint="eastAsia"/>
          <w:color w:val="auto"/>
          <w:sz w:val="32"/>
          <w:szCs w:val="32"/>
          <w:highlight w:val="none"/>
        </w:rPr>
        <w:t>附表一：拟投入本标段的主要施工设备表</w:t>
      </w:r>
      <w:bookmarkEnd w:id="2107"/>
      <w:bookmarkEnd w:id="2108"/>
      <w:bookmarkEnd w:id="2109"/>
      <w:bookmarkEnd w:id="2110"/>
      <w:bookmarkEnd w:id="2111"/>
      <w:bookmarkEnd w:id="2112"/>
      <w:bookmarkEnd w:id="2113"/>
    </w:p>
    <w:tbl>
      <w:tblPr>
        <w:tblStyle w:val="46"/>
        <w:tblW w:w="9469" w:type="dxa"/>
        <w:tblInd w:w="-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21"/>
        <w:gridCol w:w="1176"/>
        <w:gridCol w:w="824"/>
        <w:gridCol w:w="1072"/>
        <w:gridCol w:w="728"/>
        <w:gridCol w:w="799"/>
        <w:gridCol w:w="1312"/>
        <w:gridCol w:w="947"/>
        <w:gridCol w:w="1141"/>
        <w:gridCol w:w="749"/>
      </w:tblGrid>
      <w:tr w14:paraId="035C492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17" w:hRule="exact"/>
        </w:trPr>
        <w:tc>
          <w:tcPr>
            <w:tcW w:w="721" w:type="dxa"/>
            <w:vAlign w:val="center"/>
          </w:tcPr>
          <w:p w14:paraId="13635D1D">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序号</w:t>
            </w:r>
          </w:p>
        </w:tc>
        <w:tc>
          <w:tcPr>
            <w:tcW w:w="1176" w:type="dxa"/>
            <w:vAlign w:val="center"/>
          </w:tcPr>
          <w:p w14:paraId="55AAD104">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设备名称</w:t>
            </w:r>
          </w:p>
        </w:tc>
        <w:tc>
          <w:tcPr>
            <w:tcW w:w="824" w:type="dxa"/>
            <w:vAlign w:val="center"/>
          </w:tcPr>
          <w:p w14:paraId="0EC827FE">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型号</w:t>
            </w:r>
          </w:p>
          <w:p w14:paraId="75A49E7B">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规格</w:t>
            </w:r>
          </w:p>
        </w:tc>
        <w:tc>
          <w:tcPr>
            <w:tcW w:w="1072" w:type="dxa"/>
            <w:vAlign w:val="center"/>
          </w:tcPr>
          <w:p w14:paraId="38E09396">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数量</w:t>
            </w:r>
          </w:p>
        </w:tc>
        <w:tc>
          <w:tcPr>
            <w:tcW w:w="728" w:type="dxa"/>
            <w:vAlign w:val="center"/>
          </w:tcPr>
          <w:p w14:paraId="63492A6F">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国别 产地</w:t>
            </w:r>
          </w:p>
        </w:tc>
        <w:tc>
          <w:tcPr>
            <w:tcW w:w="799" w:type="dxa"/>
            <w:vAlign w:val="center"/>
          </w:tcPr>
          <w:p w14:paraId="0AC2172E">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制造</w:t>
            </w:r>
          </w:p>
          <w:p w14:paraId="1572737A">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年份</w:t>
            </w:r>
          </w:p>
        </w:tc>
        <w:tc>
          <w:tcPr>
            <w:tcW w:w="1312" w:type="dxa"/>
            <w:vAlign w:val="center"/>
          </w:tcPr>
          <w:p w14:paraId="0F81694B">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额定功率</w:t>
            </w:r>
          </w:p>
          <w:p w14:paraId="19D9705D">
            <w:pPr>
              <w:autoSpaceDE w:val="0"/>
              <w:autoSpaceDN w:val="0"/>
              <w:adjustRightInd w:val="0"/>
              <w:snapToGrid w:val="0"/>
              <w:jc w:val="center"/>
              <w:rPr>
                <w:rFonts w:ascii="宋体" w:hAnsi="宋体"/>
                <w:color w:val="auto"/>
                <w:kern w:val="0"/>
                <w:sz w:val="10"/>
                <w:szCs w:val="10"/>
                <w:highlight w:val="none"/>
              </w:rPr>
            </w:pPr>
          </w:p>
          <w:p w14:paraId="5E8EA2CE">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（KW）</w:t>
            </w:r>
          </w:p>
        </w:tc>
        <w:tc>
          <w:tcPr>
            <w:tcW w:w="947" w:type="dxa"/>
            <w:vAlign w:val="center"/>
          </w:tcPr>
          <w:p w14:paraId="6BD8CAFD">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生产</w:t>
            </w:r>
          </w:p>
          <w:p w14:paraId="504C51C3">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能力</w:t>
            </w:r>
          </w:p>
        </w:tc>
        <w:tc>
          <w:tcPr>
            <w:tcW w:w="1141" w:type="dxa"/>
            <w:vAlign w:val="center"/>
          </w:tcPr>
          <w:p w14:paraId="780AB57E">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用于施</w:t>
            </w:r>
          </w:p>
          <w:p w14:paraId="7F6B5CCD">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工部位</w:t>
            </w:r>
          </w:p>
        </w:tc>
        <w:tc>
          <w:tcPr>
            <w:tcW w:w="749" w:type="dxa"/>
            <w:vAlign w:val="center"/>
          </w:tcPr>
          <w:p w14:paraId="53702094">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备注</w:t>
            </w:r>
          </w:p>
        </w:tc>
      </w:tr>
      <w:tr w14:paraId="5DF386D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41D1D19F">
            <w:pPr>
              <w:autoSpaceDE w:val="0"/>
              <w:autoSpaceDN w:val="0"/>
              <w:adjustRightInd w:val="0"/>
              <w:snapToGrid w:val="0"/>
              <w:jc w:val="center"/>
              <w:rPr>
                <w:rFonts w:ascii="宋体" w:hAnsi="宋体"/>
                <w:color w:val="auto"/>
                <w:kern w:val="0"/>
                <w:sz w:val="24"/>
                <w:highlight w:val="none"/>
              </w:rPr>
            </w:pPr>
          </w:p>
        </w:tc>
        <w:tc>
          <w:tcPr>
            <w:tcW w:w="1176" w:type="dxa"/>
            <w:vAlign w:val="center"/>
          </w:tcPr>
          <w:p w14:paraId="40F6BBFC">
            <w:pPr>
              <w:autoSpaceDE w:val="0"/>
              <w:autoSpaceDN w:val="0"/>
              <w:adjustRightInd w:val="0"/>
              <w:snapToGrid w:val="0"/>
              <w:jc w:val="center"/>
              <w:rPr>
                <w:rFonts w:ascii="宋体" w:hAnsi="宋体"/>
                <w:color w:val="auto"/>
                <w:kern w:val="0"/>
                <w:sz w:val="24"/>
                <w:highlight w:val="none"/>
              </w:rPr>
            </w:pPr>
          </w:p>
        </w:tc>
        <w:tc>
          <w:tcPr>
            <w:tcW w:w="824" w:type="dxa"/>
            <w:vAlign w:val="center"/>
          </w:tcPr>
          <w:p w14:paraId="23AFDE0F">
            <w:pPr>
              <w:autoSpaceDE w:val="0"/>
              <w:autoSpaceDN w:val="0"/>
              <w:adjustRightInd w:val="0"/>
              <w:snapToGrid w:val="0"/>
              <w:jc w:val="center"/>
              <w:rPr>
                <w:rFonts w:ascii="宋体" w:hAnsi="宋体"/>
                <w:color w:val="auto"/>
                <w:kern w:val="0"/>
                <w:sz w:val="24"/>
                <w:highlight w:val="none"/>
              </w:rPr>
            </w:pPr>
          </w:p>
        </w:tc>
        <w:tc>
          <w:tcPr>
            <w:tcW w:w="1072" w:type="dxa"/>
            <w:vAlign w:val="center"/>
          </w:tcPr>
          <w:p w14:paraId="1DB379BE">
            <w:pPr>
              <w:autoSpaceDE w:val="0"/>
              <w:autoSpaceDN w:val="0"/>
              <w:adjustRightInd w:val="0"/>
              <w:snapToGrid w:val="0"/>
              <w:jc w:val="center"/>
              <w:rPr>
                <w:rFonts w:ascii="宋体" w:hAnsi="宋体"/>
                <w:color w:val="auto"/>
                <w:kern w:val="0"/>
                <w:sz w:val="24"/>
                <w:highlight w:val="none"/>
              </w:rPr>
            </w:pPr>
          </w:p>
        </w:tc>
        <w:tc>
          <w:tcPr>
            <w:tcW w:w="728" w:type="dxa"/>
            <w:vAlign w:val="center"/>
          </w:tcPr>
          <w:p w14:paraId="619B7FB6">
            <w:pPr>
              <w:autoSpaceDE w:val="0"/>
              <w:autoSpaceDN w:val="0"/>
              <w:adjustRightInd w:val="0"/>
              <w:snapToGrid w:val="0"/>
              <w:jc w:val="center"/>
              <w:rPr>
                <w:rFonts w:ascii="宋体" w:hAnsi="宋体"/>
                <w:color w:val="auto"/>
                <w:kern w:val="0"/>
                <w:sz w:val="24"/>
                <w:highlight w:val="none"/>
              </w:rPr>
            </w:pPr>
          </w:p>
        </w:tc>
        <w:tc>
          <w:tcPr>
            <w:tcW w:w="799" w:type="dxa"/>
            <w:vAlign w:val="center"/>
          </w:tcPr>
          <w:p w14:paraId="25948646">
            <w:pPr>
              <w:autoSpaceDE w:val="0"/>
              <w:autoSpaceDN w:val="0"/>
              <w:adjustRightInd w:val="0"/>
              <w:snapToGrid w:val="0"/>
              <w:jc w:val="center"/>
              <w:rPr>
                <w:rFonts w:ascii="宋体" w:hAnsi="宋体"/>
                <w:color w:val="auto"/>
                <w:kern w:val="0"/>
                <w:sz w:val="24"/>
                <w:highlight w:val="none"/>
              </w:rPr>
            </w:pPr>
          </w:p>
        </w:tc>
        <w:tc>
          <w:tcPr>
            <w:tcW w:w="1312" w:type="dxa"/>
            <w:vAlign w:val="center"/>
          </w:tcPr>
          <w:p w14:paraId="7952E8AE">
            <w:pPr>
              <w:autoSpaceDE w:val="0"/>
              <w:autoSpaceDN w:val="0"/>
              <w:adjustRightInd w:val="0"/>
              <w:snapToGrid w:val="0"/>
              <w:jc w:val="center"/>
              <w:rPr>
                <w:rFonts w:ascii="宋体" w:hAnsi="宋体"/>
                <w:color w:val="auto"/>
                <w:kern w:val="0"/>
                <w:sz w:val="24"/>
                <w:highlight w:val="none"/>
              </w:rPr>
            </w:pPr>
          </w:p>
        </w:tc>
        <w:tc>
          <w:tcPr>
            <w:tcW w:w="947" w:type="dxa"/>
            <w:vAlign w:val="center"/>
          </w:tcPr>
          <w:p w14:paraId="18F089E8">
            <w:pPr>
              <w:autoSpaceDE w:val="0"/>
              <w:autoSpaceDN w:val="0"/>
              <w:adjustRightInd w:val="0"/>
              <w:snapToGrid w:val="0"/>
              <w:jc w:val="center"/>
              <w:rPr>
                <w:rFonts w:ascii="宋体" w:hAnsi="宋体"/>
                <w:color w:val="auto"/>
                <w:kern w:val="0"/>
                <w:sz w:val="24"/>
                <w:highlight w:val="none"/>
              </w:rPr>
            </w:pPr>
          </w:p>
        </w:tc>
        <w:tc>
          <w:tcPr>
            <w:tcW w:w="1141" w:type="dxa"/>
            <w:vAlign w:val="center"/>
          </w:tcPr>
          <w:p w14:paraId="2CA6167F">
            <w:pPr>
              <w:autoSpaceDE w:val="0"/>
              <w:autoSpaceDN w:val="0"/>
              <w:adjustRightInd w:val="0"/>
              <w:snapToGrid w:val="0"/>
              <w:jc w:val="center"/>
              <w:rPr>
                <w:rFonts w:ascii="宋体" w:hAnsi="宋体"/>
                <w:color w:val="auto"/>
                <w:kern w:val="0"/>
                <w:sz w:val="24"/>
                <w:highlight w:val="none"/>
              </w:rPr>
            </w:pPr>
          </w:p>
        </w:tc>
        <w:tc>
          <w:tcPr>
            <w:tcW w:w="749" w:type="dxa"/>
            <w:vAlign w:val="center"/>
          </w:tcPr>
          <w:p w14:paraId="5611BE26">
            <w:pPr>
              <w:autoSpaceDE w:val="0"/>
              <w:autoSpaceDN w:val="0"/>
              <w:adjustRightInd w:val="0"/>
              <w:snapToGrid w:val="0"/>
              <w:jc w:val="center"/>
              <w:rPr>
                <w:rFonts w:ascii="宋体" w:hAnsi="宋体"/>
                <w:color w:val="auto"/>
                <w:kern w:val="0"/>
                <w:sz w:val="24"/>
                <w:highlight w:val="none"/>
              </w:rPr>
            </w:pPr>
          </w:p>
        </w:tc>
      </w:tr>
      <w:tr w14:paraId="74D5A75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759B2821">
            <w:pPr>
              <w:autoSpaceDE w:val="0"/>
              <w:autoSpaceDN w:val="0"/>
              <w:adjustRightInd w:val="0"/>
              <w:snapToGrid w:val="0"/>
              <w:jc w:val="center"/>
              <w:rPr>
                <w:rFonts w:ascii="宋体" w:hAnsi="宋体"/>
                <w:color w:val="auto"/>
                <w:kern w:val="0"/>
                <w:sz w:val="24"/>
                <w:highlight w:val="none"/>
              </w:rPr>
            </w:pPr>
          </w:p>
        </w:tc>
        <w:tc>
          <w:tcPr>
            <w:tcW w:w="1176" w:type="dxa"/>
            <w:vAlign w:val="center"/>
          </w:tcPr>
          <w:p w14:paraId="4D305590">
            <w:pPr>
              <w:autoSpaceDE w:val="0"/>
              <w:autoSpaceDN w:val="0"/>
              <w:adjustRightInd w:val="0"/>
              <w:snapToGrid w:val="0"/>
              <w:jc w:val="center"/>
              <w:rPr>
                <w:rFonts w:ascii="宋体" w:hAnsi="宋体"/>
                <w:color w:val="auto"/>
                <w:kern w:val="0"/>
                <w:sz w:val="24"/>
                <w:highlight w:val="none"/>
              </w:rPr>
            </w:pPr>
          </w:p>
        </w:tc>
        <w:tc>
          <w:tcPr>
            <w:tcW w:w="824" w:type="dxa"/>
            <w:vAlign w:val="center"/>
          </w:tcPr>
          <w:p w14:paraId="081237F6">
            <w:pPr>
              <w:autoSpaceDE w:val="0"/>
              <w:autoSpaceDN w:val="0"/>
              <w:adjustRightInd w:val="0"/>
              <w:snapToGrid w:val="0"/>
              <w:jc w:val="center"/>
              <w:rPr>
                <w:rFonts w:ascii="宋体" w:hAnsi="宋体"/>
                <w:color w:val="auto"/>
                <w:kern w:val="0"/>
                <w:sz w:val="24"/>
                <w:highlight w:val="none"/>
              </w:rPr>
            </w:pPr>
          </w:p>
        </w:tc>
        <w:tc>
          <w:tcPr>
            <w:tcW w:w="1072" w:type="dxa"/>
            <w:vAlign w:val="center"/>
          </w:tcPr>
          <w:p w14:paraId="32FCC8DC">
            <w:pPr>
              <w:autoSpaceDE w:val="0"/>
              <w:autoSpaceDN w:val="0"/>
              <w:adjustRightInd w:val="0"/>
              <w:snapToGrid w:val="0"/>
              <w:jc w:val="center"/>
              <w:rPr>
                <w:rFonts w:ascii="宋体" w:hAnsi="宋体"/>
                <w:color w:val="auto"/>
                <w:kern w:val="0"/>
                <w:sz w:val="24"/>
                <w:highlight w:val="none"/>
              </w:rPr>
            </w:pPr>
          </w:p>
        </w:tc>
        <w:tc>
          <w:tcPr>
            <w:tcW w:w="728" w:type="dxa"/>
            <w:vAlign w:val="center"/>
          </w:tcPr>
          <w:p w14:paraId="0EF27B1A">
            <w:pPr>
              <w:autoSpaceDE w:val="0"/>
              <w:autoSpaceDN w:val="0"/>
              <w:adjustRightInd w:val="0"/>
              <w:snapToGrid w:val="0"/>
              <w:jc w:val="center"/>
              <w:rPr>
                <w:rFonts w:ascii="宋体" w:hAnsi="宋体"/>
                <w:color w:val="auto"/>
                <w:kern w:val="0"/>
                <w:sz w:val="24"/>
                <w:highlight w:val="none"/>
              </w:rPr>
            </w:pPr>
          </w:p>
        </w:tc>
        <w:tc>
          <w:tcPr>
            <w:tcW w:w="799" w:type="dxa"/>
            <w:vAlign w:val="center"/>
          </w:tcPr>
          <w:p w14:paraId="432224BE">
            <w:pPr>
              <w:autoSpaceDE w:val="0"/>
              <w:autoSpaceDN w:val="0"/>
              <w:adjustRightInd w:val="0"/>
              <w:snapToGrid w:val="0"/>
              <w:jc w:val="center"/>
              <w:rPr>
                <w:rFonts w:ascii="宋体" w:hAnsi="宋体"/>
                <w:color w:val="auto"/>
                <w:kern w:val="0"/>
                <w:sz w:val="24"/>
                <w:highlight w:val="none"/>
              </w:rPr>
            </w:pPr>
          </w:p>
        </w:tc>
        <w:tc>
          <w:tcPr>
            <w:tcW w:w="1312" w:type="dxa"/>
            <w:vAlign w:val="center"/>
          </w:tcPr>
          <w:p w14:paraId="5460AB66">
            <w:pPr>
              <w:autoSpaceDE w:val="0"/>
              <w:autoSpaceDN w:val="0"/>
              <w:adjustRightInd w:val="0"/>
              <w:snapToGrid w:val="0"/>
              <w:jc w:val="center"/>
              <w:rPr>
                <w:rFonts w:ascii="宋体" w:hAnsi="宋体"/>
                <w:color w:val="auto"/>
                <w:kern w:val="0"/>
                <w:sz w:val="24"/>
                <w:highlight w:val="none"/>
              </w:rPr>
            </w:pPr>
          </w:p>
        </w:tc>
        <w:tc>
          <w:tcPr>
            <w:tcW w:w="947" w:type="dxa"/>
            <w:vAlign w:val="center"/>
          </w:tcPr>
          <w:p w14:paraId="2F4F2051">
            <w:pPr>
              <w:autoSpaceDE w:val="0"/>
              <w:autoSpaceDN w:val="0"/>
              <w:adjustRightInd w:val="0"/>
              <w:snapToGrid w:val="0"/>
              <w:jc w:val="center"/>
              <w:rPr>
                <w:rFonts w:ascii="宋体" w:hAnsi="宋体"/>
                <w:color w:val="auto"/>
                <w:kern w:val="0"/>
                <w:sz w:val="24"/>
                <w:highlight w:val="none"/>
              </w:rPr>
            </w:pPr>
          </w:p>
        </w:tc>
        <w:tc>
          <w:tcPr>
            <w:tcW w:w="1141" w:type="dxa"/>
            <w:vAlign w:val="center"/>
          </w:tcPr>
          <w:p w14:paraId="3EF1903F">
            <w:pPr>
              <w:autoSpaceDE w:val="0"/>
              <w:autoSpaceDN w:val="0"/>
              <w:adjustRightInd w:val="0"/>
              <w:snapToGrid w:val="0"/>
              <w:jc w:val="center"/>
              <w:rPr>
                <w:rFonts w:ascii="宋体" w:hAnsi="宋体"/>
                <w:color w:val="auto"/>
                <w:kern w:val="0"/>
                <w:sz w:val="24"/>
                <w:highlight w:val="none"/>
              </w:rPr>
            </w:pPr>
          </w:p>
        </w:tc>
        <w:tc>
          <w:tcPr>
            <w:tcW w:w="749" w:type="dxa"/>
            <w:vAlign w:val="center"/>
          </w:tcPr>
          <w:p w14:paraId="4B928B43">
            <w:pPr>
              <w:autoSpaceDE w:val="0"/>
              <w:autoSpaceDN w:val="0"/>
              <w:adjustRightInd w:val="0"/>
              <w:snapToGrid w:val="0"/>
              <w:jc w:val="center"/>
              <w:rPr>
                <w:rFonts w:ascii="宋体" w:hAnsi="宋体"/>
                <w:color w:val="auto"/>
                <w:kern w:val="0"/>
                <w:sz w:val="24"/>
                <w:highlight w:val="none"/>
              </w:rPr>
            </w:pPr>
          </w:p>
        </w:tc>
      </w:tr>
      <w:tr w14:paraId="08A82C9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7C62DFC0">
            <w:pPr>
              <w:autoSpaceDE w:val="0"/>
              <w:autoSpaceDN w:val="0"/>
              <w:adjustRightInd w:val="0"/>
              <w:snapToGrid w:val="0"/>
              <w:jc w:val="center"/>
              <w:rPr>
                <w:rFonts w:ascii="宋体" w:hAnsi="宋体"/>
                <w:color w:val="auto"/>
                <w:kern w:val="0"/>
                <w:sz w:val="24"/>
                <w:highlight w:val="none"/>
              </w:rPr>
            </w:pPr>
          </w:p>
        </w:tc>
        <w:tc>
          <w:tcPr>
            <w:tcW w:w="1176" w:type="dxa"/>
            <w:vAlign w:val="center"/>
          </w:tcPr>
          <w:p w14:paraId="00231BA7">
            <w:pPr>
              <w:autoSpaceDE w:val="0"/>
              <w:autoSpaceDN w:val="0"/>
              <w:adjustRightInd w:val="0"/>
              <w:snapToGrid w:val="0"/>
              <w:jc w:val="center"/>
              <w:rPr>
                <w:rFonts w:ascii="宋体" w:hAnsi="宋体"/>
                <w:color w:val="auto"/>
                <w:kern w:val="0"/>
                <w:sz w:val="24"/>
                <w:highlight w:val="none"/>
              </w:rPr>
            </w:pPr>
          </w:p>
        </w:tc>
        <w:tc>
          <w:tcPr>
            <w:tcW w:w="824" w:type="dxa"/>
            <w:vAlign w:val="center"/>
          </w:tcPr>
          <w:p w14:paraId="7904F848">
            <w:pPr>
              <w:autoSpaceDE w:val="0"/>
              <w:autoSpaceDN w:val="0"/>
              <w:adjustRightInd w:val="0"/>
              <w:snapToGrid w:val="0"/>
              <w:jc w:val="center"/>
              <w:rPr>
                <w:rFonts w:ascii="宋体" w:hAnsi="宋体"/>
                <w:color w:val="auto"/>
                <w:kern w:val="0"/>
                <w:sz w:val="24"/>
                <w:highlight w:val="none"/>
              </w:rPr>
            </w:pPr>
          </w:p>
        </w:tc>
        <w:tc>
          <w:tcPr>
            <w:tcW w:w="1072" w:type="dxa"/>
            <w:vAlign w:val="center"/>
          </w:tcPr>
          <w:p w14:paraId="3C393AA0">
            <w:pPr>
              <w:autoSpaceDE w:val="0"/>
              <w:autoSpaceDN w:val="0"/>
              <w:adjustRightInd w:val="0"/>
              <w:snapToGrid w:val="0"/>
              <w:jc w:val="center"/>
              <w:rPr>
                <w:rFonts w:ascii="宋体" w:hAnsi="宋体"/>
                <w:color w:val="auto"/>
                <w:kern w:val="0"/>
                <w:sz w:val="24"/>
                <w:highlight w:val="none"/>
              </w:rPr>
            </w:pPr>
          </w:p>
        </w:tc>
        <w:tc>
          <w:tcPr>
            <w:tcW w:w="728" w:type="dxa"/>
            <w:vAlign w:val="center"/>
          </w:tcPr>
          <w:p w14:paraId="6E166279">
            <w:pPr>
              <w:autoSpaceDE w:val="0"/>
              <w:autoSpaceDN w:val="0"/>
              <w:adjustRightInd w:val="0"/>
              <w:snapToGrid w:val="0"/>
              <w:jc w:val="center"/>
              <w:rPr>
                <w:rFonts w:ascii="宋体" w:hAnsi="宋体"/>
                <w:color w:val="auto"/>
                <w:kern w:val="0"/>
                <w:sz w:val="24"/>
                <w:highlight w:val="none"/>
              </w:rPr>
            </w:pPr>
          </w:p>
        </w:tc>
        <w:tc>
          <w:tcPr>
            <w:tcW w:w="799" w:type="dxa"/>
            <w:vAlign w:val="center"/>
          </w:tcPr>
          <w:p w14:paraId="757832FB">
            <w:pPr>
              <w:autoSpaceDE w:val="0"/>
              <w:autoSpaceDN w:val="0"/>
              <w:adjustRightInd w:val="0"/>
              <w:snapToGrid w:val="0"/>
              <w:jc w:val="center"/>
              <w:rPr>
                <w:rFonts w:ascii="宋体" w:hAnsi="宋体"/>
                <w:color w:val="auto"/>
                <w:kern w:val="0"/>
                <w:sz w:val="24"/>
                <w:highlight w:val="none"/>
              </w:rPr>
            </w:pPr>
          </w:p>
        </w:tc>
        <w:tc>
          <w:tcPr>
            <w:tcW w:w="1312" w:type="dxa"/>
            <w:vAlign w:val="center"/>
          </w:tcPr>
          <w:p w14:paraId="72EDBF60">
            <w:pPr>
              <w:autoSpaceDE w:val="0"/>
              <w:autoSpaceDN w:val="0"/>
              <w:adjustRightInd w:val="0"/>
              <w:snapToGrid w:val="0"/>
              <w:jc w:val="center"/>
              <w:rPr>
                <w:rFonts w:ascii="宋体" w:hAnsi="宋体"/>
                <w:color w:val="auto"/>
                <w:kern w:val="0"/>
                <w:sz w:val="24"/>
                <w:highlight w:val="none"/>
              </w:rPr>
            </w:pPr>
          </w:p>
        </w:tc>
        <w:tc>
          <w:tcPr>
            <w:tcW w:w="947" w:type="dxa"/>
            <w:vAlign w:val="center"/>
          </w:tcPr>
          <w:p w14:paraId="0054B302">
            <w:pPr>
              <w:autoSpaceDE w:val="0"/>
              <w:autoSpaceDN w:val="0"/>
              <w:adjustRightInd w:val="0"/>
              <w:snapToGrid w:val="0"/>
              <w:jc w:val="center"/>
              <w:rPr>
                <w:rFonts w:ascii="宋体" w:hAnsi="宋体"/>
                <w:color w:val="auto"/>
                <w:kern w:val="0"/>
                <w:sz w:val="24"/>
                <w:highlight w:val="none"/>
              </w:rPr>
            </w:pPr>
          </w:p>
        </w:tc>
        <w:tc>
          <w:tcPr>
            <w:tcW w:w="1141" w:type="dxa"/>
            <w:vAlign w:val="center"/>
          </w:tcPr>
          <w:p w14:paraId="7B55E15D">
            <w:pPr>
              <w:autoSpaceDE w:val="0"/>
              <w:autoSpaceDN w:val="0"/>
              <w:adjustRightInd w:val="0"/>
              <w:snapToGrid w:val="0"/>
              <w:jc w:val="center"/>
              <w:rPr>
                <w:rFonts w:ascii="宋体" w:hAnsi="宋体"/>
                <w:color w:val="auto"/>
                <w:kern w:val="0"/>
                <w:sz w:val="24"/>
                <w:highlight w:val="none"/>
              </w:rPr>
            </w:pPr>
          </w:p>
        </w:tc>
        <w:tc>
          <w:tcPr>
            <w:tcW w:w="749" w:type="dxa"/>
            <w:vAlign w:val="center"/>
          </w:tcPr>
          <w:p w14:paraId="0ECB6228">
            <w:pPr>
              <w:autoSpaceDE w:val="0"/>
              <w:autoSpaceDN w:val="0"/>
              <w:adjustRightInd w:val="0"/>
              <w:snapToGrid w:val="0"/>
              <w:jc w:val="center"/>
              <w:rPr>
                <w:rFonts w:ascii="宋体" w:hAnsi="宋体"/>
                <w:color w:val="auto"/>
                <w:kern w:val="0"/>
                <w:sz w:val="24"/>
                <w:highlight w:val="none"/>
              </w:rPr>
            </w:pPr>
          </w:p>
        </w:tc>
      </w:tr>
      <w:tr w14:paraId="1030A72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14E14F32">
            <w:pPr>
              <w:autoSpaceDE w:val="0"/>
              <w:autoSpaceDN w:val="0"/>
              <w:adjustRightInd w:val="0"/>
              <w:snapToGrid w:val="0"/>
              <w:jc w:val="center"/>
              <w:rPr>
                <w:rFonts w:ascii="宋体" w:hAnsi="宋体"/>
                <w:color w:val="auto"/>
                <w:kern w:val="0"/>
                <w:sz w:val="24"/>
                <w:highlight w:val="none"/>
              </w:rPr>
            </w:pPr>
          </w:p>
        </w:tc>
        <w:tc>
          <w:tcPr>
            <w:tcW w:w="1176" w:type="dxa"/>
            <w:vAlign w:val="center"/>
          </w:tcPr>
          <w:p w14:paraId="0E6D190B">
            <w:pPr>
              <w:autoSpaceDE w:val="0"/>
              <w:autoSpaceDN w:val="0"/>
              <w:adjustRightInd w:val="0"/>
              <w:snapToGrid w:val="0"/>
              <w:jc w:val="center"/>
              <w:rPr>
                <w:rFonts w:ascii="宋体" w:hAnsi="宋体"/>
                <w:color w:val="auto"/>
                <w:kern w:val="0"/>
                <w:sz w:val="24"/>
                <w:highlight w:val="none"/>
              </w:rPr>
            </w:pPr>
          </w:p>
        </w:tc>
        <w:tc>
          <w:tcPr>
            <w:tcW w:w="824" w:type="dxa"/>
            <w:vAlign w:val="center"/>
          </w:tcPr>
          <w:p w14:paraId="3595427B">
            <w:pPr>
              <w:autoSpaceDE w:val="0"/>
              <w:autoSpaceDN w:val="0"/>
              <w:adjustRightInd w:val="0"/>
              <w:snapToGrid w:val="0"/>
              <w:jc w:val="center"/>
              <w:rPr>
                <w:rFonts w:ascii="宋体" w:hAnsi="宋体"/>
                <w:color w:val="auto"/>
                <w:kern w:val="0"/>
                <w:sz w:val="24"/>
                <w:highlight w:val="none"/>
              </w:rPr>
            </w:pPr>
          </w:p>
        </w:tc>
        <w:tc>
          <w:tcPr>
            <w:tcW w:w="1072" w:type="dxa"/>
            <w:vAlign w:val="center"/>
          </w:tcPr>
          <w:p w14:paraId="6910D7B2">
            <w:pPr>
              <w:autoSpaceDE w:val="0"/>
              <w:autoSpaceDN w:val="0"/>
              <w:adjustRightInd w:val="0"/>
              <w:snapToGrid w:val="0"/>
              <w:jc w:val="center"/>
              <w:rPr>
                <w:rFonts w:ascii="宋体" w:hAnsi="宋体"/>
                <w:color w:val="auto"/>
                <w:kern w:val="0"/>
                <w:sz w:val="24"/>
                <w:highlight w:val="none"/>
              </w:rPr>
            </w:pPr>
          </w:p>
        </w:tc>
        <w:tc>
          <w:tcPr>
            <w:tcW w:w="728" w:type="dxa"/>
            <w:vAlign w:val="center"/>
          </w:tcPr>
          <w:p w14:paraId="2F65ECC9">
            <w:pPr>
              <w:autoSpaceDE w:val="0"/>
              <w:autoSpaceDN w:val="0"/>
              <w:adjustRightInd w:val="0"/>
              <w:snapToGrid w:val="0"/>
              <w:jc w:val="center"/>
              <w:rPr>
                <w:rFonts w:ascii="宋体" w:hAnsi="宋体"/>
                <w:color w:val="auto"/>
                <w:kern w:val="0"/>
                <w:sz w:val="24"/>
                <w:highlight w:val="none"/>
              </w:rPr>
            </w:pPr>
          </w:p>
        </w:tc>
        <w:tc>
          <w:tcPr>
            <w:tcW w:w="799" w:type="dxa"/>
            <w:vAlign w:val="center"/>
          </w:tcPr>
          <w:p w14:paraId="455B38BB">
            <w:pPr>
              <w:autoSpaceDE w:val="0"/>
              <w:autoSpaceDN w:val="0"/>
              <w:adjustRightInd w:val="0"/>
              <w:snapToGrid w:val="0"/>
              <w:jc w:val="center"/>
              <w:rPr>
                <w:rFonts w:ascii="宋体" w:hAnsi="宋体"/>
                <w:color w:val="auto"/>
                <w:kern w:val="0"/>
                <w:sz w:val="24"/>
                <w:highlight w:val="none"/>
              </w:rPr>
            </w:pPr>
          </w:p>
        </w:tc>
        <w:tc>
          <w:tcPr>
            <w:tcW w:w="1312" w:type="dxa"/>
            <w:vAlign w:val="center"/>
          </w:tcPr>
          <w:p w14:paraId="25902F1C">
            <w:pPr>
              <w:autoSpaceDE w:val="0"/>
              <w:autoSpaceDN w:val="0"/>
              <w:adjustRightInd w:val="0"/>
              <w:snapToGrid w:val="0"/>
              <w:jc w:val="center"/>
              <w:rPr>
                <w:rFonts w:ascii="宋体" w:hAnsi="宋体"/>
                <w:color w:val="auto"/>
                <w:kern w:val="0"/>
                <w:sz w:val="24"/>
                <w:highlight w:val="none"/>
              </w:rPr>
            </w:pPr>
          </w:p>
        </w:tc>
        <w:tc>
          <w:tcPr>
            <w:tcW w:w="947" w:type="dxa"/>
            <w:vAlign w:val="center"/>
          </w:tcPr>
          <w:p w14:paraId="35363130">
            <w:pPr>
              <w:autoSpaceDE w:val="0"/>
              <w:autoSpaceDN w:val="0"/>
              <w:adjustRightInd w:val="0"/>
              <w:snapToGrid w:val="0"/>
              <w:jc w:val="center"/>
              <w:rPr>
                <w:rFonts w:ascii="宋体" w:hAnsi="宋体"/>
                <w:color w:val="auto"/>
                <w:kern w:val="0"/>
                <w:sz w:val="24"/>
                <w:highlight w:val="none"/>
              </w:rPr>
            </w:pPr>
          </w:p>
        </w:tc>
        <w:tc>
          <w:tcPr>
            <w:tcW w:w="1141" w:type="dxa"/>
            <w:vAlign w:val="center"/>
          </w:tcPr>
          <w:p w14:paraId="779E25FF">
            <w:pPr>
              <w:autoSpaceDE w:val="0"/>
              <w:autoSpaceDN w:val="0"/>
              <w:adjustRightInd w:val="0"/>
              <w:snapToGrid w:val="0"/>
              <w:jc w:val="center"/>
              <w:rPr>
                <w:rFonts w:ascii="宋体" w:hAnsi="宋体"/>
                <w:color w:val="auto"/>
                <w:kern w:val="0"/>
                <w:sz w:val="24"/>
                <w:highlight w:val="none"/>
              </w:rPr>
            </w:pPr>
          </w:p>
        </w:tc>
        <w:tc>
          <w:tcPr>
            <w:tcW w:w="749" w:type="dxa"/>
            <w:vAlign w:val="center"/>
          </w:tcPr>
          <w:p w14:paraId="575F990E">
            <w:pPr>
              <w:autoSpaceDE w:val="0"/>
              <w:autoSpaceDN w:val="0"/>
              <w:adjustRightInd w:val="0"/>
              <w:snapToGrid w:val="0"/>
              <w:jc w:val="center"/>
              <w:rPr>
                <w:rFonts w:ascii="宋体" w:hAnsi="宋体"/>
                <w:color w:val="auto"/>
                <w:kern w:val="0"/>
                <w:sz w:val="24"/>
                <w:highlight w:val="none"/>
              </w:rPr>
            </w:pPr>
          </w:p>
        </w:tc>
      </w:tr>
      <w:tr w14:paraId="080EF42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6DFE2A19">
            <w:pPr>
              <w:autoSpaceDE w:val="0"/>
              <w:autoSpaceDN w:val="0"/>
              <w:adjustRightInd w:val="0"/>
              <w:snapToGrid w:val="0"/>
              <w:jc w:val="center"/>
              <w:rPr>
                <w:rFonts w:ascii="宋体" w:hAnsi="宋体"/>
                <w:color w:val="auto"/>
                <w:kern w:val="0"/>
                <w:sz w:val="24"/>
                <w:highlight w:val="none"/>
              </w:rPr>
            </w:pPr>
          </w:p>
        </w:tc>
        <w:tc>
          <w:tcPr>
            <w:tcW w:w="1176" w:type="dxa"/>
            <w:vAlign w:val="center"/>
          </w:tcPr>
          <w:p w14:paraId="2ABF0ECC">
            <w:pPr>
              <w:autoSpaceDE w:val="0"/>
              <w:autoSpaceDN w:val="0"/>
              <w:adjustRightInd w:val="0"/>
              <w:snapToGrid w:val="0"/>
              <w:jc w:val="center"/>
              <w:rPr>
                <w:rFonts w:ascii="宋体" w:hAnsi="宋体"/>
                <w:color w:val="auto"/>
                <w:kern w:val="0"/>
                <w:sz w:val="24"/>
                <w:highlight w:val="none"/>
              </w:rPr>
            </w:pPr>
          </w:p>
        </w:tc>
        <w:tc>
          <w:tcPr>
            <w:tcW w:w="824" w:type="dxa"/>
            <w:vAlign w:val="center"/>
          </w:tcPr>
          <w:p w14:paraId="7E0EF338">
            <w:pPr>
              <w:autoSpaceDE w:val="0"/>
              <w:autoSpaceDN w:val="0"/>
              <w:adjustRightInd w:val="0"/>
              <w:snapToGrid w:val="0"/>
              <w:jc w:val="center"/>
              <w:rPr>
                <w:rFonts w:ascii="宋体" w:hAnsi="宋体"/>
                <w:color w:val="auto"/>
                <w:kern w:val="0"/>
                <w:sz w:val="24"/>
                <w:highlight w:val="none"/>
              </w:rPr>
            </w:pPr>
          </w:p>
        </w:tc>
        <w:tc>
          <w:tcPr>
            <w:tcW w:w="1072" w:type="dxa"/>
            <w:vAlign w:val="center"/>
          </w:tcPr>
          <w:p w14:paraId="20F51BF0">
            <w:pPr>
              <w:autoSpaceDE w:val="0"/>
              <w:autoSpaceDN w:val="0"/>
              <w:adjustRightInd w:val="0"/>
              <w:snapToGrid w:val="0"/>
              <w:jc w:val="center"/>
              <w:rPr>
                <w:rFonts w:ascii="宋体" w:hAnsi="宋体"/>
                <w:color w:val="auto"/>
                <w:kern w:val="0"/>
                <w:sz w:val="24"/>
                <w:highlight w:val="none"/>
              </w:rPr>
            </w:pPr>
          </w:p>
        </w:tc>
        <w:tc>
          <w:tcPr>
            <w:tcW w:w="728" w:type="dxa"/>
            <w:vAlign w:val="center"/>
          </w:tcPr>
          <w:p w14:paraId="47B92A2F">
            <w:pPr>
              <w:autoSpaceDE w:val="0"/>
              <w:autoSpaceDN w:val="0"/>
              <w:adjustRightInd w:val="0"/>
              <w:snapToGrid w:val="0"/>
              <w:jc w:val="center"/>
              <w:rPr>
                <w:rFonts w:ascii="宋体" w:hAnsi="宋体"/>
                <w:color w:val="auto"/>
                <w:kern w:val="0"/>
                <w:sz w:val="24"/>
                <w:highlight w:val="none"/>
              </w:rPr>
            </w:pPr>
          </w:p>
        </w:tc>
        <w:tc>
          <w:tcPr>
            <w:tcW w:w="799" w:type="dxa"/>
            <w:vAlign w:val="center"/>
          </w:tcPr>
          <w:p w14:paraId="2B567E8F">
            <w:pPr>
              <w:autoSpaceDE w:val="0"/>
              <w:autoSpaceDN w:val="0"/>
              <w:adjustRightInd w:val="0"/>
              <w:snapToGrid w:val="0"/>
              <w:jc w:val="center"/>
              <w:rPr>
                <w:rFonts w:ascii="宋体" w:hAnsi="宋体"/>
                <w:color w:val="auto"/>
                <w:kern w:val="0"/>
                <w:sz w:val="24"/>
                <w:highlight w:val="none"/>
              </w:rPr>
            </w:pPr>
          </w:p>
        </w:tc>
        <w:tc>
          <w:tcPr>
            <w:tcW w:w="1312" w:type="dxa"/>
            <w:vAlign w:val="center"/>
          </w:tcPr>
          <w:p w14:paraId="6C1E9FA7">
            <w:pPr>
              <w:autoSpaceDE w:val="0"/>
              <w:autoSpaceDN w:val="0"/>
              <w:adjustRightInd w:val="0"/>
              <w:snapToGrid w:val="0"/>
              <w:jc w:val="center"/>
              <w:rPr>
                <w:rFonts w:ascii="宋体" w:hAnsi="宋体"/>
                <w:color w:val="auto"/>
                <w:kern w:val="0"/>
                <w:sz w:val="24"/>
                <w:highlight w:val="none"/>
              </w:rPr>
            </w:pPr>
          </w:p>
        </w:tc>
        <w:tc>
          <w:tcPr>
            <w:tcW w:w="947" w:type="dxa"/>
            <w:vAlign w:val="center"/>
          </w:tcPr>
          <w:p w14:paraId="45D01D82">
            <w:pPr>
              <w:autoSpaceDE w:val="0"/>
              <w:autoSpaceDN w:val="0"/>
              <w:adjustRightInd w:val="0"/>
              <w:snapToGrid w:val="0"/>
              <w:jc w:val="center"/>
              <w:rPr>
                <w:rFonts w:ascii="宋体" w:hAnsi="宋体"/>
                <w:color w:val="auto"/>
                <w:kern w:val="0"/>
                <w:sz w:val="24"/>
                <w:highlight w:val="none"/>
              </w:rPr>
            </w:pPr>
          </w:p>
        </w:tc>
        <w:tc>
          <w:tcPr>
            <w:tcW w:w="1141" w:type="dxa"/>
            <w:vAlign w:val="center"/>
          </w:tcPr>
          <w:p w14:paraId="4A1C220B">
            <w:pPr>
              <w:autoSpaceDE w:val="0"/>
              <w:autoSpaceDN w:val="0"/>
              <w:adjustRightInd w:val="0"/>
              <w:snapToGrid w:val="0"/>
              <w:jc w:val="center"/>
              <w:rPr>
                <w:rFonts w:ascii="宋体" w:hAnsi="宋体"/>
                <w:color w:val="auto"/>
                <w:kern w:val="0"/>
                <w:sz w:val="24"/>
                <w:highlight w:val="none"/>
              </w:rPr>
            </w:pPr>
          </w:p>
        </w:tc>
        <w:tc>
          <w:tcPr>
            <w:tcW w:w="749" w:type="dxa"/>
            <w:vAlign w:val="center"/>
          </w:tcPr>
          <w:p w14:paraId="1F3F5617">
            <w:pPr>
              <w:autoSpaceDE w:val="0"/>
              <w:autoSpaceDN w:val="0"/>
              <w:adjustRightInd w:val="0"/>
              <w:snapToGrid w:val="0"/>
              <w:jc w:val="center"/>
              <w:rPr>
                <w:rFonts w:ascii="宋体" w:hAnsi="宋体"/>
                <w:color w:val="auto"/>
                <w:kern w:val="0"/>
                <w:sz w:val="24"/>
                <w:highlight w:val="none"/>
              </w:rPr>
            </w:pPr>
          </w:p>
        </w:tc>
      </w:tr>
      <w:tr w14:paraId="4261C9F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2193485F">
            <w:pPr>
              <w:autoSpaceDE w:val="0"/>
              <w:autoSpaceDN w:val="0"/>
              <w:adjustRightInd w:val="0"/>
              <w:snapToGrid w:val="0"/>
              <w:jc w:val="center"/>
              <w:rPr>
                <w:rFonts w:ascii="宋体" w:hAnsi="宋体"/>
                <w:color w:val="auto"/>
                <w:kern w:val="0"/>
                <w:sz w:val="24"/>
                <w:highlight w:val="none"/>
              </w:rPr>
            </w:pPr>
          </w:p>
        </w:tc>
        <w:tc>
          <w:tcPr>
            <w:tcW w:w="1176" w:type="dxa"/>
            <w:vAlign w:val="center"/>
          </w:tcPr>
          <w:p w14:paraId="0E9C5BEA">
            <w:pPr>
              <w:autoSpaceDE w:val="0"/>
              <w:autoSpaceDN w:val="0"/>
              <w:adjustRightInd w:val="0"/>
              <w:snapToGrid w:val="0"/>
              <w:jc w:val="center"/>
              <w:rPr>
                <w:rFonts w:ascii="宋体" w:hAnsi="宋体"/>
                <w:color w:val="auto"/>
                <w:kern w:val="0"/>
                <w:sz w:val="24"/>
                <w:highlight w:val="none"/>
              </w:rPr>
            </w:pPr>
          </w:p>
        </w:tc>
        <w:tc>
          <w:tcPr>
            <w:tcW w:w="824" w:type="dxa"/>
            <w:vAlign w:val="center"/>
          </w:tcPr>
          <w:p w14:paraId="19FA614A">
            <w:pPr>
              <w:autoSpaceDE w:val="0"/>
              <w:autoSpaceDN w:val="0"/>
              <w:adjustRightInd w:val="0"/>
              <w:snapToGrid w:val="0"/>
              <w:jc w:val="center"/>
              <w:rPr>
                <w:rFonts w:ascii="宋体" w:hAnsi="宋体"/>
                <w:color w:val="auto"/>
                <w:kern w:val="0"/>
                <w:sz w:val="24"/>
                <w:highlight w:val="none"/>
              </w:rPr>
            </w:pPr>
          </w:p>
        </w:tc>
        <w:tc>
          <w:tcPr>
            <w:tcW w:w="1072" w:type="dxa"/>
            <w:vAlign w:val="center"/>
          </w:tcPr>
          <w:p w14:paraId="391D4B6C">
            <w:pPr>
              <w:autoSpaceDE w:val="0"/>
              <w:autoSpaceDN w:val="0"/>
              <w:adjustRightInd w:val="0"/>
              <w:snapToGrid w:val="0"/>
              <w:jc w:val="center"/>
              <w:rPr>
                <w:rFonts w:ascii="宋体" w:hAnsi="宋体"/>
                <w:color w:val="auto"/>
                <w:kern w:val="0"/>
                <w:sz w:val="24"/>
                <w:highlight w:val="none"/>
              </w:rPr>
            </w:pPr>
          </w:p>
        </w:tc>
        <w:tc>
          <w:tcPr>
            <w:tcW w:w="728" w:type="dxa"/>
            <w:vAlign w:val="center"/>
          </w:tcPr>
          <w:p w14:paraId="4132D56C">
            <w:pPr>
              <w:autoSpaceDE w:val="0"/>
              <w:autoSpaceDN w:val="0"/>
              <w:adjustRightInd w:val="0"/>
              <w:snapToGrid w:val="0"/>
              <w:jc w:val="center"/>
              <w:rPr>
                <w:rFonts w:ascii="宋体" w:hAnsi="宋体"/>
                <w:color w:val="auto"/>
                <w:kern w:val="0"/>
                <w:sz w:val="24"/>
                <w:highlight w:val="none"/>
              </w:rPr>
            </w:pPr>
          </w:p>
        </w:tc>
        <w:tc>
          <w:tcPr>
            <w:tcW w:w="799" w:type="dxa"/>
            <w:vAlign w:val="center"/>
          </w:tcPr>
          <w:p w14:paraId="4F9147E8">
            <w:pPr>
              <w:autoSpaceDE w:val="0"/>
              <w:autoSpaceDN w:val="0"/>
              <w:adjustRightInd w:val="0"/>
              <w:snapToGrid w:val="0"/>
              <w:jc w:val="center"/>
              <w:rPr>
                <w:rFonts w:ascii="宋体" w:hAnsi="宋体"/>
                <w:color w:val="auto"/>
                <w:kern w:val="0"/>
                <w:sz w:val="24"/>
                <w:highlight w:val="none"/>
              </w:rPr>
            </w:pPr>
          </w:p>
        </w:tc>
        <w:tc>
          <w:tcPr>
            <w:tcW w:w="1312" w:type="dxa"/>
            <w:vAlign w:val="center"/>
          </w:tcPr>
          <w:p w14:paraId="654AA32C">
            <w:pPr>
              <w:autoSpaceDE w:val="0"/>
              <w:autoSpaceDN w:val="0"/>
              <w:adjustRightInd w:val="0"/>
              <w:snapToGrid w:val="0"/>
              <w:jc w:val="center"/>
              <w:rPr>
                <w:rFonts w:ascii="宋体" w:hAnsi="宋体"/>
                <w:color w:val="auto"/>
                <w:kern w:val="0"/>
                <w:sz w:val="24"/>
                <w:highlight w:val="none"/>
              </w:rPr>
            </w:pPr>
          </w:p>
        </w:tc>
        <w:tc>
          <w:tcPr>
            <w:tcW w:w="947" w:type="dxa"/>
            <w:vAlign w:val="center"/>
          </w:tcPr>
          <w:p w14:paraId="67CAF548">
            <w:pPr>
              <w:autoSpaceDE w:val="0"/>
              <w:autoSpaceDN w:val="0"/>
              <w:adjustRightInd w:val="0"/>
              <w:snapToGrid w:val="0"/>
              <w:jc w:val="center"/>
              <w:rPr>
                <w:rFonts w:ascii="宋体" w:hAnsi="宋体"/>
                <w:color w:val="auto"/>
                <w:kern w:val="0"/>
                <w:sz w:val="24"/>
                <w:highlight w:val="none"/>
              </w:rPr>
            </w:pPr>
          </w:p>
        </w:tc>
        <w:tc>
          <w:tcPr>
            <w:tcW w:w="1141" w:type="dxa"/>
            <w:vAlign w:val="center"/>
          </w:tcPr>
          <w:p w14:paraId="69E76C52">
            <w:pPr>
              <w:autoSpaceDE w:val="0"/>
              <w:autoSpaceDN w:val="0"/>
              <w:adjustRightInd w:val="0"/>
              <w:snapToGrid w:val="0"/>
              <w:jc w:val="center"/>
              <w:rPr>
                <w:rFonts w:ascii="宋体" w:hAnsi="宋体"/>
                <w:color w:val="auto"/>
                <w:kern w:val="0"/>
                <w:sz w:val="24"/>
                <w:highlight w:val="none"/>
              </w:rPr>
            </w:pPr>
          </w:p>
        </w:tc>
        <w:tc>
          <w:tcPr>
            <w:tcW w:w="749" w:type="dxa"/>
            <w:vAlign w:val="center"/>
          </w:tcPr>
          <w:p w14:paraId="1CBFA2DE">
            <w:pPr>
              <w:autoSpaceDE w:val="0"/>
              <w:autoSpaceDN w:val="0"/>
              <w:adjustRightInd w:val="0"/>
              <w:snapToGrid w:val="0"/>
              <w:jc w:val="center"/>
              <w:rPr>
                <w:rFonts w:ascii="宋体" w:hAnsi="宋体"/>
                <w:color w:val="auto"/>
                <w:kern w:val="0"/>
                <w:sz w:val="24"/>
                <w:highlight w:val="none"/>
              </w:rPr>
            </w:pPr>
          </w:p>
        </w:tc>
      </w:tr>
      <w:tr w14:paraId="54D6C4D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3D4F005E">
            <w:pPr>
              <w:autoSpaceDE w:val="0"/>
              <w:autoSpaceDN w:val="0"/>
              <w:adjustRightInd w:val="0"/>
              <w:snapToGrid w:val="0"/>
              <w:jc w:val="center"/>
              <w:rPr>
                <w:rFonts w:ascii="宋体" w:hAnsi="宋体"/>
                <w:color w:val="auto"/>
                <w:kern w:val="0"/>
                <w:sz w:val="24"/>
                <w:highlight w:val="none"/>
              </w:rPr>
            </w:pPr>
          </w:p>
        </w:tc>
        <w:tc>
          <w:tcPr>
            <w:tcW w:w="1176" w:type="dxa"/>
            <w:vAlign w:val="center"/>
          </w:tcPr>
          <w:p w14:paraId="7679FF50">
            <w:pPr>
              <w:autoSpaceDE w:val="0"/>
              <w:autoSpaceDN w:val="0"/>
              <w:adjustRightInd w:val="0"/>
              <w:snapToGrid w:val="0"/>
              <w:jc w:val="center"/>
              <w:rPr>
                <w:rFonts w:ascii="宋体" w:hAnsi="宋体"/>
                <w:color w:val="auto"/>
                <w:kern w:val="0"/>
                <w:sz w:val="24"/>
                <w:highlight w:val="none"/>
              </w:rPr>
            </w:pPr>
          </w:p>
        </w:tc>
        <w:tc>
          <w:tcPr>
            <w:tcW w:w="824" w:type="dxa"/>
            <w:vAlign w:val="center"/>
          </w:tcPr>
          <w:p w14:paraId="0AE151F1">
            <w:pPr>
              <w:autoSpaceDE w:val="0"/>
              <w:autoSpaceDN w:val="0"/>
              <w:adjustRightInd w:val="0"/>
              <w:snapToGrid w:val="0"/>
              <w:jc w:val="center"/>
              <w:rPr>
                <w:rFonts w:ascii="宋体" w:hAnsi="宋体"/>
                <w:color w:val="auto"/>
                <w:kern w:val="0"/>
                <w:sz w:val="24"/>
                <w:highlight w:val="none"/>
              </w:rPr>
            </w:pPr>
          </w:p>
        </w:tc>
        <w:tc>
          <w:tcPr>
            <w:tcW w:w="1072" w:type="dxa"/>
            <w:vAlign w:val="center"/>
          </w:tcPr>
          <w:p w14:paraId="279CACE4">
            <w:pPr>
              <w:autoSpaceDE w:val="0"/>
              <w:autoSpaceDN w:val="0"/>
              <w:adjustRightInd w:val="0"/>
              <w:snapToGrid w:val="0"/>
              <w:jc w:val="center"/>
              <w:rPr>
                <w:rFonts w:ascii="宋体" w:hAnsi="宋体"/>
                <w:color w:val="auto"/>
                <w:kern w:val="0"/>
                <w:sz w:val="24"/>
                <w:highlight w:val="none"/>
              </w:rPr>
            </w:pPr>
          </w:p>
        </w:tc>
        <w:tc>
          <w:tcPr>
            <w:tcW w:w="728" w:type="dxa"/>
            <w:vAlign w:val="center"/>
          </w:tcPr>
          <w:p w14:paraId="41F5EE2C">
            <w:pPr>
              <w:autoSpaceDE w:val="0"/>
              <w:autoSpaceDN w:val="0"/>
              <w:adjustRightInd w:val="0"/>
              <w:snapToGrid w:val="0"/>
              <w:jc w:val="center"/>
              <w:rPr>
                <w:rFonts w:ascii="宋体" w:hAnsi="宋体"/>
                <w:color w:val="auto"/>
                <w:kern w:val="0"/>
                <w:sz w:val="24"/>
                <w:highlight w:val="none"/>
              </w:rPr>
            </w:pPr>
          </w:p>
        </w:tc>
        <w:tc>
          <w:tcPr>
            <w:tcW w:w="799" w:type="dxa"/>
            <w:vAlign w:val="center"/>
          </w:tcPr>
          <w:p w14:paraId="6F16CF50">
            <w:pPr>
              <w:autoSpaceDE w:val="0"/>
              <w:autoSpaceDN w:val="0"/>
              <w:adjustRightInd w:val="0"/>
              <w:snapToGrid w:val="0"/>
              <w:jc w:val="center"/>
              <w:rPr>
                <w:rFonts w:ascii="宋体" w:hAnsi="宋体"/>
                <w:color w:val="auto"/>
                <w:kern w:val="0"/>
                <w:sz w:val="24"/>
                <w:highlight w:val="none"/>
              </w:rPr>
            </w:pPr>
          </w:p>
        </w:tc>
        <w:tc>
          <w:tcPr>
            <w:tcW w:w="1312" w:type="dxa"/>
            <w:vAlign w:val="center"/>
          </w:tcPr>
          <w:p w14:paraId="1E56FD2A">
            <w:pPr>
              <w:autoSpaceDE w:val="0"/>
              <w:autoSpaceDN w:val="0"/>
              <w:adjustRightInd w:val="0"/>
              <w:snapToGrid w:val="0"/>
              <w:jc w:val="center"/>
              <w:rPr>
                <w:rFonts w:ascii="宋体" w:hAnsi="宋体"/>
                <w:color w:val="auto"/>
                <w:kern w:val="0"/>
                <w:sz w:val="24"/>
                <w:highlight w:val="none"/>
              </w:rPr>
            </w:pPr>
          </w:p>
        </w:tc>
        <w:tc>
          <w:tcPr>
            <w:tcW w:w="947" w:type="dxa"/>
            <w:vAlign w:val="center"/>
          </w:tcPr>
          <w:p w14:paraId="3C9F1AB5">
            <w:pPr>
              <w:autoSpaceDE w:val="0"/>
              <w:autoSpaceDN w:val="0"/>
              <w:adjustRightInd w:val="0"/>
              <w:snapToGrid w:val="0"/>
              <w:jc w:val="center"/>
              <w:rPr>
                <w:rFonts w:ascii="宋体" w:hAnsi="宋体"/>
                <w:color w:val="auto"/>
                <w:kern w:val="0"/>
                <w:sz w:val="24"/>
                <w:highlight w:val="none"/>
              </w:rPr>
            </w:pPr>
          </w:p>
        </w:tc>
        <w:tc>
          <w:tcPr>
            <w:tcW w:w="1141" w:type="dxa"/>
            <w:vAlign w:val="center"/>
          </w:tcPr>
          <w:p w14:paraId="104E2B58">
            <w:pPr>
              <w:autoSpaceDE w:val="0"/>
              <w:autoSpaceDN w:val="0"/>
              <w:adjustRightInd w:val="0"/>
              <w:snapToGrid w:val="0"/>
              <w:jc w:val="center"/>
              <w:rPr>
                <w:rFonts w:ascii="宋体" w:hAnsi="宋体"/>
                <w:color w:val="auto"/>
                <w:kern w:val="0"/>
                <w:sz w:val="24"/>
                <w:highlight w:val="none"/>
              </w:rPr>
            </w:pPr>
          </w:p>
        </w:tc>
        <w:tc>
          <w:tcPr>
            <w:tcW w:w="749" w:type="dxa"/>
            <w:vAlign w:val="center"/>
          </w:tcPr>
          <w:p w14:paraId="7124852D">
            <w:pPr>
              <w:autoSpaceDE w:val="0"/>
              <w:autoSpaceDN w:val="0"/>
              <w:adjustRightInd w:val="0"/>
              <w:snapToGrid w:val="0"/>
              <w:jc w:val="center"/>
              <w:rPr>
                <w:rFonts w:ascii="宋体" w:hAnsi="宋体"/>
                <w:color w:val="auto"/>
                <w:kern w:val="0"/>
                <w:sz w:val="24"/>
                <w:highlight w:val="none"/>
              </w:rPr>
            </w:pPr>
          </w:p>
        </w:tc>
      </w:tr>
      <w:tr w14:paraId="18BBBF3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1ED8377D">
            <w:pPr>
              <w:autoSpaceDE w:val="0"/>
              <w:autoSpaceDN w:val="0"/>
              <w:adjustRightInd w:val="0"/>
              <w:snapToGrid w:val="0"/>
              <w:jc w:val="center"/>
              <w:rPr>
                <w:rFonts w:ascii="宋体" w:hAnsi="宋体"/>
                <w:color w:val="auto"/>
                <w:kern w:val="0"/>
                <w:sz w:val="24"/>
                <w:highlight w:val="none"/>
              </w:rPr>
            </w:pPr>
          </w:p>
        </w:tc>
        <w:tc>
          <w:tcPr>
            <w:tcW w:w="1176" w:type="dxa"/>
            <w:vAlign w:val="center"/>
          </w:tcPr>
          <w:p w14:paraId="1DF40295">
            <w:pPr>
              <w:autoSpaceDE w:val="0"/>
              <w:autoSpaceDN w:val="0"/>
              <w:adjustRightInd w:val="0"/>
              <w:snapToGrid w:val="0"/>
              <w:jc w:val="center"/>
              <w:rPr>
                <w:rFonts w:ascii="宋体" w:hAnsi="宋体"/>
                <w:color w:val="auto"/>
                <w:kern w:val="0"/>
                <w:sz w:val="24"/>
                <w:highlight w:val="none"/>
              </w:rPr>
            </w:pPr>
          </w:p>
        </w:tc>
        <w:tc>
          <w:tcPr>
            <w:tcW w:w="824" w:type="dxa"/>
            <w:vAlign w:val="center"/>
          </w:tcPr>
          <w:p w14:paraId="0D7F9422">
            <w:pPr>
              <w:autoSpaceDE w:val="0"/>
              <w:autoSpaceDN w:val="0"/>
              <w:adjustRightInd w:val="0"/>
              <w:snapToGrid w:val="0"/>
              <w:jc w:val="center"/>
              <w:rPr>
                <w:rFonts w:ascii="宋体" w:hAnsi="宋体"/>
                <w:color w:val="auto"/>
                <w:kern w:val="0"/>
                <w:sz w:val="24"/>
                <w:highlight w:val="none"/>
              </w:rPr>
            </w:pPr>
          </w:p>
        </w:tc>
        <w:tc>
          <w:tcPr>
            <w:tcW w:w="1072" w:type="dxa"/>
            <w:vAlign w:val="center"/>
          </w:tcPr>
          <w:p w14:paraId="363043E9">
            <w:pPr>
              <w:autoSpaceDE w:val="0"/>
              <w:autoSpaceDN w:val="0"/>
              <w:adjustRightInd w:val="0"/>
              <w:snapToGrid w:val="0"/>
              <w:jc w:val="center"/>
              <w:rPr>
                <w:rFonts w:ascii="宋体" w:hAnsi="宋体"/>
                <w:color w:val="auto"/>
                <w:kern w:val="0"/>
                <w:sz w:val="24"/>
                <w:highlight w:val="none"/>
              </w:rPr>
            </w:pPr>
          </w:p>
        </w:tc>
        <w:tc>
          <w:tcPr>
            <w:tcW w:w="728" w:type="dxa"/>
            <w:vAlign w:val="center"/>
          </w:tcPr>
          <w:p w14:paraId="30346A67">
            <w:pPr>
              <w:autoSpaceDE w:val="0"/>
              <w:autoSpaceDN w:val="0"/>
              <w:adjustRightInd w:val="0"/>
              <w:snapToGrid w:val="0"/>
              <w:jc w:val="center"/>
              <w:rPr>
                <w:rFonts w:ascii="宋体" w:hAnsi="宋体"/>
                <w:color w:val="auto"/>
                <w:kern w:val="0"/>
                <w:sz w:val="24"/>
                <w:highlight w:val="none"/>
              </w:rPr>
            </w:pPr>
          </w:p>
        </w:tc>
        <w:tc>
          <w:tcPr>
            <w:tcW w:w="799" w:type="dxa"/>
            <w:vAlign w:val="center"/>
          </w:tcPr>
          <w:p w14:paraId="55F2CA4C">
            <w:pPr>
              <w:autoSpaceDE w:val="0"/>
              <w:autoSpaceDN w:val="0"/>
              <w:adjustRightInd w:val="0"/>
              <w:snapToGrid w:val="0"/>
              <w:jc w:val="center"/>
              <w:rPr>
                <w:rFonts w:ascii="宋体" w:hAnsi="宋体"/>
                <w:color w:val="auto"/>
                <w:kern w:val="0"/>
                <w:sz w:val="24"/>
                <w:highlight w:val="none"/>
              </w:rPr>
            </w:pPr>
          </w:p>
        </w:tc>
        <w:tc>
          <w:tcPr>
            <w:tcW w:w="1312" w:type="dxa"/>
            <w:vAlign w:val="center"/>
          </w:tcPr>
          <w:p w14:paraId="40935DB1">
            <w:pPr>
              <w:autoSpaceDE w:val="0"/>
              <w:autoSpaceDN w:val="0"/>
              <w:adjustRightInd w:val="0"/>
              <w:snapToGrid w:val="0"/>
              <w:jc w:val="center"/>
              <w:rPr>
                <w:rFonts w:ascii="宋体" w:hAnsi="宋体"/>
                <w:color w:val="auto"/>
                <w:kern w:val="0"/>
                <w:sz w:val="24"/>
                <w:highlight w:val="none"/>
              </w:rPr>
            </w:pPr>
          </w:p>
        </w:tc>
        <w:tc>
          <w:tcPr>
            <w:tcW w:w="947" w:type="dxa"/>
            <w:vAlign w:val="center"/>
          </w:tcPr>
          <w:p w14:paraId="29B3733E">
            <w:pPr>
              <w:autoSpaceDE w:val="0"/>
              <w:autoSpaceDN w:val="0"/>
              <w:adjustRightInd w:val="0"/>
              <w:snapToGrid w:val="0"/>
              <w:jc w:val="center"/>
              <w:rPr>
                <w:rFonts w:ascii="宋体" w:hAnsi="宋体"/>
                <w:color w:val="auto"/>
                <w:kern w:val="0"/>
                <w:sz w:val="24"/>
                <w:highlight w:val="none"/>
              </w:rPr>
            </w:pPr>
          </w:p>
        </w:tc>
        <w:tc>
          <w:tcPr>
            <w:tcW w:w="1141" w:type="dxa"/>
            <w:vAlign w:val="center"/>
          </w:tcPr>
          <w:p w14:paraId="72722B66">
            <w:pPr>
              <w:autoSpaceDE w:val="0"/>
              <w:autoSpaceDN w:val="0"/>
              <w:adjustRightInd w:val="0"/>
              <w:snapToGrid w:val="0"/>
              <w:jc w:val="center"/>
              <w:rPr>
                <w:rFonts w:ascii="宋体" w:hAnsi="宋体"/>
                <w:color w:val="auto"/>
                <w:kern w:val="0"/>
                <w:sz w:val="24"/>
                <w:highlight w:val="none"/>
              </w:rPr>
            </w:pPr>
          </w:p>
        </w:tc>
        <w:tc>
          <w:tcPr>
            <w:tcW w:w="749" w:type="dxa"/>
            <w:vAlign w:val="center"/>
          </w:tcPr>
          <w:p w14:paraId="42E7C364">
            <w:pPr>
              <w:autoSpaceDE w:val="0"/>
              <w:autoSpaceDN w:val="0"/>
              <w:adjustRightInd w:val="0"/>
              <w:snapToGrid w:val="0"/>
              <w:jc w:val="center"/>
              <w:rPr>
                <w:rFonts w:ascii="宋体" w:hAnsi="宋体"/>
                <w:color w:val="auto"/>
                <w:kern w:val="0"/>
                <w:sz w:val="24"/>
                <w:highlight w:val="none"/>
              </w:rPr>
            </w:pPr>
          </w:p>
        </w:tc>
      </w:tr>
      <w:tr w14:paraId="57E2AC4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6BE6C950">
            <w:pPr>
              <w:autoSpaceDE w:val="0"/>
              <w:autoSpaceDN w:val="0"/>
              <w:adjustRightInd w:val="0"/>
              <w:snapToGrid w:val="0"/>
              <w:jc w:val="center"/>
              <w:rPr>
                <w:rFonts w:ascii="宋体" w:hAnsi="宋体"/>
                <w:color w:val="auto"/>
                <w:kern w:val="0"/>
                <w:sz w:val="24"/>
                <w:highlight w:val="none"/>
              </w:rPr>
            </w:pPr>
          </w:p>
        </w:tc>
        <w:tc>
          <w:tcPr>
            <w:tcW w:w="1176" w:type="dxa"/>
            <w:vAlign w:val="center"/>
          </w:tcPr>
          <w:p w14:paraId="1657AA09">
            <w:pPr>
              <w:autoSpaceDE w:val="0"/>
              <w:autoSpaceDN w:val="0"/>
              <w:adjustRightInd w:val="0"/>
              <w:snapToGrid w:val="0"/>
              <w:jc w:val="center"/>
              <w:rPr>
                <w:rFonts w:ascii="宋体" w:hAnsi="宋体"/>
                <w:color w:val="auto"/>
                <w:kern w:val="0"/>
                <w:sz w:val="24"/>
                <w:highlight w:val="none"/>
              </w:rPr>
            </w:pPr>
          </w:p>
        </w:tc>
        <w:tc>
          <w:tcPr>
            <w:tcW w:w="824" w:type="dxa"/>
            <w:vAlign w:val="center"/>
          </w:tcPr>
          <w:p w14:paraId="117D80C2">
            <w:pPr>
              <w:autoSpaceDE w:val="0"/>
              <w:autoSpaceDN w:val="0"/>
              <w:adjustRightInd w:val="0"/>
              <w:snapToGrid w:val="0"/>
              <w:jc w:val="center"/>
              <w:rPr>
                <w:rFonts w:ascii="宋体" w:hAnsi="宋体"/>
                <w:color w:val="auto"/>
                <w:kern w:val="0"/>
                <w:sz w:val="24"/>
                <w:highlight w:val="none"/>
              </w:rPr>
            </w:pPr>
          </w:p>
        </w:tc>
        <w:tc>
          <w:tcPr>
            <w:tcW w:w="1072" w:type="dxa"/>
            <w:vAlign w:val="center"/>
          </w:tcPr>
          <w:p w14:paraId="4F971476">
            <w:pPr>
              <w:autoSpaceDE w:val="0"/>
              <w:autoSpaceDN w:val="0"/>
              <w:adjustRightInd w:val="0"/>
              <w:snapToGrid w:val="0"/>
              <w:jc w:val="center"/>
              <w:rPr>
                <w:rFonts w:ascii="宋体" w:hAnsi="宋体"/>
                <w:color w:val="auto"/>
                <w:kern w:val="0"/>
                <w:sz w:val="24"/>
                <w:highlight w:val="none"/>
              </w:rPr>
            </w:pPr>
          </w:p>
        </w:tc>
        <w:tc>
          <w:tcPr>
            <w:tcW w:w="728" w:type="dxa"/>
            <w:vAlign w:val="center"/>
          </w:tcPr>
          <w:p w14:paraId="60C4800C">
            <w:pPr>
              <w:autoSpaceDE w:val="0"/>
              <w:autoSpaceDN w:val="0"/>
              <w:adjustRightInd w:val="0"/>
              <w:snapToGrid w:val="0"/>
              <w:jc w:val="center"/>
              <w:rPr>
                <w:rFonts w:ascii="宋体" w:hAnsi="宋体"/>
                <w:color w:val="auto"/>
                <w:kern w:val="0"/>
                <w:sz w:val="24"/>
                <w:highlight w:val="none"/>
              </w:rPr>
            </w:pPr>
          </w:p>
        </w:tc>
        <w:tc>
          <w:tcPr>
            <w:tcW w:w="799" w:type="dxa"/>
            <w:vAlign w:val="center"/>
          </w:tcPr>
          <w:p w14:paraId="310D4866">
            <w:pPr>
              <w:autoSpaceDE w:val="0"/>
              <w:autoSpaceDN w:val="0"/>
              <w:adjustRightInd w:val="0"/>
              <w:snapToGrid w:val="0"/>
              <w:jc w:val="center"/>
              <w:rPr>
                <w:rFonts w:ascii="宋体" w:hAnsi="宋体"/>
                <w:color w:val="auto"/>
                <w:kern w:val="0"/>
                <w:sz w:val="24"/>
                <w:highlight w:val="none"/>
              </w:rPr>
            </w:pPr>
          </w:p>
        </w:tc>
        <w:tc>
          <w:tcPr>
            <w:tcW w:w="1312" w:type="dxa"/>
            <w:vAlign w:val="center"/>
          </w:tcPr>
          <w:p w14:paraId="0476E3D0">
            <w:pPr>
              <w:autoSpaceDE w:val="0"/>
              <w:autoSpaceDN w:val="0"/>
              <w:adjustRightInd w:val="0"/>
              <w:snapToGrid w:val="0"/>
              <w:jc w:val="center"/>
              <w:rPr>
                <w:rFonts w:ascii="宋体" w:hAnsi="宋体"/>
                <w:color w:val="auto"/>
                <w:kern w:val="0"/>
                <w:sz w:val="24"/>
                <w:highlight w:val="none"/>
              </w:rPr>
            </w:pPr>
          </w:p>
        </w:tc>
        <w:tc>
          <w:tcPr>
            <w:tcW w:w="947" w:type="dxa"/>
            <w:vAlign w:val="center"/>
          </w:tcPr>
          <w:p w14:paraId="6F10807A">
            <w:pPr>
              <w:autoSpaceDE w:val="0"/>
              <w:autoSpaceDN w:val="0"/>
              <w:adjustRightInd w:val="0"/>
              <w:snapToGrid w:val="0"/>
              <w:jc w:val="center"/>
              <w:rPr>
                <w:rFonts w:ascii="宋体" w:hAnsi="宋体"/>
                <w:color w:val="auto"/>
                <w:kern w:val="0"/>
                <w:sz w:val="24"/>
                <w:highlight w:val="none"/>
              </w:rPr>
            </w:pPr>
          </w:p>
        </w:tc>
        <w:tc>
          <w:tcPr>
            <w:tcW w:w="1141" w:type="dxa"/>
            <w:vAlign w:val="center"/>
          </w:tcPr>
          <w:p w14:paraId="44FF4FB0">
            <w:pPr>
              <w:autoSpaceDE w:val="0"/>
              <w:autoSpaceDN w:val="0"/>
              <w:adjustRightInd w:val="0"/>
              <w:snapToGrid w:val="0"/>
              <w:jc w:val="center"/>
              <w:rPr>
                <w:rFonts w:ascii="宋体" w:hAnsi="宋体"/>
                <w:color w:val="auto"/>
                <w:kern w:val="0"/>
                <w:sz w:val="24"/>
                <w:highlight w:val="none"/>
              </w:rPr>
            </w:pPr>
          </w:p>
        </w:tc>
        <w:tc>
          <w:tcPr>
            <w:tcW w:w="749" w:type="dxa"/>
            <w:vAlign w:val="center"/>
          </w:tcPr>
          <w:p w14:paraId="79FC1726">
            <w:pPr>
              <w:autoSpaceDE w:val="0"/>
              <w:autoSpaceDN w:val="0"/>
              <w:adjustRightInd w:val="0"/>
              <w:snapToGrid w:val="0"/>
              <w:jc w:val="center"/>
              <w:rPr>
                <w:rFonts w:ascii="宋体" w:hAnsi="宋体"/>
                <w:color w:val="auto"/>
                <w:kern w:val="0"/>
                <w:sz w:val="24"/>
                <w:highlight w:val="none"/>
              </w:rPr>
            </w:pPr>
          </w:p>
        </w:tc>
      </w:tr>
      <w:tr w14:paraId="6FC4035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3E17C08C">
            <w:pPr>
              <w:autoSpaceDE w:val="0"/>
              <w:autoSpaceDN w:val="0"/>
              <w:adjustRightInd w:val="0"/>
              <w:snapToGrid w:val="0"/>
              <w:jc w:val="center"/>
              <w:rPr>
                <w:rFonts w:ascii="宋体" w:hAnsi="宋体"/>
                <w:color w:val="auto"/>
                <w:kern w:val="0"/>
                <w:sz w:val="24"/>
                <w:highlight w:val="none"/>
              </w:rPr>
            </w:pPr>
          </w:p>
        </w:tc>
        <w:tc>
          <w:tcPr>
            <w:tcW w:w="1176" w:type="dxa"/>
            <w:vAlign w:val="center"/>
          </w:tcPr>
          <w:p w14:paraId="0F47D533">
            <w:pPr>
              <w:autoSpaceDE w:val="0"/>
              <w:autoSpaceDN w:val="0"/>
              <w:adjustRightInd w:val="0"/>
              <w:snapToGrid w:val="0"/>
              <w:jc w:val="center"/>
              <w:rPr>
                <w:rFonts w:ascii="宋体" w:hAnsi="宋体"/>
                <w:color w:val="auto"/>
                <w:kern w:val="0"/>
                <w:sz w:val="24"/>
                <w:highlight w:val="none"/>
              </w:rPr>
            </w:pPr>
          </w:p>
        </w:tc>
        <w:tc>
          <w:tcPr>
            <w:tcW w:w="824" w:type="dxa"/>
            <w:vAlign w:val="center"/>
          </w:tcPr>
          <w:p w14:paraId="2A98A1D9">
            <w:pPr>
              <w:autoSpaceDE w:val="0"/>
              <w:autoSpaceDN w:val="0"/>
              <w:adjustRightInd w:val="0"/>
              <w:snapToGrid w:val="0"/>
              <w:jc w:val="center"/>
              <w:rPr>
                <w:rFonts w:ascii="宋体" w:hAnsi="宋体"/>
                <w:color w:val="auto"/>
                <w:kern w:val="0"/>
                <w:sz w:val="24"/>
                <w:highlight w:val="none"/>
              </w:rPr>
            </w:pPr>
          </w:p>
        </w:tc>
        <w:tc>
          <w:tcPr>
            <w:tcW w:w="1072" w:type="dxa"/>
            <w:vAlign w:val="center"/>
          </w:tcPr>
          <w:p w14:paraId="282638F3">
            <w:pPr>
              <w:autoSpaceDE w:val="0"/>
              <w:autoSpaceDN w:val="0"/>
              <w:adjustRightInd w:val="0"/>
              <w:snapToGrid w:val="0"/>
              <w:jc w:val="center"/>
              <w:rPr>
                <w:rFonts w:ascii="宋体" w:hAnsi="宋体"/>
                <w:color w:val="auto"/>
                <w:kern w:val="0"/>
                <w:sz w:val="24"/>
                <w:highlight w:val="none"/>
              </w:rPr>
            </w:pPr>
          </w:p>
        </w:tc>
        <w:tc>
          <w:tcPr>
            <w:tcW w:w="728" w:type="dxa"/>
            <w:vAlign w:val="center"/>
          </w:tcPr>
          <w:p w14:paraId="2C62E1F4">
            <w:pPr>
              <w:autoSpaceDE w:val="0"/>
              <w:autoSpaceDN w:val="0"/>
              <w:adjustRightInd w:val="0"/>
              <w:snapToGrid w:val="0"/>
              <w:jc w:val="center"/>
              <w:rPr>
                <w:rFonts w:ascii="宋体" w:hAnsi="宋体"/>
                <w:color w:val="auto"/>
                <w:kern w:val="0"/>
                <w:sz w:val="24"/>
                <w:highlight w:val="none"/>
              </w:rPr>
            </w:pPr>
          </w:p>
        </w:tc>
        <w:tc>
          <w:tcPr>
            <w:tcW w:w="799" w:type="dxa"/>
            <w:vAlign w:val="center"/>
          </w:tcPr>
          <w:p w14:paraId="5293D39E">
            <w:pPr>
              <w:autoSpaceDE w:val="0"/>
              <w:autoSpaceDN w:val="0"/>
              <w:adjustRightInd w:val="0"/>
              <w:snapToGrid w:val="0"/>
              <w:jc w:val="center"/>
              <w:rPr>
                <w:rFonts w:ascii="宋体" w:hAnsi="宋体"/>
                <w:color w:val="auto"/>
                <w:kern w:val="0"/>
                <w:sz w:val="24"/>
                <w:highlight w:val="none"/>
              </w:rPr>
            </w:pPr>
          </w:p>
        </w:tc>
        <w:tc>
          <w:tcPr>
            <w:tcW w:w="1312" w:type="dxa"/>
            <w:vAlign w:val="center"/>
          </w:tcPr>
          <w:p w14:paraId="438BD5A5">
            <w:pPr>
              <w:autoSpaceDE w:val="0"/>
              <w:autoSpaceDN w:val="0"/>
              <w:adjustRightInd w:val="0"/>
              <w:snapToGrid w:val="0"/>
              <w:jc w:val="center"/>
              <w:rPr>
                <w:rFonts w:ascii="宋体" w:hAnsi="宋体"/>
                <w:color w:val="auto"/>
                <w:kern w:val="0"/>
                <w:sz w:val="24"/>
                <w:highlight w:val="none"/>
              </w:rPr>
            </w:pPr>
          </w:p>
        </w:tc>
        <w:tc>
          <w:tcPr>
            <w:tcW w:w="947" w:type="dxa"/>
            <w:vAlign w:val="center"/>
          </w:tcPr>
          <w:p w14:paraId="38BDBDC1">
            <w:pPr>
              <w:autoSpaceDE w:val="0"/>
              <w:autoSpaceDN w:val="0"/>
              <w:adjustRightInd w:val="0"/>
              <w:snapToGrid w:val="0"/>
              <w:jc w:val="center"/>
              <w:rPr>
                <w:rFonts w:ascii="宋体" w:hAnsi="宋体"/>
                <w:color w:val="auto"/>
                <w:kern w:val="0"/>
                <w:sz w:val="24"/>
                <w:highlight w:val="none"/>
              </w:rPr>
            </w:pPr>
          </w:p>
        </w:tc>
        <w:tc>
          <w:tcPr>
            <w:tcW w:w="1141" w:type="dxa"/>
            <w:vAlign w:val="center"/>
          </w:tcPr>
          <w:p w14:paraId="5149D4D5">
            <w:pPr>
              <w:autoSpaceDE w:val="0"/>
              <w:autoSpaceDN w:val="0"/>
              <w:adjustRightInd w:val="0"/>
              <w:snapToGrid w:val="0"/>
              <w:jc w:val="center"/>
              <w:rPr>
                <w:rFonts w:ascii="宋体" w:hAnsi="宋体"/>
                <w:color w:val="auto"/>
                <w:kern w:val="0"/>
                <w:sz w:val="24"/>
                <w:highlight w:val="none"/>
              </w:rPr>
            </w:pPr>
          </w:p>
        </w:tc>
        <w:tc>
          <w:tcPr>
            <w:tcW w:w="749" w:type="dxa"/>
            <w:vAlign w:val="center"/>
          </w:tcPr>
          <w:p w14:paraId="43AD914B">
            <w:pPr>
              <w:autoSpaceDE w:val="0"/>
              <w:autoSpaceDN w:val="0"/>
              <w:adjustRightInd w:val="0"/>
              <w:snapToGrid w:val="0"/>
              <w:jc w:val="center"/>
              <w:rPr>
                <w:rFonts w:ascii="宋体" w:hAnsi="宋体"/>
                <w:color w:val="auto"/>
                <w:kern w:val="0"/>
                <w:sz w:val="24"/>
                <w:highlight w:val="none"/>
              </w:rPr>
            </w:pPr>
          </w:p>
        </w:tc>
      </w:tr>
      <w:tr w14:paraId="4BBE706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272D0B1E">
            <w:pPr>
              <w:autoSpaceDE w:val="0"/>
              <w:autoSpaceDN w:val="0"/>
              <w:adjustRightInd w:val="0"/>
              <w:snapToGrid w:val="0"/>
              <w:jc w:val="center"/>
              <w:rPr>
                <w:rFonts w:ascii="宋体" w:hAnsi="宋体"/>
                <w:color w:val="auto"/>
                <w:kern w:val="0"/>
                <w:sz w:val="24"/>
                <w:highlight w:val="none"/>
              </w:rPr>
            </w:pPr>
          </w:p>
        </w:tc>
        <w:tc>
          <w:tcPr>
            <w:tcW w:w="1176" w:type="dxa"/>
            <w:vAlign w:val="center"/>
          </w:tcPr>
          <w:p w14:paraId="39024D30">
            <w:pPr>
              <w:autoSpaceDE w:val="0"/>
              <w:autoSpaceDN w:val="0"/>
              <w:adjustRightInd w:val="0"/>
              <w:snapToGrid w:val="0"/>
              <w:jc w:val="center"/>
              <w:rPr>
                <w:rFonts w:ascii="宋体" w:hAnsi="宋体"/>
                <w:color w:val="auto"/>
                <w:kern w:val="0"/>
                <w:sz w:val="24"/>
                <w:highlight w:val="none"/>
              </w:rPr>
            </w:pPr>
          </w:p>
        </w:tc>
        <w:tc>
          <w:tcPr>
            <w:tcW w:w="824" w:type="dxa"/>
            <w:vAlign w:val="center"/>
          </w:tcPr>
          <w:p w14:paraId="510B0293">
            <w:pPr>
              <w:autoSpaceDE w:val="0"/>
              <w:autoSpaceDN w:val="0"/>
              <w:adjustRightInd w:val="0"/>
              <w:snapToGrid w:val="0"/>
              <w:jc w:val="center"/>
              <w:rPr>
                <w:rFonts w:ascii="宋体" w:hAnsi="宋体"/>
                <w:color w:val="auto"/>
                <w:kern w:val="0"/>
                <w:sz w:val="24"/>
                <w:highlight w:val="none"/>
              </w:rPr>
            </w:pPr>
          </w:p>
        </w:tc>
        <w:tc>
          <w:tcPr>
            <w:tcW w:w="1072" w:type="dxa"/>
            <w:vAlign w:val="center"/>
          </w:tcPr>
          <w:p w14:paraId="74DA07B5">
            <w:pPr>
              <w:autoSpaceDE w:val="0"/>
              <w:autoSpaceDN w:val="0"/>
              <w:adjustRightInd w:val="0"/>
              <w:snapToGrid w:val="0"/>
              <w:jc w:val="center"/>
              <w:rPr>
                <w:rFonts w:ascii="宋体" w:hAnsi="宋体"/>
                <w:color w:val="auto"/>
                <w:kern w:val="0"/>
                <w:sz w:val="24"/>
                <w:highlight w:val="none"/>
              </w:rPr>
            </w:pPr>
          </w:p>
        </w:tc>
        <w:tc>
          <w:tcPr>
            <w:tcW w:w="728" w:type="dxa"/>
            <w:vAlign w:val="center"/>
          </w:tcPr>
          <w:p w14:paraId="4BE418B8">
            <w:pPr>
              <w:autoSpaceDE w:val="0"/>
              <w:autoSpaceDN w:val="0"/>
              <w:adjustRightInd w:val="0"/>
              <w:snapToGrid w:val="0"/>
              <w:jc w:val="center"/>
              <w:rPr>
                <w:rFonts w:ascii="宋体" w:hAnsi="宋体"/>
                <w:color w:val="auto"/>
                <w:kern w:val="0"/>
                <w:sz w:val="24"/>
                <w:highlight w:val="none"/>
              </w:rPr>
            </w:pPr>
          </w:p>
        </w:tc>
        <w:tc>
          <w:tcPr>
            <w:tcW w:w="799" w:type="dxa"/>
            <w:vAlign w:val="center"/>
          </w:tcPr>
          <w:p w14:paraId="1BD3C71F">
            <w:pPr>
              <w:autoSpaceDE w:val="0"/>
              <w:autoSpaceDN w:val="0"/>
              <w:adjustRightInd w:val="0"/>
              <w:snapToGrid w:val="0"/>
              <w:jc w:val="center"/>
              <w:rPr>
                <w:rFonts w:ascii="宋体" w:hAnsi="宋体"/>
                <w:color w:val="auto"/>
                <w:kern w:val="0"/>
                <w:sz w:val="24"/>
                <w:highlight w:val="none"/>
              </w:rPr>
            </w:pPr>
          </w:p>
        </w:tc>
        <w:tc>
          <w:tcPr>
            <w:tcW w:w="1312" w:type="dxa"/>
            <w:vAlign w:val="center"/>
          </w:tcPr>
          <w:p w14:paraId="119DAC33">
            <w:pPr>
              <w:autoSpaceDE w:val="0"/>
              <w:autoSpaceDN w:val="0"/>
              <w:adjustRightInd w:val="0"/>
              <w:snapToGrid w:val="0"/>
              <w:jc w:val="center"/>
              <w:rPr>
                <w:rFonts w:ascii="宋体" w:hAnsi="宋体"/>
                <w:color w:val="auto"/>
                <w:kern w:val="0"/>
                <w:sz w:val="24"/>
                <w:highlight w:val="none"/>
              </w:rPr>
            </w:pPr>
          </w:p>
        </w:tc>
        <w:tc>
          <w:tcPr>
            <w:tcW w:w="947" w:type="dxa"/>
            <w:vAlign w:val="center"/>
          </w:tcPr>
          <w:p w14:paraId="04B0E979">
            <w:pPr>
              <w:autoSpaceDE w:val="0"/>
              <w:autoSpaceDN w:val="0"/>
              <w:adjustRightInd w:val="0"/>
              <w:snapToGrid w:val="0"/>
              <w:jc w:val="center"/>
              <w:rPr>
                <w:rFonts w:ascii="宋体" w:hAnsi="宋体"/>
                <w:color w:val="auto"/>
                <w:kern w:val="0"/>
                <w:sz w:val="24"/>
                <w:highlight w:val="none"/>
              </w:rPr>
            </w:pPr>
          </w:p>
        </w:tc>
        <w:tc>
          <w:tcPr>
            <w:tcW w:w="1141" w:type="dxa"/>
            <w:vAlign w:val="center"/>
          </w:tcPr>
          <w:p w14:paraId="7837A3D2">
            <w:pPr>
              <w:autoSpaceDE w:val="0"/>
              <w:autoSpaceDN w:val="0"/>
              <w:adjustRightInd w:val="0"/>
              <w:snapToGrid w:val="0"/>
              <w:jc w:val="center"/>
              <w:rPr>
                <w:rFonts w:ascii="宋体" w:hAnsi="宋体"/>
                <w:color w:val="auto"/>
                <w:kern w:val="0"/>
                <w:sz w:val="24"/>
                <w:highlight w:val="none"/>
              </w:rPr>
            </w:pPr>
          </w:p>
        </w:tc>
        <w:tc>
          <w:tcPr>
            <w:tcW w:w="749" w:type="dxa"/>
            <w:vAlign w:val="center"/>
          </w:tcPr>
          <w:p w14:paraId="2A562BBB">
            <w:pPr>
              <w:autoSpaceDE w:val="0"/>
              <w:autoSpaceDN w:val="0"/>
              <w:adjustRightInd w:val="0"/>
              <w:snapToGrid w:val="0"/>
              <w:jc w:val="center"/>
              <w:rPr>
                <w:rFonts w:ascii="宋体" w:hAnsi="宋体"/>
                <w:color w:val="auto"/>
                <w:kern w:val="0"/>
                <w:sz w:val="24"/>
                <w:highlight w:val="none"/>
              </w:rPr>
            </w:pPr>
          </w:p>
        </w:tc>
      </w:tr>
      <w:tr w14:paraId="2D6372F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13267702">
            <w:pPr>
              <w:autoSpaceDE w:val="0"/>
              <w:autoSpaceDN w:val="0"/>
              <w:adjustRightInd w:val="0"/>
              <w:snapToGrid w:val="0"/>
              <w:jc w:val="center"/>
              <w:rPr>
                <w:rFonts w:ascii="宋体" w:hAnsi="宋体"/>
                <w:color w:val="auto"/>
                <w:kern w:val="0"/>
                <w:sz w:val="24"/>
                <w:highlight w:val="none"/>
              </w:rPr>
            </w:pPr>
          </w:p>
        </w:tc>
        <w:tc>
          <w:tcPr>
            <w:tcW w:w="1176" w:type="dxa"/>
            <w:vAlign w:val="center"/>
          </w:tcPr>
          <w:p w14:paraId="173A935D">
            <w:pPr>
              <w:autoSpaceDE w:val="0"/>
              <w:autoSpaceDN w:val="0"/>
              <w:adjustRightInd w:val="0"/>
              <w:snapToGrid w:val="0"/>
              <w:jc w:val="center"/>
              <w:rPr>
                <w:rFonts w:ascii="宋体" w:hAnsi="宋体"/>
                <w:color w:val="auto"/>
                <w:kern w:val="0"/>
                <w:sz w:val="24"/>
                <w:highlight w:val="none"/>
              </w:rPr>
            </w:pPr>
          </w:p>
        </w:tc>
        <w:tc>
          <w:tcPr>
            <w:tcW w:w="824" w:type="dxa"/>
            <w:vAlign w:val="center"/>
          </w:tcPr>
          <w:p w14:paraId="39479F61">
            <w:pPr>
              <w:autoSpaceDE w:val="0"/>
              <w:autoSpaceDN w:val="0"/>
              <w:adjustRightInd w:val="0"/>
              <w:snapToGrid w:val="0"/>
              <w:jc w:val="center"/>
              <w:rPr>
                <w:rFonts w:ascii="宋体" w:hAnsi="宋体"/>
                <w:color w:val="auto"/>
                <w:kern w:val="0"/>
                <w:sz w:val="24"/>
                <w:highlight w:val="none"/>
              </w:rPr>
            </w:pPr>
          </w:p>
        </w:tc>
        <w:tc>
          <w:tcPr>
            <w:tcW w:w="1072" w:type="dxa"/>
            <w:vAlign w:val="center"/>
          </w:tcPr>
          <w:p w14:paraId="526FB42B">
            <w:pPr>
              <w:autoSpaceDE w:val="0"/>
              <w:autoSpaceDN w:val="0"/>
              <w:adjustRightInd w:val="0"/>
              <w:snapToGrid w:val="0"/>
              <w:jc w:val="center"/>
              <w:rPr>
                <w:rFonts w:ascii="宋体" w:hAnsi="宋体"/>
                <w:color w:val="auto"/>
                <w:kern w:val="0"/>
                <w:sz w:val="24"/>
                <w:highlight w:val="none"/>
              </w:rPr>
            </w:pPr>
          </w:p>
        </w:tc>
        <w:tc>
          <w:tcPr>
            <w:tcW w:w="728" w:type="dxa"/>
            <w:vAlign w:val="center"/>
          </w:tcPr>
          <w:p w14:paraId="2467EC12">
            <w:pPr>
              <w:autoSpaceDE w:val="0"/>
              <w:autoSpaceDN w:val="0"/>
              <w:adjustRightInd w:val="0"/>
              <w:snapToGrid w:val="0"/>
              <w:jc w:val="center"/>
              <w:rPr>
                <w:rFonts w:ascii="宋体" w:hAnsi="宋体"/>
                <w:color w:val="auto"/>
                <w:kern w:val="0"/>
                <w:sz w:val="24"/>
                <w:highlight w:val="none"/>
              </w:rPr>
            </w:pPr>
          </w:p>
        </w:tc>
        <w:tc>
          <w:tcPr>
            <w:tcW w:w="799" w:type="dxa"/>
            <w:vAlign w:val="center"/>
          </w:tcPr>
          <w:p w14:paraId="0314BD4D">
            <w:pPr>
              <w:autoSpaceDE w:val="0"/>
              <w:autoSpaceDN w:val="0"/>
              <w:adjustRightInd w:val="0"/>
              <w:snapToGrid w:val="0"/>
              <w:jc w:val="center"/>
              <w:rPr>
                <w:rFonts w:ascii="宋体" w:hAnsi="宋体"/>
                <w:color w:val="auto"/>
                <w:kern w:val="0"/>
                <w:sz w:val="24"/>
                <w:highlight w:val="none"/>
              </w:rPr>
            </w:pPr>
          </w:p>
        </w:tc>
        <w:tc>
          <w:tcPr>
            <w:tcW w:w="1312" w:type="dxa"/>
            <w:vAlign w:val="center"/>
          </w:tcPr>
          <w:p w14:paraId="37EF26AC">
            <w:pPr>
              <w:autoSpaceDE w:val="0"/>
              <w:autoSpaceDN w:val="0"/>
              <w:adjustRightInd w:val="0"/>
              <w:snapToGrid w:val="0"/>
              <w:jc w:val="center"/>
              <w:rPr>
                <w:rFonts w:ascii="宋体" w:hAnsi="宋体"/>
                <w:color w:val="auto"/>
                <w:kern w:val="0"/>
                <w:sz w:val="24"/>
                <w:highlight w:val="none"/>
              </w:rPr>
            </w:pPr>
          </w:p>
        </w:tc>
        <w:tc>
          <w:tcPr>
            <w:tcW w:w="947" w:type="dxa"/>
            <w:vAlign w:val="center"/>
          </w:tcPr>
          <w:p w14:paraId="16CA38AE">
            <w:pPr>
              <w:autoSpaceDE w:val="0"/>
              <w:autoSpaceDN w:val="0"/>
              <w:adjustRightInd w:val="0"/>
              <w:snapToGrid w:val="0"/>
              <w:jc w:val="center"/>
              <w:rPr>
                <w:rFonts w:ascii="宋体" w:hAnsi="宋体"/>
                <w:color w:val="auto"/>
                <w:kern w:val="0"/>
                <w:sz w:val="24"/>
                <w:highlight w:val="none"/>
              </w:rPr>
            </w:pPr>
          </w:p>
        </w:tc>
        <w:tc>
          <w:tcPr>
            <w:tcW w:w="1141" w:type="dxa"/>
            <w:vAlign w:val="center"/>
          </w:tcPr>
          <w:p w14:paraId="6F5EF5D2">
            <w:pPr>
              <w:autoSpaceDE w:val="0"/>
              <w:autoSpaceDN w:val="0"/>
              <w:adjustRightInd w:val="0"/>
              <w:snapToGrid w:val="0"/>
              <w:jc w:val="center"/>
              <w:rPr>
                <w:rFonts w:ascii="宋体" w:hAnsi="宋体"/>
                <w:color w:val="auto"/>
                <w:kern w:val="0"/>
                <w:sz w:val="24"/>
                <w:highlight w:val="none"/>
              </w:rPr>
            </w:pPr>
          </w:p>
        </w:tc>
        <w:tc>
          <w:tcPr>
            <w:tcW w:w="749" w:type="dxa"/>
            <w:vAlign w:val="center"/>
          </w:tcPr>
          <w:p w14:paraId="0F3D36F0">
            <w:pPr>
              <w:autoSpaceDE w:val="0"/>
              <w:autoSpaceDN w:val="0"/>
              <w:adjustRightInd w:val="0"/>
              <w:snapToGrid w:val="0"/>
              <w:jc w:val="center"/>
              <w:rPr>
                <w:rFonts w:ascii="宋体" w:hAnsi="宋体"/>
                <w:color w:val="auto"/>
                <w:kern w:val="0"/>
                <w:sz w:val="24"/>
                <w:highlight w:val="none"/>
              </w:rPr>
            </w:pPr>
          </w:p>
        </w:tc>
      </w:tr>
      <w:tr w14:paraId="4CE4D5C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576BBE04">
            <w:pPr>
              <w:autoSpaceDE w:val="0"/>
              <w:autoSpaceDN w:val="0"/>
              <w:adjustRightInd w:val="0"/>
              <w:snapToGrid w:val="0"/>
              <w:jc w:val="center"/>
              <w:rPr>
                <w:rFonts w:ascii="宋体" w:hAnsi="宋体"/>
                <w:color w:val="auto"/>
                <w:kern w:val="0"/>
                <w:sz w:val="24"/>
                <w:highlight w:val="none"/>
              </w:rPr>
            </w:pPr>
          </w:p>
        </w:tc>
        <w:tc>
          <w:tcPr>
            <w:tcW w:w="1176" w:type="dxa"/>
            <w:vAlign w:val="center"/>
          </w:tcPr>
          <w:p w14:paraId="71FC998B">
            <w:pPr>
              <w:autoSpaceDE w:val="0"/>
              <w:autoSpaceDN w:val="0"/>
              <w:adjustRightInd w:val="0"/>
              <w:snapToGrid w:val="0"/>
              <w:jc w:val="center"/>
              <w:rPr>
                <w:rFonts w:ascii="宋体" w:hAnsi="宋体"/>
                <w:color w:val="auto"/>
                <w:kern w:val="0"/>
                <w:sz w:val="24"/>
                <w:highlight w:val="none"/>
              </w:rPr>
            </w:pPr>
          </w:p>
        </w:tc>
        <w:tc>
          <w:tcPr>
            <w:tcW w:w="824" w:type="dxa"/>
            <w:vAlign w:val="center"/>
          </w:tcPr>
          <w:p w14:paraId="093BBDDE">
            <w:pPr>
              <w:autoSpaceDE w:val="0"/>
              <w:autoSpaceDN w:val="0"/>
              <w:adjustRightInd w:val="0"/>
              <w:snapToGrid w:val="0"/>
              <w:jc w:val="center"/>
              <w:rPr>
                <w:rFonts w:ascii="宋体" w:hAnsi="宋体"/>
                <w:color w:val="auto"/>
                <w:kern w:val="0"/>
                <w:sz w:val="24"/>
                <w:highlight w:val="none"/>
              </w:rPr>
            </w:pPr>
          </w:p>
        </w:tc>
        <w:tc>
          <w:tcPr>
            <w:tcW w:w="1072" w:type="dxa"/>
            <w:vAlign w:val="center"/>
          </w:tcPr>
          <w:p w14:paraId="571A2BD2">
            <w:pPr>
              <w:autoSpaceDE w:val="0"/>
              <w:autoSpaceDN w:val="0"/>
              <w:adjustRightInd w:val="0"/>
              <w:snapToGrid w:val="0"/>
              <w:jc w:val="center"/>
              <w:rPr>
                <w:rFonts w:ascii="宋体" w:hAnsi="宋体"/>
                <w:color w:val="auto"/>
                <w:kern w:val="0"/>
                <w:sz w:val="24"/>
                <w:highlight w:val="none"/>
              </w:rPr>
            </w:pPr>
          </w:p>
        </w:tc>
        <w:tc>
          <w:tcPr>
            <w:tcW w:w="728" w:type="dxa"/>
            <w:vAlign w:val="center"/>
          </w:tcPr>
          <w:p w14:paraId="227DFBD2">
            <w:pPr>
              <w:autoSpaceDE w:val="0"/>
              <w:autoSpaceDN w:val="0"/>
              <w:adjustRightInd w:val="0"/>
              <w:snapToGrid w:val="0"/>
              <w:jc w:val="center"/>
              <w:rPr>
                <w:rFonts w:ascii="宋体" w:hAnsi="宋体"/>
                <w:color w:val="auto"/>
                <w:kern w:val="0"/>
                <w:sz w:val="24"/>
                <w:highlight w:val="none"/>
              </w:rPr>
            </w:pPr>
          </w:p>
        </w:tc>
        <w:tc>
          <w:tcPr>
            <w:tcW w:w="799" w:type="dxa"/>
            <w:vAlign w:val="center"/>
          </w:tcPr>
          <w:p w14:paraId="095BE400">
            <w:pPr>
              <w:autoSpaceDE w:val="0"/>
              <w:autoSpaceDN w:val="0"/>
              <w:adjustRightInd w:val="0"/>
              <w:snapToGrid w:val="0"/>
              <w:jc w:val="center"/>
              <w:rPr>
                <w:rFonts w:ascii="宋体" w:hAnsi="宋体"/>
                <w:color w:val="auto"/>
                <w:kern w:val="0"/>
                <w:sz w:val="24"/>
                <w:highlight w:val="none"/>
              </w:rPr>
            </w:pPr>
          </w:p>
        </w:tc>
        <w:tc>
          <w:tcPr>
            <w:tcW w:w="1312" w:type="dxa"/>
            <w:vAlign w:val="center"/>
          </w:tcPr>
          <w:p w14:paraId="7B3A3681">
            <w:pPr>
              <w:autoSpaceDE w:val="0"/>
              <w:autoSpaceDN w:val="0"/>
              <w:adjustRightInd w:val="0"/>
              <w:snapToGrid w:val="0"/>
              <w:jc w:val="center"/>
              <w:rPr>
                <w:rFonts w:ascii="宋体" w:hAnsi="宋体"/>
                <w:color w:val="auto"/>
                <w:kern w:val="0"/>
                <w:sz w:val="24"/>
                <w:highlight w:val="none"/>
              </w:rPr>
            </w:pPr>
          </w:p>
        </w:tc>
        <w:tc>
          <w:tcPr>
            <w:tcW w:w="947" w:type="dxa"/>
            <w:vAlign w:val="center"/>
          </w:tcPr>
          <w:p w14:paraId="5067A29C">
            <w:pPr>
              <w:autoSpaceDE w:val="0"/>
              <w:autoSpaceDN w:val="0"/>
              <w:adjustRightInd w:val="0"/>
              <w:snapToGrid w:val="0"/>
              <w:jc w:val="center"/>
              <w:rPr>
                <w:rFonts w:ascii="宋体" w:hAnsi="宋体"/>
                <w:color w:val="auto"/>
                <w:kern w:val="0"/>
                <w:sz w:val="24"/>
                <w:highlight w:val="none"/>
              </w:rPr>
            </w:pPr>
          </w:p>
        </w:tc>
        <w:tc>
          <w:tcPr>
            <w:tcW w:w="1141" w:type="dxa"/>
            <w:vAlign w:val="center"/>
          </w:tcPr>
          <w:p w14:paraId="020FC6F5">
            <w:pPr>
              <w:autoSpaceDE w:val="0"/>
              <w:autoSpaceDN w:val="0"/>
              <w:adjustRightInd w:val="0"/>
              <w:snapToGrid w:val="0"/>
              <w:jc w:val="center"/>
              <w:rPr>
                <w:rFonts w:ascii="宋体" w:hAnsi="宋体"/>
                <w:color w:val="auto"/>
                <w:kern w:val="0"/>
                <w:sz w:val="24"/>
                <w:highlight w:val="none"/>
              </w:rPr>
            </w:pPr>
          </w:p>
        </w:tc>
        <w:tc>
          <w:tcPr>
            <w:tcW w:w="749" w:type="dxa"/>
            <w:vAlign w:val="center"/>
          </w:tcPr>
          <w:p w14:paraId="46B923B9">
            <w:pPr>
              <w:autoSpaceDE w:val="0"/>
              <w:autoSpaceDN w:val="0"/>
              <w:adjustRightInd w:val="0"/>
              <w:snapToGrid w:val="0"/>
              <w:jc w:val="center"/>
              <w:rPr>
                <w:rFonts w:ascii="宋体" w:hAnsi="宋体"/>
                <w:color w:val="auto"/>
                <w:kern w:val="0"/>
                <w:sz w:val="24"/>
                <w:highlight w:val="none"/>
              </w:rPr>
            </w:pPr>
          </w:p>
        </w:tc>
      </w:tr>
      <w:tr w14:paraId="39286BC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13044297">
            <w:pPr>
              <w:autoSpaceDE w:val="0"/>
              <w:autoSpaceDN w:val="0"/>
              <w:adjustRightInd w:val="0"/>
              <w:snapToGrid w:val="0"/>
              <w:jc w:val="center"/>
              <w:rPr>
                <w:rFonts w:ascii="宋体" w:hAnsi="宋体"/>
                <w:color w:val="auto"/>
                <w:kern w:val="0"/>
                <w:sz w:val="24"/>
                <w:highlight w:val="none"/>
              </w:rPr>
            </w:pPr>
          </w:p>
        </w:tc>
        <w:tc>
          <w:tcPr>
            <w:tcW w:w="1176" w:type="dxa"/>
            <w:vAlign w:val="center"/>
          </w:tcPr>
          <w:p w14:paraId="5DAF61E3">
            <w:pPr>
              <w:autoSpaceDE w:val="0"/>
              <w:autoSpaceDN w:val="0"/>
              <w:adjustRightInd w:val="0"/>
              <w:snapToGrid w:val="0"/>
              <w:jc w:val="center"/>
              <w:rPr>
                <w:rFonts w:ascii="宋体" w:hAnsi="宋体"/>
                <w:color w:val="auto"/>
                <w:kern w:val="0"/>
                <w:sz w:val="24"/>
                <w:highlight w:val="none"/>
              </w:rPr>
            </w:pPr>
          </w:p>
        </w:tc>
        <w:tc>
          <w:tcPr>
            <w:tcW w:w="824" w:type="dxa"/>
            <w:vAlign w:val="center"/>
          </w:tcPr>
          <w:p w14:paraId="7B5D0B77">
            <w:pPr>
              <w:autoSpaceDE w:val="0"/>
              <w:autoSpaceDN w:val="0"/>
              <w:adjustRightInd w:val="0"/>
              <w:snapToGrid w:val="0"/>
              <w:jc w:val="center"/>
              <w:rPr>
                <w:rFonts w:ascii="宋体" w:hAnsi="宋体"/>
                <w:color w:val="auto"/>
                <w:kern w:val="0"/>
                <w:sz w:val="24"/>
                <w:highlight w:val="none"/>
              </w:rPr>
            </w:pPr>
          </w:p>
        </w:tc>
        <w:tc>
          <w:tcPr>
            <w:tcW w:w="1072" w:type="dxa"/>
            <w:vAlign w:val="center"/>
          </w:tcPr>
          <w:p w14:paraId="3E621075">
            <w:pPr>
              <w:autoSpaceDE w:val="0"/>
              <w:autoSpaceDN w:val="0"/>
              <w:adjustRightInd w:val="0"/>
              <w:snapToGrid w:val="0"/>
              <w:jc w:val="center"/>
              <w:rPr>
                <w:rFonts w:ascii="宋体" w:hAnsi="宋体"/>
                <w:color w:val="auto"/>
                <w:kern w:val="0"/>
                <w:sz w:val="24"/>
                <w:highlight w:val="none"/>
              </w:rPr>
            </w:pPr>
          </w:p>
        </w:tc>
        <w:tc>
          <w:tcPr>
            <w:tcW w:w="728" w:type="dxa"/>
            <w:vAlign w:val="center"/>
          </w:tcPr>
          <w:p w14:paraId="4B54229C">
            <w:pPr>
              <w:autoSpaceDE w:val="0"/>
              <w:autoSpaceDN w:val="0"/>
              <w:adjustRightInd w:val="0"/>
              <w:snapToGrid w:val="0"/>
              <w:jc w:val="center"/>
              <w:rPr>
                <w:rFonts w:ascii="宋体" w:hAnsi="宋体"/>
                <w:color w:val="auto"/>
                <w:kern w:val="0"/>
                <w:sz w:val="24"/>
                <w:highlight w:val="none"/>
              </w:rPr>
            </w:pPr>
          </w:p>
        </w:tc>
        <w:tc>
          <w:tcPr>
            <w:tcW w:w="799" w:type="dxa"/>
            <w:vAlign w:val="center"/>
          </w:tcPr>
          <w:p w14:paraId="6458EFBB">
            <w:pPr>
              <w:autoSpaceDE w:val="0"/>
              <w:autoSpaceDN w:val="0"/>
              <w:adjustRightInd w:val="0"/>
              <w:snapToGrid w:val="0"/>
              <w:jc w:val="center"/>
              <w:rPr>
                <w:rFonts w:ascii="宋体" w:hAnsi="宋体"/>
                <w:color w:val="auto"/>
                <w:kern w:val="0"/>
                <w:sz w:val="24"/>
                <w:highlight w:val="none"/>
              </w:rPr>
            </w:pPr>
          </w:p>
        </w:tc>
        <w:tc>
          <w:tcPr>
            <w:tcW w:w="1312" w:type="dxa"/>
            <w:vAlign w:val="center"/>
          </w:tcPr>
          <w:p w14:paraId="4B0CCF15">
            <w:pPr>
              <w:autoSpaceDE w:val="0"/>
              <w:autoSpaceDN w:val="0"/>
              <w:adjustRightInd w:val="0"/>
              <w:snapToGrid w:val="0"/>
              <w:jc w:val="center"/>
              <w:rPr>
                <w:rFonts w:ascii="宋体" w:hAnsi="宋体"/>
                <w:color w:val="auto"/>
                <w:kern w:val="0"/>
                <w:sz w:val="24"/>
                <w:highlight w:val="none"/>
              </w:rPr>
            </w:pPr>
          </w:p>
        </w:tc>
        <w:tc>
          <w:tcPr>
            <w:tcW w:w="947" w:type="dxa"/>
            <w:vAlign w:val="center"/>
          </w:tcPr>
          <w:p w14:paraId="6F26742C">
            <w:pPr>
              <w:autoSpaceDE w:val="0"/>
              <w:autoSpaceDN w:val="0"/>
              <w:adjustRightInd w:val="0"/>
              <w:snapToGrid w:val="0"/>
              <w:jc w:val="center"/>
              <w:rPr>
                <w:rFonts w:ascii="宋体" w:hAnsi="宋体"/>
                <w:color w:val="auto"/>
                <w:kern w:val="0"/>
                <w:sz w:val="24"/>
                <w:highlight w:val="none"/>
              </w:rPr>
            </w:pPr>
          </w:p>
        </w:tc>
        <w:tc>
          <w:tcPr>
            <w:tcW w:w="1141" w:type="dxa"/>
            <w:vAlign w:val="center"/>
          </w:tcPr>
          <w:p w14:paraId="4E27FD87">
            <w:pPr>
              <w:autoSpaceDE w:val="0"/>
              <w:autoSpaceDN w:val="0"/>
              <w:adjustRightInd w:val="0"/>
              <w:snapToGrid w:val="0"/>
              <w:jc w:val="center"/>
              <w:rPr>
                <w:rFonts w:ascii="宋体" w:hAnsi="宋体"/>
                <w:color w:val="auto"/>
                <w:kern w:val="0"/>
                <w:sz w:val="24"/>
                <w:highlight w:val="none"/>
              </w:rPr>
            </w:pPr>
          </w:p>
        </w:tc>
        <w:tc>
          <w:tcPr>
            <w:tcW w:w="749" w:type="dxa"/>
            <w:vAlign w:val="center"/>
          </w:tcPr>
          <w:p w14:paraId="6137C9A5">
            <w:pPr>
              <w:autoSpaceDE w:val="0"/>
              <w:autoSpaceDN w:val="0"/>
              <w:adjustRightInd w:val="0"/>
              <w:snapToGrid w:val="0"/>
              <w:jc w:val="center"/>
              <w:rPr>
                <w:rFonts w:ascii="宋体" w:hAnsi="宋体"/>
                <w:color w:val="auto"/>
                <w:kern w:val="0"/>
                <w:sz w:val="24"/>
                <w:highlight w:val="none"/>
              </w:rPr>
            </w:pPr>
          </w:p>
        </w:tc>
      </w:tr>
      <w:tr w14:paraId="2979596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5C44D8EB">
            <w:pPr>
              <w:autoSpaceDE w:val="0"/>
              <w:autoSpaceDN w:val="0"/>
              <w:adjustRightInd w:val="0"/>
              <w:snapToGrid w:val="0"/>
              <w:jc w:val="center"/>
              <w:rPr>
                <w:rFonts w:ascii="宋体" w:hAnsi="宋体"/>
                <w:color w:val="auto"/>
                <w:kern w:val="0"/>
                <w:sz w:val="24"/>
                <w:highlight w:val="none"/>
              </w:rPr>
            </w:pPr>
          </w:p>
        </w:tc>
        <w:tc>
          <w:tcPr>
            <w:tcW w:w="1176" w:type="dxa"/>
            <w:vAlign w:val="center"/>
          </w:tcPr>
          <w:p w14:paraId="1F0C1524">
            <w:pPr>
              <w:autoSpaceDE w:val="0"/>
              <w:autoSpaceDN w:val="0"/>
              <w:adjustRightInd w:val="0"/>
              <w:snapToGrid w:val="0"/>
              <w:jc w:val="center"/>
              <w:rPr>
                <w:rFonts w:ascii="宋体" w:hAnsi="宋体"/>
                <w:color w:val="auto"/>
                <w:kern w:val="0"/>
                <w:sz w:val="24"/>
                <w:highlight w:val="none"/>
              </w:rPr>
            </w:pPr>
          </w:p>
        </w:tc>
        <w:tc>
          <w:tcPr>
            <w:tcW w:w="824" w:type="dxa"/>
            <w:vAlign w:val="center"/>
          </w:tcPr>
          <w:p w14:paraId="48B579F2">
            <w:pPr>
              <w:autoSpaceDE w:val="0"/>
              <w:autoSpaceDN w:val="0"/>
              <w:adjustRightInd w:val="0"/>
              <w:snapToGrid w:val="0"/>
              <w:jc w:val="center"/>
              <w:rPr>
                <w:rFonts w:ascii="宋体" w:hAnsi="宋体"/>
                <w:color w:val="auto"/>
                <w:kern w:val="0"/>
                <w:sz w:val="24"/>
                <w:highlight w:val="none"/>
              </w:rPr>
            </w:pPr>
          </w:p>
        </w:tc>
        <w:tc>
          <w:tcPr>
            <w:tcW w:w="1072" w:type="dxa"/>
            <w:vAlign w:val="center"/>
          </w:tcPr>
          <w:p w14:paraId="3E4E6F33">
            <w:pPr>
              <w:autoSpaceDE w:val="0"/>
              <w:autoSpaceDN w:val="0"/>
              <w:adjustRightInd w:val="0"/>
              <w:snapToGrid w:val="0"/>
              <w:jc w:val="center"/>
              <w:rPr>
                <w:rFonts w:ascii="宋体" w:hAnsi="宋体"/>
                <w:color w:val="auto"/>
                <w:kern w:val="0"/>
                <w:sz w:val="24"/>
                <w:highlight w:val="none"/>
              </w:rPr>
            </w:pPr>
          </w:p>
        </w:tc>
        <w:tc>
          <w:tcPr>
            <w:tcW w:w="728" w:type="dxa"/>
            <w:vAlign w:val="center"/>
          </w:tcPr>
          <w:p w14:paraId="701B4E95">
            <w:pPr>
              <w:autoSpaceDE w:val="0"/>
              <w:autoSpaceDN w:val="0"/>
              <w:adjustRightInd w:val="0"/>
              <w:snapToGrid w:val="0"/>
              <w:jc w:val="center"/>
              <w:rPr>
                <w:rFonts w:ascii="宋体" w:hAnsi="宋体"/>
                <w:color w:val="auto"/>
                <w:kern w:val="0"/>
                <w:sz w:val="24"/>
                <w:highlight w:val="none"/>
              </w:rPr>
            </w:pPr>
          </w:p>
        </w:tc>
        <w:tc>
          <w:tcPr>
            <w:tcW w:w="799" w:type="dxa"/>
            <w:vAlign w:val="center"/>
          </w:tcPr>
          <w:p w14:paraId="598853E8">
            <w:pPr>
              <w:autoSpaceDE w:val="0"/>
              <w:autoSpaceDN w:val="0"/>
              <w:adjustRightInd w:val="0"/>
              <w:snapToGrid w:val="0"/>
              <w:jc w:val="center"/>
              <w:rPr>
                <w:rFonts w:ascii="宋体" w:hAnsi="宋体"/>
                <w:color w:val="auto"/>
                <w:kern w:val="0"/>
                <w:sz w:val="24"/>
                <w:highlight w:val="none"/>
              </w:rPr>
            </w:pPr>
          </w:p>
        </w:tc>
        <w:tc>
          <w:tcPr>
            <w:tcW w:w="1312" w:type="dxa"/>
            <w:vAlign w:val="center"/>
          </w:tcPr>
          <w:p w14:paraId="36CD7F75">
            <w:pPr>
              <w:autoSpaceDE w:val="0"/>
              <w:autoSpaceDN w:val="0"/>
              <w:adjustRightInd w:val="0"/>
              <w:snapToGrid w:val="0"/>
              <w:jc w:val="center"/>
              <w:rPr>
                <w:rFonts w:ascii="宋体" w:hAnsi="宋体"/>
                <w:color w:val="auto"/>
                <w:kern w:val="0"/>
                <w:sz w:val="24"/>
                <w:highlight w:val="none"/>
              </w:rPr>
            </w:pPr>
          </w:p>
        </w:tc>
        <w:tc>
          <w:tcPr>
            <w:tcW w:w="947" w:type="dxa"/>
            <w:vAlign w:val="center"/>
          </w:tcPr>
          <w:p w14:paraId="1AA343DB">
            <w:pPr>
              <w:autoSpaceDE w:val="0"/>
              <w:autoSpaceDN w:val="0"/>
              <w:adjustRightInd w:val="0"/>
              <w:snapToGrid w:val="0"/>
              <w:jc w:val="center"/>
              <w:rPr>
                <w:rFonts w:ascii="宋体" w:hAnsi="宋体"/>
                <w:color w:val="auto"/>
                <w:kern w:val="0"/>
                <w:sz w:val="24"/>
                <w:highlight w:val="none"/>
              </w:rPr>
            </w:pPr>
          </w:p>
        </w:tc>
        <w:tc>
          <w:tcPr>
            <w:tcW w:w="1141" w:type="dxa"/>
            <w:vAlign w:val="center"/>
          </w:tcPr>
          <w:p w14:paraId="4425070F">
            <w:pPr>
              <w:autoSpaceDE w:val="0"/>
              <w:autoSpaceDN w:val="0"/>
              <w:adjustRightInd w:val="0"/>
              <w:snapToGrid w:val="0"/>
              <w:jc w:val="center"/>
              <w:rPr>
                <w:rFonts w:ascii="宋体" w:hAnsi="宋体"/>
                <w:color w:val="auto"/>
                <w:kern w:val="0"/>
                <w:sz w:val="24"/>
                <w:highlight w:val="none"/>
              </w:rPr>
            </w:pPr>
          </w:p>
        </w:tc>
        <w:tc>
          <w:tcPr>
            <w:tcW w:w="749" w:type="dxa"/>
            <w:vAlign w:val="center"/>
          </w:tcPr>
          <w:p w14:paraId="7A6AEBCE">
            <w:pPr>
              <w:autoSpaceDE w:val="0"/>
              <w:autoSpaceDN w:val="0"/>
              <w:adjustRightInd w:val="0"/>
              <w:snapToGrid w:val="0"/>
              <w:jc w:val="center"/>
              <w:rPr>
                <w:rFonts w:ascii="宋体" w:hAnsi="宋体"/>
                <w:color w:val="auto"/>
                <w:kern w:val="0"/>
                <w:sz w:val="24"/>
                <w:highlight w:val="none"/>
              </w:rPr>
            </w:pPr>
          </w:p>
        </w:tc>
      </w:tr>
      <w:tr w14:paraId="7EBB61A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2A061B0D">
            <w:pPr>
              <w:autoSpaceDE w:val="0"/>
              <w:autoSpaceDN w:val="0"/>
              <w:adjustRightInd w:val="0"/>
              <w:snapToGrid w:val="0"/>
              <w:jc w:val="center"/>
              <w:rPr>
                <w:rFonts w:ascii="宋体" w:hAnsi="宋体"/>
                <w:color w:val="auto"/>
                <w:kern w:val="0"/>
                <w:sz w:val="24"/>
                <w:highlight w:val="none"/>
              </w:rPr>
            </w:pPr>
          </w:p>
        </w:tc>
        <w:tc>
          <w:tcPr>
            <w:tcW w:w="1176" w:type="dxa"/>
            <w:vAlign w:val="center"/>
          </w:tcPr>
          <w:p w14:paraId="01867282">
            <w:pPr>
              <w:autoSpaceDE w:val="0"/>
              <w:autoSpaceDN w:val="0"/>
              <w:adjustRightInd w:val="0"/>
              <w:snapToGrid w:val="0"/>
              <w:jc w:val="center"/>
              <w:rPr>
                <w:rFonts w:ascii="宋体" w:hAnsi="宋体"/>
                <w:color w:val="auto"/>
                <w:kern w:val="0"/>
                <w:sz w:val="24"/>
                <w:highlight w:val="none"/>
              </w:rPr>
            </w:pPr>
          </w:p>
        </w:tc>
        <w:tc>
          <w:tcPr>
            <w:tcW w:w="824" w:type="dxa"/>
            <w:vAlign w:val="center"/>
          </w:tcPr>
          <w:p w14:paraId="1443ABEC">
            <w:pPr>
              <w:autoSpaceDE w:val="0"/>
              <w:autoSpaceDN w:val="0"/>
              <w:adjustRightInd w:val="0"/>
              <w:snapToGrid w:val="0"/>
              <w:jc w:val="center"/>
              <w:rPr>
                <w:rFonts w:ascii="宋体" w:hAnsi="宋体"/>
                <w:color w:val="auto"/>
                <w:kern w:val="0"/>
                <w:sz w:val="24"/>
                <w:highlight w:val="none"/>
              </w:rPr>
            </w:pPr>
          </w:p>
        </w:tc>
        <w:tc>
          <w:tcPr>
            <w:tcW w:w="1072" w:type="dxa"/>
            <w:vAlign w:val="center"/>
          </w:tcPr>
          <w:p w14:paraId="4E0ECAF0">
            <w:pPr>
              <w:autoSpaceDE w:val="0"/>
              <w:autoSpaceDN w:val="0"/>
              <w:adjustRightInd w:val="0"/>
              <w:snapToGrid w:val="0"/>
              <w:jc w:val="center"/>
              <w:rPr>
                <w:rFonts w:ascii="宋体" w:hAnsi="宋体"/>
                <w:color w:val="auto"/>
                <w:kern w:val="0"/>
                <w:sz w:val="24"/>
                <w:highlight w:val="none"/>
              </w:rPr>
            </w:pPr>
          </w:p>
        </w:tc>
        <w:tc>
          <w:tcPr>
            <w:tcW w:w="728" w:type="dxa"/>
            <w:vAlign w:val="center"/>
          </w:tcPr>
          <w:p w14:paraId="288039E1">
            <w:pPr>
              <w:autoSpaceDE w:val="0"/>
              <w:autoSpaceDN w:val="0"/>
              <w:adjustRightInd w:val="0"/>
              <w:snapToGrid w:val="0"/>
              <w:jc w:val="center"/>
              <w:rPr>
                <w:rFonts w:ascii="宋体" w:hAnsi="宋体"/>
                <w:color w:val="auto"/>
                <w:kern w:val="0"/>
                <w:sz w:val="24"/>
                <w:highlight w:val="none"/>
              </w:rPr>
            </w:pPr>
          </w:p>
        </w:tc>
        <w:tc>
          <w:tcPr>
            <w:tcW w:w="799" w:type="dxa"/>
            <w:vAlign w:val="center"/>
          </w:tcPr>
          <w:p w14:paraId="457BC85B">
            <w:pPr>
              <w:autoSpaceDE w:val="0"/>
              <w:autoSpaceDN w:val="0"/>
              <w:adjustRightInd w:val="0"/>
              <w:snapToGrid w:val="0"/>
              <w:jc w:val="center"/>
              <w:rPr>
                <w:rFonts w:ascii="宋体" w:hAnsi="宋体"/>
                <w:color w:val="auto"/>
                <w:kern w:val="0"/>
                <w:sz w:val="24"/>
                <w:highlight w:val="none"/>
              </w:rPr>
            </w:pPr>
          </w:p>
        </w:tc>
        <w:tc>
          <w:tcPr>
            <w:tcW w:w="1312" w:type="dxa"/>
            <w:vAlign w:val="center"/>
          </w:tcPr>
          <w:p w14:paraId="6AD2B27D">
            <w:pPr>
              <w:autoSpaceDE w:val="0"/>
              <w:autoSpaceDN w:val="0"/>
              <w:adjustRightInd w:val="0"/>
              <w:snapToGrid w:val="0"/>
              <w:jc w:val="center"/>
              <w:rPr>
                <w:rFonts w:ascii="宋体" w:hAnsi="宋体"/>
                <w:color w:val="auto"/>
                <w:kern w:val="0"/>
                <w:sz w:val="24"/>
                <w:highlight w:val="none"/>
              </w:rPr>
            </w:pPr>
          </w:p>
        </w:tc>
        <w:tc>
          <w:tcPr>
            <w:tcW w:w="947" w:type="dxa"/>
            <w:vAlign w:val="center"/>
          </w:tcPr>
          <w:p w14:paraId="5BA8D1B5">
            <w:pPr>
              <w:autoSpaceDE w:val="0"/>
              <w:autoSpaceDN w:val="0"/>
              <w:adjustRightInd w:val="0"/>
              <w:snapToGrid w:val="0"/>
              <w:jc w:val="center"/>
              <w:rPr>
                <w:rFonts w:ascii="宋体" w:hAnsi="宋体"/>
                <w:color w:val="auto"/>
                <w:kern w:val="0"/>
                <w:sz w:val="24"/>
                <w:highlight w:val="none"/>
              </w:rPr>
            </w:pPr>
          </w:p>
        </w:tc>
        <w:tc>
          <w:tcPr>
            <w:tcW w:w="1141" w:type="dxa"/>
            <w:vAlign w:val="center"/>
          </w:tcPr>
          <w:p w14:paraId="24893D2F">
            <w:pPr>
              <w:autoSpaceDE w:val="0"/>
              <w:autoSpaceDN w:val="0"/>
              <w:adjustRightInd w:val="0"/>
              <w:snapToGrid w:val="0"/>
              <w:jc w:val="center"/>
              <w:rPr>
                <w:rFonts w:ascii="宋体" w:hAnsi="宋体"/>
                <w:color w:val="auto"/>
                <w:kern w:val="0"/>
                <w:sz w:val="24"/>
                <w:highlight w:val="none"/>
              </w:rPr>
            </w:pPr>
          </w:p>
        </w:tc>
        <w:tc>
          <w:tcPr>
            <w:tcW w:w="749" w:type="dxa"/>
            <w:vAlign w:val="center"/>
          </w:tcPr>
          <w:p w14:paraId="32DC003E">
            <w:pPr>
              <w:autoSpaceDE w:val="0"/>
              <w:autoSpaceDN w:val="0"/>
              <w:adjustRightInd w:val="0"/>
              <w:snapToGrid w:val="0"/>
              <w:jc w:val="center"/>
              <w:rPr>
                <w:rFonts w:ascii="宋体" w:hAnsi="宋体"/>
                <w:color w:val="auto"/>
                <w:kern w:val="0"/>
                <w:sz w:val="24"/>
                <w:highlight w:val="none"/>
              </w:rPr>
            </w:pPr>
          </w:p>
        </w:tc>
      </w:tr>
      <w:tr w14:paraId="34C222E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02713E58">
            <w:pPr>
              <w:autoSpaceDE w:val="0"/>
              <w:autoSpaceDN w:val="0"/>
              <w:adjustRightInd w:val="0"/>
              <w:snapToGrid w:val="0"/>
              <w:jc w:val="center"/>
              <w:rPr>
                <w:rFonts w:ascii="宋体" w:hAnsi="宋体"/>
                <w:color w:val="auto"/>
                <w:kern w:val="0"/>
                <w:sz w:val="24"/>
                <w:highlight w:val="none"/>
              </w:rPr>
            </w:pPr>
          </w:p>
        </w:tc>
        <w:tc>
          <w:tcPr>
            <w:tcW w:w="1176" w:type="dxa"/>
            <w:vAlign w:val="center"/>
          </w:tcPr>
          <w:p w14:paraId="4332C25D">
            <w:pPr>
              <w:autoSpaceDE w:val="0"/>
              <w:autoSpaceDN w:val="0"/>
              <w:adjustRightInd w:val="0"/>
              <w:snapToGrid w:val="0"/>
              <w:jc w:val="center"/>
              <w:rPr>
                <w:rFonts w:ascii="宋体" w:hAnsi="宋体"/>
                <w:color w:val="auto"/>
                <w:kern w:val="0"/>
                <w:sz w:val="24"/>
                <w:highlight w:val="none"/>
              </w:rPr>
            </w:pPr>
          </w:p>
        </w:tc>
        <w:tc>
          <w:tcPr>
            <w:tcW w:w="824" w:type="dxa"/>
            <w:vAlign w:val="center"/>
          </w:tcPr>
          <w:p w14:paraId="3F179001">
            <w:pPr>
              <w:autoSpaceDE w:val="0"/>
              <w:autoSpaceDN w:val="0"/>
              <w:adjustRightInd w:val="0"/>
              <w:snapToGrid w:val="0"/>
              <w:jc w:val="center"/>
              <w:rPr>
                <w:rFonts w:ascii="宋体" w:hAnsi="宋体"/>
                <w:color w:val="auto"/>
                <w:kern w:val="0"/>
                <w:sz w:val="24"/>
                <w:highlight w:val="none"/>
              </w:rPr>
            </w:pPr>
          </w:p>
        </w:tc>
        <w:tc>
          <w:tcPr>
            <w:tcW w:w="1072" w:type="dxa"/>
            <w:vAlign w:val="center"/>
          </w:tcPr>
          <w:p w14:paraId="544FA510">
            <w:pPr>
              <w:autoSpaceDE w:val="0"/>
              <w:autoSpaceDN w:val="0"/>
              <w:adjustRightInd w:val="0"/>
              <w:snapToGrid w:val="0"/>
              <w:jc w:val="center"/>
              <w:rPr>
                <w:rFonts w:ascii="宋体" w:hAnsi="宋体"/>
                <w:color w:val="auto"/>
                <w:kern w:val="0"/>
                <w:sz w:val="24"/>
                <w:highlight w:val="none"/>
              </w:rPr>
            </w:pPr>
          </w:p>
        </w:tc>
        <w:tc>
          <w:tcPr>
            <w:tcW w:w="728" w:type="dxa"/>
            <w:vAlign w:val="center"/>
          </w:tcPr>
          <w:p w14:paraId="42BAFF09">
            <w:pPr>
              <w:autoSpaceDE w:val="0"/>
              <w:autoSpaceDN w:val="0"/>
              <w:adjustRightInd w:val="0"/>
              <w:snapToGrid w:val="0"/>
              <w:jc w:val="center"/>
              <w:rPr>
                <w:rFonts w:ascii="宋体" w:hAnsi="宋体"/>
                <w:color w:val="auto"/>
                <w:kern w:val="0"/>
                <w:sz w:val="24"/>
                <w:highlight w:val="none"/>
              </w:rPr>
            </w:pPr>
          </w:p>
        </w:tc>
        <w:tc>
          <w:tcPr>
            <w:tcW w:w="799" w:type="dxa"/>
            <w:vAlign w:val="center"/>
          </w:tcPr>
          <w:p w14:paraId="1CAA4EF6">
            <w:pPr>
              <w:autoSpaceDE w:val="0"/>
              <w:autoSpaceDN w:val="0"/>
              <w:adjustRightInd w:val="0"/>
              <w:snapToGrid w:val="0"/>
              <w:jc w:val="center"/>
              <w:rPr>
                <w:rFonts w:ascii="宋体" w:hAnsi="宋体"/>
                <w:color w:val="auto"/>
                <w:kern w:val="0"/>
                <w:sz w:val="24"/>
                <w:highlight w:val="none"/>
              </w:rPr>
            </w:pPr>
          </w:p>
        </w:tc>
        <w:tc>
          <w:tcPr>
            <w:tcW w:w="1312" w:type="dxa"/>
            <w:vAlign w:val="center"/>
          </w:tcPr>
          <w:p w14:paraId="3EF60AAF">
            <w:pPr>
              <w:autoSpaceDE w:val="0"/>
              <w:autoSpaceDN w:val="0"/>
              <w:adjustRightInd w:val="0"/>
              <w:snapToGrid w:val="0"/>
              <w:jc w:val="center"/>
              <w:rPr>
                <w:rFonts w:ascii="宋体" w:hAnsi="宋体"/>
                <w:color w:val="auto"/>
                <w:kern w:val="0"/>
                <w:sz w:val="24"/>
                <w:highlight w:val="none"/>
              </w:rPr>
            </w:pPr>
          </w:p>
        </w:tc>
        <w:tc>
          <w:tcPr>
            <w:tcW w:w="947" w:type="dxa"/>
            <w:vAlign w:val="center"/>
          </w:tcPr>
          <w:p w14:paraId="442BD268">
            <w:pPr>
              <w:autoSpaceDE w:val="0"/>
              <w:autoSpaceDN w:val="0"/>
              <w:adjustRightInd w:val="0"/>
              <w:snapToGrid w:val="0"/>
              <w:jc w:val="center"/>
              <w:rPr>
                <w:rFonts w:ascii="宋体" w:hAnsi="宋体"/>
                <w:color w:val="auto"/>
                <w:kern w:val="0"/>
                <w:sz w:val="24"/>
                <w:highlight w:val="none"/>
              </w:rPr>
            </w:pPr>
          </w:p>
        </w:tc>
        <w:tc>
          <w:tcPr>
            <w:tcW w:w="1141" w:type="dxa"/>
            <w:vAlign w:val="center"/>
          </w:tcPr>
          <w:p w14:paraId="3740BA46">
            <w:pPr>
              <w:autoSpaceDE w:val="0"/>
              <w:autoSpaceDN w:val="0"/>
              <w:adjustRightInd w:val="0"/>
              <w:snapToGrid w:val="0"/>
              <w:jc w:val="center"/>
              <w:rPr>
                <w:rFonts w:ascii="宋体" w:hAnsi="宋体"/>
                <w:color w:val="auto"/>
                <w:kern w:val="0"/>
                <w:sz w:val="24"/>
                <w:highlight w:val="none"/>
              </w:rPr>
            </w:pPr>
          </w:p>
        </w:tc>
        <w:tc>
          <w:tcPr>
            <w:tcW w:w="749" w:type="dxa"/>
            <w:vAlign w:val="center"/>
          </w:tcPr>
          <w:p w14:paraId="45E598A2">
            <w:pPr>
              <w:autoSpaceDE w:val="0"/>
              <w:autoSpaceDN w:val="0"/>
              <w:adjustRightInd w:val="0"/>
              <w:snapToGrid w:val="0"/>
              <w:jc w:val="center"/>
              <w:rPr>
                <w:rFonts w:ascii="宋体" w:hAnsi="宋体"/>
                <w:color w:val="auto"/>
                <w:kern w:val="0"/>
                <w:sz w:val="24"/>
                <w:highlight w:val="none"/>
              </w:rPr>
            </w:pPr>
          </w:p>
        </w:tc>
      </w:tr>
      <w:tr w14:paraId="6FB0CBF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38A29571">
            <w:pPr>
              <w:autoSpaceDE w:val="0"/>
              <w:autoSpaceDN w:val="0"/>
              <w:adjustRightInd w:val="0"/>
              <w:snapToGrid w:val="0"/>
              <w:jc w:val="center"/>
              <w:rPr>
                <w:rFonts w:ascii="宋体" w:hAnsi="宋体"/>
                <w:color w:val="auto"/>
                <w:kern w:val="0"/>
                <w:sz w:val="24"/>
                <w:highlight w:val="none"/>
              </w:rPr>
            </w:pPr>
          </w:p>
        </w:tc>
        <w:tc>
          <w:tcPr>
            <w:tcW w:w="1176" w:type="dxa"/>
            <w:vAlign w:val="center"/>
          </w:tcPr>
          <w:p w14:paraId="41BB2401">
            <w:pPr>
              <w:autoSpaceDE w:val="0"/>
              <w:autoSpaceDN w:val="0"/>
              <w:adjustRightInd w:val="0"/>
              <w:snapToGrid w:val="0"/>
              <w:jc w:val="center"/>
              <w:rPr>
                <w:rFonts w:ascii="宋体" w:hAnsi="宋体"/>
                <w:color w:val="auto"/>
                <w:kern w:val="0"/>
                <w:sz w:val="24"/>
                <w:highlight w:val="none"/>
              </w:rPr>
            </w:pPr>
          </w:p>
        </w:tc>
        <w:tc>
          <w:tcPr>
            <w:tcW w:w="824" w:type="dxa"/>
            <w:vAlign w:val="center"/>
          </w:tcPr>
          <w:p w14:paraId="6371D404">
            <w:pPr>
              <w:autoSpaceDE w:val="0"/>
              <w:autoSpaceDN w:val="0"/>
              <w:adjustRightInd w:val="0"/>
              <w:snapToGrid w:val="0"/>
              <w:jc w:val="center"/>
              <w:rPr>
                <w:rFonts w:ascii="宋体" w:hAnsi="宋体"/>
                <w:color w:val="auto"/>
                <w:kern w:val="0"/>
                <w:sz w:val="24"/>
                <w:highlight w:val="none"/>
              </w:rPr>
            </w:pPr>
          </w:p>
        </w:tc>
        <w:tc>
          <w:tcPr>
            <w:tcW w:w="1072" w:type="dxa"/>
            <w:vAlign w:val="center"/>
          </w:tcPr>
          <w:p w14:paraId="0B1CEC92">
            <w:pPr>
              <w:autoSpaceDE w:val="0"/>
              <w:autoSpaceDN w:val="0"/>
              <w:adjustRightInd w:val="0"/>
              <w:snapToGrid w:val="0"/>
              <w:jc w:val="center"/>
              <w:rPr>
                <w:rFonts w:ascii="宋体" w:hAnsi="宋体"/>
                <w:color w:val="auto"/>
                <w:kern w:val="0"/>
                <w:sz w:val="24"/>
                <w:highlight w:val="none"/>
              </w:rPr>
            </w:pPr>
          </w:p>
        </w:tc>
        <w:tc>
          <w:tcPr>
            <w:tcW w:w="728" w:type="dxa"/>
            <w:vAlign w:val="center"/>
          </w:tcPr>
          <w:p w14:paraId="61E81121">
            <w:pPr>
              <w:autoSpaceDE w:val="0"/>
              <w:autoSpaceDN w:val="0"/>
              <w:adjustRightInd w:val="0"/>
              <w:snapToGrid w:val="0"/>
              <w:jc w:val="center"/>
              <w:rPr>
                <w:rFonts w:ascii="宋体" w:hAnsi="宋体"/>
                <w:color w:val="auto"/>
                <w:kern w:val="0"/>
                <w:sz w:val="24"/>
                <w:highlight w:val="none"/>
              </w:rPr>
            </w:pPr>
          </w:p>
        </w:tc>
        <w:tc>
          <w:tcPr>
            <w:tcW w:w="799" w:type="dxa"/>
            <w:vAlign w:val="center"/>
          </w:tcPr>
          <w:p w14:paraId="61F8E642">
            <w:pPr>
              <w:autoSpaceDE w:val="0"/>
              <w:autoSpaceDN w:val="0"/>
              <w:adjustRightInd w:val="0"/>
              <w:snapToGrid w:val="0"/>
              <w:jc w:val="center"/>
              <w:rPr>
                <w:rFonts w:ascii="宋体" w:hAnsi="宋体"/>
                <w:color w:val="auto"/>
                <w:kern w:val="0"/>
                <w:sz w:val="24"/>
                <w:highlight w:val="none"/>
              </w:rPr>
            </w:pPr>
          </w:p>
        </w:tc>
        <w:tc>
          <w:tcPr>
            <w:tcW w:w="1312" w:type="dxa"/>
            <w:vAlign w:val="center"/>
          </w:tcPr>
          <w:p w14:paraId="6956C371">
            <w:pPr>
              <w:autoSpaceDE w:val="0"/>
              <w:autoSpaceDN w:val="0"/>
              <w:adjustRightInd w:val="0"/>
              <w:snapToGrid w:val="0"/>
              <w:jc w:val="center"/>
              <w:rPr>
                <w:rFonts w:ascii="宋体" w:hAnsi="宋体"/>
                <w:color w:val="auto"/>
                <w:kern w:val="0"/>
                <w:sz w:val="24"/>
                <w:highlight w:val="none"/>
              </w:rPr>
            </w:pPr>
          </w:p>
        </w:tc>
        <w:tc>
          <w:tcPr>
            <w:tcW w:w="947" w:type="dxa"/>
            <w:vAlign w:val="center"/>
          </w:tcPr>
          <w:p w14:paraId="0A07CECB">
            <w:pPr>
              <w:autoSpaceDE w:val="0"/>
              <w:autoSpaceDN w:val="0"/>
              <w:adjustRightInd w:val="0"/>
              <w:snapToGrid w:val="0"/>
              <w:jc w:val="center"/>
              <w:rPr>
                <w:rFonts w:ascii="宋体" w:hAnsi="宋体"/>
                <w:color w:val="auto"/>
                <w:kern w:val="0"/>
                <w:sz w:val="24"/>
                <w:highlight w:val="none"/>
              </w:rPr>
            </w:pPr>
          </w:p>
        </w:tc>
        <w:tc>
          <w:tcPr>
            <w:tcW w:w="1141" w:type="dxa"/>
            <w:vAlign w:val="center"/>
          </w:tcPr>
          <w:p w14:paraId="2C858DCD">
            <w:pPr>
              <w:autoSpaceDE w:val="0"/>
              <w:autoSpaceDN w:val="0"/>
              <w:adjustRightInd w:val="0"/>
              <w:snapToGrid w:val="0"/>
              <w:jc w:val="center"/>
              <w:rPr>
                <w:rFonts w:ascii="宋体" w:hAnsi="宋体"/>
                <w:color w:val="auto"/>
                <w:kern w:val="0"/>
                <w:sz w:val="24"/>
                <w:highlight w:val="none"/>
              </w:rPr>
            </w:pPr>
          </w:p>
        </w:tc>
        <w:tc>
          <w:tcPr>
            <w:tcW w:w="749" w:type="dxa"/>
            <w:vAlign w:val="center"/>
          </w:tcPr>
          <w:p w14:paraId="7C385F1C">
            <w:pPr>
              <w:autoSpaceDE w:val="0"/>
              <w:autoSpaceDN w:val="0"/>
              <w:adjustRightInd w:val="0"/>
              <w:snapToGrid w:val="0"/>
              <w:jc w:val="center"/>
              <w:rPr>
                <w:rFonts w:ascii="宋体" w:hAnsi="宋体"/>
                <w:color w:val="auto"/>
                <w:kern w:val="0"/>
                <w:sz w:val="24"/>
                <w:highlight w:val="none"/>
              </w:rPr>
            </w:pPr>
          </w:p>
        </w:tc>
      </w:tr>
      <w:tr w14:paraId="153BE91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50376A50">
            <w:pPr>
              <w:autoSpaceDE w:val="0"/>
              <w:autoSpaceDN w:val="0"/>
              <w:adjustRightInd w:val="0"/>
              <w:snapToGrid w:val="0"/>
              <w:jc w:val="center"/>
              <w:rPr>
                <w:rFonts w:ascii="宋体" w:hAnsi="宋体"/>
                <w:color w:val="auto"/>
                <w:kern w:val="0"/>
                <w:sz w:val="24"/>
                <w:highlight w:val="none"/>
              </w:rPr>
            </w:pPr>
          </w:p>
        </w:tc>
        <w:tc>
          <w:tcPr>
            <w:tcW w:w="1176" w:type="dxa"/>
            <w:vAlign w:val="center"/>
          </w:tcPr>
          <w:p w14:paraId="2855E9E4">
            <w:pPr>
              <w:autoSpaceDE w:val="0"/>
              <w:autoSpaceDN w:val="0"/>
              <w:adjustRightInd w:val="0"/>
              <w:snapToGrid w:val="0"/>
              <w:jc w:val="center"/>
              <w:rPr>
                <w:rFonts w:ascii="宋体" w:hAnsi="宋体"/>
                <w:color w:val="auto"/>
                <w:kern w:val="0"/>
                <w:sz w:val="24"/>
                <w:highlight w:val="none"/>
              </w:rPr>
            </w:pPr>
          </w:p>
        </w:tc>
        <w:tc>
          <w:tcPr>
            <w:tcW w:w="824" w:type="dxa"/>
            <w:vAlign w:val="center"/>
          </w:tcPr>
          <w:p w14:paraId="1F75168D">
            <w:pPr>
              <w:autoSpaceDE w:val="0"/>
              <w:autoSpaceDN w:val="0"/>
              <w:adjustRightInd w:val="0"/>
              <w:snapToGrid w:val="0"/>
              <w:jc w:val="center"/>
              <w:rPr>
                <w:rFonts w:ascii="宋体" w:hAnsi="宋体"/>
                <w:color w:val="auto"/>
                <w:kern w:val="0"/>
                <w:sz w:val="24"/>
                <w:highlight w:val="none"/>
              </w:rPr>
            </w:pPr>
          </w:p>
        </w:tc>
        <w:tc>
          <w:tcPr>
            <w:tcW w:w="1072" w:type="dxa"/>
            <w:vAlign w:val="center"/>
          </w:tcPr>
          <w:p w14:paraId="3E98FF97">
            <w:pPr>
              <w:autoSpaceDE w:val="0"/>
              <w:autoSpaceDN w:val="0"/>
              <w:adjustRightInd w:val="0"/>
              <w:snapToGrid w:val="0"/>
              <w:jc w:val="center"/>
              <w:rPr>
                <w:rFonts w:ascii="宋体" w:hAnsi="宋体"/>
                <w:color w:val="auto"/>
                <w:kern w:val="0"/>
                <w:sz w:val="24"/>
                <w:highlight w:val="none"/>
              </w:rPr>
            </w:pPr>
          </w:p>
        </w:tc>
        <w:tc>
          <w:tcPr>
            <w:tcW w:w="728" w:type="dxa"/>
            <w:vAlign w:val="center"/>
          </w:tcPr>
          <w:p w14:paraId="58F3F40D">
            <w:pPr>
              <w:autoSpaceDE w:val="0"/>
              <w:autoSpaceDN w:val="0"/>
              <w:adjustRightInd w:val="0"/>
              <w:snapToGrid w:val="0"/>
              <w:jc w:val="center"/>
              <w:rPr>
                <w:rFonts w:ascii="宋体" w:hAnsi="宋体"/>
                <w:color w:val="auto"/>
                <w:kern w:val="0"/>
                <w:sz w:val="24"/>
                <w:highlight w:val="none"/>
              </w:rPr>
            </w:pPr>
          </w:p>
        </w:tc>
        <w:tc>
          <w:tcPr>
            <w:tcW w:w="799" w:type="dxa"/>
            <w:vAlign w:val="center"/>
          </w:tcPr>
          <w:p w14:paraId="75C77E07">
            <w:pPr>
              <w:autoSpaceDE w:val="0"/>
              <w:autoSpaceDN w:val="0"/>
              <w:adjustRightInd w:val="0"/>
              <w:snapToGrid w:val="0"/>
              <w:jc w:val="center"/>
              <w:rPr>
                <w:rFonts w:ascii="宋体" w:hAnsi="宋体"/>
                <w:color w:val="auto"/>
                <w:kern w:val="0"/>
                <w:sz w:val="24"/>
                <w:highlight w:val="none"/>
              </w:rPr>
            </w:pPr>
          </w:p>
        </w:tc>
        <w:tc>
          <w:tcPr>
            <w:tcW w:w="1312" w:type="dxa"/>
            <w:vAlign w:val="center"/>
          </w:tcPr>
          <w:p w14:paraId="38C2E1F8">
            <w:pPr>
              <w:autoSpaceDE w:val="0"/>
              <w:autoSpaceDN w:val="0"/>
              <w:adjustRightInd w:val="0"/>
              <w:snapToGrid w:val="0"/>
              <w:jc w:val="center"/>
              <w:rPr>
                <w:rFonts w:ascii="宋体" w:hAnsi="宋体"/>
                <w:color w:val="auto"/>
                <w:kern w:val="0"/>
                <w:sz w:val="24"/>
                <w:highlight w:val="none"/>
              </w:rPr>
            </w:pPr>
          </w:p>
        </w:tc>
        <w:tc>
          <w:tcPr>
            <w:tcW w:w="947" w:type="dxa"/>
            <w:vAlign w:val="center"/>
          </w:tcPr>
          <w:p w14:paraId="22133CEF">
            <w:pPr>
              <w:autoSpaceDE w:val="0"/>
              <w:autoSpaceDN w:val="0"/>
              <w:adjustRightInd w:val="0"/>
              <w:snapToGrid w:val="0"/>
              <w:jc w:val="center"/>
              <w:rPr>
                <w:rFonts w:ascii="宋体" w:hAnsi="宋体"/>
                <w:color w:val="auto"/>
                <w:kern w:val="0"/>
                <w:sz w:val="24"/>
                <w:highlight w:val="none"/>
              </w:rPr>
            </w:pPr>
          </w:p>
        </w:tc>
        <w:tc>
          <w:tcPr>
            <w:tcW w:w="1141" w:type="dxa"/>
            <w:vAlign w:val="center"/>
          </w:tcPr>
          <w:p w14:paraId="3ECF66AC">
            <w:pPr>
              <w:autoSpaceDE w:val="0"/>
              <w:autoSpaceDN w:val="0"/>
              <w:adjustRightInd w:val="0"/>
              <w:snapToGrid w:val="0"/>
              <w:jc w:val="center"/>
              <w:rPr>
                <w:rFonts w:ascii="宋体" w:hAnsi="宋体"/>
                <w:color w:val="auto"/>
                <w:kern w:val="0"/>
                <w:sz w:val="24"/>
                <w:highlight w:val="none"/>
              </w:rPr>
            </w:pPr>
          </w:p>
        </w:tc>
        <w:tc>
          <w:tcPr>
            <w:tcW w:w="749" w:type="dxa"/>
            <w:vAlign w:val="center"/>
          </w:tcPr>
          <w:p w14:paraId="1D1274AE">
            <w:pPr>
              <w:autoSpaceDE w:val="0"/>
              <w:autoSpaceDN w:val="0"/>
              <w:adjustRightInd w:val="0"/>
              <w:snapToGrid w:val="0"/>
              <w:jc w:val="center"/>
              <w:rPr>
                <w:rFonts w:ascii="宋体" w:hAnsi="宋体"/>
                <w:color w:val="auto"/>
                <w:kern w:val="0"/>
                <w:sz w:val="24"/>
                <w:highlight w:val="none"/>
              </w:rPr>
            </w:pPr>
          </w:p>
        </w:tc>
      </w:tr>
      <w:tr w14:paraId="1D2B346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20EF0087">
            <w:pPr>
              <w:autoSpaceDE w:val="0"/>
              <w:autoSpaceDN w:val="0"/>
              <w:adjustRightInd w:val="0"/>
              <w:snapToGrid w:val="0"/>
              <w:jc w:val="center"/>
              <w:rPr>
                <w:rFonts w:ascii="宋体" w:hAnsi="宋体"/>
                <w:color w:val="auto"/>
                <w:kern w:val="0"/>
                <w:sz w:val="24"/>
                <w:highlight w:val="none"/>
              </w:rPr>
            </w:pPr>
          </w:p>
        </w:tc>
        <w:tc>
          <w:tcPr>
            <w:tcW w:w="1176" w:type="dxa"/>
            <w:vAlign w:val="center"/>
          </w:tcPr>
          <w:p w14:paraId="03C31FD3">
            <w:pPr>
              <w:autoSpaceDE w:val="0"/>
              <w:autoSpaceDN w:val="0"/>
              <w:adjustRightInd w:val="0"/>
              <w:snapToGrid w:val="0"/>
              <w:jc w:val="center"/>
              <w:rPr>
                <w:rFonts w:ascii="宋体" w:hAnsi="宋体"/>
                <w:color w:val="auto"/>
                <w:kern w:val="0"/>
                <w:sz w:val="24"/>
                <w:highlight w:val="none"/>
              </w:rPr>
            </w:pPr>
          </w:p>
        </w:tc>
        <w:tc>
          <w:tcPr>
            <w:tcW w:w="824" w:type="dxa"/>
            <w:vAlign w:val="center"/>
          </w:tcPr>
          <w:p w14:paraId="65BF8F37">
            <w:pPr>
              <w:autoSpaceDE w:val="0"/>
              <w:autoSpaceDN w:val="0"/>
              <w:adjustRightInd w:val="0"/>
              <w:snapToGrid w:val="0"/>
              <w:jc w:val="center"/>
              <w:rPr>
                <w:rFonts w:ascii="宋体" w:hAnsi="宋体"/>
                <w:color w:val="auto"/>
                <w:kern w:val="0"/>
                <w:sz w:val="24"/>
                <w:highlight w:val="none"/>
              </w:rPr>
            </w:pPr>
          </w:p>
        </w:tc>
        <w:tc>
          <w:tcPr>
            <w:tcW w:w="1072" w:type="dxa"/>
            <w:vAlign w:val="center"/>
          </w:tcPr>
          <w:p w14:paraId="5260C646">
            <w:pPr>
              <w:autoSpaceDE w:val="0"/>
              <w:autoSpaceDN w:val="0"/>
              <w:adjustRightInd w:val="0"/>
              <w:snapToGrid w:val="0"/>
              <w:jc w:val="center"/>
              <w:rPr>
                <w:rFonts w:ascii="宋体" w:hAnsi="宋体"/>
                <w:color w:val="auto"/>
                <w:kern w:val="0"/>
                <w:sz w:val="24"/>
                <w:highlight w:val="none"/>
              </w:rPr>
            </w:pPr>
          </w:p>
        </w:tc>
        <w:tc>
          <w:tcPr>
            <w:tcW w:w="728" w:type="dxa"/>
            <w:vAlign w:val="center"/>
          </w:tcPr>
          <w:p w14:paraId="6DF8789A">
            <w:pPr>
              <w:autoSpaceDE w:val="0"/>
              <w:autoSpaceDN w:val="0"/>
              <w:adjustRightInd w:val="0"/>
              <w:snapToGrid w:val="0"/>
              <w:jc w:val="center"/>
              <w:rPr>
                <w:rFonts w:ascii="宋体" w:hAnsi="宋体"/>
                <w:color w:val="auto"/>
                <w:kern w:val="0"/>
                <w:sz w:val="24"/>
                <w:highlight w:val="none"/>
              </w:rPr>
            </w:pPr>
          </w:p>
        </w:tc>
        <w:tc>
          <w:tcPr>
            <w:tcW w:w="799" w:type="dxa"/>
            <w:vAlign w:val="center"/>
          </w:tcPr>
          <w:p w14:paraId="29DA8577">
            <w:pPr>
              <w:autoSpaceDE w:val="0"/>
              <w:autoSpaceDN w:val="0"/>
              <w:adjustRightInd w:val="0"/>
              <w:snapToGrid w:val="0"/>
              <w:jc w:val="center"/>
              <w:rPr>
                <w:rFonts w:ascii="宋体" w:hAnsi="宋体"/>
                <w:color w:val="auto"/>
                <w:kern w:val="0"/>
                <w:sz w:val="24"/>
                <w:highlight w:val="none"/>
              </w:rPr>
            </w:pPr>
          </w:p>
        </w:tc>
        <w:tc>
          <w:tcPr>
            <w:tcW w:w="1312" w:type="dxa"/>
            <w:vAlign w:val="center"/>
          </w:tcPr>
          <w:p w14:paraId="589E806A">
            <w:pPr>
              <w:autoSpaceDE w:val="0"/>
              <w:autoSpaceDN w:val="0"/>
              <w:adjustRightInd w:val="0"/>
              <w:snapToGrid w:val="0"/>
              <w:jc w:val="center"/>
              <w:rPr>
                <w:rFonts w:ascii="宋体" w:hAnsi="宋体"/>
                <w:color w:val="auto"/>
                <w:kern w:val="0"/>
                <w:sz w:val="24"/>
                <w:highlight w:val="none"/>
              </w:rPr>
            </w:pPr>
          </w:p>
        </w:tc>
        <w:tc>
          <w:tcPr>
            <w:tcW w:w="947" w:type="dxa"/>
            <w:vAlign w:val="center"/>
          </w:tcPr>
          <w:p w14:paraId="51194DEF">
            <w:pPr>
              <w:autoSpaceDE w:val="0"/>
              <w:autoSpaceDN w:val="0"/>
              <w:adjustRightInd w:val="0"/>
              <w:snapToGrid w:val="0"/>
              <w:jc w:val="center"/>
              <w:rPr>
                <w:rFonts w:ascii="宋体" w:hAnsi="宋体"/>
                <w:color w:val="auto"/>
                <w:kern w:val="0"/>
                <w:sz w:val="24"/>
                <w:highlight w:val="none"/>
              </w:rPr>
            </w:pPr>
          </w:p>
        </w:tc>
        <w:tc>
          <w:tcPr>
            <w:tcW w:w="1141" w:type="dxa"/>
            <w:vAlign w:val="center"/>
          </w:tcPr>
          <w:p w14:paraId="78A9EF69">
            <w:pPr>
              <w:autoSpaceDE w:val="0"/>
              <w:autoSpaceDN w:val="0"/>
              <w:adjustRightInd w:val="0"/>
              <w:snapToGrid w:val="0"/>
              <w:jc w:val="center"/>
              <w:rPr>
                <w:rFonts w:ascii="宋体" w:hAnsi="宋体"/>
                <w:color w:val="auto"/>
                <w:kern w:val="0"/>
                <w:sz w:val="24"/>
                <w:highlight w:val="none"/>
              </w:rPr>
            </w:pPr>
          </w:p>
        </w:tc>
        <w:tc>
          <w:tcPr>
            <w:tcW w:w="749" w:type="dxa"/>
            <w:vAlign w:val="center"/>
          </w:tcPr>
          <w:p w14:paraId="01DF3EF1">
            <w:pPr>
              <w:autoSpaceDE w:val="0"/>
              <w:autoSpaceDN w:val="0"/>
              <w:adjustRightInd w:val="0"/>
              <w:snapToGrid w:val="0"/>
              <w:jc w:val="center"/>
              <w:rPr>
                <w:rFonts w:ascii="宋体" w:hAnsi="宋体"/>
                <w:color w:val="auto"/>
                <w:kern w:val="0"/>
                <w:sz w:val="24"/>
                <w:highlight w:val="none"/>
              </w:rPr>
            </w:pPr>
          </w:p>
        </w:tc>
      </w:tr>
      <w:tr w14:paraId="39C9DDB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17793CF3">
            <w:pPr>
              <w:autoSpaceDE w:val="0"/>
              <w:autoSpaceDN w:val="0"/>
              <w:adjustRightInd w:val="0"/>
              <w:snapToGrid w:val="0"/>
              <w:jc w:val="center"/>
              <w:rPr>
                <w:rFonts w:ascii="宋体" w:hAnsi="宋体"/>
                <w:color w:val="auto"/>
                <w:kern w:val="0"/>
                <w:sz w:val="24"/>
                <w:highlight w:val="none"/>
              </w:rPr>
            </w:pPr>
          </w:p>
        </w:tc>
        <w:tc>
          <w:tcPr>
            <w:tcW w:w="1176" w:type="dxa"/>
            <w:vAlign w:val="center"/>
          </w:tcPr>
          <w:p w14:paraId="3BC98D31">
            <w:pPr>
              <w:autoSpaceDE w:val="0"/>
              <w:autoSpaceDN w:val="0"/>
              <w:adjustRightInd w:val="0"/>
              <w:snapToGrid w:val="0"/>
              <w:jc w:val="center"/>
              <w:rPr>
                <w:rFonts w:ascii="宋体" w:hAnsi="宋体"/>
                <w:color w:val="auto"/>
                <w:kern w:val="0"/>
                <w:sz w:val="24"/>
                <w:highlight w:val="none"/>
              </w:rPr>
            </w:pPr>
          </w:p>
        </w:tc>
        <w:tc>
          <w:tcPr>
            <w:tcW w:w="824" w:type="dxa"/>
            <w:vAlign w:val="center"/>
          </w:tcPr>
          <w:p w14:paraId="1F6AD297">
            <w:pPr>
              <w:autoSpaceDE w:val="0"/>
              <w:autoSpaceDN w:val="0"/>
              <w:adjustRightInd w:val="0"/>
              <w:snapToGrid w:val="0"/>
              <w:jc w:val="center"/>
              <w:rPr>
                <w:rFonts w:ascii="宋体" w:hAnsi="宋体"/>
                <w:color w:val="auto"/>
                <w:kern w:val="0"/>
                <w:sz w:val="24"/>
                <w:highlight w:val="none"/>
              </w:rPr>
            </w:pPr>
          </w:p>
        </w:tc>
        <w:tc>
          <w:tcPr>
            <w:tcW w:w="1072" w:type="dxa"/>
            <w:vAlign w:val="center"/>
          </w:tcPr>
          <w:p w14:paraId="28BCDA38">
            <w:pPr>
              <w:autoSpaceDE w:val="0"/>
              <w:autoSpaceDN w:val="0"/>
              <w:adjustRightInd w:val="0"/>
              <w:snapToGrid w:val="0"/>
              <w:jc w:val="center"/>
              <w:rPr>
                <w:rFonts w:ascii="宋体" w:hAnsi="宋体"/>
                <w:color w:val="auto"/>
                <w:kern w:val="0"/>
                <w:sz w:val="24"/>
                <w:highlight w:val="none"/>
              </w:rPr>
            </w:pPr>
          </w:p>
        </w:tc>
        <w:tc>
          <w:tcPr>
            <w:tcW w:w="728" w:type="dxa"/>
            <w:vAlign w:val="center"/>
          </w:tcPr>
          <w:p w14:paraId="27508BA8">
            <w:pPr>
              <w:autoSpaceDE w:val="0"/>
              <w:autoSpaceDN w:val="0"/>
              <w:adjustRightInd w:val="0"/>
              <w:snapToGrid w:val="0"/>
              <w:jc w:val="center"/>
              <w:rPr>
                <w:rFonts w:ascii="宋体" w:hAnsi="宋体"/>
                <w:color w:val="auto"/>
                <w:kern w:val="0"/>
                <w:sz w:val="24"/>
                <w:highlight w:val="none"/>
              </w:rPr>
            </w:pPr>
          </w:p>
        </w:tc>
        <w:tc>
          <w:tcPr>
            <w:tcW w:w="799" w:type="dxa"/>
            <w:vAlign w:val="center"/>
          </w:tcPr>
          <w:p w14:paraId="06BBD370">
            <w:pPr>
              <w:autoSpaceDE w:val="0"/>
              <w:autoSpaceDN w:val="0"/>
              <w:adjustRightInd w:val="0"/>
              <w:snapToGrid w:val="0"/>
              <w:jc w:val="center"/>
              <w:rPr>
                <w:rFonts w:ascii="宋体" w:hAnsi="宋体"/>
                <w:color w:val="auto"/>
                <w:kern w:val="0"/>
                <w:sz w:val="24"/>
                <w:highlight w:val="none"/>
              </w:rPr>
            </w:pPr>
          </w:p>
        </w:tc>
        <w:tc>
          <w:tcPr>
            <w:tcW w:w="1312" w:type="dxa"/>
            <w:vAlign w:val="center"/>
          </w:tcPr>
          <w:p w14:paraId="5324952B">
            <w:pPr>
              <w:autoSpaceDE w:val="0"/>
              <w:autoSpaceDN w:val="0"/>
              <w:adjustRightInd w:val="0"/>
              <w:snapToGrid w:val="0"/>
              <w:jc w:val="center"/>
              <w:rPr>
                <w:rFonts w:ascii="宋体" w:hAnsi="宋体"/>
                <w:color w:val="auto"/>
                <w:kern w:val="0"/>
                <w:sz w:val="24"/>
                <w:highlight w:val="none"/>
              </w:rPr>
            </w:pPr>
          </w:p>
        </w:tc>
        <w:tc>
          <w:tcPr>
            <w:tcW w:w="947" w:type="dxa"/>
            <w:vAlign w:val="center"/>
          </w:tcPr>
          <w:p w14:paraId="44BCA5E3">
            <w:pPr>
              <w:autoSpaceDE w:val="0"/>
              <w:autoSpaceDN w:val="0"/>
              <w:adjustRightInd w:val="0"/>
              <w:snapToGrid w:val="0"/>
              <w:jc w:val="center"/>
              <w:rPr>
                <w:rFonts w:ascii="宋体" w:hAnsi="宋体"/>
                <w:color w:val="auto"/>
                <w:kern w:val="0"/>
                <w:sz w:val="24"/>
                <w:highlight w:val="none"/>
              </w:rPr>
            </w:pPr>
          </w:p>
        </w:tc>
        <w:tc>
          <w:tcPr>
            <w:tcW w:w="1141" w:type="dxa"/>
            <w:vAlign w:val="center"/>
          </w:tcPr>
          <w:p w14:paraId="69B5D7ED">
            <w:pPr>
              <w:autoSpaceDE w:val="0"/>
              <w:autoSpaceDN w:val="0"/>
              <w:adjustRightInd w:val="0"/>
              <w:snapToGrid w:val="0"/>
              <w:jc w:val="center"/>
              <w:rPr>
                <w:rFonts w:ascii="宋体" w:hAnsi="宋体"/>
                <w:color w:val="auto"/>
                <w:kern w:val="0"/>
                <w:sz w:val="24"/>
                <w:highlight w:val="none"/>
              </w:rPr>
            </w:pPr>
          </w:p>
        </w:tc>
        <w:tc>
          <w:tcPr>
            <w:tcW w:w="749" w:type="dxa"/>
            <w:vAlign w:val="center"/>
          </w:tcPr>
          <w:p w14:paraId="5B5D2070">
            <w:pPr>
              <w:autoSpaceDE w:val="0"/>
              <w:autoSpaceDN w:val="0"/>
              <w:adjustRightInd w:val="0"/>
              <w:snapToGrid w:val="0"/>
              <w:jc w:val="center"/>
              <w:rPr>
                <w:rFonts w:ascii="宋体" w:hAnsi="宋体"/>
                <w:color w:val="auto"/>
                <w:kern w:val="0"/>
                <w:sz w:val="24"/>
                <w:highlight w:val="none"/>
              </w:rPr>
            </w:pPr>
          </w:p>
        </w:tc>
      </w:tr>
      <w:tr w14:paraId="115C9E5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5D813DCC">
            <w:pPr>
              <w:autoSpaceDE w:val="0"/>
              <w:autoSpaceDN w:val="0"/>
              <w:adjustRightInd w:val="0"/>
              <w:snapToGrid w:val="0"/>
              <w:jc w:val="center"/>
              <w:rPr>
                <w:rFonts w:ascii="宋体" w:hAnsi="宋体"/>
                <w:color w:val="auto"/>
                <w:kern w:val="0"/>
                <w:sz w:val="24"/>
                <w:highlight w:val="none"/>
              </w:rPr>
            </w:pPr>
          </w:p>
        </w:tc>
        <w:tc>
          <w:tcPr>
            <w:tcW w:w="1176" w:type="dxa"/>
            <w:vAlign w:val="center"/>
          </w:tcPr>
          <w:p w14:paraId="762FFFF4">
            <w:pPr>
              <w:autoSpaceDE w:val="0"/>
              <w:autoSpaceDN w:val="0"/>
              <w:adjustRightInd w:val="0"/>
              <w:snapToGrid w:val="0"/>
              <w:jc w:val="center"/>
              <w:rPr>
                <w:rFonts w:ascii="宋体" w:hAnsi="宋体"/>
                <w:color w:val="auto"/>
                <w:kern w:val="0"/>
                <w:sz w:val="24"/>
                <w:highlight w:val="none"/>
              </w:rPr>
            </w:pPr>
          </w:p>
        </w:tc>
        <w:tc>
          <w:tcPr>
            <w:tcW w:w="824" w:type="dxa"/>
            <w:vAlign w:val="center"/>
          </w:tcPr>
          <w:p w14:paraId="1F5536E0">
            <w:pPr>
              <w:autoSpaceDE w:val="0"/>
              <w:autoSpaceDN w:val="0"/>
              <w:adjustRightInd w:val="0"/>
              <w:snapToGrid w:val="0"/>
              <w:jc w:val="center"/>
              <w:rPr>
                <w:rFonts w:ascii="宋体" w:hAnsi="宋体"/>
                <w:color w:val="auto"/>
                <w:kern w:val="0"/>
                <w:sz w:val="24"/>
                <w:highlight w:val="none"/>
              </w:rPr>
            </w:pPr>
          </w:p>
        </w:tc>
        <w:tc>
          <w:tcPr>
            <w:tcW w:w="1072" w:type="dxa"/>
            <w:vAlign w:val="center"/>
          </w:tcPr>
          <w:p w14:paraId="6CCF2A52">
            <w:pPr>
              <w:autoSpaceDE w:val="0"/>
              <w:autoSpaceDN w:val="0"/>
              <w:adjustRightInd w:val="0"/>
              <w:snapToGrid w:val="0"/>
              <w:jc w:val="center"/>
              <w:rPr>
                <w:rFonts w:ascii="宋体" w:hAnsi="宋体"/>
                <w:color w:val="auto"/>
                <w:kern w:val="0"/>
                <w:sz w:val="24"/>
                <w:highlight w:val="none"/>
              </w:rPr>
            </w:pPr>
          </w:p>
        </w:tc>
        <w:tc>
          <w:tcPr>
            <w:tcW w:w="728" w:type="dxa"/>
            <w:vAlign w:val="center"/>
          </w:tcPr>
          <w:p w14:paraId="2D62E6F8">
            <w:pPr>
              <w:autoSpaceDE w:val="0"/>
              <w:autoSpaceDN w:val="0"/>
              <w:adjustRightInd w:val="0"/>
              <w:snapToGrid w:val="0"/>
              <w:jc w:val="center"/>
              <w:rPr>
                <w:rFonts w:ascii="宋体" w:hAnsi="宋体"/>
                <w:color w:val="auto"/>
                <w:kern w:val="0"/>
                <w:sz w:val="24"/>
                <w:highlight w:val="none"/>
              </w:rPr>
            </w:pPr>
          </w:p>
        </w:tc>
        <w:tc>
          <w:tcPr>
            <w:tcW w:w="799" w:type="dxa"/>
            <w:vAlign w:val="center"/>
          </w:tcPr>
          <w:p w14:paraId="3E814788">
            <w:pPr>
              <w:autoSpaceDE w:val="0"/>
              <w:autoSpaceDN w:val="0"/>
              <w:adjustRightInd w:val="0"/>
              <w:snapToGrid w:val="0"/>
              <w:jc w:val="center"/>
              <w:rPr>
                <w:rFonts w:ascii="宋体" w:hAnsi="宋体"/>
                <w:color w:val="auto"/>
                <w:kern w:val="0"/>
                <w:sz w:val="24"/>
                <w:highlight w:val="none"/>
              </w:rPr>
            </w:pPr>
          </w:p>
        </w:tc>
        <w:tc>
          <w:tcPr>
            <w:tcW w:w="1312" w:type="dxa"/>
            <w:vAlign w:val="center"/>
          </w:tcPr>
          <w:p w14:paraId="6A42A5AE">
            <w:pPr>
              <w:autoSpaceDE w:val="0"/>
              <w:autoSpaceDN w:val="0"/>
              <w:adjustRightInd w:val="0"/>
              <w:snapToGrid w:val="0"/>
              <w:jc w:val="center"/>
              <w:rPr>
                <w:rFonts w:ascii="宋体" w:hAnsi="宋体"/>
                <w:color w:val="auto"/>
                <w:kern w:val="0"/>
                <w:sz w:val="24"/>
                <w:highlight w:val="none"/>
              </w:rPr>
            </w:pPr>
          </w:p>
        </w:tc>
        <w:tc>
          <w:tcPr>
            <w:tcW w:w="947" w:type="dxa"/>
            <w:vAlign w:val="center"/>
          </w:tcPr>
          <w:p w14:paraId="79034374">
            <w:pPr>
              <w:autoSpaceDE w:val="0"/>
              <w:autoSpaceDN w:val="0"/>
              <w:adjustRightInd w:val="0"/>
              <w:snapToGrid w:val="0"/>
              <w:jc w:val="center"/>
              <w:rPr>
                <w:rFonts w:ascii="宋体" w:hAnsi="宋体"/>
                <w:color w:val="auto"/>
                <w:kern w:val="0"/>
                <w:sz w:val="24"/>
                <w:highlight w:val="none"/>
              </w:rPr>
            </w:pPr>
          </w:p>
        </w:tc>
        <w:tc>
          <w:tcPr>
            <w:tcW w:w="1141" w:type="dxa"/>
            <w:vAlign w:val="center"/>
          </w:tcPr>
          <w:p w14:paraId="412BC7E6">
            <w:pPr>
              <w:autoSpaceDE w:val="0"/>
              <w:autoSpaceDN w:val="0"/>
              <w:adjustRightInd w:val="0"/>
              <w:snapToGrid w:val="0"/>
              <w:jc w:val="center"/>
              <w:rPr>
                <w:rFonts w:ascii="宋体" w:hAnsi="宋体"/>
                <w:color w:val="auto"/>
                <w:kern w:val="0"/>
                <w:sz w:val="24"/>
                <w:highlight w:val="none"/>
              </w:rPr>
            </w:pPr>
          </w:p>
        </w:tc>
        <w:tc>
          <w:tcPr>
            <w:tcW w:w="749" w:type="dxa"/>
            <w:vAlign w:val="center"/>
          </w:tcPr>
          <w:p w14:paraId="354D9BE0">
            <w:pPr>
              <w:autoSpaceDE w:val="0"/>
              <w:autoSpaceDN w:val="0"/>
              <w:adjustRightInd w:val="0"/>
              <w:snapToGrid w:val="0"/>
              <w:jc w:val="center"/>
              <w:rPr>
                <w:rFonts w:ascii="宋体" w:hAnsi="宋体"/>
                <w:color w:val="auto"/>
                <w:kern w:val="0"/>
                <w:sz w:val="24"/>
                <w:highlight w:val="none"/>
              </w:rPr>
            </w:pPr>
          </w:p>
        </w:tc>
      </w:tr>
      <w:tr w14:paraId="14D1FFC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6C113E7E">
            <w:pPr>
              <w:autoSpaceDE w:val="0"/>
              <w:autoSpaceDN w:val="0"/>
              <w:adjustRightInd w:val="0"/>
              <w:snapToGrid w:val="0"/>
              <w:jc w:val="center"/>
              <w:rPr>
                <w:rFonts w:ascii="宋体" w:hAnsi="宋体"/>
                <w:color w:val="auto"/>
                <w:kern w:val="0"/>
                <w:sz w:val="24"/>
                <w:highlight w:val="none"/>
              </w:rPr>
            </w:pPr>
          </w:p>
        </w:tc>
        <w:tc>
          <w:tcPr>
            <w:tcW w:w="1176" w:type="dxa"/>
            <w:vAlign w:val="center"/>
          </w:tcPr>
          <w:p w14:paraId="033080D9">
            <w:pPr>
              <w:autoSpaceDE w:val="0"/>
              <w:autoSpaceDN w:val="0"/>
              <w:adjustRightInd w:val="0"/>
              <w:snapToGrid w:val="0"/>
              <w:jc w:val="center"/>
              <w:rPr>
                <w:rFonts w:ascii="宋体" w:hAnsi="宋体"/>
                <w:color w:val="auto"/>
                <w:kern w:val="0"/>
                <w:sz w:val="24"/>
                <w:highlight w:val="none"/>
              </w:rPr>
            </w:pPr>
          </w:p>
        </w:tc>
        <w:tc>
          <w:tcPr>
            <w:tcW w:w="824" w:type="dxa"/>
            <w:vAlign w:val="center"/>
          </w:tcPr>
          <w:p w14:paraId="558F188C">
            <w:pPr>
              <w:autoSpaceDE w:val="0"/>
              <w:autoSpaceDN w:val="0"/>
              <w:adjustRightInd w:val="0"/>
              <w:snapToGrid w:val="0"/>
              <w:jc w:val="center"/>
              <w:rPr>
                <w:rFonts w:ascii="宋体" w:hAnsi="宋体"/>
                <w:color w:val="auto"/>
                <w:kern w:val="0"/>
                <w:sz w:val="24"/>
                <w:highlight w:val="none"/>
              </w:rPr>
            </w:pPr>
          </w:p>
        </w:tc>
        <w:tc>
          <w:tcPr>
            <w:tcW w:w="1072" w:type="dxa"/>
            <w:vAlign w:val="center"/>
          </w:tcPr>
          <w:p w14:paraId="4F43F56C">
            <w:pPr>
              <w:autoSpaceDE w:val="0"/>
              <w:autoSpaceDN w:val="0"/>
              <w:adjustRightInd w:val="0"/>
              <w:snapToGrid w:val="0"/>
              <w:jc w:val="center"/>
              <w:rPr>
                <w:rFonts w:ascii="宋体" w:hAnsi="宋体"/>
                <w:color w:val="auto"/>
                <w:kern w:val="0"/>
                <w:sz w:val="24"/>
                <w:highlight w:val="none"/>
              </w:rPr>
            </w:pPr>
          </w:p>
        </w:tc>
        <w:tc>
          <w:tcPr>
            <w:tcW w:w="728" w:type="dxa"/>
            <w:vAlign w:val="center"/>
          </w:tcPr>
          <w:p w14:paraId="2D74F909">
            <w:pPr>
              <w:autoSpaceDE w:val="0"/>
              <w:autoSpaceDN w:val="0"/>
              <w:adjustRightInd w:val="0"/>
              <w:snapToGrid w:val="0"/>
              <w:jc w:val="center"/>
              <w:rPr>
                <w:rFonts w:ascii="宋体" w:hAnsi="宋体"/>
                <w:color w:val="auto"/>
                <w:kern w:val="0"/>
                <w:sz w:val="24"/>
                <w:highlight w:val="none"/>
              </w:rPr>
            </w:pPr>
          </w:p>
        </w:tc>
        <w:tc>
          <w:tcPr>
            <w:tcW w:w="799" w:type="dxa"/>
            <w:vAlign w:val="center"/>
          </w:tcPr>
          <w:p w14:paraId="49C1B0A8">
            <w:pPr>
              <w:autoSpaceDE w:val="0"/>
              <w:autoSpaceDN w:val="0"/>
              <w:adjustRightInd w:val="0"/>
              <w:snapToGrid w:val="0"/>
              <w:jc w:val="center"/>
              <w:rPr>
                <w:rFonts w:ascii="宋体" w:hAnsi="宋体"/>
                <w:color w:val="auto"/>
                <w:kern w:val="0"/>
                <w:sz w:val="24"/>
                <w:highlight w:val="none"/>
              </w:rPr>
            </w:pPr>
          </w:p>
        </w:tc>
        <w:tc>
          <w:tcPr>
            <w:tcW w:w="1312" w:type="dxa"/>
            <w:vAlign w:val="center"/>
          </w:tcPr>
          <w:p w14:paraId="5E4DBC77">
            <w:pPr>
              <w:autoSpaceDE w:val="0"/>
              <w:autoSpaceDN w:val="0"/>
              <w:adjustRightInd w:val="0"/>
              <w:snapToGrid w:val="0"/>
              <w:jc w:val="center"/>
              <w:rPr>
                <w:rFonts w:ascii="宋体" w:hAnsi="宋体"/>
                <w:color w:val="auto"/>
                <w:kern w:val="0"/>
                <w:sz w:val="24"/>
                <w:highlight w:val="none"/>
              </w:rPr>
            </w:pPr>
          </w:p>
        </w:tc>
        <w:tc>
          <w:tcPr>
            <w:tcW w:w="947" w:type="dxa"/>
            <w:vAlign w:val="center"/>
          </w:tcPr>
          <w:p w14:paraId="3689D925">
            <w:pPr>
              <w:autoSpaceDE w:val="0"/>
              <w:autoSpaceDN w:val="0"/>
              <w:adjustRightInd w:val="0"/>
              <w:snapToGrid w:val="0"/>
              <w:jc w:val="center"/>
              <w:rPr>
                <w:rFonts w:ascii="宋体" w:hAnsi="宋体"/>
                <w:color w:val="auto"/>
                <w:kern w:val="0"/>
                <w:sz w:val="24"/>
                <w:highlight w:val="none"/>
              </w:rPr>
            </w:pPr>
          </w:p>
        </w:tc>
        <w:tc>
          <w:tcPr>
            <w:tcW w:w="1141" w:type="dxa"/>
            <w:vAlign w:val="center"/>
          </w:tcPr>
          <w:p w14:paraId="1C23F527">
            <w:pPr>
              <w:autoSpaceDE w:val="0"/>
              <w:autoSpaceDN w:val="0"/>
              <w:adjustRightInd w:val="0"/>
              <w:snapToGrid w:val="0"/>
              <w:jc w:val="center"/>
              <w:rPr>
                <w:rFonts w:ascii="宋体" w:hAnsi="宋体"/>
                <w:color w:val="auto"/>
                <w:kern w:val="0"/>
                <w:sz w:val="24"/>
                <w:highlight w:val="none"/>
              </w:rPr>
            </w:pPr>
          </w:p>
        </w:tc>
        <w:tc>
          <w:tcPr>
            <w:tcW w:w="749" w:type="dxa"/>
            <w:vAlign w:val="center"/>
          </w:tcPr>
          <w:p w14:paraId="7A172C4A">
            <w:pPr>
              <w:autoSpaceDE w:val="0"/>
              <w:autoSpaceDN w:val="0"/>
              <w:adjustRightInd w:val="0"/>
              <w:snapToGrid w:val="0"/>
              <w:jc w:val="center"/>
              <w:rPr>
                <w:rFonts w:ascii="宋体" w:hAnsi="宋体"/>
                <w:color w:val="auto"/>
                <w:kern w:val="0"/>
                <w:sz w:val="24"/>
                <w:highlight w:val="none"/>
              </w:rPr>
            </w:pPr>
          </w:p>
        </w:tc>
      </w:tr>
    </w:tbl>
    <w:p w14:paraId="599F04BE">
      <w:pPr>
        <w:autoSpaceDE w:val="0"/>
        <w:autoSpaceDN w:val="0"/>
        <w:adjustRightInd w:val="0"/>
        <w:snapToGrid w:val="0"/>
        <w:spacing w:line="20" w:lineRule="exact"/>
        <w:jc w:val="left"/>
        <w:rPr>
          <w:rFonts w:ascii="宋体" w:hAnsi="宋体"/>
          <w:color w:val="auto"/>
          <w:kern w:val="0"/>
          <w:highlight w:val="none"/>
        </w:rPr>
      </w:pPr>
    </w:p>
    <w:p w14:paraId="6B9D3593">
      <w:pPr>
        <w:jc w:val="center"/>
        <w:rPr>
          <w:rFonts w:ascii="宋体" w:hAnsi="宋体"/>
          <w:color w:val="auto"/>
          <w:kern w:val="0"/>
          <w:sz w:val="20"/>
          <w:szCs w:val="20"/>
          <w:highlight w:val="none"/>
        </w:rPr>
      </w:pPr>
      <w:bookmarkStart w:id="2118" w:name="_Toc287607877"/>
      <w:bookmarkStart w:id="2119" w:name="_Toc277082651"/>
      <w:bookmarkStart w:id="2120" w:name="_Toc224103505"/>
      <w:bookmarkStart w:id="2121" w:name="_Toc430530540"/>
      <w:bookmarkStart w:id="2122" w:name="_Toc287620824"/>
      <w:r>
        <w:rPr>
          <w:rFonts w:ascii="宋体" w:hAnsi="宋体"/>
          <w:color w:val="auto"/>
          <w:sz w:val="28"/>
          <w:highlight w:val="none"/>
        </w:rPr>
        <w:br w:type="page"/>
      </w:r>
      <w:bookmarkStart w:id="2123" w:name="_Toc534185835"/>
      <w:bookmarkStart w:id="2124" w:name="_Toc509218858"/>
      <w:r>
        <w:rPr>
          <w:color w:val="auto"/>
          <w:sz w:val="32"/>
          <w:szCs w:val="32"/>
          <w:highlight w:val="none"/>
        </w:rPr>
        <w:t>附表二：拟配备本标段的试验和检测仪器设备表</w:t>
      </w:r>
      <w:bookmarkEnd w:id="2118"/>
      <w:bookmarkEnd w:id="2119"/>
      <w:bookmarkEnd w:id="2120"/>
      <w:bookmarkEnd w:id="2121"/>
      <w:bookmarkEnd w:id="2122"/>
      <w:bookmarkEnd w:id="2123"/>
      <w:bookmarkEnd w:id="2124"/>
    </w:p>
    <w:tbl>
      <w:tblPr>
        <w:tblStyle w:val="46"/>
        <w:tblW w:w="9494"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47"/>
        <w:gridCol w:w="1219"/>
        <w:gridCol w:w="852"/>
        <w:gridCol w:w="1111"/>
        <w:gridCol w:w="754"/>
        <w:gridCol w:w="827"/>
        <w:gridCol w:w="1359"/>
        <w:gridCol w:w="1855"/>
        <w:gridCol w:w="770"/>
      </w:tblGrid>
      <w:tr w14:paraId="31CCBDA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14" w:hRule="exact"/>
        </w:trPr>
        <w:tc>
          <w:tcPr>
            <w:tcW w:w="747" w:type="dxa"/>
            <w:vAlign w:val="center"/>
          </w:tcPr>
          <w:p w14:paraId="6593D749">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序号</w:t>
            </w:r>
          </w:p>
        </w:tc>
        <w:tc>
          <w:tcPr>
            <w:tcW w:w="1219" w:type="dxa"/>
            <w:vAlign w:val="center"/>
          </w:tcPr>
          <w:p w14:paraId="549C7FEA">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仪器设备</w:t>
            </w:r>
          </w:p>
          <w:p w14:paraId="09D1EFAE">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名　　称</w:t>
            </w:r>
          </w:p>
        </w:tc>
        <w:tc>
          <w:tcPr>
            <w:tcW w:w="852" w:type="dxa"/>
            <w:vAlign w:val="center"/>
          </w:tcPr>
          <w:p w14:paraId="17882F74">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型号</w:t>
            </w:r>
          </w:p>
          <w:p w14:paraId="00018787">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规格</w:t>
            </w:r>
          </w:p>
        </w:tc>
        <w:tc>
          <w:tcPr>
            <w:tcW w:w="1111" w:type="dxa"/>
            <w:vAlign w:val="center"/>
          </w:tcPr>
          <w:p w14:paraId="557FD912">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数量</w:t>
            </w:r>
          </w:p>
        </w:tc>
        <w:tc>
          <w:tcPr>
            <w:tcW w:w="754" w:type="dxa"/>
            <w:vAlign w:val="center"/>
          </w:tcPr>
          <w:p w14:paraId="3B73EB22">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国别</w:t>
            </w:r>
          </w:p>
          <w:p w14:paraId="36688CC3">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产地</w:t>
            </w:r>
          </w:p>
        </w:tc>
        <w:tc>
          <w:tcPr>
            <w:tcW w:w="827" w:type="dxa"/>
            <w:vAlign w:val="center"/>
          </w:tcPr>
          <w:p w14:paraId="68F3D75A">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制造</w:t>
            </w:r>
          </w:p>
          <w:p w14:paraId="36B0E66B">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年份</w:t>
            </w:r>
          </w:p>
        </w:tc>
        <w:tc>
          <w:tcPr>
            <w:tcW w:w="1359" w:type="dxa"/>
            <w:vAlign w:val="center"/>
          </w:tcPr>
          <w:p w14:paraId="0F11F4A0">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已使用</w:t>
            </w:r>
          </w:p>
          <w:p w14:paraId="0DABBD65">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台时数</w:t>
            </w:r>
          </w:p>
        </w:tc>
        <w:tc>
          <w:tcPr>
            <w:tcW w:w="1855" w:type="dxa"/>
            <w:vAlign w:val="center"/>
          </w:tcPr>
          <w:p w14:paraId="39BFE0BE">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用途</w:t>
            </w:r>
          </w:p>
        </w:tc>
        <w:tc>
          <w:tcPr>
            <w:tcW w:w="770" w:type="dxa"/>
            <w:vAlign w:val="center"/>
          </w:tcPr>
          <w:p w14:paraId="094F6D35">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备注</w:t>
            </w:r>
          </w:p>
        </w:tc>
      </w:tr>
      <w:tr w14:paraId="1E5080D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7C820053">
            <w:pPr>
              <w:autoSpaceDE w:val="0"/>
              <w:autoSpaceDN w:val="0"/>
              <w:adjustRightInd w:val="0"/>
              <w:snapToGrid w:val="0"/>
              <w:jc w:val="left"/>
              <w:rPr>
                <w:rFonts w:ascii="宋体" w:hAnsi="宋体"/>
                <w:color w:val="auto"/>
                <w:kern w:val="0"/>
                <w:sz w:val="24"/>
                <w:highlight w:val="none"/>
              </w:rPr>
            </w:pPr>
          </w:p>
        </w:tc>
        <w:tc>
          <w:tcPr>
            <w:tcW w:w="1219" w:type="dxa"/>
          </w:tcPr>
          <w:p w14:paraId="05B8135E">
            <w:pPr>
              <w:autoSpaceDE w:val="0"/>
              <w:autoSpaceDN w:val="0"/>
              <w:adjustRightInd w:val="0"/>
              <w:snapToGrid w:val="0"/>
              <w:jc w:val="left"/>
              <w:rPr>
                <w:rFonts w:ascii="宋体" w:hAnsi="宋体"/>
                <w:color w:val="auto"/>
                <w:kern w:val="0"/>
                <w:sz w:val="24"/>
                <w:highlight w:val="none"/>
              </w:rPr>
            </w:pPr>
          </w:p>
        </w:tc>
        <w:tc>
          <w:tcPr>
            <w:tcW w:w="852" w:type="dxa"/>
          </w:tcPr>
          <w:p w14:paraId="222E636B">
            <w:pPr>
              <w:autoSpaceDE w:val="0"/>
              <w:autoSpaceDN w:val="0"/>
              <w:adjustRightInd w:val="0"/>
              <w:snapToGrid w:val="0"/>
              <w:jc w:val="left"/>
              <w:rPr>
                <w:rFonts w:ascii="宋体" w:hAnsi="宋体"/>
                <w:color w:val="auto"/>
                <w:kern w:val="0"/>
                <w:sz w:val="24"/>
                <w:highlight w:val="none"/>
              </w:rPr>
            </w:pPr>
          </w:p>
        </w:tc>
        <w:tc>
          <w:tcPr>
            <w:tcW w:w="1111" w:type="dxa"/>
          </w:tcPr>
          <w:p w14:paraId="5AE243CB">
            <w:pPr>
              <w:autoSpaceDE w:val="0"/>
              <w:autoSpaceDN w:val="0"/>
              <w:adjustRightInd w:val="0"/>
              <w:snapToGrid w:val="0"/>
              <w:jc w:val="left"/>
              <w:rPr>
                <w:rFonts w:ascii="宋体" w:hAnsi="宋体"/>
                <w:color w:val="auto"/>
                <w:kern w:val="0"/>
                <w:sz w:val="24"/>
                <w:highlight w:val="none"/>
              </w:rPr>
            </w:pPr>
          </w:p>
        </w:tc>
        <w:tc>
          <w:tcPr>
            <w:tcW w:w="754" w:type="dxa"/>
          </w:tcPr>
          <w:p w14:paraId="442A0D67">
            <w:pPr>
              <w:autoSpaceDE w:val="0"/>
              <w:autoSpaceDN w:val="0"/>
              <w:adjustRightInd w:val="0"/>
              <w:snapToGrid w:val="0"/>
              <w:jc w:val="left"/>
              <w:rPr>
                <w:rFonts w:ascii="宋体" w:hAnsi="宋体"/>
                <w:color w:val="auto"/>
                <w:kern w:val="0"/>
                <w:sz w:val="24"/>
                <w:highlight w:val="none"/>
              </w:rPr>
            </w:pPr>
          </w:p>
        </w:tc>
        <w:tc>
          <w:tcPr>
            <w:tcW w:w="827" w:type="dxa"/>
          </w:tcPr>
          <w:p w14:paraId="0DEDF312">
            <w:pPr>
              <w:autoSpaceDE w:val="0"/>
              <w:autoSpaceDN w:val="0"/>
              <w:adjustRightInd w:val="0"/>
              <w:snapToGrid w:val="0"/>
              <w:jc w:val="left"/>
              <w:rPr>
                <w:rFonts w:ascii="宋体" w:hAnsi="宋体"/>
                <w:color w:val="auto"/>
                <w:kern w:val="0"/>
                <w:sz w:val="24"/>
                <w:highlight w:val="none"/>
              </w:rPr>
            </w:pPr>
          </w:p>
        </w:tc>
        <w:tc>
          <w:tcPr>
            <w:tcW w:w="1359" w:type="dxa"/>
          </w:tcPr>
          <w:p w14:paraId="1625B808">
            <w:pPr>
              <w:autoSpaceDE w:val="0"/>
              <w:autoSpaceDN w:val="0"/>
              <w:adjustRightInd w:val="0"/>
              <w:snapToGrid w:val="0"/>
              <w:jc w:val="left"/>
              <w:rPr>
                <w:rFonts w:ascii="宋体" w:hAnsi="宋体"/>
                <w:color w:val="auto"/>
                <w:kern w:val="0"/>
                <w:sz w:val="24"/>
                <w:highlight w:val="none"/>
              </w:rPr>
            </w:pPr>
          </w:p>
        </w:tc>
        <w:tc>
          <w:tcPr>
            <w:tcW w:w="1855" w:type="dxa"/>
          </w:tcPr>
          <w:p w14:paraId="2D09ECCE">
            <w:pPr>
              <w:autoSpaceDE w:val="0"/>
              <w:autoSpaceDN w:val="0"/>
              <w:adjustRightInd w:val="0"/>
              <w:snapToGrid w:val="0"/>
              <w:jc w:val="left"/>
              <w:rPr>
                <w:rFonts w:ascii="宋体" w:hAnsi="宋体"/>
                <w:color w:val="auto"/>
                <w:kern w:val="0"/>
                <w:sz w:val="24"/>
                <w:highlight w:val="none"/>
              </w:rPr>
            </w:pPr>
          </w:p>
        </w:tc>
        <w:tc>
          <w:tcPr>
            <w:tcW w:w="770" w:type="dxa"/>
          </w:tcPr>
          <w:p w14:paraId="514808E5">
            <w:pPr>
              <w:autoSpaceDE w:val="0"/>
              <w:autoSpaceDN w:val="0"/>
              <w:adjustRightInd w:val="0"/>
              <w:snapToGrid w:val="0"/>
              <w:jc w:val="left"/>
              <w:rPr>
                <w:rFonts w:ascii="宋体" w:hAnsi="宋体"/>
                <w:color w:val="auto"/>
                <w:kern w:val="0"/>
                <w:sz w:val="24"/>
                <w:highlight w:val="none"/>
              </w:rPr>
            </w:pPr>
          </w:p>
        </w:tc>
      </w:tr>
      <w:tr w14:paraId="3E8E4E5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62E0CEDA">
            <w:pPr>
              <w:autoSpaceDE w:val="0"/>
              <w:autoSpaceDN w:val="0"/>
              <w:adjustRightInd w:val="0"/>
              <w:snapToGrid w:val="0"/>
              <w:jc w:val="left"/>
              <w:rPr>
                <w:rFonts w:ascii="宋体" w:hAnsi="宋体"/>
                <w:color w:val="auto"/>
                <w:kern w:val="0"/>
                <w:sz w:val="24"/>
                <w:highlight w:val="none"/>
              </w:rPr>
            </w:pPr>
          </w:p>
        </w:tc>
        <w:tc>
          <w:tcPr>
            <w:tcW w:w="1219" w:type="dxa"/>
          </w:tcPr>
          <w:p w14:paraId="15C255EB">
            <w:pPr>
              <w:autoSpaceDE w:val="0"/>
              <w:autoSpaceDN w:val="0"/>
              <w:adjustRightInd w:val="0"/>
              <w:snapToGrid w:val="0"/>
              <w:jc w:val="left"/>
              <w:rPr>
                <w:rFonts w:ascii="宋体" w:hAnsi="宋体"/>
                <w:color w:val="auto"/>
                <w:kern w:val="0"/>
                <w:sz w:val="24"/>
                <w:highlight w:val="none"/>
              </w:rPr>
            </w:pPr>
          </w:p>
        </w:tc>
        <w:tc>
          <w:tcPr>
            <w:tcW w:w="852" w:type="dxa"/>
          </w:tcPr>
          <w:p w14:paraId="5C8F67D8">
            <w:pPr>
              <w:autoSpaceDE w:val="0"/>
              <w:autoSpaceDN w:val="0"/>
              <w:adjustRightInd w:val="0"/>
              <w:snapToGrid w:val="0"/>
              <w:jc w:val="left"/>
              <w:rPr>
                <w:rFonts w:ascii="宋体" w:hAnsi="宋体"/>
                <w:color w:val="auto"/>
                <w:kern w:val="0"/>
                <w:sz w:val="24"/>
                <w:highlight w:val="none"/>
              </w:rPr>
            </w:pPr>
          </w:p>
        </w:tc>
        <w:tc>
          <w:tcPr>
            <w:tcW w:w="1111" w:type="dxa"/>
          </w:tcPr>
          <w:p w14:paraId="1737F0A4">
            <w:pPr>
              <w:autoSpaceDE w:val="0"/>
              <w:autoSpaceDN w:val="0"/>
              <w:adjustRightInd w:val="0"/>
              <w:snapToGrid w:val="0"/>
              <w:jc w:val="left"/>
              <w:rPr>
                <w:rFonts w:ascii="宋体" w:hAnsi="宋体"/>
                <w:color w:val="auto"/>
                <w:kern w:val="0"/>
                <w:sz w:val="24"/>
                <w:highlight w:val="none"/>
              </w:rPr>
            </w:pPr>
          </w:p>
        </w:tc>
        <w:tc>
          <w:tcPr>
            <w:tcW w:w="754" w:type="dxa"/>
          </w:tcPr>
          <w:p w14:paraId="63674827">
            <w:pPr>
              <w:autoSpaceDE w:val="0"/>
              <w:autoSpaceDN w:val="0"/>
              <w:adjustRightInd w:val="0"/>
              <w:snapToGrid w:val="0"/>
              <w:jc w:val="left"/>
              <w:rPr>
                <w:rFonts w:ascii="宋体" w:hAnsi="宋体"/>
                <w:color w:val="auto"/>
                <w:kern w:val="0"/>
                <w:sz w:val="24"/>
                <w:highlight w:val="none"/>
              </w:rPr>
            </w:pPr>
          </w:p>
        </w:tc>
        <w:tc>
          <w:tcPr>
            <w:tcW w:w="827" w:type="dxa"/>
          </w:tcPr>
          <w:p w14:paraId="6AFB8953">
            <w:pPr>
              <w:autoSpaceDE w:val="0"/>
              <w:autoSpaceDN w:val="0"/>
              <w:adjustRightInd w:val="0"/>
              <w:snapToGrid w:val="0"/>
              <w:jc w:val="left"/>
              <w:rPr>
                <w:rFonts w:ascii="宋体" w:hAnsi="宋体"/>
                <w:color w:val="auto"/>
                <w:kern w:val="0"/>
                <w:sz w:val="24"/>
                <w:highlight w:val="none"/>
              </w:rPr>
            </w:pPr>
          </w:p>
        </w:tc>
        <w:tc>
          <w:tcPr>
            <w:tcW w:w="1359" w:type="dxa"/>
          </w:tcPr>
          <w:p w14:paraId="0A5D4F67">
            <w:pPr>
              <w:autoSpaceDE w:val="0"/>
              <w:autoSpaceDN w:val="0"/>
              <w:adjustRightInd w:val="0"/>
              <w:snapToGrid w:val="0"/>
              <w:jc w:val="left"/>
              <w:rPr>
                <w:rFonts w:ascii="宋体" w:hAnsi="宋体"/>
                <w:color w:val="auto"/>
                <w:kern w:val="0"/>
                <w:sz w:val="24"/>
                <w:highlight w:val="none"/>
              </w:rPr>
            </w:pPr>
          </w:p>
        </w:tc>
        <w:tc>
          <w:tcPr>
            <w:tcW w:w="1855" w:type="dxa"/>
          </w:tcPr>
          <w:p w14:paraId="59076E11">
            <w:pPr>
              <w:autoSpaceDE w:val="0"/>
              <w:autoSpaceDN w:val="0"/>
              <w:adjustRightInd w:val="0"/>
              <w:snapToGrid w:val="0"/>
              <w:jc w:val="left"/>
              <w:rPr>
                <w:rFonts w:ascii="宋体" w:hAnsi="宋体"/>
                <w:color w:val="auto"/>
                <w:kern w:val="0"/>
                <w:sz w:val="24"/>
                <w:highlight w:val="none"/>
              </w:rPr>
            </w:pPr>
          </w:p>
        </w:tc>
        <w:tc>
          <w:tcPr>
            <w:tcW w:w="770" w:type="dxa"/>
          </w:tcPr>
          <w:p w14:paraId="48D51EF8">
            <w:pPr>
              <w:autoSpaceDE w:val="0"/>
              <w:autoSpaceDN w:val="0"/>
              <w:adjustRightInd w:val="0"/>
              <w:snapToGrid w:val="0"/>
              <w:jc w:val="left"/>
              <w:rPr>
                <w:rFonts w:ascii="宋体" w:hAnsi="宋体"/>
                <w:color w:val="auto"/>
                <w:kern w:val="0"/>
                <w:sz w:val="24"/>
                <w:highlight w:val="none"/>
              </w:rPr>
            </w:pPr>
          </w:p>
        </w:tc>
      </w:tr>
      <w:tr w14:paraId="0761F0E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70D0589E">
            <w:pPr>
              <w:autoSpaceDE w:val="0"/>
              <w:autoSpaceDN w:val="0"/>
              <w:adjustRightInd w:val="0"/>
              <w:snapToGrid w:val="0"/>
              <w:jc w:val="left"/>
              <w:rPr>
                <w:rFonts w:ascii="宋体" w:hAnsi="宋体"/>
                <w:color w:val="auto"/>
                <w:kern w:val="0"/>
                <w:sz w:val="24"/>
                <w:highlight w:val="none"/>
              </w:rPr>
            </w:pPr>
          </w:p>
        </w:tc>
        <w:tc>
          <w:tcPr>
            <w:tcW w:w="1219" w:type="dxa"/>
          </w:tcPr>
          <w:p w14:paraId="68136F48">
            <w:pPr>
              <w:autoSpaceDE w:val="0"/>
              <w:autoSpaceDN w:val="0"/>
              <w:adjustRightInd w:val="0"/>
              <w:snapToGrid w:val="0"/>
              <w:jc w:val="left"/>
              <w:rPr>
                <w:rFonts w:ascii="宋体" w:hAnsi="宋体"/>
                <w:color w:val="auto"/>
                <w:kern w:val="0"/>
                <w:sz w:val="24"/>
                <w:highlight w:val="none"/>
              </w:rPr>
            </w:pPr>
          </w:p>
        </w:tc>
        <w:tc>
          <w:tcPr>
            <w:tcW w:w="852" w:type="dxa"/>
          </w:tcPr>
          <w:p w14:paraId="49D08759">
            <w:pPr>
              <w:autoSpaceDE w:val="0"/>
              <w:autoSpaceDN w:val="0"/>
              <w:adjustRightInd w:val="0"/>
              <w:snapToGrid w:val="0"/>
              <w:jc w:val="left"/>
              <w:rPr>
                <w:rFonts w:ascii="宋体" w:hAnsi="宋体"/>
                <w:color w:val="auto"/>
                <w:kern w:val="0"/>
                <w:sz w:val="24"/>
                <w:highlight w:val="none"/>
              </w:rPr>
            </w:pPr>
          </w:p>
        </w:tc>
        <w:tc>
          <w:tcPr>
            <w:tcW w:w="1111" w:type="dxa"/>
          </w:tcPr>
          <w:p w14:paraId="30CEA714">
            <w:pPr>
              <w:autoSpaceDE w:val="0"/>
              <w:autoSpaceDN w:val="0"/>
              <w:adjustRightInd w:val="0"/>
              <w:snapToGrid w:val="0"/>
              <w:jc w:val="left"/>
              <w:rPr>
                <w:rFonts w:ascii="宋体" w:hAnsi="宋体"/>
                <w:color w:val="auto"/>
                <w:kern w:val="0"/>
                <w:sz w:val="24"/>
                <w:highlight w:val="none"/>
              </w:rPr>
            </w:pPr>
          </w:p>
        </w:tc>
        <w:tc>
          <w:tcPr>
            <w:tcW w:w="754" w:type="dxa"/>
          </w:tcPr>
          <w:p w14:paraId="3BA8F6D1">
            <w:pPr>
              <w:autoSpaceDE w:val="0"/>
              <w:autoSpaceDN w:val="0"/>
              <w:adjustRightInd w:val="0"/>
              <w:snapToGrid w:val="0"/>
              <w:jc w:val="left"/>
              <w:rPr>
                <w:rFonts w:ascii="宋体" w:hAnsi="宋体"/>
                <w:color w:val="auto"/>
                <w:kern w:val="0"/>
                <w:sz w:val="24"/>
                <w:highlight w:val="none"/>
              </w:rPr>
            </w:pPr>
          </w:p>
        </w:tc>
        <w:tc>
          <w:tcPr>
            <w:tcW w:w="827" w:type="dxa"/>
          </w:tcPr>
          <w:p w14:paraId="2CA26CE0">
            <w:pPr>
              <w:autoSpaceDE w:val="0"/>
              <w:autoSpaceDN w:val="0"/>
              <w:adjustRightInd w:val="0"/>
              <w:snapToGrid w:val="0"/>
              <w:jc w:val="left"/>
              <w:rPr>
                <w:rFonts w:ascii="宋体" w:hAnsi="宋体"/>
                <w:color w:val="auto"/>
                <w:kern w:val="0"/>
                <w:sz w:val="24"/>
                <w:highlight w:val="none"/>
              </w:rPr>
            </w:pPr>
          </w:p>
        </w:tc>
        <w:tc>
          <w:tcPr>
            <w:tcW w:w="1359" w:type="dxa"/>
          </w:tcPr>
          <w:p w14:paraId="1E3B8811">
            <w:pPr>
              <w:autoSpaceDE w:val="0"/>
              <w:autoSpaceDN w:val="0"/>
              <w:adjustRightInd w:val="0"/>
              <w:snapToGrid w:val="0"/>
              <w:jc w:val="left"/>
              <w:rPr>
                <w:rFonts w:ascii="宋体" w:hAnsi="宋体"/>
                <w:color w:val="auto"/>
                <w:kern w:val="0"/>
                <w:sz w:val="24"/>
                <w:highlight w:val="none"/>
              </w:rPr>
            </w:pPr>
          </w:p>
        </w:tc>
        <w:tc>
          <w:tcPr>
            <w:tcW w:w="1855" w:type="dxa"/>
          </w:tcPr>
          <w:p w14:paraId="11CE1351">
            <w:pPr>
              <w:autoSpaceDE w:val="0"/>
              <w:autoSpaceDN w:val="0"/>
              <w:adjustRightInd w:val="0"/>
              <w:snapToGrid w:val="0"/>
              <w:jc w:val="left"/>
              <w:rPr>
                <w:rFonts w:ascii="宋体" w:hAnsi="宋体"/>
                <w:color w:val="auto"/>
                <w:kern w:val="0"/>
                <w:sz w:val="24"/>
                <w:highlight w:val="none"/>
              </w:rPr>
            </w:pPr>
          </w:p>
        </w:tc>
        <w:tc>
          <w:tcPr>
            <w:tcW w:w="770" w:type="dxa"/>
          </w:tcPr>
          <w:p w14:paraId="6C078E8C">
            <w:pPr>
              <w:autoSpaceDE w:val="0"/>
              <w:autoSpaceDN w:val="0"/>
              <w:adjustRightInd w:val="0"/>
              <w:snapToGrid w:val="0"/>
              <w:jc w:val="left"/>
              <w:rPr>
                <w:rFonts w:ascii="宋体" w:hAnsi="宋体"/>
                <w:color w:val="auto"/>
                <w:kern w:val="0"/>
                <w:sz w:val="24"/>
                <w:highlight w:val="none"/>
              </w:rPr>
            </w:pPr>
          </w:p>
        </w:tc>
      </w:tr>
      <w:tr w14:paraId="48CD97F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3476B5A2">
            <w:pPr>
              <w:autoSpaceDE w:val="0"/>
              <w:autoSpaceDN w:val="0"/>
              <w:adjustRightInd w:val="0"/>
              <w:snapToGrid w:val="0"/>
              <w:jc w:val="left"/>
              <w:rPr>
                <w:rFonts w:ascii="宋体" w:hAnsi="宋体"/>
                <w:color w:val="auto"/>
                <w:kern w:val="0"/>
                <w:sz w:val="24"/>
                <w:highlight w:val="none"/>
              </w:rPr>
            </w:pPr>
          </w:p>
        </w:tc>
        <w:tc>
          <w:tcPr>
            <w:tcW w:w="1219" w:type="dxa"/>
          </w:tcPr>
          <w:p w14:paraId="1625AB34">
            <w:pPr>
              <w:autoSpaceDE w:val="0"/>
              <w:autoSpaceDN w:val="0"/>
              <w:adjustRightInd w:val="0"/>
              <w:snapToGrid w:val="0"/>
              <w:jc w:val="left"/>
              <w:rPr>
                <w:rFonts w:ascii="宋体" w:hAnsi="宋体"/>
                <w:color w:val="auto"/>
                <w:kern w:val="0"/>
                <w:sz w:val="24"/>
                <w:highlight w:val="none"/>
              </w:rPr>
            </w:pPr>
          </w:p>
        </w:tc>
        <w:tc>
          <w:tcPr>
            <w:tcW w:w="852" w:type="dxa"/>
          </w:tcPr>
          <w:p w14:paraId="0E4488F0">
            <w:pPr>
              <w:autoSpaceDE w:val="0"/>
              <w:autoSpaceDN w:val="0"/>
              <w:adjustRightInd w:val="0"/>
              <w:snapToGrid w:val="0"/>
              <w:jc w:val="left"/>
              <w:rPr>
                <w:rFonts w:ascii="宋体" w:hAnsi="宋体"/>
                <w:color w:val="auto"/>
                <w:kern w:val="0"/>
                <w:sz w:val="24"/>
                <w:highlight w:val="none"/>
              </w:rPr>
            </w:pPr>
          </w:p>
        </w:tc>
        <w:tc>
          <w:tcPr>
            <w:tcW w:w="1111" w:type="dxa"/>
          </w:tcPr>
          <w:p w14:paraId="0398C0E5">
            <w:pPr>
              <w:autoSpaceDE w:val="0"/>
              <w:autoSpaceDN w:val="0"/>
              <w:adjustRightInd w:val="0"/>
              <w:snapToGrid w:val="0"/>
              <w:jc w:val="left"/>
              <w:rPr>
                <w:rFonts w:ascii="宋体" w:hAnsi="宋体"/>
                <w:color w:val="auto"/>
                <w:kern w:val="0"/>
                <w:sz w:val="24"/>
                <w:highlight w:val="none"/>
              </w:rPr>
            </w:pPr>
          </w:p>
        </w:tc>
        <w:tc>
          <w:tcPr>
            <w:tcW w:w="754" w:type="dxa"/>
          </w:tcPr>
          <w:p w14:paraId="1F80ACA3">
            <w:pPr>
              <w:autoSpaceDE w:val="0"/>
              <w:autoSpaceDN w:val="0"/>
              <w:adjustRightInd w:val="0"/>
              <w:snapToGrid w:val="0"/>
              <w:jc w:val="left"/>
              <w:rPr>
                <w:rFonts w:ascii="宋体" w:hAnsi="宋体"/>
                <w:color w:val="auto"/>
                <w:kern w:val="0"/>
                <w:sz w:val="24"/>
                <w:highlight w:val="none"/>
              </w:rPr>
            </w:pPr>
          </w:p>
        </w:tc>
        <w:tc>
          <w:tcPr>
            <w:tcW w:w="827" w:type="dxa"/>
          </w:tcPr>
          <w:p w14:paraId="4E028097">
            <w:pPr>
              <w:autoSpaceDE w:val="0"/>
              <w:autoSpaceDN w:val="0"/>
              <w:adjustRightInd w:val="0"/>
              <w:snapToGrid w:val="0"/>
              <w:jc w:val="left"/>
              <w:rPr>
                <w:rFonts w:ascii="宋体" w:hAnsi="宋体"/>
                <w:color w:val="auto"/>
                <w:kern w:val="0"/>
                <w:sz w:val="24"/>
                <w:highlight w:val="none"/>
              </w:rPr>
            </w:pPr>
          </w:p>
        </w:tc>
        <w:tc>
          <w:tcPr>
            <w:tcW w:w="1359" w:type="dxa"/>
          </w:tcPr>
          <w:p w14:paraId="7E8FE971">
            <w:pPr>
              <w:autoSpaceDE w:val="0"/>
              <w:autoSpaceDN w:val="0"/>
              <w:adjustRightInd w:val="0"/>
              <w:snapToGrid w:val="0"/>
              <w:jc w:val="left"/>
              <w:rPr>
                <w:rFonts w:ascii="宋体" w:hAnsi="宋体"/>
                <w:color w:val="auto"/>
                <w:kern w:val="0"/>
                <w:sz w:val="24"/>
                <w:highlight w:val="none"/>
              </w:rPr>
            </w:pPr>
          </w:p>
        </w:tc>
        <w:tc>
          <w:tcPr>
            <w:tcW w:w="1855" w:type="dxa"/>
          </w:tcPr>
          <w:p w14:paraId="4DA6C575">
            <w:pPr>
              <w:autoSpaceDE w:val="0"/>
              <w:autoSpaceDN w:val="0"/>
              <w:adjustRightInd w:val="0"/>
              <w:snapToGrid w:val="0"/>
              <w:jc w:val="left"/>
              <w:rPr>
                <w:rFonts w:ascii="宋体" w:hAnsi="宋体"/>
                <w:color w:val="auto"/>
                <w:kern w:val="0"/>
                <w:sz w:val="24"/>
                <w:highlight w:val="none"/>
              </w:rPr>
            </w:pPr>
          </w:p>
        </w:tc>
        <w:tc>
          <w:tcPr>
            <w:tcW w:w="770" w:type="dxa"/>
          </w:tcPr>
          <w:p w14:paraId="67BA5818">
            <w:pPr>
              <w:autoSpaceDE w:val="0"/>
              <w:autoSpaceDN w:val="0"/>
              <w:adjustRightInd w:val="0"/>
              <w:snapToGrid w:val="0"/>
              <w:jc w:val="left"/>
              <w:rPr>
                <w:rFonts w:ascii="宋体" w:hAnsi="宋体"/>
                <w:color w:val="auto"/>
                <w:kern w:val="0"/>
                <w:sz w:val="24"/>
                <w:highlight w:val="none"/>
              </w:rPr>
            </w:pPr>
          </w:p>
        </w:tc>
      </w:tr>
      <w:tr w14:paraId="5F4E770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4B73FDB9">
            <w:pPr>
              <w:autoSpaceDE w:val="0"/>
              <w:autoSpaceDN w:val="0"/>
              <w:adjustRightInd w:val="0"/>
              <w:snapToGrid w:val="0"/>
              <w:jc w:val="left"/>
              <w:rPr>
                <w:rFonts w:ascii="宋体" w:hAnsi="宋体"/>
                <w:color w:val="auto"/>
                <w:kern w:val="0"/>
                <w:sz w:val="24"/>
                <w:highlight w:val="none"/>
              </w:rPr>
            </w:pPr>
          </w:p>
        </w:tc>
        <w:tc>
          <w:tcPr>
            <w:tcW w:w="1219" w:type="dxa"/>
          </w:tcPr>
          <w:p w14:paraId="3B9F547D">
            <w:pPr>
              <w:autoSpaceDE w:val="0"/>
              <w:autoSpaceDN w:val="0"/>
              <w:adjustRightInd w:val="0"/>
              <w:snapToGrid w:val="0"/>
              <w:jc w:val="left"/>
              <w:rPr>
                <w:rFonts w:ascii="宋体" w:hAnsi="宋体"/>
                <w:color w:val="auto"/>
                <w:kern w:val="0"/>
                <w:sz w:val="24"/>
                <w:highlight w:val="none"/>
              </w:rPr>
            </w:pPr>
          </w:p>
        </w:tc>
        <w:tc>
          <w:tcPr>
            <w:tcW w:w="852" w:type="dxa"/>
          </w:tcPr>
          <w:p w14:paraId="23028D49">
            <w:pPr>
              <w:autoSpaceDE w:val="0"/>
              <w:autoSpaceDN w:val="0"/>
              <w:adjustRightInd w:val="0"/>
              <w:snapToGrid w:val="0"/>
              <w:jc w:val="left"/>
              <w:rPr>
                <w:rFonts w:ascii="宋体" w:hAnsi="宋体"/>
                <w:color w:val="auto"/>
                <w:kern w:val="0"/>
                <w:sz w:val="24"/>
                <w:highlight w:val="none"/>
              </w:rPr>
            </w:pPr>
          </w:p>
        </w:tc>
        <w:tc>
          <w:tcPr>
            <w:tcW w:w="1111" w:type="dxa"/>
          </w:tcPr>
          <w:p w14:paraId="2E373D78">
            <w:pPr>
              <w:autoSpaceDE w:val="0"/>
              <w:autoSpaceDN w:val="0"/>
              <w:adjustRightInd w:val="0"/>
              <w:snapToGrid w:val="0"/>
              <w:jc w:val="left"/>
              <w:rPr>
                <w:rFonts w:ascii="宋体" w:hAnsi="宋体"/>
                <w:color w:val="auto"/>
                <w:kern w:val="0"/>
                <w:sz w:val="24"/>
                <w:highlight w:val="none"/>
              </w:rPr>
            </w:pPr>
          </w:p>
        </w:tc>
        <w:tc>
          <w:tcPr>
            <w:tcW w:w="754" w:type="dxa"/>
          </w:tcPr>
          <w:p w14:paraId="63BF13F0">
            <w:pPr>
              <w:autoSpaceDE w:val="0"/>
              <w:autoSpaceDN w:val="0"/>
              <w:adjustRightInd w:val="0"/>
              <w:snapToGrid w:val="0"/>
              <w:jc w:val="left"/>
              <w:rPr>
                <w:rFonts w:ascii="宋体" w:hAnsi="宋体"/>
                <w:color w:val="auto"/>
                <w:kern w:val="0"/>
                <w:sz w:val="24"/>
                <w:highlight w:val="none"/>
              </w:rPr>
            </w:pPr>
          </w:p>
        </w:tc>
        <w:tc>
          <w:tcPr>
            <w:tcW w:w="827" w:type="dxa"/>
          </w:tcPr>
          <w:p w14:paraId="29FCA700">
            <w:pPr>
              <w:autoSpaceDE w:val="0"/>
              <w:autoSpaceDN w:val="0"/>
              <w:adjustRightInd w:val="0"/>
              <w:snapToGrid w:val="0"/>
              <w:jc w:val="left"/>
              <w:rPr>
                <w:rFonts w:ascii="宋体" w:hAnsi="宋体"/>
                <w:color w:val="auto"/>
                <w:kern w:val="0"/>
                <w:sz w:val="24"/>
                <w:highlight w:val="none"/>
              </w:rPr>
            </w:pPr>
          </w:p>
        </w:tc>
        <w:tc>
          <w:tcPr>
            <w:tcW w:w="1359" w:type="dxa"/>
          </w:tcPr>
          <w:p w14:paraId="3E893041">
            <w:pPr>
              <w:autoSpaceDE w:val="0"/>
              <w:autoSpaceDN w:val="0"/>
              <w:adjustRightInd w:val="0"/>
              <w:snapToGrid w:val="0"/>
              <w:jc w:val="left"/>
              <w:rPr>
                <w:rFonts w:ascii="宋体" w:hAnsi="宋体"/>
                <w:color w:val="auto"/>
                <w:kern w:val="0"/>
                <w:sz w:val="24"/>
                <w:highlight w:val="none"/>
              </w:rPr>
            </w:pPr>
          </w:p>
        </w:tc>
        <w:tc>
          <w:tcPr>
            <w:tcW w:w="1855" w:type="dxa"/>
          </w:tcPr>
          <w:p w14:paraId="00066165">
            <w:pPr>
              <w:autoSpaceDE w:val="0"/>
              <w:autoSpaceDN w:val="0"/>
              <w:adjustRightInd w:val="0"/>
              <w:snapToGrid w:val="0"/>
              <w:jc w:val="left"/>
              <w:rPr>
                <w:rFonts w:ascii="宋体" w:hAnsi="宋体"/>
                <w:color w:val="auto"/>
                <w:kern w:val="0"/>
                <w:sz w:val="24"/>
                <w:highlight w:val="none"/>
              </w:rPr>
            </w:pPr>
          </w:p>
        </w:tc>
        <w:tc>
          <w:tcPr>
            <w:tcW w:w="770" w:type="dxa"/>
          </w:tcPr>
          <w:p w14:paraId="7C73E22D">
            <w:pPr>
              <w:autoSpaceDE w:val="0"/>
              <w:autoSpaceDN w:val="0"/>
              <w:adjustRightInd w:val="0"/>
              <w:snapToGrid w:val="0"/>
              <w:jc w:val="left"/>
              <w:rPr>
                <w:rFonts w:ascii="宋体" w:hAnsi="宋体"/>
                <w:color w:val="auto"/>
                <w:kern w:val="0"/>
                <w:sz w:val="24"/>
                <w:highlight w:val="none"/>
              </w:rPr>
            </w:pPr>
          </w:p>
        </w:tc>
      </w:tr>
      <w:tr w14:paraId="135876A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547EC8CC">
            <w:pPr>
              <w:autoSpaceDE w:val="0"/>
              <w:autoSpaceDN w:val="0"/>
              <w:adjustRightInd w:val="0"/>
              <w:snapToGrid w:val="0"/>
              <w:jc w:val="left"/>
              <w:rPr>
                <w:rFonts w:ascii="宋体" w:hAnsi="宋体"/>
                <w:color w:val="auto"/>
                <w:kern w:val="0"/>
                <w:sz w:val="24"/>
                <w:highlight w:val="none"/>
              </w:rPr>
            </w:pPr>
          </w:p>
        </w:tc>
        <w:tc>
          <w:tcPr>
            <w:tcW w:w="1219" w:type="dxa"/>
          </w:tcPr>
          <w:p w14:paraId="5EE6C1A7">
            <w:pPr>
              <w:autoSpaceDE w:val="0"/>
              <w:autoSpaceDN w:val="0"/>
              <w:adjustRightInd w:val="0"/>
              <w:snapToGrid w:val="0"/>
              <w:jc w:val="left"/>
              <w:rPr>
                <w:rFonts w:ascii="宋体" w:hAnsi="宋体"/>
                <w:color w:val="auto"/>
                <w:kern w:val="0"/>
                <w:sz w:val="24"/>
                <w:highlight w:val="none"/>
              </w:rPr>
            </w:pPr>
          </w:p>
        </w:tc>
        <w:tc>
          <w:tcPr>
            <w:tcW w:w="852" w:type="dxa"/>
          </w:tcPr>
          <w:p w14:paraId="14B8F7C4">
            <w:pPr>
              <w:autoSpaceDE w:val="0"/>
              <w:autoSpaceDN w:val="0"/>
              <w:adjustRightInd w:val="0"/>
              <w:snapToGrid w:val="0"/>
              <w:jc w:val="left"/>
              <w:rPr>
                <w:rFonts w:ascii="宋体" w:hAnsi="宋体"/>
                <w:color w:val="auto"/>
                <w:kern w:val="0"/>
                <w:sz w:val="24"/>
                <w:highlight w:val="none"/>
              </w:rPr>
            </w:pPr>
          </w:p>
        </w:tc>
        <w:tc>
          <w:tcPr>
            <w:tcW w:w="1111" w:type="dxa"/>
          </w:tcPr>
          <w:p w14:paraId="6C594F19">
            <w:pPr>
              <w:autoSpaceDE w:val="0"/>
              <w:autoSpaceDN w:val="0"/>
              <w:adjustRightInd w:val="0"/>
              <w:snapToGrid w:val="0"/>
              <w:jc w:val="left"/>
              <w:rPr>
                <w:rFonts w:ascii="宋体" w:hAnsi="宋体"/>
                <w:color w:val="auto"/>
                <w:kern w:val="0"/>
                <w:sz w:val="24"/>
                <w:highlight w:val="none"/>
              </w:rPr>
            </w:pPr>
          </w:p>
        </w:tc>
        <w:tc>
          <w:tcPr>
            <w:tcW w:w="754" w:type="dxa"/>
          </w:tcPr>
          <w:p w14:paraId="1CE88391">
            <w:pPr>
              <w:autoSpaceDE w:val="0"/>
              <w:autoSpaceDN w:val="0"/>
              <w:adjustRightInd w:val="0"/>
              <w:snapToGrid w:val="0"/>
              <w:jc w:val="left"/>
              <w:rPr>
                <w:rFonts w:ascii="宋体" w:hAnsi="宋体"/>
                <w:color w:val="auto"/>
                <w:kern w:val="0"/>
                <w:sz w:val="24"/>
                <w:highlight w:val="none"/>
              </w:rPr>
            </w:pPr>
          </w:p>
        </w:tc>
        <w:tc>
          <w:tcPr>
            <w:tcW w:w="827" w:type="dxa"/>
          </w:tcPr>
          <w:p w14:paraId="73083931">
            <w:pPr>
              <w:autoSpaceDE w:val="0"/>
              <w:autoSpaceDN w:val="0"/>
              <w:adjustRightInd w:val="0"/>
              <w:snapToGrid w:val="0"/>
              <w:jc w:val="left"/>
              <w:rPr>
                <w:rFonts w:ascii="宋体" w:hAnsi="宋体"/>
                <w:color w:val="auto"/>
                <w:kern w:val="0"/>
                <w:sz w:val="24"/>
                <w:highlight w:val="none"/>
              </w:rPr>
            </w:pPr>
          </w:p>
        </w:tc>
        <w:tc>
          <w:tcPr>
            <w:tcW w:w="1359" w:type="dxa"/>
          </w:tcPr>
          <w:p w14:paraId="6B82E8FD">
            <w:pPr>
              <w:autoSpaceDE w:val="0"/>
              <w:autoSpaceDN w:val="0"/>
              <w:adjustRightInd w:val="0"/>
              <w:snapToGrid w:val="0"/>
              <w:jc w:val="left"/>
              <w:rPr>
                <w:rFonts w:ascii="宋体" w:hAnsi="宋体"/>
                <w:color w:val="auto"/>
                <w:kern w:val="0"/>
                <w:sz w:val="24"/>
                <w:highlight w:val="none"/>
              </w:rPr>
            </w:pPr>
          </w:p>
        </w:tc>
        <w:tc>
          <w:tcPr>
            <w:tcW w:w="1855" w:type="dxa"/>
          </w:tcPr>
          <w:p w14:paraId="1E8CBB52">
            <w:pPr>
              <w:autoSpaceDE w:val="0"/>
              <w:autoSpaceDN w:val="0"/>
              <w:adjustRightInd w:val="0"/>
              <w:snapToGrid w:val="0"/>
              <w:jc w:val="left"/>
              <w:rPr>
                <w:rFonts w:ascii="宋体" w:hAnsi="宋体"/>
                <w:color w:val="auto"/>
                <w:kern w:val="0"/>
                <w:sz w:val="24"/>
                <w:highlight w:val="none"/>
              </w:rPr>
            </w:pPr>
          </w:p>
        </w:tc>
        <w:tc>
          <w:tcPr>
            <w:tcW w:w="770" w:type="dxa"/>
          </w:tcPr>
          <w:p w14:paraId="4BF70756">
            <w:pPr>
              <w:autoSpaceDE w:val="0"/>
              <w:autoSpaceDN w:val="0"/>
              <w:adjustRightInd w:val="0"/>
              <w:snapToGrid w:val="0"/>
              <w:jc w:val="left"/>
              <w:rPr>
                <w:rFonts w:ascii="宋体" w:hAnsi="宋体"/>
                <w:color w:val="auto"/>
                <w:kern w:val="0"/>
                <w:sz w:val="24"/>
                <w:highlight w:val="none"/>
              </w:rPr>
            </w:pPr>
          </w:p>
        </w:tc>
      </w:tr>
      <w:tr w14:paraId="4D7389A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432E3D8C">
            <w:pPr>
              <w:autoSpaceDE w:val="0"/>
              <w:autoSpaceDN w:val="0"/>
              <w:adjustRightInd w:val="0"/>
              <w:snapToGrid w:val="0"/>
              <w:jc w:val="left"/>
              <w:rPr>
                <w:rFonts w:ascii="宋体" w:hAnsi="宋体"/>
                <w:color w:val="auto"/>
                <w:kern w:val="0"/>
                <w:sz w:val="24"/>
                <w:highlight w:val="none"/>
              </w:rPr>
            </w:pPr>
          </w:p>
        </w:tc>
        <w:tc>
          <w:tcPr>
            <w:tcW w:w="1219" w:type="dxa"/>
          </w:tcPr>
          <w:p w14:paraId="7ED6B8BF">
            <w:pPr>
              <w:autoSpaceDE w:val="0"/>
              <w:autoSpaceDN w:val="0"/>
              <w:adjustRightInd w:val="0"/>
              <w:snapToGrid w:val="0"/>
              <w:jc w:val="left"/>
              <w:rPr>
                <w:rFonts w:ascii="宋体" w:hAnsi="宋体"/>
                <w:color w:val="auto"/>
                <w:kern w:val="0"/>
                <w:sz w:val="24"/>
                <w:highlight w:val="none"/>
              </w:rPr>
            </w:pPr>
          </w:p>
        </w:tc>
        <w:tc>
          <w:tcPr>
            <w:tcW w:w="852" w:type="dxa"/>
          </w:tcPr>
          <w:p w14:paraId="6CD26A4A">
            <w:pPr>
              <w:autoSpaceDE w:val="0"/>
              <w:autoSpaceDN w:val="0"/>
              <w:adjustRightInd w:val="0"/>
              <w:snapToGrid w:val="0"/>
              <w:jc w:val="left"/>
              <w:rPr>
                <w:rFonts w:ascii="宋体" w:hAnsi="宋体"/>
                <w:color w:val="auto"/>
                <w:kern w:val="0"/>
                <w:sz w:val="24"/>
                <w:highlight w:val="none"/>
              </w:rPr>
            </w:pPr>
          </w:p>
        </w:tc>
        <w:tc>
          <w:tcPr>
            <w:tcW w:w="1111" w:type="dxa"/>
          </w:tcPr>
          <w:p w14:paraId="34B7CF66">
            <w:pPr>
              <w:autoSpaceDE w:val="0"/>
              <w:autoSpaceDN w:val="0"/>
              <w:adjustRightInd w:val="0"/>
              <w:snapToGrid w:val="0"/>
              <w:jc w:val="left"/>
              <w:rPr>
                <w:rFonts w:ascii="宋体" w:hAnsi="宋体"/>
                <w:color w:val="auto"/>
                <w:kern w:val="0"/>
                <w:sz w:val="24"/>
                <w:highlight w:val="none"/>
              </w:rPr>
            </w:pPr>
          </w:p>
        </w:tc>
        <w:tc>
          <w:tcPr>
            <w:tcW w:w="754" w:type="dxa"/>
          </w:tcPr>
          <w:p w14:paraId="73663C32">
            <w:pPr>
              <w:autoSpaceDE w:val="0"/>
              <w:autoSpaceDN w:val="0"/>
              <w:adjustRightInd w:val="0"/>
              <w:snapToGrid w:val="0"/>
              <w:jc w:val="left"/>
              <w:rPr>
                <w:rFonts w:ascii="宋体" w:hAnsi="宋体"/>
                <w:color w:val="auto"/>
                <w:kern w:val="0"/>
                <w:sz w:val="24"/>
                <w:highlight w:val="none"/>
              </w:rPr>
            </w:pPr>
          </w:p>
        </w:tc>
        <w:tc>
          <w:tcPr>
            <w:tcW w:w="827" w:type="dxa"/>
          </w:tcPr>
          <w:p w14:paraId="6541E097">
            <w:pPr>
              <w:autoSpaceDE w:val="0"/>
              <w:autoSpaceDN w:val="0"/>
              <w:adjustRightInd w:val="0"/>
              <w:snapToGrid w:val="0"/>
              <w:jc w:val="left"/>
              <w:rPr>
                <w:rFonts w:ascii="宋体" w:hAnsi="宋体"/>
                <w:color w:val="auto"/>
                <w:kern w:val="0"/>
                <w:sz w:val="24"/>
                <w:highlight w:val="none"/>
              </w:rPr>
            </w:pPr>
          </w:p>
        </w:tc>
        <w:tc>
          <w:tcPr>
            <w:tcW w:w="1359" w:type="dxa"/>
          </w:tcPr>
          <w:p w14:paraId="316FCC39">
            <w:pPr>
              <w:autoSpaceDE w:val="0"/>
              <w:autoSpaceDN w:val="0"/>
              <w:adjustRightInd w:val="0"/>
              <w:snapToGrid w:val="0"/>
              <w:jc w:val="left"/>
              <w:rPr>
                <w:rFonts w:ascii="宋体" w:hAnsi="宋体"/>
                <w:color w:val="auto"/>
                <w:kern w:val="0"/>
                <w:sz w:val="24"/>
                <w:highlight w:val="none"/>
              </w:rPr>
            </w:pPr>
          </w:p>
        </w:tc>
        <w:tc>
          <w:tcPr>
            <w:tcW w:w="1855" w:type="dxa"/>
          </w:tcPr>
          <w:p w14:paraId="5E07C11F">
            <w:pPr>
              <w:autoSpaceDE w:val="0"/>
              <w:autoSpaceDN w:val="0"/>
              <w:adjustRightInd w:val="0"/>
              <w:snapToGrid w:val="0"/>
              <w:jc w:val="left"/>
              <w:rPr>
                <w:rFonts w:ascii="宋体" w:hAnsi="宋体"/>
                <w:color w:val="auto"/>
                <w:kern w:val="0"/>
                <w:sz w:val="24"/>
                <w:highlight w:val="none"/>
              </w:rPr>
            </w:pPr>
          </w:p>
        </w:tc>
        <w:tc>
          <w:tcPr>
            <w:tcW w:w="770" w:type="dxa"/>
          </w:tcPr>
          <w:p w14:paraId="5DE1FE35">
            <w:pPr>
              <w:autoSpaceDE w:val="0"/>
              <w:autoSpaceDN w:val="0"/>
              <w:adjustRightInd w:val="0"/>
              <w:snapToGrid w:val="0"/>
              <w:jc w:val="left"/>
              <w:rPr>
                <w:rFonts w:ascii="宋体" w:hAnsi="宋体"/>
                <w:color w:val="auto"/>
                <w:kern w:val="0"/>
                <w:sz w:val="24"/>
                <w:highlight w:val="none"/>
              </w:rPr>
            </w:pPr>
          </w:p>
        </w:tc>
      </w:tr>
      <w:tr w14:paraId="71F8D46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172FFC96">
            <w:pPr>
              <w:autoSpaceDE w:val="0"/>
              <w:autoSpaceDN w:val="0"/>
              <w:adjustRightInd w:val="0"/>
              <w:snapToGrid w:val="0"/>
              <w:jc w:val="left"/>
              <w:rPr>
                <w:rFonts w:ascii="宋体" w:hAnsi="宋体"/>
                <w:color w:val="auto"/>
                <w:kern w:val="0"/>
                <w:sz w:val="24"/>
                <w:highlight w:val="none"/>
              </w:rPr>
            </w:pPr>
          </w:p>
        </w:tc>
        <w:tc>
          <w:tcPr>
            <w:tcW w:w="1219" w:type="dxa"/>
          </w:tcPr>
          <w:p w14:paraId="6AEC02B5">
            <w:pPr>
              <w:autoSpaceDE w:val="0"/>
              <w:autoSpaceDN w:val="0"/>
              <w:adjustRightInd w:val="0"/>
              <w:snapToGrid w:val="0"/>
              <w:jc w:val="left"/>
              <w:rPr>
                <w:rFonts w:ascii="宋体" w:hAnsi="宋体"/>
                <w:color w:val="auto"/>
                <w:kern w:val="0"/>
                <w:sz w:val="24"/>
                <w:highlight w:val="none"/>
              </w:rPr>
            </w:pPr>
          </w:p>
        </w:tc>
        <w:tc>
          <w:tcPr>
            <w:tcW w:w="852" w:type="dxa"/>
          </w:tcPr>
          <w:p w14:paraId="38355A05">
            <w:pPr>
              <w:autoSpaceDE w:val="0"/>
              <w:autoSpaceDN w:val="0"/>
              <w:adjustRightInd w:val="0"/>
              <w:snapToGrid w:val="0"/>
              <w:jc w:val="left"/>
              <w:rPr>
                <w:rFonts w:ascii="宋体" w:hAnsi="宋体"/>
                <w:color w:val="auto"/>
                <w:kern w:val="0"/>
                <w:sz w:val="24"/>
                <w:highlight w:val="none"/>
              </w:rPr>
            </w:pPr>
          </w:p>
        </w:tc>
        <w:tc>
          <w:tcPr>
            <w:tcW w:w="1111" w:type="dxa"/>
          </w:tcPr>
          <w:p w14:paraId="2B13208D">
            <w:pPr>
              <w:autoSpaceDE w:val="0"/>
              <w:autoSpaceDN w:val="0"/>
              <w:adjustRightInd w:val="0"/>
              <w:snapToGrid w:val="0"/>
              <w:jc w:val="left"/>
              <w:rPr>
                <w:rFonts w:ascii="宋体" w:hAnsi="宋体"/>
                <w:color w:val="auto"/>
                <w:kern w:val="0"/>
                <w:sz w:val="24"/>
                <w:highlight w:val="none"/>
              </w:rPr>
            </w:pPr>
          </w:p>
        </w:tc>
        <w:tc>
          <w:tcPr>
            <w:tcW w:w="754" w:type="dxa"/>
          </w:tcPr>
          <w:p w14:paraId="1F770911">
            <w:pPr>
              <w:autoSpaceDE w:val="0"/>
              <w:autoSpaceDN w:val="0"/>
              <w:adjustRightInd w:val="0"/>
              <w:snapToGrid w:val="0"/>
              <w:jc w:val="left"/>
              <w:rPr>
                <w:rFonts w:ascii="宋体" w:hAnsi="宋体"/>
                <w:color w:val="auto"/>
                <w:kern w:val="0"/>
                <w:sz w:val="24"/>
                <w:highlight w:val="none"/>
              </w:rPr>
            </w:pPr>
          </w:p>
        </w:tc>
        <w:tc>
          <w:tcPr>
            <w:tcW w:w="827" w:type="dxa"/>
          </w:tcPr>
          <w:p w14:paraId="27CDC1A8">
            <w:pPr>
              <w:autoSpaceDE w:val="0"/>
              <w:autoSpaceDN w:val="0"/>
              <w:adjustRightInd w:val="0"/>
              <w:snapToGrid w:val="0"/>
              <w:jc w:val="left"/>
              <w:rPr>
                <w:rFonts w:ascii="宋体" w:hAnsi="宋体"/>
                <w:color w:val="auto"/>
                <w:kern w:val="0"/>
                <w:sz w:val="24"/>
                <w:highlight w:val="none"/>
              </w:rPr>
            </w:pPr>
          </w:p>
        </w:tc>
        <w:tc>
          <w:tcPr>
            <w:tcW w:w="1359" w:type="dxa"/>
          </w:tcPr>
          <w:p w14:paraId="0D460678">
            <w:pPr>
              <w:autoSpaceDE w:val="0"/>
              <w:autoSpaceDN w:val="0"/>
              <w:adjustRightInd w:val="0"/>
              <w:snapToGrid w:val="0"/>
              <w:jc w:val="left"/>
              <w:rPr>
                <w:rFonts w:ascii="宋体" w:hAnsi="宋体"/>
                <w:color w:val="auto"/>
                <w:kern w:val="0"/>
                <w:sz w:val="24"/>
                <w:highlight w:val="none"/>
              </w:rPr>
            </w:pPr>
          </w:p>
        </w:tc>
        <w:tc>
          <w:tcPr>
            <w:tcW w:w="1855" w:type="dxa"/>
          </w:tcPr>
          <w:p w14:paraId="7C715EE6">
            <w:pPr>
              <w:autoSpaceDE w:val="0"/>
              <w:autoSpaceDN w:val="0"/>
              <w:adjustRightInd w:val="0"/>
              <w:snapToGrid w:val="0"/>
              <w:jc w:val="left"/>
              <w:rPr>
                <w:rFonts w:ascii="宋体" w:hAnsi="宋体"/>
                <w:color w:val="auto"/>
                <w:kern w:val="0"/>
                <w:sz w:val="24"/>
                <w:highlight w:val="none"/>
              </w:rPr>
            </w:pPr>
          </w:p>
        </w:tc>
        <w:tc>
          <w:tcPr>
            <w:tcW w:w="770" w:type="dxa"/>
          </w:tcPr>
          <w:p w14:paraId="26F625FC">
            <w:pPr>
              <w:autoSpaceDE w:val="0"/>
              <w:autoSpaceDN w:val="0"/>
              <w:adjustRightInd w:val="0"/>
              <w:snapToGrid w:val="0"/>
              <w:jc w:val="left"/>
              <w:rPr>
                <w:rFonts w:ascii="宋体" w:hAnsi="宋体"/>
                <w:color w:val="auto"/>
                <w:kern w:val="0"/>
                <w:sz w:val="24"/>
                <w:highlight w:val="none"/>
              </w:rPr>
            </w:pPr>
          </w:p>
        </w:tc>
      </w:tr>
      <w:tr w14:paraId="632AB14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406EFF77">
            <w:pPr>
              <w:autoSpaceDE w:val="0"/>
              <w:autoSpaceDN w:val="0"/>
              <w:adjustRightInd w:val="0"/>
              <w:snapToGrid w:val="0"/>
              <w:jc w:val="left"/>
              <w:rPr>
                <w:rFonts w:ascii="宋体" w:hAnsi="宋体"/>
                <w:color w:val="auto"/>
                <w:kern w:val="0"/>
                <w:sz w:val="24"/>
                <w:highlight w:val="none"/>
              </w:rPr>
            </w:pPr>
          </w:p>
        </w:tc>
        <w:tc>
          <w:tcPr>
            <w:tcW w:w="1219" w:type="dxa"/>
          </w:tcPr>
          <w:p w14:paraId="6793F141">
            <w:pPr>
              <w:autoSpaceDE w:val="0"/>
              <w:autoSpaceDN w:val="0"/>
              <w:adjustRightInd w:val="0"/>
              <w:snapToGrid w:val="0"/>
              <w:jc w:val="left"/>
              <w:rPr>
                <w:rFonts w:ascii="宋体" w:hAnsi="宋体"/>
                <w:color w:val="auto"/>
                <w:kern w:val="0"/>
                <w:sz w:val="24"/>
                <w:highlight w:val="none"/>
              </w:rPr>
            </w:pPr>
          </w:p>
        </w:tc>
        <w:tc>
          <w:tcPr>
            <w:tcW w:w="852" w:type="dxa"/>
          </w:tcPr>
          <w:p w14:paraId="5EF00CD5">
            <w:pPr>
              <w:autoSpaceDE w:val="0"/>
              <w:autoSpaceDN w:val="0"/>
              <w:adjustRightInd w:val="0"/>
              <w:snapToGrid w:val="0"/>
              <w:jc w:val="left"/>
              <w:rPr>
                <w:rFonts w:ascii="宋体" w:hAnsi="宋体"/>
                <w:color w:val="auto"/>
                <w:kern w:val="0"/>
                <w:sz w:val="24"/>
                <w:highlight w:val="none"/>
              </w:rPr>
            </w:pPr>
          </w:p>
        </w:tc>
        <w:tc>
          <w:tcPr>
            <w:tcW w:w="1111" w:type="dxa"/>
          </w:tcPr>
          <w:p w14:paraId="5BE5AE7D">
            <w:pPr>
              <w:autoSpaceDE w:val="0"/>
              <w:autoSpaceDN w:val="0"/>
              <w:adjustRightInd w:val="0"/>
              <w:snapToGrid w:val="0"/>
              <w:jc w:val="left"/>
              <w:rPr>
                <w:rFonts w:ascii="宋体" w:hAnsi="宋体"/>
                <w:color w:val="auto"/>
                <w:kern w:val="0"/>
                <w:sz w:val="24"/>
                <w:highlight w:val="none"/>
              </w:rPr>
            </w:pPr>
          </w:p>
        </w:tc>
        <w:tc>
          <w:tcPr>
            <w:tcW w:w="754" w:type="dxa"/>
          </w:tcPr>
          <w:p w14:paraId="02A10B2B">
            <w:pPr>
              <w:autoSpaceDE w:val="0"/>
              <w:autoSpaceDN w:val="0"/>
              <w:adjustRightInd w:val="0"/>
              <w:snapToGrid w:val="0"/>
              <w:jc w:val="left"/>
              <w:rPr>
                <w:rFonts w:ascii="宋体" w:hAnsi="宋体"/>
                <w:color w:val="auto"/>
                <w:kern w:val="0"/>
                <w:sz w:val="24"/>
                <w:highlight w:val="none"/>
              </w:rPr>
            </w:pPr>
          </w:p>
        </w:tc>
        <w:tc>
          <w:tcPr>
            <w:tcW w:w="827" w:type="dxa"/>
          </w:tcPr>
          <w:p w14:paraId="2989AC7F">
            <w:pPr>
              <w:autoSpaceDE w:val="0"/>
              <w:autoSpaceDN w:val="0"/>
              <w:adjustRightInd w:val="0"/>
              <w:snapToGrid w:val="0"/>
              <w:jc w:val="left"/>
              <w:rPr>
                <w:rFonts w:ascii="宋体" w:hAnsi="宋体"/>
                <w:color w:val="auto"/>
                <w:kern w:val="0"/>
                <w:sz w:val="24"/>
                <w:highlight w:val="none"/>
              </w:rPr>
            </w:pPr>
          </w:p>
        </w:tc>
        <w:tc>
          <w:tcPr>
            <w:tcW w:w="1359" w:type="dxa"/>
          </w:tcPr>
          <w:p w14:paraId="3FF86DBF">
            <w:pPr>
              <w:autoSpaceDE w:val="0"/>
              <w:autoSpaceDN w:val="0"/>
              <w:adjustRightInd w:val="0"/>
              <w:snapToGrid w:val="0"/>
              <w:jc w:val="left"/>
              <w:rPr>
                <w:rFonts w:ascii="宋体" w:hAnsi="宋体"/>
                <w:color w:val="auto"/>
                <w:kern w:val="0"/>
                <w:sz w:val="24"/>
                <w:highlight w:val="none"/>
              </w:rPr>
            </w:pPr>
          </w:p>
        </w:tc>
        <w:tc>
          <w:tcPr>
            <w:tcW w:w="1855" w:type="dxa"/>
          </w:tcPr>
          <w:p w14:paraId="2DDEF671">
            <w:pPr>
              <w:autoSpaceDE w:val="0"/>
              <w:autoSpaceDN w:val="0"/>
              <w:adjustRightInd w:val="0"/>
              <w:snapToGrid w:val="0"/>
              <w:jc w:val="left"/>
              <w:rPr>
                <w:rFonts w:ascii="宋体" w:hAnsi="宋体"/>
                <w:color w:val="auto"/>
                <w:kern w:val="0"/>
                <w:sz w:val="24"/>
                <w:highlight w:val="none"/>
              </w:rPr>
            </w:pPr>
          </w:p>
        </w:tc>
        <w:tc>
          <w:tcPr>
            <w:tcW w:w="770" w:type="dxa"/>
          </w:tcPr>
          <w:p w14:paraId="3F09A669">
            <w:pPr>
              <w:autoSpaceDE w:val="0"/>
              <w:autoSpaceDN w:val="0"/>
              <w:adjustRightInd w:val="0"/>
              <w:snapToGrid w:val="0"/>
              <w:jc w:val="left"/>
              <w:rPr>
                <w:rFonts w:ascii="宋体" w:hAnsi="宋体"/>
                <w:color w:val="auto"/>
                <w:kern w:val="0"/>
                <w:sz w:val="24"/>
                <w:highlight w:val="none"/>
              </w:rPr>
            </w:pPr>
          </w:p>
        </w:tc>
      </w:tr>
      <w:tr w14:paraId="49BD67F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0391A9C6">
            <w:pPr>
              <w:autoSpaceDE w:val="0"/>
              <w:autoSpaceDN w:val="0"/>
              <w:adjustRightInd w:val="0"/>
              <w:snapToGrid w:val="0"/>
              <w:jc w:val="left"/>
              <w:rPr>
                <w:rFonts w:ascii="宋体" w:hAnsi="宋体"/>
                <w:color w:val="auto"/>
                <w:kern w:val="0"/>
                <w:sz w:val="24"/>
                <w:highlight w:val="none"/>
              </w:rPr>
            </w:pPr>
          </w:p>
        </w:tc>
        <w:tc>
          <w:tcPr>
            <w:tcW w:w="1219" w:type="dxa"/>
          </w:tcPr>
          <w:p w14:paraId="2B585D08">
            <w:pPr>
              <w:autoSpaceDE w:val="0"/>
              <w:autoSpaceDN w:val="0"/>
              <w:adjustRightInd w:val="0"/>
              <w:snapToGrid w:val="0"/>
              <w:jc w:val="left"/>
              <w:rPr>
                <w:rFonts w:ascii="宋体" w:hAnsi="宋体"/>
                <w:color w:val="auto"/>
                <w:kern w:val="0"/>
                <w:sz w:val="24"/>
                <w:highlight w:val="none"/>
              </w:rPr>
            </w:pPr>
          </w:p>
        </w:tc>
        <w:tc>
          <w:tcPr>
            <w:tcW w:w="852" w:type="dxa"/>
          </w:tcPr>
          <w:p w14:paraId="451A47F5">
            <w:pPr>
              <w:autoSpaceDE w:val="0"/>
              <w:autoSpaceDN w:val="0"/>
              <w:adjustRightInd w:val="0"/>
              <w:snapToGrid w:val="0"/>
              <w:jc w:val="left"/>
              <w:rPr>
                <w:rFonts w:ascii="宋体" w:hAnsi="宋体"/>
                <w:color w:val="auto"/>
                <w:kern w:val="0"/>
                <w:sz w:val="24"/>
                <w:highlight w:val="none"/>
              </w:rPr>
            </w:pPr>
          </w:p>
        </w:tc>
        <w:tc>
          <w:tcPr>
            <w:tcW w:w="1111" w:type="dxa"/>
          </w:tcPr>
          <w:p w14:paraId="43459D5A">
            <w:pPr>
              <w:autoSpaceDE w:val="0"/>
              <w:autoSpaceDN w:val="0"/>
              <w:adjustRightInd w:val="0"/>
              <w:snapToGrid w:val="0"/>
              <w:jc w:val="left"/>
              <w:rPr>
                <w:rFonts w:ascii="宋体" w:hAnsi="宋体"/>
                <w:color w:val="auto"/>
                <w:kern w:val="0"/>
                <w:sz w:val="24"/>
                <w:highlight w:val="none"/>
              </w:rPr>
            </w:pPr>
          </w:p>
        </w:tc>
        <w:tc>
          <w:tcPr>
            <w:tcW w:w="754" w:type="dxa"/>
          </w:tcPr>
          <w:p w14:paraId="3D2949D7">
            <w:pPr>
              <w:autoSpaceDE w:val="0"/>
              <w:autoSpaceDN w:val="0"/>
              <w:adjustRightInd w:val="0"/>
              <w:snapToGrid w:val="0"/>
              <w:jc w:val="left"/>
              <w:rPr>
                <w:rFonts w:ascii="宋体" w:hAnsi="宋体"/>
                <w:color w:val="auto"/>
                <w:kern w:val="0"/>
                <w:sz w:val="24"/>
                <w:highlight w:val="none"/>
              </w:rPr>
            </w:pPr>
          </w:p>
        </w:tc>
        <w:tc>
          <w:tcPr>
            <w:tcW w:w="827" w:type="dxa"/>
          </w:tcPr>
          <w:p w14:paraId="2D07623C">
            <w:pPr>
              <w:autoSpaceDE w:val="0"/>
              <w:autoSpaceDN w:val="0"/>
              <w:adjustRightInd w:val="0"/>
              <w:snapToGrid w:val="0"/>
              <w:jc w:val="left"/>
              <w:rPr>
                <w:rFonts w:ascii="宋体" w:hAnsi="宋体"/>
                <w:color w:val="auto"/>
                <w:kern w:val="0"/>
                <w:sz w:val="24"/>
                <w:highlight w:val="none"/>
              </w:rPr>
            </w:pPr>
          </w:p>
        </w:tc>
        <w:tc>
          <w:tcPr>
            <w:tcW w:w="1359" w:type="dxa"/>
          </w:tcPr>
          <w:p w14:paraId="651F7556">
            <w:pPr>
              <w:autoSpaceDE w:val="0"/>
              <w:autoSpaceDN w:val="0"/>
              <w:adjustRightInd w:val="0"/>
              <w:snapToGrid w:val="0"/>
              <w:jc w:val="left"/>
              <w:rPr>
                <w:rFonts w:ascii="宋体" w:hAnsi="宋体"/>
                <w:color w:val="auto"/>
                <w:kern w:val="0"/>
                <w:sz w:val="24"/>
                <w:highlight w:val="none"/>
              </w:rPr>
            </w:pPr>
          </w:p>
        </w:tc>
        <w:tc>
          <w:tcPr>
            <w:tcW w:w="1855" w:type="dxa"/>
          </w:tcPr>
          <w:p w14:paraId="2C3CC235">
            <w:pPr>
              <w:autoSpaceDE w:val="0"/>
              <w:autoSpaceDN w:val="0"/>
              <w:adjustRightInd w:val="0"/>
              <w:snapToGrid w:val="0"/>
              <w:jc w:val="left"/>
              <w:rPr>
                <w:rFonts w:ascii="宋体" w:hAnsi="宋体"/>
                <w:color w:val="auto"/>
                <w:kern w:val="0"/>
                <w:sz w:val="24"/>
                <w:highlight w:val="none"/>
              </w:rPr>
            </w:pPr>
          </w:p>
        </w:tc>
        <w:tc>
          <w:tcPr>
            <w:tcW w:w="770" w:type="dxa"/>
          </w:tcPr>
          <w:p w14:paraId="56A64C78">
            <w:pPr>
              <w:autoSpaceDE w:val="0"/>
              <w:autoSpaceDN w:val="0"/>
              <w:adjustRightInd w:val="0"/>
              <w:snapToGrid w:val="0"/>
              <w:jc w:val="left"/>
              <w:rPr>
                <w:rFonts w:ascii="宋体" w:hAnsi="宋体"/>
                <w:color w:val="auto"/>
                <w:kern w:val="0"/>
                <w:sz w:val="24"/>
                <w:highlight w:val="none"/>
              </w:rPr>
            </w:pPr>
          </w:p>
        </w:tc>
      </w:tr>
      <w:tr w14:paraId="2828981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7C019556">
            <w:pPr>
              <w:autoSpaceDE w:val="0"/>
              <w:autoSpaceDN w:val="0"/>
              <w:adjustRightInd w:val="0"/>
              <w:snapToGrid w:val="0"/>
              <w:jc w:val="left"/>
              <w:rPr>
                <w:rFonts w:ascii="宋体" w:hAnsi="宋体"/>
                <w:color w:val="auto"/>
                <w:kern w:val="0"/>
                <w:sz w:val="24"/>
                <w:highlight w:val="none"/>
              </w:rPr>
            </w:pPr>
          </w:p>
        </w:tc>
        <w:tc>
          <w:tcPr>
            <w:tcW w:w="1219" w:type="dxa"/>
          </w:tcPr>
          <w:p w14:paraId="282C3B00">
            <w:pPr>
              <w:autoSpaceDE w:val="0"/>
              <w:autoSpaceDN w:val="0"/>
              <w:adjustRightInd w:val="0"/>
              <w:snapToGrid w:val="0"/>
              <w:jc w:val="left"/>
              <w:rPr>
                <w:rFonts w:ascii="宋体" w:hAnsi="宋体"/>
                <w:color w:val="auto"/>
                <w:kern w:val="0"/>
                <w:sz w:val="24"/>
                <w:highlight w:val="none"/>
              </w:rPr>
            </w:pPr>
          </w:p>
        </w:tc>
        <w:tc>
          <w:tcPr>
            <w:tcW w:w="852" w:type="dxa"/>
          </w:tcPr>
          <w:p w14:paraId="3B25E136">
            <w:pPr>
              <w:autoSpaceDE w:val="0"/>
              <w:autoSpaceDN w:val="0"/>
              <w:adjustRightInd w:val="0"/>
              <w:snapToGrid w:val="0"/>
              <w:jc w:val="left"/>
              <w:rPr>
                <w:rFonts w:ascii="宋体" w:hAnsi="宋体"/>
                <w:color w:val="auto"/>
                <w:kern w:val="0"/>
                <w:sz w:val="24"/>
                <w:highlight w:val="none"/>
              </w:rPr>
            </w:pPr>
          </w:p>
        </w:tc>
        <w:tc>
          <w:tcPr>
            <w:tcW w:w="1111" w:type="dxa"/>
          </w:tcPr>
          <w:p w14:paraId="7AAE8421">
            <w:pPr>
              <w:autoSpaceDE w:val="0"/>
              <w:autoSpaceDN w:val="0"/>
              <w:adjustRightInd w:val="0"/>
              <w:snapToGrid w:val="0"/>
              <w:jc w:val="left"/>
              <w:rPr>
                <w:rFonts w:ascii="宋体" w:hAnsi="宋体"/>
                <w:color w:val="auto"/>
                <w:kern w:val="0"/>
                <w:sz w:val="24"/>
                <w:highlight w:val="none"/>
              </w:rPr>
            </w:pPr>
          </w:p>
        </w:tc>
        <w:tc>
          <w:tcPr>
            <w:tcW w:w="754" w:type="dxa"/>
          </w:tcPr>
          <w:p w14:paraId="629A03FE">
            <w:pPr>
              <w:autoSpaceDE w:val="0"/>
              <w:autoSpaceDN w:val="0"/>
              <w:adjustRightInd w:val="0"/>
              <w:snapToGrid w:val="0"/>
              <w:jc w:val="left"/>
              <w:rPr>
                <w:rFonts w:ascii="宋体" w:hAnsi="宋体"/>
                <w:color w:val="auto"/>
                <w:kern w:val="0"/>
                <w:sz w:val="24"/>
                <w:highlight w:val="none"/>
              </w:rPr>
            </w:pPr>
          </w:p>
        </w:tc>
        <w:tc>
          <w:tcPr>
            <w:tcW w:w="827" w:type="dxa"/>
          </w:tcPr>
          <w:p w14:paraId="75F910FE">
            <w:pPr>
              <w:autoSpaceDE w:val="0"/>
              <w:autoSpaceDN w:val="0"/>
              <w:adjustRightInd w:val="0"/>
              <w:snapToGrid w:val="0"/>
              <w:jc w:val="left"/>
              <w:rPr>
                <w:rFonts w:ascii="宋体" w:hAnsi="宋体"/>
                <w:color w:val="auto"/>
                <w:kern w:val="0"/>
                <w:sz w:val="24"/>
                <w:highlight w:val="none"/>
              </w:rPr>
            </w:pPr>
          </w:p>
        </w:tc>
        <w:tc>
          <w:tcPr>
            <w:tcW w:w="1359" w:type="dxa"/>
          </w:tcPr>
          <w:p w14:paraId="22BCCC4C">
            <w:pPr>
              <w:autoSpaceDE w:val="0"/>
              <w:autoSpaceDN w:val="0"/>
              <w:adjustRightInd w:val="0"/>
              <w:snapToGrid w:val="0"/>
              <w:jc w:val="left"/>
              <w:rPr>
                <w:rFonts w:ascii="宋体" w:hAnsi="宋体"/>
                <w:color w:val="auto"/>
                <w:kern w:val="0"/>
                <w:sz w:val="24"/>
                <w:highlight w:val="none"/>
              </w:rPr>
            </w:pPr>
          </w:p>
        </w:tc>
        <w:tc>
          <w:tcPr>
            <w:tcW w:w="1855" w:type="dxa"/>
          </w:tcPr>
          <w:p w14:paraId="439CB530">
            <w:pPr>
              <w:autoSpaceDE w:val="0"/>
              <w:autoSpaceDN w:val="0"/>
              <w:adjustRightInd w:val="0"/>
              <w:snapToGrid w:val="0"/>
              <w:jc w:val="left"/>
              <w:rPr>
                <w:rFonts w:ascii="宋体" w:hAnsi="宋体"/>
                <w:color w:val="auto"/>
                <w:kern w:val="0"/>
                <w:sz w:val="24"/>
                <w:highlight w:val="none"/>
              </w:rPr>
            </w:pPr>
          </w:p>
        </w:tc>
        <w:tc>
          <w:tcPr>
            <w:tcW w:w="770" w:type="dxa"/>
          </w:tcPr>
          <w:p w14:paraId="4E0BAD9F">
            <w:pPr>
              <w:autoSpaceDE w:val="0"/>
              <w:autoSpaceDN w:val="0"/>
              <w:adjustRightInd w:val="0"/>
              <w:snapToGrid w:val="0"/>
              <w:jc w:val="left"/>
              <w:rPr>
                <w:rFonts w:ascii="宋体" w:hAnsi="宋体"/>
                <w:color w:val="auto"/>
                <w:kern w:val="0"/>
                <w:sz w:val="24"/>
                <w:highlight w:val="none"/>
              </w:rPr>
            </w:pPr>
          </w:p>
        </w:tc>
      </w:tr>
      <w:tr w14:paraId="1D0F3F8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7F0EE4FE">
            <w:pPr>
              <w:autoSpaceDE w:val="0"/>
              <w:autoSpaceDN w:val="0"/>
              <w:adjustRightInd w:val="0"/>
              <w:snapToGrid w:val="0"/>
              <w:jc w:val="left"/>
              <w:rPr>
                <w:rFonts w:ascii="宋体" w:hAnsi="宋体"/>
                <w:color w:val="auto"/>
                <w:kern w:val="0"/>
                <w:sz w:val="24"/>
                <w:highlight w:val="none"/>
              </w:rPr>
            </w:pPr>
          </w:p>
        </w:tc>
        <w:tc>
          <w:tcPr>
            <w:tcW w:w="1219" w:type="dxa"/>
          </w:tcPr>
          <w:p w14:paraId="1FCD2FEF">
            <w:pPr>
              <w:autoSpaceDE w:val="0"/>
              <w:autoSpaceDN w:val="0"/>
              <w:adjustRightInd w:val="0"/>
              <w:snapToGrid w:val="0"/>
              <w:jc w:val="left"/>
              <w:rPr>
                <w:rFonts w:ascii="宋体" w:hAnsi="宋体"/>
                <w:color w:val="auto"/>
                <w:kern w:val="0"/>
                <w:sz w:val="24"/>
                <w:highlight w:val="none"/>
              </w:rPr>
            </w:pPr>
          </w:p>
        </w:tc>
        <w:tc>
          <w:tcPr>
            <w:tcW w:w="852" w:type="dxa"/>
          </w:tcPr>
          <w:p w14:paraId="59127958">
            <w:pPr>
              <w:autoSpaceDE w:val="0"/>
              <w:autoSpaceDN w:val="0"/>
              <w:adjustRightInd w:val="0"/>
              <w:snapToGrid w:val="0"/>
              <w:jc w:val="left"/>
              <w:rPr>
                <w:rFonts w:ascii="宋体" w:hAnsi="宋体"/>
                <w:color w:val="auto"/>
                <w:kern w:val="0"/>
                <w:sz w:val="24"/>
                <w:highlight w:val="none"/>
              </w:rPr>
            </w:pPr>
          </w:p>
        </w:tc>
        <w:tc>
          <w:tcPr>
            <w:tcW w:w="1111" w:type="dxa"/>
          </w:tcPr>
          <w:p w14:paraId="2EE3B2B9">
            <w:pPr>
              <w:autoSpaceDE w:val="0"/>
              <w:autoSpaceDN w:val="0"/>
              <w:adjustRightInd w:val="0"/>
              <w:snapToGrid w:val="0"/>
              <w:jc w:val="left"/>
              <w:rPr>
                <w:rFonts w:ascii="宋体" w:hAnsi="宋体"/>
                <w:color w:val="auto"/>
                <w:kern w:val="0"/>
                <w:sz w:val="24"/>
                <w:highlight w:val="none"/>
              </w:rPr>
            </w:pPr>
          </w:p>
        </w:tc>
        <w:tc>
          <w:tcPr>
            <w:tcW w:w="754" w:type="dxa"/>
          </w:tcPr>
          <w:p w14:paraId="798924E3">
            <w:pPr>
              <w:autoSpaceDE w:val="0"/>
              <w:autoSpaceDN w:val="0"/>
              <w:adjustRightInd w:val="0"/>
              <w:snapToGrid w:val="0"/>
              <w:jc w:val="left"/>
              <w:rPr>
                <w:rFonts w:ascii="宋体" w:hAnsi="宋体"/>
                <w:color w:val="auto"/>
                <w:kern w:val="0"/>
                <w:sz w:val="24"/>
                <w:highlight w:val="none"/>
              </w:rPr>
            </w:pPr>
          </w:p>
        </w:tc>
        <w:tc>
          <w:tcPr>
            <w:tcW w:w="827" w:type="dxa"/>
          </w:tcPr>
          <w:p w14:paraId="0F5EE25E">
            <w:pPr>
              <w:autoSpaceDE w:val="0"/>
              <w:autoSpaceDN w:val="0"/>
              <w:adjustRightInd w:val="0"/>
              <w:snapToGrid w:val="0"/>
              <w:jc w:val="left"/>
              <w:rPr>
                <w:rFonts w:ascii="宋体" w:hAnsi="宋体"/>
                <w:color w:val="auto"/>
                <w:kern w:val="0"/>
                <w:sz w:val="24"/>
                <w:highlight w:val="none"/>
              </w:rPr>
            </w:pPr>
          </w:p>
        </w:tc>
        <w:tc>
          <w:tcPr>
            <w:tcW w:w="1359" w:type="dxa"/>
          </w:tcPr>
          <w:p w14:paraId="15DF0045">
            <w:pPr>
              <w:autoSpaceDE w:val="0"/>
              <w:autoSpaceDN w:val="0"/>
              <w:adjustRightInd w:val="0"/>
              <w:snapToGrid w:val="0"/>
              <w:jc w:val="left"/>
              <w:rPr>
                <w:rFonts w:ascii="宋体" w:hAnsi="宋体"/>
                <w:color w:val="auto"/>
                <w:kern w:val="0"/>
                <w:sz w:val="24"/>
                <w:highlight w:val="none"/>
              </w:rPr>
            </w:pPr>
          </w:p>
        </w:tc>
        <w:tc>
          <w:tcPr>
            <w:tcW w:w="1855" w:type="dxa"/>
          </w:tcPr>
          <w:p w14:paraId="3B7F4AAF">
            <w:pPr>
              <w:autoSpaceDE w:val="0"/>
              <w:autoSpaceDN w:val="0"/>
              <w:adjustRightInd w:val="0"/>
              <w:snapToGrid w:val="0"/>
              <w:jc w:val="left"/>
              <w:rPr>
                <w:rFonts w:ascii="宋体" w:hAnsi="宋体"/>
                <w:color w:val="auto"/>
                <w:kern w:val="0"/>
                <w:sz w:val="24"/>
                <w:highlight w:val="none"/>
              </w:rPr>
            </w:pPr>
          </w:p>
        </w:tc>
        <w:tc>
          <w:tcPr>
            <w:tcW w:w="770" w:type="dxa"/>
          </w:tcPr>
          <w:p w14:paraId="6B3F9C2D">
            <w:pPr>
              <w:autoSpaceDE w:val="0"/>
              <w:autoSpaceDN w:val="0"/>
              <w:adjustRightInd w:val="0"/>
              <w:snapToGrid w:val="0"/>
              <w:jc w:val="left"/>
              <w:rPr>
                <w:rFonts w:ascii="宋体" w:hAnsi="宋体"/>
                <w:color w:val="auto"/>
                <w:kern w:val="0"/>
                <w:sz w:val="24"/>
                <w:highlight w:val="none"/>
              </w:rPr>
            </w:pPr>
          </w:p>
        </w:tc>
      </w:tr>
      <w:tr w14:paraId="5899CCD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1FF2C522">
            <w:pPr>
              <w:autoSpaceDE w:val="0"/>
              <w:autoSpaceDN w:val="0"/>
              <w:adjustRightInd w:val="0"/>
              <w:snapToGrid w:val="0"/>
              <w:jc w:val="left"/>
              <w:rPr>
                <w:rFonts w:ascii="宋体" w:hAnsi="宋体"/>
                <w:color w:val="auto"/>
                <w:kern w:val="0"/>
                <w:sz w:val="24"/>
                <w:highlight w:val="none"/>
              </w:rPr>
            </w:pPr>
          </w:p>
        </w:tc>
        <w:tc>
          <w:tcPr>
            <w:tcW w:w="1219" w:type="dxa"/>
          </w:tcPr>
          <w:p w14:paraId="4EDB34E8">
            <w:pPr>
              <w:autoSpaceDE w:val="0"/>
              <w:autoSpaceDN w:val="0"/>
              <w:adjustRightInd w:val="0"/>
              <w:snapToGrid w:val="0"/>
              <w:jc w:val="left"/>
              <w:rPr>
                <w:rFonts w:ascii="宋体" w:hAnsi="宋体"/>
                <w:color w:val="auto"/>
                <w:kern w:val="0"/>
                <w:sz w:val="24"/>
                <w:highlight w:val="none"/>
              </w:rPr>
            </w:pPr>
          </w:p>
        </w:tc>
        <w:tc>
          <w:tcPr>
            <w:tcW w:w="852" w:type="dxa"/>
          </w:tcPr>
          <w:p w14:paraId="33436FA8">
            <w:pPr>
              <w:autoSpaceDE w:val="0"/>
              <w:autoSpaceDN w:val="0"/>
              <w:adjustRightInd w:val="0"/>
              <w:snapToGrid w:val="0"/>
              <w:jc w:val="left"/>
              <w:rPr>
                <w:rFonts w:ascii="宋体" w:hAnsi="宋体"/>
                <w:color w:val="auto"/>
                <w:kern w:val="0"/>
                <w:sz w:val="24"/>
                <w:highlight w:val="none"/>
              </w:rPr>
            </w:pPr>
          </w:p>
        </w:tc>
        <w:tc>
          <w:tcPr>
            <w:tcW w:w="1111" w:type="dxa"/>
          </w:tcPr>
          <w:p w14:paraId="4CAE8E40">
            <w:pPr>
              <w:autoSpaceDE w:val="0"/>
              <w:autoSpaceDN w:val="0"/>
              <w:adjustRightInd w:val="0"/>
              <w:snapToGrid w:val="0"/>
              <w:jc w:val="left"/>
              <w:rPr>
                <w:rFonts w:ascii="宋体" w:hAnsi="宋体"/>
                <w:color w:val="auto"/>
                <w:kern w:val="0"/>
                <w:sz w:val="24"/>
                <w:highlight w:val="none"/>
              </w:rPr>
            </w:pPr>
          </w:p>
        </w:tc>
        <w:tc>
          <w:tcPr>
            <w:tcW w:w="754" w:type="dxa"/>
          </w:tcPr>
          <w:p w14:paraId="639D680E">
            <w:pPr>
              <w:autoSpaceDE w:val="0"/>
              <w:autoSpaceDN w:val="0"/>
              <w:adjustRightInd w:val="0"/>
              <w:snapToGrid w:val="0"/>
              <w:jc w:val="left"/>
              <w:rPr>
                <w:rFonts w:ascii="宋体" w:hAnsi="宋体"/>
                <w:color w:val="auto"/>
                <w:kern w:val="0"/>
                <w:sz w:val="24"/>
                <w:highlight w:val="none"/>
              </w:rPr>
            </w:pPr>
          </w:p>
        </w:tc>
        <w:tc>
          <w:tcPr>
            <w:tcW w:w="827" w:type="dxa"/>
          </w:tcPr>
          <w:p w14:paraId="32A11AC1">
            <w:pPr>
              <w:autoSpaceDE w:val="0"/>
              <w:autoSpaceDN w:val="0"/>
              <w:adjustRightInd w:val="0"/>
              <w:snapToGrid w:val="0"/>
              <w:jc w:val="left"/>
              <w:rPr>
                <w:rFonts w:ascii="宋体" w:hAnsi="宋体"/>
                <w:color w:val="auto"/>
                <w:kern w:val="0"/>
                <w:sz w:val="24"/>
                <w:highlight w:val="none"/>
              </w:rPr>
            </w:pPr>
          </w:p>
        </w:tc>
        <w:tc>
          <w:tcPr>
            <w:tcW w:w="1359" w:type="dxa"/>
          </w:tcPr>
          <w:p w14:paraId="163BEE19">
            <w:pPr>
              <w:autoSpaceDE w:val="0"/>
              <w:autoSpaceDN w:val="0"/>
              <w:adjustRightInd w:val="0"/>
              <w:snapToGrid w:val="0"/>
              <w:jc w:val="left"/>
              <w:rPr>
                <w:rFonts w:ascii="宋体" w:hAnsi="宋体"/>
                <w:color w:val="auto"/>
                <w:kern w:val="0"/>
                <w:sz w:val="24"/>
                <w:highlight w:val="none"/>
              </w:rPr>
            </w:pPr>
          </w:p>
        </w:tc>
        <w:tc>
          <w:tcPr>
            <w:tcW w:w="1855" w:type="dxa"/>
          </w:tcPr>
          <w:p w14:paraId="059158B7">
            <w:pPr>
              <w:autoSpaceDE w:val="0"/>
              <w:autoSpaceDN w:val="0"/>
              <w:adjustRightInd w:val="0"/>
              <w:snapToGrid w:val="0"/>
              <w:jc w:val="left"/>
              <w:rPr>
                <w:rFonts w:ascii="宋体" w:hAnsi="宋体"/>
                <w:color w:val="auto"/>
                <w:kern w:val="0"/>
                <w:sz w:val="24"/>
                <w:highlight w:val="none"/>
              </w:rPr>
            </w:pPr>
          </w:p>
        </w:tc>
        <w:tc>
          <w:tcPr>
            <w:tcW w:w="770" w:type="dxa"/>
          </w:tcPr>
          <w:p w14:paraId="3D79A348">
            <w:pPr>
              <w:autoSpaceDE w:val="0"/>
              <w:autoSpaceDN w:val="0"/>
              <w:adjustRightInd w:val="0"/>
              <w:snapToGrid w:val="0"/>
              <w:jc w:val="left"/>
              <w:rPr>
                <w:rFonts w:ascii="宋体" w:hAnsi="宋体"/>
                <w:color w:val="auto"/>
                <w:kern w:val="0"/>
                <w:sz w:val="24"/>
                <w:highlight w:val="none"/>
              </w:rPr>
            </w:pPr>
          </w:p>
        </w:tc>
      </w:tr>
      <w:tr w14:paraId="5E8935E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412B1BCC">
            <w:pPr>
              <w:autoSpaceDE w:val="0"/>
              <w:autoSpaceDN w:val="0"/>
              <w:adjustRightInd w:val="0"/>
              <w:snapToGrid w:val="0"/>
              <w:jc w:val="left"/>
              <w:rPr>
                <w:rFonts w:ascii="宋体" w:hAnsi="宋体"/>
                <w:color w:val="auto"/>
                <w:kern w:val="0"/>
                <w:sz w:val="24"/>
                <w:highlight w:val="none"/>
              </w:rPr>
            </w:pPr>
          </w:p>
        </w:tc>
        <w:tc>
          <w:tcPr>
            <w:tcW w:w="1219" w:type="dxa"/>
          </w:tcPr>
          <w:p w14:paraId="3F205128">
            <w:pPr>
              <w:autoSpaceDE w:val="0"/>
              <w:autoSpaceDN w:val="0"/>
              <w:adjustRightInd w:val="0"/>
              <w:snapToGrid w:val="0"/>
              <w:jc w:val="left"/>
              <w:rPr>
                <w:rFonts w:ascii="宋体" w:hAnsi="宋体"/>
                <w:color w:val="auto"/>
                <w:kern w:val="0"/>
                <w:sz w:val="24"/>
                <w:highlight w:val="none"/>
              </w:rPr>
            </w:pPr>
          </w:p>
        </w:tc>
        <w:tc>
          <w:tcPr>
            <w:tcW w:w="852" w:type="dxa"/>
          </w:tcPr>
          <w:p w14:paraId="3854B941">
            <w:pPr>
              <w:autoSpaceDE w:val="0"/>
              <w:autoSpaceDN w:val="0"/>
              <w:adjustRightInd w:val="0"/>
              <w:snapToGrid w:val="0"/>
              <w:jc w:val="left"/>
              <w:rPr>
                <w:rFonts w:ascii="宋体" w:hAnsi="宋体"/>
                <w:color w:val="auto"/>
                <w:kern w:val="0"/>
                <w:sz w:val="24"/>
                <w:highlight w:val="none"/>
              </w:rPr>
            </w:pPr>
          </w:p>
        </w:tc>
        <w:tc>
          <w:tcPr>
            <w:tcW w:w="1111" w:type="dxa"/>
          </w:tcPr>
          <w:p w14:paraId="56F5CB9D">
            <w:pPr>
              <w:autoSpaceDE w:val="0"/>
              <w:autoSpaceDN w:val="0"/>
              <w:adjustRightInd w:val="0"/>
              <w:snapToGrid w:val="0"/>
              <w:jc w:val="left"/>
              <w:rPr>
                <w:rFonts w:ascii="宋体" w:hAnsi="宋体"/>
                <w:color w:val="auto"/>
                <w:kern w:val="0"/>
                <w:sz w:val="24"/>
                <w:highlight w:val="none"/>
              </w:rPr>
            </w:pPr>
          </w:p>
        </w:tc>
        <w:tc>
          <w:tcPr>
            <w:tcW w:w="754" w:type="dxa"/>
          </w:tcPr>
          <w:p w14:paraId="71B03BAE">
            <w:pPr>
              <w:autoSpaceDE w:val="0"/>
              <w:autoSpaceDN w:val="0"/>
              <w:adjustRightInd w:val="0"/>
              <w:snapToGrid w:val="0"/>
              <w:jc w:val="left"/>
              <w:rPr>
                <w:rFonts w:ascii="宋体" w:hAnsi="宋体"/>
                <w:color w:val="auto"/>
                <w:kern w:val="0"/>
                <w:sz w:val="24"/>
                <w:highlight w:val="none"/>
              </w:rPr>
            </w:pPr>
          </w:p>
        </w:tc>
        <w:tc>
          <w:tcPr>
            <w:tcW w:w="827" w:type="dxa"/>
          </w:tcPr>
          <w:p w14:paraId="6D775E15">
            <w:pPr>
              <w:autoSpaceDE w:val="0"/>
              <w:autoSpaceDN w:val="0"/>
              <w:adjustRightInd w:val="0"/>
              <w:snapToGrid w:val="0"/>
              <w:jc w:val="left"/>
              <w:rPr>
                <w:rFonts w:ascii="宋体" w:hAnsi="宋体"/>
                <w:color w:val="auto"/>
                <w:kern w:val="0"/>
                <w:sz w:val="24"/>
                <w:highlight w:val="none"/>
              </w:rPr>
            </w:pPr>
          </w:p>
        </w:tc>
        <w:tc>
          <w:tcPr>
            <w:tcW w:w="1359" w:type="dxa"/>
          </w:tcPr>
          <w:p w14:paraId="3D375FD6">
            <w:pPr>
              <w:autoSpaceDE w:val="0"/>
              <w:autoSpaceDN w:val="0"/>
              <w:adjustRightInd w:val="0"/>
              <w:snapToGrid w:val="0"/>
              <w:jc w:val="left"/>
              <w:rPr>
                <w:rFonts w:ascii="宋体" w:hAnsi="宋体"/>
                <w:color w:val="auto"/>
                <w:kern w:val="0"/>
                <w:sz w:val="24"/>
                <w:highlight w:val="none"/>
              </w:rPr>
            </w:pPr>
          </w:p>
        </w:tc>
        <w:tc>
          <w:tcPr>
            <w:tcW w:w="1855" w:type="dxa"/>
          </w:tcPr>
          <w:p w14:paraId="5BFA57B2">
            <w:pPr>
              <w:autoSpaceDE w:val="0"/>
              <w:autoSpaceDN w:val="0"/>
              <w:adjustRightInd w:val="0"/>
              <w:snapToGrid w:val="0"/>
              <w:jc w:val="left"/>
              <w:rPr>
                <w:rFonts w:ascii="宋体" w:hAnsi="宋体"/>
                <w:color w:val="auto"/>
                <w:kern w:val="0"/>
                <w:sz w:val="24"/>
                <w:highlight w:val="none"/>
              </w:rPr>
            </w:pPr>
          </w:p>
        </w:tc>
        <w:tc>
          <w:tcPr>
            <w:tcW w:w="770" w:type="dxa"/>
          </w:tcPr>
          <w:p w14:paraId="28B19961">
            <w:pPr>
              <w:autoSpaceDE w:val="0"/>
              <w:autoSpaceDN w:val="0"/>
              <w:adjustRightInd w:val="0"/>
              <w:snapToGrid w:val="0"/>
              <w:jc w:val="left"/>
              <w:rPr>
                <w:rFonts w:ascii="宋体" w:hAnsi="宋体"/>
                <w:color w:val="auto"/>
                <w:kern w:val="0"/>
                <w:sz w:val="24"/>
                <w:highlight w:val="none"/>
              </w:rPr>
            </w:pPr>
          </w:p>
        </w:tc>
      </w:tr>
      <w:tr w14:paraId="04C9DA0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15E14634">
            <w:pPr>
              <w:autoSpaceDE w:val="0"/>
              <w:autoSpaceDN w:val="0"/>
              <w:adjustRightInd w:val="0"/>
              <w:snapToGrid w:val="0"/>
              <w:jc w:val="left"/>
              <w:rPr>
                <w:rFonts w:ascii="宋体" w:hAnsi="宋体"/>
                <w:color w:val="auto"/>
                <w:kern w:val="0"/>
                <w:sz w:val="24"/>
                <w:highlight w:val="none"/>
              </w:rPr>
            </w:pPr>
          </w:p>
        </w:tc>
        <w:tc>
          <w:tcPr>
            <w:tcW w:w="1219" w:type="dxa"/>
          </w:tcPr>
          <w:p w14:paraId="304C4E3F">
            <w:pPr>
              <w:autoSpaceDE w:val="0"/>
              <w:autoSpaceDN w:val="0"/>
              <w:adjustRightInd w:val="0"/>
              <w:snapToGrid w:val="0"/>
              <w:jc w:val="left"/>
              <w:rPr>
                <w:rFonts w:ascii="宋体" w:hAnsi="宋体"/>
                <w:color w:val="auto"/>
                <w:kern w:val="0"/>
                <w:sz w:val="24"/>
                <w:highlight w:val="none"/>
              </w:rPr>
            </w:pPr>
          </w:p>
        </w:tc>
        <w:tc>
          <w:tcPr>
            <w:tcW w:w="852" w:type="dxa"/>
          </w:tcPr>
          <w:p w14:paraId="6DC6D259">
            <w:pPr>
              <w:autoSpaceDE w:val="0"/>
              <w:autoSpaceDN w:val="0"/>
              <w:adjustRightInd w:val="0"/>
              <w:snapToGrid w:val="0"/>
              <w:jc w:val="left"/>
              <w:rPr>
                <w:rFonts w:ascii="宋体" w:hAnsi="宋体"/>
                <w:color w:val="auto"/>
                <w:kern w:val="0"/>
                <w:sz w:val="24"/>
                <w:highlight w:val="none"/>
              </w:rPr>
            </w:pPr>
          </w:p>
        </w:tc>
        <w:tc>
          <w:tcPr>
            <w:tcW w:w="1111" w:type="dxa"/>
          </w:tcPr>
          <w:p w14:paraId="06B74B27">
            <w:pPr>
              <w:autoSpaceDE w:val="0"/>
              <w:autoSpaceDN w:val="0"/>
              <w:adjustRightInd w:val="0"/>
              <w:snapToGrid w:val="0"/>
              <w:jc w:val="left"/>
              <w:rPr>
                <w:rFonts w:ascii="宋体" w:hAnsi="宋体"/>
                <w:color w:val="auto"/>
                <w:kern w:val="0"/>
                <w:sz w:val="24"/>
                <w:highlight w:val="none"/>
              </w:rPr>
            </w:pPr>
          </w:p>
        </w:tc>
        <w:tc>
          <w:tcPr>
            <w:tcW w:w="754" w:type="dxa"/>
          </w:tcPr>
          <w:p w14:paraId="26C9C80C">
            <w:pPr>
              <w:autoSpaceDE w:val="0"/>
              <w:autoSpaceDN w:val="0"/>
              <w:adjustRightInd w:val="0"/>
              <w:snapToGrid w:val="0"/>
              <w:jc w:val="left"/>
              <w:rPr>
                <w:rFonts w:ascii="宋体" w:hAnsi="宋体"/>
                <w:color w:val="auto"/>
                <w:kern w:val="0"/>
                <w:sz w:val="24"/>
                <w:highlight w:val="none"/>
              </w:rPr>
            </w:pPr>
          </w:p>
        </w:tc>
        <w:tc>
          <w:tcPr>
            <w:tcW w:w="827" w:type="dxa"/>
          </w:tcPr>
          <w:p w14:paraId="569EB5FD">
            <w:pPr>
              <w:autoSpaceDE w:val="0"/>
              <w:autoSpaceDN w:val="0"/>
              <w:adjustRightInd w:val="0"/>
              <w:snapToGrid w:val="0"/>
              <w:jc w:val="left"/>
              <w:rPr>
                <w:rFonts w:ascii="宋体" w:hAnsi="宋体"/>
                <w:color w:val="auto"/>
                <w:kern w:val="0"/>
                <w:sz w:val="24"/>
                <w:highlight w:val="none"/>
              </w:rPr>
            </w:pPr>
          </w:p>
        </w:tc>
        <w:tc>
          <w:tcPr>
            <w:tcW w:w="1359" w:type="dxa"/>
          </w:tcPr>
          <w:p w14:paraId="532B68D5">
            <w:pPr>
              <w:autoSpaceDE w:val="0"/>
              <w:autoSpaceDN w:val="0"/>
              <w:adjustRightInd w:val="0"/>
              <w:snapToGrid w:val="0"/>
              <w:jc w:val="left"/>
              <w:rPr>
                <w:rFonts w:ascii="宋体" w:hAnsi="宋体"/>
                <w:color w:val="auto"/>
                <w:kern w:val="0"/>
                <w:sz w:val="24"/>
                <w:highlight w:val="none"/>
              </w:rPr>
            </w:pPr>
          </w:p>
        </w:tc>
        <w:tc>
          <w:tcPr>
            <w:tcW w:w="1855" w:type="dxa"/>
          </w:tcPr>
          <w:p w14:paraId="1E15156D">
            <w:pPr>
              <w:autoSpaceDE w:val="0"/>
              <w:autoSpaceDN w:val="0"/>
              <w:adjustRightInd w:val="0"/>
              <w:snapToGrid w:val="0"/>
              <w:jc w:val="left"/>
              <w:rPr>
                <w:rFonts w:ascii="宋体" w:hAnsi="宋体"/>
                <w:color w:val="auto"/>
                <w:kern w:val="0"/>
                <w:sz w:val="24"/>
                <w:highlight w:val="none"/>
              </w:rPr>
            </w:pPr>
          </w:p>
        </w:tc>
        <w:tc>
          <w:tcPr>
            <w:tcW w:w="770" w:type="dxa"/>
          </w:tcPr>
          <w:p w14:paraId="285CD8B3">
            <w:pPr>
              <w:autoSpaceDE w:val="0"/>
              <w:autoSpaceDN w:val="0"/>
              <w:adjustRightInd w:val="0"/>
              <w:snapToGrid w:val="0"/>
              <w:jc w:val="left"/>
              <w:rPr>
                <w:rFonts w:ascii="宋体" w:hAnsi="宋体"/>
                <w:color w:val="auto"/>
                <w:kern w:val="0"/>
                <w:sz w:val="24"/>
                <w:highlight w:val="none"/>
              </w:rPr>
            </w:pPr>
          </w:p>
        </w:tc>
      </w:tr>
      <w:tr w14:paraId="42BC8A1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7A7CCB43">
            <w:pPr>
              <w:autoSpaceDE w:val="0"/>
              <w:autoSpaceDN w:val="0"/>
              <w:adjustRightInd w:val="0"/>
              <w:snapToGrid w:val="0"/>
              <w:jc w:val="left"/>
              <w:rPr>
                <w:rFonts w:ascii="宋体" w:hAnsi="宋体"/>
                <w:color w:val="auto"/>
                <w:kern w:val="0"/>
                <w:sz w:val="24"/>
                <w:highlight w:val="none"/>
              </w:rPr>
            </w:pPr>
          </w:p>
        </w:tc>
        <w:tc>
          <w:tcPr>
            <w:tcW w:w="1219" w:type="dxa"/>
          </w:tcPr>
          <w:p w14:paraId="2515FCA3">
            <w:pPr>
              <w:autoSpaceDE w:val="0"/>
              <w:autoSpaceDN w:val="0"/>
              <w:adjustRightInd w:val="0"/>
              <w:snapToGrid w:val="0"/>
              <w:jc w:val="left"/>
              <w:rPr>
                <w:rFonts w:ascii="宋体" w:hAnsi="宋体"/>
                <w:color w:val="auto"/>
                <w:kern w:val="0"/>
                <w:sz w:val="24"/>
                <w:highlight w:val="none"/>
              </w:rPr>
            </w:pPr>
          </w:p>
        </w:tc>
        <w:tc>
          <w:tcPr>
            <w:tcW w:w="852" w:type="dxa"/>
          </w:tcPr>
          <w:p w14:paraId="45B656CF">
            <w:pPr>
              <w:autoSpaceDE w:val="0"/>
              <w:autoSpaceDN w:val="0"/>
              <w:adjustRightInd w:val="0"/>
              <w:snapToGrid w:val="0"/>
              <w:jc w:val="left"/>
              <w:rPr>
                <w:rFonts w:ascii="宋体" w:hAnsi="宋体"/>
                <w:color w:val="auto"/>
                <w:kern w:val="0"/>
                <w:sz w:val="24"/>
                <w:highlight w:val="none"/>
              </w:rPr>
            </w:pPr>
          </w:p>
        </w:tc>
        <w:tc>
          <w:tcPr>
            <w:tcW w:w="1111" w:type="dxa"/>
          </w:tcPr>
          <w:p w14:paraId="0877B89D">
            <w:pPr>
              <w:autoSpaceDE w:val="0"/>
              <w:autoSpaceDN w:val="0"/>
              <w:adjustRightInd w:val="0"/>
              <w:snapToGrid w:val="0"/>
              <w:jc w:val="left"/>
              <w:rPr>
                <w:rFonts w:ascii="宋体" w:hAnsi="宋体"/>
                <w:color w:val="auto"/>
                <w:kern w:val="0"/>
                <w:sz w:val="24"/>
                <w:highlight w:val="none"/>
              </w:rPr>
            </w:pPr>
          </w:p>
        </w:tc>
        <w:tc>
          <w:tcPr>
            <w:tcW w:w="754" w:type="dxa"/>
          </w:tcPr>
          <w:p w14:paraId="16EB43EA">
            <w:pPr>
              <w:autoSpaceDE w:val="0"/>
              <w:autoSpaceDN w:val="0"/>
              <w:adjustRightInd w:val="0"/>
              <w:snapToGrid w:val="0"/>
              <w:jc w:val="left"/>
              <w:rPr>
                <w:rFonts w:ascii="宋体" w:hAnsi="宋体"/>
                <w:color w:val="auto"/>
                <w:kern w:val="0"/>
                <w:sz w:val="24"/>
                <w:highlight w:val="none"/>
              </w:rPr>
            </w:pPr>
          </w:p>
        </w:tc>
        <w:tc>
          <w:tcPr>
            <w:tcW w:w="827" w:type="dxa"/>
          </w:tcPr>
          <w:p w14:paraId="7254E7AC">
            <w:pPr>
              <w:autoSpaceDE w:val="0"/>
              <w:autoSpaceDN w:val="0"/>
              <w:adjustRightInd w:val="0"/>
              <w:snapToGrid w:val="0"/>
              <w:jc w:val="left"/>
              <w:rPr>
                <w:rFonts w:ascii="宋体" w:hAnsi="宋体"/>
                <w:color w:val="auto"/>
                <w:kern w:val="0"/>
                <w:sz w:val="24"/>
                <w:highlight w:val="none"/>
              </w:rPr>
            </w:pPr>
          </w:p>
        </w:tc>
        <w:tc>
          <w:tcPr>
            <w:tcW w:w="1359" w:type="dxa"/>
          </w:tcPr>
          <w:p w14:paraId="363CB9DC">
            <w:pPr>
              <w:autoSpaceDE w:val="0"/>
              <w:autoSpaceDN w:val="0"/>
              <w:adjustRightInd w:val="0"/>
              <w:snapToGrid w:val="0"/>
              <w:jc w:val="left"/>
              <w:rPr>
                <w:rFonts w:ascii="宋体" w:hAnsi="宋体"/>
                <w:color w:val="auto"/>
                <w:kern w:val="0"/>
                <w:sz w:val="24"/>
                <w:highlight w:val="none"/>
              </w:rPr>
            </w:pPr>
          </w:p>
        </w:tc>
        <w:tc>
          <w:tcPr>
            <w:tcW w:w="1855" w:type="dxa"/>
          </w:tcPr>
          <w:p w14:paraId="519DEBE5">
            <w:pPr>
              <w:autoSpaceDE w:val="0"/>
              <w:autoSpaceDN w:val="0"/>
              <w:adjustRightInd w:val="0"/>
              <w:snapToGrid w:val="0"/>
              <w:jc w:val="left"/>
              <w:rPr>
                <w:rFonts w:ascii="宋体" w:hAnsi="宋体"/>
                <w:color w:val="auto"/>
                <w:kern w:val="0"/>
                <w:sz w:val="24"/>
                <w:highlight w:val="none"/>
              </w:rPr>
            </w:pPr>
          </w:p>
        </w:tc>
        <w:tc>
          <w:tcPr>
            <w:tcW w:w="770" w:type="dxa"/>
          </w:tcPr>
          <w:p w14:paraId="660860B5">
            <w:pPr>
              <w:autoSpaceDE w:val="0"/>
              <w:autoSpaceDN w:val="0"/>
              <w:adjustRightInd w:val="0"/>
              <w:snapToGrid w:val="0"/>
              <w:jc w:val="left"/>
              <w:rPr>
                <w:rFonts w:ascii="宋体" w:hAnsi="宋体"/>
                <w:color w:val="auto"/>
                <w:kern w:val="0"/>
                <w:sz w:val="24"/>
                <w:highlight w:val="none"/>
              </w:rPr>
            </w:pPr>
          </w:p>
        </w:tc>
      </w:tr>
      <w:tr w14:paraId="2076CC7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42BEFB9F">
            <w:pPr>
              <w:autoSpaceDE w:val="0"/>
              <w:autoSpaceDN w:val="0"/>
              <w:adjustRightInd w:val="0"/>
              <w:snapToGrid w:val="0"/>
              <w:jc w:val="left"/>
              <w:rPr>
                <w:rFonts w:ascii="宋体" w:hAnsi="宋体"/>
                <w:color w:val="auto"/>
                <w:kern w:val="0"/>
                <w:sz w:val="24"/>
                <w:highlight w:val="none"/>
              </w:rPr>
            </w:pPr>
          </w:p>
        </w:tc>
        <w:tc>
          <w:tcPr>
            <w:tcW w:w="1219" w:type="dxa"/>
          </w:tcPr>
          <w:p w14:paraId="1A8A648D">
            <w:pPr>
              <w:autoSpaceDE w:val="0"/>
              <w:autoSpaceDN w:val="0"/>
              <w:adjustRightInd w:val="0"/>
              <w:snapToGrid w:val="0"/>
              <w:jc w:val="left"/>
              <w:rPr>
                <w:rFonts w:ascii="宋体" w:hAnsi="宋体"/>
                <w:color w:val="auto"/>
                <w:kern w:val="0"/>
                <w:sz w:val="24"/>
                <w:highlight w:val="none"/>
              </w:rPr>
            </w:pPr>
          </w:p>
        </w:tc>
        <w:tc>
          <w:tcPr>
            <w:tcW w:w="852" w:type="dxa"/>
          </w:tcPr>
          <w:p w14:paraId="16DDDFF1">
            <w:pPr>
              <w:autoSpaceDE w:val="0"/>
              <w:autoSpaceDN w:val="0"/>
              <w:adjustRightInd w:val="0"/>
              <w:snapToGrid w:val="0"/>
              <w:jc w:val="left"/>
              <w:rPr>
                <w:rFonts w:ascii="宋体" w:hAnsi="宋体"/>
                <w:color w:val="auto"/>
                <w:kern w:val="0"/>
                <w:sz w:val="24"/>
                <w:highlight w:val="none"/>
              </w:rPr>
            </w:pPr>
          </w:p>
        </w:tc>
        <w:tc>
          <w:tcPr>
            <w:tcW w:w="1111" w:type="dxa"/>
          </w:tcPr>
          <w:p w14:paraId="2B88947E">
            <w:pPr>
              <w:autoSpaceDE w:val="0"/>
              <w:autoSpaceDN w:val="0"/>
              <w:adjustRightInd w:val="0"/>
              <w:snapToGrid w:val="0"/>
              <w:jc w:val="left"/>
              <w:rPr>
                <w:rFonts w:ascii="宋体" w:hAnsi="宋体"/>
                <w:color w:val="auto"/>
                <w:kern w:val="0"/>
                <w:sz w:val="24"/>
                <w:highlight w:val="none"/>
              </w:rPr>
            </w:pPr>
          </w:p>
        </w:tc>
        <w:tc>
          <w:tcPr>
            <w:tcW w:w="754" w:type="dxa"/>
          </w:tcPr>
          <w:p w14:paraId="25317C19">
            <w:pPr>
              <w:autoSpaceDE w:val="0"/>
              <w:autoSpaceDN w:val="0"/>
              <w:adjustRightInd w:val="0"/>
              <w:snapToGrid w:val="0"/>
              <w:jc w:val="left"/>
              <w:rPr>
                <w:rFonts w:ascii="宋体" w:hAnsi="宋体"/>
                <w:color w:val="auto"/>
                <w:kern w:val="0"/>
                <w:sz w:val="24"/>
                <w:highlight w:val="none"/>
              </w:rPr>
            </w:pPr>
          </w:p>
        </w:tc>
        <w:tc>
          <w:tcPr>
            <w:tcW w:w="827" w:type="dxa"/>
          </w:tcPr>
          <w:p w14:paraId="5D2B6BA8">
            <w:pPr>
              <w:autoSpaceDE w:val="0"/>
              <w:autoSpaceDN w:val="0"/>
              <w:adjustRightInd w:val="0"/>
              <w:snapToGrid w:val="0"/>
              <w:jc w:val="left"/>
              <w:rPr>
                <w:rFonts w:ascii="宋体" w:hAnsi="宋体"/>
                <w:color w:val="auto"/>
                <w:kern w:val="0"/>
                <w:sz w:val="24"/>
                <w:highlight w:val="none"/>
              </w:rPr>
            </w:pPr>
          </w:p>
        </w:tc>
        <w:tc>
          <w:tcPr>
            <w:tcW w:w="1359" w:type="dxa"/>
          </w:tcPr>
          <w:p w14:paraId="2BC94213">
            <w:pPr>
              <w:autoSpaceDE w:val="0"/>
              <w:autoSpaceDN w:val="0"/>
              <w:adjustRightInd w:val="0"/>
              <w:snapToGrid w:val="0"/>
              <w:jc w:val="left"/>
              <w:rPr>
                <w:rFonts w:ascii="宋体" w:hAnsi="宋体"/>
                <w:color w:val="auto"/>
                <w:kern w:val="0"/>
                <w:sz w:val="24"/>
                <w:highlight w:val="none"/>
              </w:rPr>
            </w:pPr>
          </w:p>
        </w:tc>
        <w:tc>
          <w:tcPr>
            <w:tcW w:w="1855" w:type="dxa"/>
          </w:tcPr>
          <w:p w14:paraId="07217569">
            <w:pPr>
              <w:autoSpaceDE w:val="0"/>
              <w:autoSpaceDN w:val="0"/>
              <w:adjustRightInd w:val="0"/>
              <w:snapToGrid w:val="0"/>
              <w:jc w:val="left"/>
              <w:rPr>
                <w:rFonts w:ascii="宋体" w:hAnsi="宋体"/>
                <w:color w:val="auto"/>
                <w:kern w:val="0"/>
                <w:sz w:val="24"/>
                <w:highlight w:val="none"/>
              </w:rPr>
            </w:pPr>
          </w:p>
        </w:tc>
        <w:tc>
          <w:tcPr>
            <w:tcW w:w="770" w:type="dxa"/>
          </w:tcPr>
          <w:p w14:paraId="652B3D75">
            <w:pPr>
              <w:autoSpaceDE w:val="0"/>
              <w:autoSpaceDN w:val="0"/>
              <w:adjustRightInd w:val="0"/>
              <w:snapToGrid w:val="0"/>
              <w:jc w:val="left"/>
              <w:rPr>
                <w:rFonts w:ascii="宋体" w:hAnsi="宋体"/>
                <w:color w:val="auto"/>
                <w:kern w:val="0"/>
                <w:sz w:val="24"/>
                <w:highlight w:val="none"/>
              </w:rPr>
            </w:pPr>
          </w:p>
        </w:tc>
      </w:tr>
      <w:tr w14:paraId="3DB1354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6427A87B">
            <w:pPr>
              <w:autoSpaceDE w:val="0"/>
              <w:autoSpaceDN w:val="0"/>
              <w:adjustRightInd w:val="0"/>
              <w:snapToGrid w:val="0"/>
              <w:jc w:val="left"/>
              <w:rPr>
                <w:rFonts w:ascii="宋体" w:hAnsi="宋体"/>
                <w:color w:val="auto"/>
                <w:kern w:val="0"/>
                <w:sz w:val="24"/>
                <w:highlight w:val="none"/>
              </w:rPr>
            </w:pPr>
          </w:p>
        </w:tc>
        <w:tc>
          <w:tcPr>
            <w:tcW w:w="1219" w:type="dxa"/>
          </w:tcPr>
          <w:p w14:paraId="48CECAF9">
            <w:pPr>
              <w:autoSpaceDE w:val="0"/>
              <w:autoSpaceDN w:val="0"/>
              <w:adjustRightInd w:val="0"/>
              <w:snapToGrid w:val="0"/>
              <w:jc w:val="left"/>
              <w:rPr>
                <w:rFonts w:ascii="宋体" w:hAnsi="宋体"/>
                <w:color w:val="auto"/>
                <w:kern w:val="0"/>
                <w:sz w:val="24"/>
                <w:highlight w:val="none"/>
              </w:rPr>
            </w:pPr>
          </w:p>
        </w:tc>
        <w:tc>
          <w:tcPr>
            <w:tcW w:w="852" w:type="dxa"/>
          </w:tcPr>
          <w:p w14:paraId="0C1F9267">
            <w:pPr>
              <w:autoSpaceDE w:val="0"/>
              <w:autoSpaceDN w:val="0"/>
              <w:adjustRightInd w:val="0"/>
              <w:snapToGrid w:val="0"/>
              <w:jc w:val="left"/>
              <w:rPr>
                <w:rFonts w:ascii="宋体" w:hAnsi="宋体"/>
                <w:color w:val="auto"/>
                <w:kern w:val="0"/>
                <w:sz w:val="24"/>
                <w:highlight w:val="none"/>
              </w:rPr>
            </w:pPr>
          </w:p>
        </w:tc>
        <w:tc>
          <w:tcPr>
            <w:tcW w:w="1111" w:type="dxa"/>
          </w:tcPr>
          <w:p w14:paraId="3A8E6257">
            <w:pPr>
              <w:autoSpaceDE w:val="0"/>
              <w:autoSpaceDN w:val="0"/>
              <w:adjustRightInd w:val="0"/>
              <w:snapToGrid w:val="0"/>
              <w:jc w:val="left"/>
              <w:rPr>
                <w:rFonts w:ascii="宋体" w:hAnsi="宋体"/>
                <w:color w:val="auto"/>
                <w:kern w:val="0"/>
                <w:sz w:val="24"/>
                <w:highlight w:val="none"/>
              </w:rPr>
            </w:pPr>
          </w:p>
        </w:tc>
        <w:tc>
          <w:tcPr>
            <w:tcW w:w="754" w:type="dxa"/>
          </w:tcPr>
          <w:p w14:paraId="0CBBE800">
            <w:pPr>
              <w:autoSpaceDE w:val="0"/>
              <w:autoSpaceDN w:val="0"/>
              <w:adjustRightInd w:val="0"/>
              <w:snapToGrid w:val="0"/>
              <w:jc w:val="left"/>
              <w:rPr>
                <w:rFonts w:ascii="宋体" w:hAnsi="宋体"/>
                <w:color w:val="auto"/>
                <w:kern w:val="0"/>
                <w:sz w:val="24"/>
                <w:highlight w:val="none"/>
              </w:rPr>
            </w:pPr>
          </w:p>
        </w:tc>
        <w:tc>
          <w:tcPr>
            <w:tcW w:w="827" w:type="dxa"/>
          </w:tcPr>
          <w:p w14:paraId="29BB55CF">
            <w:pPr>
              <w:autoSpaceDE w:val="0"/>
              <w:autoSpaceDN w:val="0"/>
              <w:adjustRightInd w:val="0"/>
              <w:snapToGrid w:val="0"/>
              <w:jc w:val="left"/>
              <w:rPr>
                <w:rFonts w:ascii="宋体" w:hAnsi="宋体"/>
                <w:color w:val="auto"/>
                <w:kern w:val="0"/>
                <w:sz w:val="24"/>
                <w:highlight w:val="none"/>
              </w:rPr>
            </w:pPr>
          </w:p>
        </w:tc>
        <w:tc>
          <w:tcPr>
            <w:tcW w:w="1359" w:type="dxa"/>
          </w:tcPr>
          <w:p w14:paraId="761C0337">
            <w:pPr>
              <w:autoSpaceDE w:val="0"/>
              <w:autoSpaceDN w:val="0"/>
              <w:adjustRightInd w:val="0"/>
              <w:snapToGrid w:val="0"/>
              <w:jc w:val="left"/>
              <w:rPr>
                <w:rFonts w:ascii="宋体" w:hAnsi="宋体"/>
                <w:color w:val="auto"/>
                <w:kern w:val="0"/>
                <w:sz w:val="24"/>
                <w:highlight w:val="none"/>
              </w:rPr>
            </w:pPr>
          </w:p>
        </w:tc>
        <w:tc>
          <w:tcPr>
            <w:tcW w:w="1855" w:type="dxa"/>
          </w:tcPr>
          <w:p w14:paraId="7A1EF560">
            <w:pPr>
              <w:autoSpaceDE w:val="0"/>
              <w:autoSpaceDN w:val="0"/>
              <w:adjustRightInd w:val="0"/>
              <w:snapToGrid w:val="0"/>
              <w:jc w:val="left"/>
              <w:rPr>
                <w:rFonts w:ascii="宋体" w:hAnsi="宋体"/>
                <w:color w:val="auto"/>
                <w:kern w:val="0"/>
                <w:sz w:val="24"/>
                <w:highlight w:val="none"/>
              </w:rPr>
            </w:pPr>
          </w:p>
        </w:tc>
        <w:tc>
          <w:tcPr>
            <w:tcW w:w="770" w:type="dxa"/>
          </w:tcPr>
          <w:p w14:paraId="101632A6">
            <w:pPr>
              <w:autoSpaceDE w:val="0"/>
              <w:autoSpaceDN w:val="0"/>
              <w:adjustRightInd w:val="0"/>
              <w:snapToGrid w:val="0"/>
              <w:jc w:val="left"/>
              <w:rPr>
                <w:rFonts w:ascii="宋体" w:hAnsi="宋体"/>
                <w:color w:val="auto"/>
                <w:kern w:val="0"/>
                <w:sz w:val="24"/>
                <w:highlight w:val="none"/>
              </w:rPr>
            </w:pPr>
          </w:p>
        </w:tc>
      </w:tr>
      <w:tr w14:paraId="253C257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366D71A1">
            <w:pPr>
              <w:autoSpaceDE w:val="0"/>
              <w:autoSpaceDN w:val="0"/>
              <w:adjustRightInd w:val="0"/>
              <w:snapToGrid w:val="0"/>
              <w:jc w:val="left"/>
              <w:rPr>
                <w:rFonts w:ascii="宋体" w:hAnsi="宋体"/>
                <w:color w:val="auto"/>
                <w:kern w:val="0"/>
                <w:sz w:val="24"/>
                <w:highlight w:val="none"/>
              </w:rPr>
            </w:pPr>
          </w:p>
        </w:tc>
        <w:tc>
          <w:tcPr>
            <w:tcW w:w="1219" w:type="dxa"/>
          </w:tcPr>
          <w:p w14:paraId="2E38DA4F">
            <w:pPr>
              <w:autoSpaceDE w:val="0"/>
              <w:autoSpaceDN w:val="0"/>
              <w:adjustRightInd w:val="0"/>
              <w:snapToGrid w:val="0"/>
              <w:jc w:val="left"/>
              <w:rPr>
                <w:rFonts w:ascii="宋体" w:hAnsi="宋体"/>
                <w:color w:val="auto"/>
                <w:kern w:val="0"/>
                <w:sz w:val="24"/>
                <w:highlight w:val="none"/>
              </w:rPr>
            </w:pPr>
          </w:p>
        </w:tc>
        <w:tc>
          <w:tcPr>
            <w:tcW w:w="852" w:type="dxa"/>
          </w:tcPr>
          <w:p w14:paraId="2B08FA04">
            <w:pPr>
              <w:autoSpaceDE w:val="0"/>
              <w:autoSpaceDN w:val="0"/>
              <w:adjustRightInd w:val="0"/>
              <w:snapToGrid w:val="0"/>
              <w:jc w:val="left"/>
              <w:rPr>
                <w:rFonts w:ascii="宋体" w:hAnsi="宋体"/>
                <w:color w:val="auto"/>
                <w:kern w:val="0"/>
                <w:sz w:val="24"/>
                <w:highlight w:val="none"/>
              </w:rPr>
            </w:pPr>
          </w:p>
        </w:tc>
        <w:tc>
          <w:tcPr>
            <w:tcW w:w="1111" w:type="dxa"/>
          </w:tcPr>
          <w:p w14:paraId="4364C2F6">
            <w:pPr>
              <w:autoSpaceDE w:val="0"/>
              <w:autoSpaceDN w:val="0"/>
              <w:adjustRightInd w:val="0"/>
              <w:snapToGrid w:val="0"/>
              <w:jc w:val="left"/>
              <w:rPr>
                <w:rFonts w:ascii="宋体" w:hAnsi="宋体"/>
                <w:color w:val="auto"/>
                <w:kern w:val="0"/>
                <w:sz w:val="24"/>
                <w:highlight w:val="none"/>
              </w:rPr>
            </w:pPr>
          </w:p>
        </w:tc>
        <w:tc>
          <w:tcPr>
            <w:tcW w:w="754" w:type="dxa"/>
          </w:tcPr>
          <w:p w14:paraId="751C7152">
            <w:pPr>
              <w:autoSpaceDE w:val="0"/>
              <w:autoSpaceDN w:val="0"/>
              <w:adjustRightInd w:val="0"/>
              <w:snapToGrid w:val="0"/>
              <w:jc w:val="left"/>
              <w:rPr>
                <w:rFonts w:ascii="宋体" w:hAnsi="宋体"/>
                <w:color w:val="auto"/>
                <w:kern w:val="0"/>
                <w:sz w:val="24"/>
                <w:highlight w:val="none"/>
              </w:rPr>
            </w:pPr>
          </w:p>
        </w:tc>
        <w:tc>
          <w:tcPr>
            <w:tcW w:w="827" w:type="dxa"/>
          </w:tcPr>
          <w:p w14:paraId="3E4B4B87">
            <w:pPr>
              <w:autoSpaceDE w:val="0"/>
              <w:autoSpaceDN w:val="0"/>
              <w:adjustRightInd w:val="0"/>
              <w:snapToGrid w:val="0"/>
              <w:jc w:val="left"/>
              <w:rPr>
                <w:rFonts w:ascii="宋体" w:hAnsi="宋体"/>
                <w:color w:val="auto"/>
                <w:kern w:val="0"/>
                <w:sz w:val="24"/>
                <w:highlight w:val="none"/>
              </w:rPr>
            </w:pPr>
          </w:p>
        </w:tc>
        <w:tc>
          <w:tcPr>
            <w:tcW w:w="1359" w:type="dxa"/>
          </w:tcPr>
          <w:p w14:paraId="3F1C2888">
            <w:pPr>
              <w:autoSpaceDE w:val="0"/>
              <w:autoSpaceDN w:val="0"/>
              <w:adjustRightInd w:val="0"/>
              <w:snapToGrid w:val="0"/>
              <w:jc w:val="left"/>
              <w:rPr>
                <w:rFonts w:ascii="宋体" w:hAnsi="宋体"/>
                <w:color w:val="auto"/>
                <w:kern w:val="0"/>
                <w:sz w:val="24"/>
                <w:highlight w:val="none"/>
              </w:rPr>
            </w:pPr>
          </w:p>
        </w:tc>
        <w:tc>
          <w:tcPr>
            <w:tcW w:w="1855" w:type="dxa"/>
          </w:tcPr>
          <w:p w14:paraId="19EAE4EE">
            <w:pPr>
              <w:autoSpaceDE w:val="0"/>
              <w:autoSpaceDN w:val="0"/>
              <w:adjustRightInd w:val="0"/>
              <w:snapToGrid w:val="0"/>
              <w:jc w:val="left"/>
              <w:rPr>
                <w:rFonts w:ascii="宋体" w:hAnsi="宋体"/>
                <w:color w:val="auto"/>
                <w:kern w:val="0"/>
                <w:sz w:val="24"/>
                <w:highlight w:val="none"/>
              </w:rPr>
            </w:pPr>
          </w:p>
        </w:tc>
        <w:tc>
          <w:tcPr>
            <w:tcW w:w="770" w:type="dxa"/>
          </w:tcPr>
          <w:p w14:paraId="5A8C2AB4">
            <w:pPr>
              <w:autoSpaceDE w:val="0"/>
              <w:autoSpaceDN w:val="0"/>
              <w:adjustRightInd w:val="0"/>
              <w:snapToGrid w:val="0"/>
              <w:jc w:val="left"/>
              <w:rPr>
                <w:rFonts w:ascii="宋体" w:hAnsi="宋体"/>
                <w:color w:val="auto"/>
                <w:kern w:val="0"/>
                <w:sz w:val="24"/>
                <w:highlight w:val="none"/>
              </w:rPr>
            </w:pPr>
          </w:p>
        </w:tc>
      </w:tr>
      <w:tr w14:paraId="44F4D18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143783AA">
            <w:pPr>
              <w:autoSpaceDE w:val="0"/>
              <w:autoSpaceDN w:val="0"/>
              <w:adjustRightInd w:val="0"/>
              <w:snapToGrid w:val="0"/>
              <w:jc w:val="left"/>
              <w:rPr>
                <w:rFonts w:ascii="宋体" w:hAnsi="宋体"/>
                <w:color w:val="auto"/>
                <w:kern w:val="0"/>
                <w:sz w:val="24"/>
                <w:highlight w:val="none"/>
              </w:rPr>
            </w:pPr>
          </w:p>
        </w:tc>
        <w:tc>
          <w:tcPr>
            <w:tcW w:w="1219" w:type="dxa"/>
          </w:tcPr>
          <w:p w14:paraId="15D5E83A">
            <w:pPr>
              <w:autoSpaceDE w:val="0"/>
              <w:autoSpaceDN w:val="0"/>
              <w:adjustRightInd w:val="0"/>
              <w:snapToGrid w:val="0"/>
              <w:jc w:val="left"/>
              <w:rPr>
                <w:rFonts w:ascii="宋体" w:hAnsi="宋体"/>
                <w:color w:val="auto"/>
                <w:kern w:val="0"/>
                <w:sz w:val="24"/>
                <w:highlight w:val="none"/>
              </w:rPr>
            </w:pPr>
          </w:p>
        </w:tc>
        <w:tc>
          <w:tcPr>
            <w:tcW w:w="852" w:type="dxa"/>
          </w:tcPr>
          <w:p w14:paraId="51BE132C">
            <w:pPr>
              <w:autoSpaceDE w:val="0"/>
              <w:autoSpaceDN w:val="0"/>
              <w:adjustRightInd w:val="0"/>
              <w:snapToGrid w:val="0"/>
              <w:jc w:val="left"/>
              <w:rPr>
                <w:rFonts w:ascii="宋体" w:hAnsi="宋体"/>
                <w:color w:val="auto"/>
                <w:kern w:val="0"/>
                <w:sz w:val="24"/>
                <w:highlight w:val="none"/>
              </w:rPr>
            </w:pPr>
          </w:p>
        </w:tc>
        <w:tc>
          <w:tcPr>
            <w:tcW w:w="1111" w:type="dxa"/>
          </w:tcPr>
          <w:p w14:paraId="3BA5672C">
            <w:pPr>
              <w:autoSpaceDE w:val="0"/>
              <w:autoSpaceDN w:val="0"/>
              <w:adjustRightInd w:val="0"/>
              <w:snapToGrid w:val="0"/>
              <w:jc w:val="left"/>
              <w:rPr>
                <w:rFonts w:ascii="宋体" w:hAnsi="宋体"/>
                <w:color w:val="auto"/>
                <w:kern w:val="0"/>
                <w:sz w:val="24"/>
                <w:highlight w:val="none"/>
              </w:rPr>
            </w:pPr>
          </w:p>
        </w:tc>
        <w:tc>
          <w:tcPr>
            <w:tcW w:w="754" w:type="dxa"/>
          </w:tcPr>
          <w:p w14:paraId="62E9BA1C">
            <w:pPr>
              <w:autoSpaceDE w:val="0"/>
              <w:autoSpaceDN w:val="0"/>
              <w:adjustRightInd w:val="0"/>
              <w:snapToGrid w:val="0"/>
              <w:jc w:val="left"/>
              <w:rPr>
                <w:rFonts w:ascii="宋体" w:hAnsi="宋体"/>
                <w:color w:val="auto"/>
                <w:kern w:val="0"/>
                <w:sz w:val="24"/>
                <w:highlight w:val="none"/>
              </w:rPr>
            </w:pPr>
          </w:p>
        </w:tc>
        <w:tc>
          <w:tcPr>
            <w:tcW w:w="827" w:type="dxa"/>
          </w:tcPr>
          <w:p w14:paraId="1A610326">
            <w:pPr>
              <w:autoSpaceDE w:val="0"/>
              <w:autoSpaceDN w:val="0"/>
              <w:adjustRightInd w:val="0"/>
              <w:snapToGrid w:val="0"/>
              <w:jc w:val="left"/>
              <w:rPr>
                <w:rFonts w:ascii="宋体" w:hAnsi="宋体"/>
                <w:color w:val="auto"/>
                <w:kern w:val="0"/>
                <w:sz w:val="24"/>
                <w:highlight w:val="none"/>
              </w:rPr>
            </w:pPr>
          </w:p>
        </w:tc>
        <w:tc>
          <w:tcPr>
            <w:tcW w:w="1359" w:type="dxa"/>
          </w:tcPr>
          <w:p w14:paraId="06E75BE7">
            <w:pPr>
              <w:autoSpaceDE w:val="0"/>
              <w:autoSpaceDN w:val="0"/>
              <w:adjustRightInd w:val="0"/>
              <w:snapToGrid w:val="0"/>
              <w:jc w:val="left"/>
              <w:rPr>
                <w:rFonts w:ascii="宋体" w:hAnsi="宋体"/>
                <w:color w:val="auto"/>
                <w:kern w:val="0"/>
                <w:sz w:val="24"/>
                <w:highlight w:val="none"/>
              </w:rPr>
            </w:pPr>
          </w:p>
        </w:tc>
        <w:tc>
          <w:tcPr>
            <w:tcW w:w="1855" w:type="dxa"/>
          </w:tcPr>
          <w:p w14:paraId="51BB371B">
            <w:pPr>
              <w:autoSpaceDE w:val="0"/>
              <w:autoSpaceDN w:val="0"/>
              <w:adjustRightInd w:val="0"/>
              <w:snapToGrid w:val="0"/>
              <w:jc w:val="left"/>
              <w:rPr>
                <w:rFonts w:ascii="宋体" w:hAnsi="宋体"/>
                <w:color w:val="auto"/>
                <w:kern w:val="0"/>
                <w:sz w:val="24"/>
                <w:highlight w:val="none"/>
              </w:rPr>
            </w:pPr>
          </w:p>
        </w:tc>
        <w:tc>
          <w:tcPr>
            <w:tcW w:w="770" w:type="dxa"/>
          </w:tcPr>
          <w:p w14:paraId="05DE1A3B">
            <w:pPr>
              <w:autoSpaceDE w:val="0"/>
              <w:autoSpaceDN w:val="0"/>
              <w:adjustRightInd w:val="0"/>
              <w:snapToGrid w:val="0"/>
              <w:jc w:val="left"/>
              <w:rPr>
                <w:rFonts w:ascii="宋体" w:hAnsi="宋体"/>
                <w:color w:val="auto"/>
                <w:kern w:val="0"/>
                <w:sz w:val="24"/>
                <w:highlight w:val="none"/>
              </w:rPr>
            </w:pPr>
          </w:p>
        </w:tc>
      </w:tr>
      <w:tr w14:paraId="6D5DB78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3BF9D79C">
            <w:pPr>
              <w:autoSpaceDE w:val="0"/>
              <w:autoSpaceDN w:val="0"/>
              <w:adjustRightInd w:val="0"/>
              <w:snapToGrid w:val="0"/>
              <w:jc w:val="left"/>
              <w:rPr>
                <w:rFonts w:ascii="宋体" w:hAnsi="宋体"/>
                <w:color w:val="auto"/>
                <w:kern w:val="0"/>
                <w:sz w:val="24"/>
                <w:highlight w:val="none"/>
              </w:rPr>
            </w:pPr>
          </w:p>
        </w:tc>
        <w:tc>
          <w:tcPr>
            <w:tcW w:w="1219" w:type="dxa"/>
          </w:tcPr>
          <w:p w14:paraId="0E44B194">
            <w:pPr>
              <w:autoSpaceDE w:val="0"/>
              <w:autoSpaceDN w:val="0"/>
              <w:adjustRightInd w:val="0"/>
              <w:snapToGrid w:val="0"/>
              <w:jc w:val="left"/>
              <w:rPr>
                <w:rFonts w:ascii="宋体" w:hAnsi="宋体"/>
                <w:color w:val="auto"/>
                <w:kern w:val="0"/>
                <w:sz w:val="24"/>
                <w:highlight w:val="none"/>
              </w:rPr>
            </w:pPr>
          </w:p>
        </w:tc>
        <w:tc>
          <w:tcPr>
            <w:tcW w:w="852" w:type="dxa"/>
          </w:tcPr>
          <w:p w14:paraId="3B52CBC9">
            <w:pPr>
              <w:autoSpaceDE w:val="0"/>
              <w:autoSpaceDN w:val="0"/>
              <w:adjustRightInd w:val="0"/>
              <w:snapToGrid w:val="0"/>
              <w:jc w:val="left"/>
              <w:rPr>
                <w:rFonts w:ascii="宋体" w:hAnsi="宋体"/>
                <w:color w:val="auto"/>
                <w:kern w:val="0"/>
                <w:sz w:val="24"/>
                <w:highlight w:val="none"/>
              </w:rPr>
            </w:pPr>
          </w:p>
        </w:tc>
        <w:tc>
          <w:tcPr>
            <w:tcW w:w="1111" w:type="dxa"/>
          </w:tcPr>
          <w:p w14:paraId="7DE0ADB5">
            <w:pPr>
              <w:autoSpaceDE w:val="0"/>
              <w:autoSpaceDN w:val="0"/>
              <w:adjustRightInd w:val="0"/>
              <w:snapToGrid w:val="0"/>
              <w:jc w:val="left"/>
              <w:rPr>
                <w:rFonts w:ascii="宋体" w:hAnsi="宋体"/>
                <w:color w:val="auto"/>
                <w:kern w:val="0"/>
                <w:sz w:val="24"/>
                <w:highlight w:val="none"/>
              </w:rPr>
            </w:pPr>
          </w:p>
        </w:tc>
        <w:tc>
          <w:tcPr>
            <w:tcW w:w="754" w:type="dxa"/>
          </w:tcPr>
          <w:p w14:paraId="5FFBCCFF">
            <w:pPr>
              <w:autoSpaceDE w:val="0"/>
              <w:autoSpaceDN w:val="0"/>
              <w:adjustRightInd w:val="0"/>
              <w:snapToGrid w:val="0"/>
              <w:jc w:val="left"/>
              <w:rPr>
                <w:rFonts w:ascii="宋体" w:hAnsi="宋体"/>
                <w:color w:val="auto"/>
                <w:kern w:val="0"/>
                <w:sz w:val="24"/>
                <w:highlight w:val="none"/>
              </w:rPr>
            </w:pPr>
          </w:p>
        </w:tc>
        <w:tc>
          <w:tcPr>
            <w:tcW w:w="827" w:type="dxa"/>
          </w:tcPr>
          <w:p w14:paraId="117CECE2">
            <w:pPr>
              <w:autoSpaceDE w:val="0"/>
              <w:autoSpaceDN w:val="0"/>
              <w:adjustRightInd w:val="0"/>
              <w:snapToGrid w:val="0"/>
              <w:jc w:val="left"/>
              <w:rPr>
                <w:rFonts w:ascii="宋体" w:hAnsi="宋体"/>
                <w:color w:val="auto"/>
                <w:kern w:val="0"/>
                <w:sz w:val="24"/>
                <w:highlight w:val="none"/>
              </w:rPr>
            </w:pPr>
          </w:p>
        </w:tc>
        <w:tc>
          <w:tcPr>
            <w:tcW w:w="1359" w:type="dxa"/>
          </w:tcPr>
          <w:p w14:paraId="5C05BE72">
            <w:pPr>
              <w:autoSpaceDE w:val="0"/>
              <w:autoSpaceDN w:val="0"/>
              <w:adjustRightInd w:val="0"/>
              <w:snapToGrid w:val="0"/>
              <w:jc w:val="left"/>
              <w:rPr>
                <w:rFonts w:ascii="宋体" w:hAnsi="宋体"/>
                <w:color w:val="auto"/>
                <w:kern w:val="0"/>
                <w:sz w:val="24"/>
                <w:highlight w:val="none"/>
              </w:rPr>
            </w:pPr>
          </w:p>
        </w:tc>
        <w:tc>
          <w:tcPr>
            <w:tcW w:w="1855" w:type="dxa"/>
          </w:tcPr>
          <w:p w14:paraId="704BC4C3">
            <w:pPr>
              <w:autoSpaceDE w:val="0"/>
              <w:autoSpaceDN w:val="0"/>
              <w:adjustRightInd w:val="0"/>
              <w:snapToGrid w:val="0"/>
              <w:jc w:val="left"/>
              <w:rPr>
                <w:rFonts w:ascii="宋体" w:hAnsi="宋体"/>
                <w:color w:val="auto"/>
                <w:kern w:val="0"/>
                <w:sz w:val="24"/>
                <w:highlight w:val="none"/>
              </w:rPr>
            </w:pPr>
          </w:p>
        </w:tc>
        <w:tc>
          <w:tcPr>
            <w:tcW w:w="770" w:type="dxa"/>
          </w:tcPr>
          <w:p w14:paraId="1CF13174">
            <w:pPr>
              <w:autoSpaceDE w:val="0"/>
              <w:autoSpaceDN w:val="0"/>
              <w:adjustRightInd w:val="0"/>
              <w:snapToGrid w:val="0"/>
              <w:jc w:val="left"/>
              <w:rPr>
                <w:rFonts w:ascii="宋体" w:hAnsi="宋体"/>
                <w:color w:val="auto"/>
                <w:kern w:val="0"/>
                <w:sz w:val="24"/>
                <w:highlight w:val="none"/>
              </w:rPr>
            </w:pPr>
          </w:p>
        </w:tc>
      </w:tr>
      <w:tr w14:paraId="203378D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62C86195">
            <w:pPr>
              <w:autoSpaceDE w:val="0"/>
              <w:autoSpaceDN w:val="0"/>
              <w:adjustRightInd w:val="0"/>
              <w:snapToGrid w:val="0"/>
              <w:jc w:val="left"/>
              <w:rPr>
                <w:rFonts w:ascii="宋体" w:hAnsi="宋体"/>
                <w:color w:val="auto"/>
                <w:kern w:val="0"/>
                <w:sz w:val="24"/>
                <w:highlight w:val="none"/>
              </w:rPr>
            </w:pPr>
          </w:p>
        </w:tc>
        <w:tc>
          <w:tcPr>
            <w:tcW w:w="1219" w:type="dxa"/>
          </w:tcPr>
          <w:p w14:paraId="1C3AB869">
            <w:pPr>
              <w:autoSpaceDE w:val="0"/>
              <w:autoSpaceDN w:val="0"/>
              <w:adjustRightInd w:val="0"/>
              <w:snapToGrid w:val="0"/>
              <w:jc w:val="left"/>
              <w:rPr>
                <w:rFonts w:ascii="宋体" w:hAnsi="宋体"/>
                <w:color w:val="auto"/>
                <w:kern w:val="0"/>
                <w:sz w:val="24"/>
                <w:highlight w:val="none"/>
              </w:rPr>
            </w:pPr>
          </w:p>
        </w:tc>
        <w:tc>
          <w:tcPr>
            <w:tcW w:w="852" w:type="dxa"/>
          </w:tcPr>
          <w:p w14:paraId="2453908A">
            <w:pPr>
              <w:autoSpaceDE w:val="0"/>
              <w:autoSpaceDN w:val="0"/>
              <w:adjustRightInd w:val="0"/>
              <w:snapToGrid w:val="0"/>
              <w:jc w:val="left"/>
              <w:rPr>
                <w:rFonts w:ascii="宋体" w:hAnsi="宋体"/>
                <w:color w:val="auto"/>
                <w:kern w:val="0"/>
                <w:sz w:val="24"/>
                <w:highlight w:val="none"/>
              </w:rPr>
            </w:pPr>
          </w:p>
        </w:tc>
        <w:tc>
          <w:tcPr>
            <w:tcW w:w="1111" w:type="dxa"/>
          </w:tcPr>
          <w:p w14:paraId="4CEDEDFC">
            <w:pPr>
              <w:autoSpaceDE w:val="0"/>
              <w:autoSpaceDN w:val="0"/>
              <w:adjustRightInd w:val="0"/>
              <w:snapToGrid w:val="0"/>
              <w:jc w:val="left"/>
              <w:rPr>
                <w:rFonts w:ascii="宋体" w:hAnsi="宋体"/>
                <w:color w:val="auto"/>
                <w:kern w:val="0"/>
                <w:sz w:val="24"/>
                <w:highlight w:val="none"/>
              </w:rPr>
            </w:pPr>
          </w:p>
        </w:tc>
        <w:tc>
          <w:tcPr>
            <w:tcW w:w="754" w:type="dxa"/>
          </w:tcPr>
          <w:p w14:paraId="2D7907BE">
            <w:pPr>
              <w:autoSpaceDE w:val="0"/>
              <w:autoSpaceDN w:val="0"/>
              <w:adjustRightInd w:val="0"/>
              <w:snapToGrid w:val="0"/>
              <w:jc w:val="left"/>
              <w:rPr>
                <w:rFonts w:ascii="宋体" w:hAnsi="宋体"/>
                <w:color w:val="auto"/>
                <w:kern w:val="0"/>
                <w:sz w:val="24"/>
                <w:highlight w:val="none"/>
              </w:rPr>
            </w:pPr>
          </w:p>
        </w:tc>
        <w:tc>
          <w:tcPr>
            <w:tcW w:w="827" w:type="dxa"/>
          </w:tcPr>
          <w:p w14:paraId="7DCD5900">
            <w:pPr>
              <w:autoSpaceDE w:val="0"/>
              <w:autoSpaceDN w:val="0"/>
              <w:adjustRightInd w:val="0"/>
              <w:snapToGrid w:val="0"/>
              <w:jc w:val="left"/>
              <w:rPr>
                <w:rFonts w:ascii="宋体" w:hAnsi="宋体"/>
                <w:color w:val="auto"/>
                <w:kern w:val="0"/>
                <w:sz w:val="24"/>
                <w:highlight w:val="none"/>
              </w:rPr>
            </w:pPr>
          </w:p>
        </w:tc>
        <w:tc>
          <w:tcPr>
            <w:tcW w:w="1359" w:type="dxa"/>
          </w:tcPr>
          <w:p w14:paraId="76EAA210">
            <w:pPr>
              <w:autoSpaceDE w:val="0"/>
              <w:autoSpaceDN w:val="0"/>
              <w:adjustRightInd w:val="0"/>
              <w:snapToGrid w:val="0"/>
              <w:jc w:val="left"/>
              <w:rPr>
                <w:rFonts w:ascii="宋体" w:hAnsi="宋体"/>
                <w:color w:val="auto"/>
                <w:kern w:val="0"/>
                <w:sz w:val="24"/>
                <w:highlight w:val="none"/>
              </w:rPr>
            </w:pPr>
          </w:p>
        </w:tc>
        <w:tc>
          <w:tcPr>
            <w:tcW w:w="1855" w:type="dxa"/>
          </w:tcPr>
          <w:p w14:paraId="4AC1235D">
            <w:pPr>
              <w:autoSpaceDE w:val="0"/>
              <w:autoSpaceDN w:val="0"/>
              <w:adjustRightInd w:val="0"/>
              <w:snapToGrid w:val="0"/>
              <w:jc w:val="left"/>
              <w:rPr>
                <w:rFonts w:ascii="宋体" w:hAnsi="宋体"/>
                <w:color w:val="auto"/>
                <w:kern w:val="0"/>
                <w:sz w:val="24"/>
                <w:highlight w:val="none"/>
              </w:rPr>
            </w:pPr>
          </w:p>
        </w:tc>
        <w:tc>
          <w:tcPr>
            <w:tcW w:w="770" w:type="dxa"/>
          </w:tcPr>
          <w:p w14:paraId="142F50A2">
            <w:pPr>
              <w:autoSpaceDE w:val="0"/>
              <w:autoSpaceDN w:val="0"/>
              <w:adjustRightInd w:val="0"/>
              <w:snapToGrid w:val="0"/>
              <w:jc w:val="left"/>
              <w:rPr>
                <w:rFonts w:ascii="宋体" w:hAnsi="宋体"/>
                <w:color w:val="auto"/>
                <w:kern w:val="0"/>
                <w:sz w:val="24"/>
                <w:highlight w:val="none"/>
              </w:rPr>
            </w:pPr>
          </w:p>
        </w:tc>
      </w:tr>
      <w:tr w14:paraId="48A05C8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7F203D12">
            <w:pPr>
              <w:autoSpaceDE w:val="0"/>
              <w:autoSpaceDN w:val="0"/>
              <w:adjustRightInd w:val="0"/>
              <w:snapToGrid w:val="0"/>
              <w:jc w:val="left"/>
              <w:rPr>
                <w:rFonts w:ascii="宋体" w:hAnsi="宋体"/>
                <w:color w:val="auto"/>
                <w:kern w:val="0"/>
                <w:sz w:val="24"/>
                <w:highlight w:val="none"/>
              </w:rPr>
            </w:pPr>
          </w:p>
        </w:tc>
        <w:tc>
          <w:tcPr>
            <w:tcW w:w="1219" w:type="dxa"/>
          </w:tcPr>
          <w:p w14:paraId="193EC38A">
            <w:pPr>
              <w:autoSpaceDE w:val="0"/>
              <w:autoSpaceDN w:val="0"/>
              <w:adjustRightInd w:val="0"/>
              <w:snapToGrid w:val="0"/>
              <w:jc w:val="left"/>
              <w:rPr>
                <w:rFonts w:ascii="宋体" w:hAnsi="宋体"/>
                <w:color w:val="auto"/>
                <w:kern w:val="0"/>
                <w:sz w:val="24"/>
                <w:highlight w:val="none"/>
              </w:rPr>
            </w:pPr>
          </w:p>
        </w:tc>
        <w:tc>
          <w:tcPr>
            <w:tcW w:w="852" w:type="dxa"/>
          </w:tcPr>
          <w:p w14:paraId="68279321">
            <w:pPr>
              <w:autoSpaceDE w:val="0"/>
              <w:autoSpaceDN w:val="0"/>
              <w:adjustRightInd w:val="0"/>
              <w:snapToGrid w:val="0"/>
              <w:jc w:val="left"/>
              <w:rPr>
                <w:rFonts w:ascii="宋体" w:hAnsi="宋体"/>
                <w:color w:val="auto"/>
                <w:kern w:val="0"/>
                <w:sz w:val="24"/>
                <w:highlight w:val="none"/>
              </w:rPr>
            </w:pPr>
          </w:p>
        </w:tc>
        <w:tc>
          <w:tcPr>
            <w:tcW w:w="1111" w:type="dxa"/>
          </w:tcPr>
          <w:p w14:paraId="24788DD6">
            <w:pPr>
              <w:autoSpaceDE w:val="0"/>
              <w:autoSpaceDN w:val="0"/>
              <w:adjustRightInd w:val="0"/>
              <w:snapToGrid w:val="0"/>
              <w:jc w:val="left"/>
              <w:rPr>
                <w:rFonts w:ascii="宋体" w:hAnsi="宋体"/>
                <w:color w:val="auto"/>
                <w:kern w:val="0"/>
                <w:sz w:val="24"/>
                <w:highlight w:val="none"/>
              </w:rPr>
            </w:pPr>
          </w:p>
        </w:tc>
        <w:tc>
          <w:tcPr>
            <w:tcW w:w="754" w:type="dxa"/>
          </w:tcPr>
          <w:p w14:paraId="53DBF644">
            <w:pPr>
              <w:autoSpaceDE w:val="0"/>
              <w:autoSpaceDN w:val="0"/>
              <w:adjustRightInd w:val="0"/>
              <w:snapToGrid w:val="0"/>
              <w:jc w:val="left"/>
              <w:rPr>
                <w:rFonts w:ascii="宋体" w:hAnsi="宋体"/>
                <w:color w:val="auto"/>
                <w:kern w:val="0"/>
                <w:sz w:val="24"/>
                <w:highlight w:val="none"/>
              </w:rPr>
            </w:pPr>
          </w:p>
        </w:tc>
        <w:tc>
          <w:tcPr>
            <w:tcW w:w="827" w:type="dxa"/>
          </w:tcPr>
          <w:p w14:paraId="164750ED">
            <w:pPr>
              <w:autoSpaceDE w:val="0"/>
              <w:autoSpaceDN w:val="0"/>
              <w:adjustRightInd w:val="0"/>
              <w:snapToGrid w:val="0"/>
              <w:jc w:val="left"/>
              <w:rPr>
                <w:rFonts w:ascii="宋体" w:hAnsi="宋体"/>
                <w:color w:val="auto"/>
                <w:kern w:val="0"/>
                <w:sz w:val="24"/>
                <w:highlight w:val="none"/>
              </w:rPr>
            </w:pPr>
          </w:p>
        </w:tc>
        <w:tc>
          <w:tcPr>
            <w:tcW w:w="1359" w:type="dxa"/>
          </w:tcPr>
          <w:p w14:paraId="1CA44A1E">
            <w:pPr>
              <w:autoSpaceDE w:val="0"/>
              <w:autoSpaceDN w:val="0"/>
              <w:adjustRightInd w:val="0"/>
              <w:snapToGrid w:val="0"/>
              <w:jc w:val="left"/>
              <w:rPr>
                <w:rFonts w:ascii="宋体" w:hAnsi="宋体"/>
                <w:color w:val="auto"/>
                <w:kern w:val="0"/>
                <w:sz w:val="24"/>
                <w:highlight w:val="none"/>
              </w:rPr>
            </w:pPr>
          </w:p>
        </w:tc>
        <w:tc>
          <w:tcPr>
            <w:tcW w:w="1855" w:type="dxa"/>
          </w:tcPr>
          <w:p w14:paraId="11CFDB35">
            <w:pPr>
              <w:autoSpaceDE w:val="0"/>
              <w:autoSpaceDN w:val="0"/>
              <w:adjustRightInd w:val="0"/>
              <w:snapToGrid w:val="0"/>
              <w:jc w:val="left"/>
              <w:rPr>
                <w:rFonts w:ascii="宋体" w:hAnsi="宋体"/>
                <w:color w:val="auto"/>
                <w:kern w:val="0"/>
                <w:sz w:val="24"/>
                <w:highlight w:val="none"/>
              </w:rPr>
            </w:pPr>
          </w:p>
        </w:tc>
        <w:tc>
          <w:tcPr>
            <w:tcW w:w="770" w:type="dxa"/>
          </w:tcPr>
          <w:p w14:paraId="7FAF720C">
            <w:pPr>
              <w:autoSpaceDE w:val="0"/>
              <w:autoSpaceDN w:val="0"/>
              <w:adjustRightInd w:val="0"/>
              <w:snapToGrid w:val="0"/>
              <w:jc w:val="left"/>
              <w:rPr>
                <w:rFonts w:ascii="宋体" w:hAnsi="宋体"/>
                <w:color w:val="auto"/>
                <w:kern w:val="0"/>
                <w:sz w:val="24"/>
                <w:highlight w:val="none"/>
              </w:rPr>
            </w:pPr>
          </w:p>
        </w:tc>
      </w:tr>
      <w:tr w14:paraId="5107A92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3804936B">
            <w:pPr>
              <w:autoSpaceDE w:val="0"/>
              <w:autoSpaceDN w:val="0"/>
              <w:adjustRightInd w:val="0"/>
              <w:snapToGrid w:val="0"/>
              <w:jc w:val="left"/>
              <w:rPr>
                <w:rFonts w:ascii="宋体" w:hAnsi="宋体"/>
                <w:color w:val="auto"/>
                <w:kern w:val="0"/>
                <w:sz w:val="24"/>
                <w:highlight w:val="none"/>
              </w:rPr>
            </w:pPr>
          </w:p>
        </w:tc>
        <w:tc>
          <w:tcPr>
            <w:tcW w:w="1219" w:type="dxa"/>
          </w:tcPr>
          <w:p w14:paraId="608A938D">
            <w:pPr>
              <w:autoSpaceDE w:val="0"/>
              <w:autoSpaceDN w:val="0"/>
              <w:adjustRightInd w:val="0"/>
              <w:snapToGrid w:val="0"/>
              <w:jc w:val="left"/>
              <w:rPr>
                <w:rFonts w:ascii="宋体" w:hAnsi="宋体"/>
                <w:color w:val="auto"/>
                <w:kern w:val="0"/>
                <w:sz w:val="24"/>
                <w:highlight w:val="none"/>
              </w:rPr>
            </w:pPr>
          </w:p>
        </w:tc>
        <w:tc>
          <w:tcPr>
            <w:tcW w:w="852" w:type="dxa"/>
          </w:tcPr>
          <w:p w14:paraId="209B6C93">
            <w:pPr>
              <w:autoSpaceDE w:val="0"/>
              <w:autoSpaceDN w:val="0"/>
              <w:adjustRightInd w:val="0"/>
              <w:snapToGrid w:val="0"/>
              <w:jc w:val="left"/>
              <w:rPr>
                <w:rFonts w:ascii="宋体" w:hAnsi="宋体"/>
                <w:color w:val="auto"/>
                <w:kern w:val="0"/>
                <w:sz w:val="24"/>
                <w:highlight w:val="none"/>
              </w:rPr>
            </w:pPr>
          </w:p>
        </w:tc>
        <w:tc>
          <w:tcPr>
            <w:tcW w:w="1111" w:type="dxa"/>
          </w:tcPr>
          <w:p w14:paraId="0AD3BA5A">
            <w:pPr>
              <w:autoSpaceDE w:val="0"/>
              <w:autoSpaceDN w:val="0"/>
              <w:adjustRightInd w:val="0"/>
              <w:snapToGrid w:val="0"/>
              <w:jc w:val="left"/>
              <w:rPr>
                <w:rFonts w:ascii="宋体" w:hAnsi="宋体"/>
                <w:color w:val="auto"/>
                <w:kern w:val="0"/>
                <w:sz w:val="24"/>
                <w:highlight w:val="none"/>
              </w:rPr>
            </w:pPr>
          </w:p>
        </w:tc>
        <w:tc>
          <w:tcPr>
            <w:tcW w:w="754" w:type="dxa"/>
          </w:tcPr>
          <w:p w14:paraId="303FC5BE">
            <w:pPr>
              <w:autoSpaceDE w:val="0"/>
              <w:autoSpaceDN w:val="0"/>
              <w:adjustRightInd w:val="0"/>
              <w:snapToGrid w:val="0"/>
              <w:jc w:val="left"/>
              <w:rPr>
                <w:rFonts w:ascii="宋体" w:hAnsi="宋体"/>
                <w:color w:val="auto"/>
                <w:kern w:val="0"/>
                <w:sz w:val="24"/>
                <w:highlight w:val="none"/>
              </w:rPr>
            </w:pPr>
          </w:p>
        </w:tc>
        <w:tc>
          <w:tcPr>
            <w:tcW w:w="827" w:type="dxa"/>
          </w:tcPr>
          <w:p w14:paraId="6E044263">
            <w:pPr>
              <w:autoSpaceDE w:val="0"/>
              <w:autoSpaceDN w:val="0"/>
              <w:adjustRightInd w:val="0"/>
              <w:snapToGrid w:val="0"/>
              <w:jc w:val="left"/>
              <w:rPr>
                <w:rFonts w:ascii="宋体" w:hAnsi="宋体"/>
                <w:color w:val="auto"/>
                <w:kern w:val="0"/>
                <w:sz w:val="24"/>
                <w:highlight w:val="none"/>
              </w:rPr>
            </w:pPr>
          </w:p>
        </w:tc>
        <w:tc>
          <w:tcPr>
            <w:tcW w:w="1359" w:type="dxa"/>
          </w:tcPr>
          <w:p w14:paraId="7AD14EC8">
            <w:pPr>
              <w:autoSpaceDE w:val="0"/>
              <w:autoSpaceDN w:val="0"/>
              <w:adjustRightInd w:val="0"/>
              <w:snapToGrid w:val="0"/>
              <w:jc w:val="left"/>
              <w:rPr>
                <w:rFonts w:ascii="宋体" w:hAnsi="宋体"/>
                <w:color w:val="auto"/>
                <w:kern w:val="0"/>
                <w:sz w:val="24"/>
                <w:highlight w:val="none"/>
              </w:rPr>
            </w:pPr>
          </w:p>
        </w:tc>
        <w:tc>
          <w:tcPr>
            <w:tcW w:w="1855" w:type="dxa"/>
          </w:tcPr>
          <w:p w14:paraId="1DB15BF7">
            <w:pPr>
              <w:autoSpaceDE w:val="0"/>
              <w:autoSpaceDN w:val="0"/>
              <w:adjustRightInd w:val="0"/>
              <w:snapToGrid w:val="0"/>
              <w:jc w:val="left"/>
              <w:rPr>
                <w:rFonts w:ascii="宋体" w:hAnsi="宋体"/>
                <w:color w:val="auto"/>
                <w:kern w:val="0"/>
                <w:sz w:val="24"/>
                <w:highlight w:val="none"/>
              </w:rPr>
            </w:pPr>
          </w:p>
        </w:tc>
        <w:tc>
          <w:tcPr>
            <w:tcW w:w="770" w:type="dxa"/>
          </w:tcPr>
          <w:p w14:paraId="0F0D2B37">
            <w:pPr>
              <w:autoSpaceDE w:val="0"/>
              <w:autoSpaceDN w:val="0"/>
              <w:adjustRightInd w:val="0"/>
              <w:snapToGrid w:val="0"/>
              <w:jc w:val="left"/>
              <w:rPr>
                <w:rFonts w:ascii="宋体" w:hAnsi="宋体"/>
                <w:color w:val="auto"/>
                <w:kern w:val="0"/>
                <w:sz w:val="24"/>
                <w:highlight w:val="none"/>
              </w:rPr>
            </w:pPr>
          </w:p>
        </w:tc>
      </w:tr>
    </w:tbl>
    <w:p w14:paraId="61DB174F">
      <w:pPr>
        <w:spacing w:line="20" w:lineRule="exact"/>
        <w:rPr>
          <w:rFonts w:ascii="宋体" w:hAnsi="宋体"/>
          <w:color w:val="auto"/>
          <w:highlight w:val="none"/>
        </w:rPr>
      </w:pPr>
    </w:p>
    <w:p w14:paraId="1A940CA6">
      <w:pPr>
        <w:jc w:val="center"/>
        <w:rPr>
          <w:rFonts w:ascii="宋体" w:hAnsi="宋体"/>
          <w:b/>
          <w:color w:val="auto"/>
          <w:highlight w:val="none"/>
        </w:rPr>
      </w:pPr>
      <w:bookmarkStart w:id="2125" w:name="_Toc287620825"/>
      <w:bookmarkStart w:id="2126" w:name="_Toc287607878"/>
      <w:bookmarkStart w:id="2127" w:name="_Toc277082652"/>
      <w:bookmarkStart w:id="2128" w:name="_Toc224103506"/>
      <w:bookmarkStart w:id="2129" w:name="_Toc430530541"/>
      <w:r>
        <w:rPr>
          <w:rFonts w:ascii="宋体" w:hAnsi="宋体"/>
          <w:color w:val="auto"/>
          <w:sz w:val="28"/>
          <w:highlight w:val="none"/>
        </w:rPr>
        <w:br w:type="page"/>
      </w:r>
      <w:bookmarkStart w:id="2130" w:name="_Toc534185836"/>
      <w:bookmarkStart w:id="2131" w:name="_Toc509218859"/>
      <w:r>
        <w:rPr>
          <w:color w:val="auto"/>
          <w:sz w:val="32"/>
          <w:szCs w:val="32"/>
          <w:highlight w:val="none"/>
        </w:rPr>
        <w:t>附表三：劳动力计划表</w:t>
      </w:r>
      <w:bookmarkEnd w:id="2125"/>
      <w:bookmarkEnd w:id="2126"/>
      <w:bookmarkEnd w:id="2127"/>
      <w:bookmarkEnd w:id="2128"/>
      <w:bookmarkEnd w:id="2129"/>
      <w:bookmarkEnd w:id="2130"/>
      <w:bookmarkEnd w:id="2131"/>
    </w:p>
    <w:p w14:paraId="3E93C828">
      <w:pPr>
        <w:autoSpaceDE w:val="0"/>
        <w:autoSpaceDN w:val="0"/>
        <w:adjustRightInd w:val="0"/>
        <w:snapToGrid w:val="0"/>
        <w:spacing w:line="360" w:lineRule="auto"/>
        <w:ind w:right="210"/>
        <w:jc w:val="right"/>
        <w:rPr>
          <w:rFonts w:ascii="宋体" w:hAnsi="宋体"/>
          <w:color w:val="auto"/>
          <w:kern w:val="0"/>
          <w:szCs w:val="21"/>
          <w:highlight w:val="none"/>
        </w:rPr>
      </w:pPr>
      <w:r>
        <w:rPr>
          <w:rFonts w:ascii="宋体" w:hAnsi="宋体"/>
          <w:color w:val="auto"/>
          <w:kern w:val="0"/>
          <w:szCs w:val="21"/>
          <w:highlight w:val="none"/>
        </w:rPr>
        <w:t>单位：人</w:t>
      </w:r>
    </w:p>
    <w:tbl>
      <w:tblPr>
        <w:tblStyle w:val="46"/>
        <w:tblW w:w="9498"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924"/>
        <w:gridCol w:w="1453"/>
        <w:gridCol w:w="1186"/>
        <w:gridCol w:w="1188"/>
        <w:gridCol w:w="1186"/>
        <w:gridCol w:w="1188"/>
        <w:gridCol w:w="1186"/>
        <w:gridCol w:w="1187"/>
      </w:tblGrid>
      <w:tr w14:paraId="50B7B35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vMerge w:val="restart"/>
            <w:vAlign w:val="center"/>
          </w:tcPr>
          <w:p w14:paraId="270E773B">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工种</w:t>
            </w:r>
          </w:p>
        </w:tc>
        <w:tc>
          <w:tcPr>
            <w:tcW w:w="8574" w:type="dxa"/>
            <w:gridSpan w:val="7"/>
            <w:vAlign w:val="center"/>
          </w:tcPr>
          <w:p w14:paraId="2F0AE4ED">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按工程施工阶段投入劳动力情况</w:t>
            </w:r>
          </w:p>
        </w:tc>
      </w:tr>
      <w:tr w14:paraId="72F3206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vMerge w:val="continue"/>
          </w:tcPr>
          <w:p w14:paraId="5963DDCA">
            <w:pPr>
              <w:autoSpaceDE w:val="0"/>
              <w:autoSpaceDN w:val="0"/>
              <w:adjustRightInd w:val="0"/>
              <w:snapToGrid w:val="0"/>
              <w:jc w:val="left"/>
              <w:rPr>
                <w:rFonts w:ascii="宋体" w:hAnsi="宋体"/>
                <w:color w:val="auto"/>
                <w:kern w:val="0"/>
                <w:sz w:val="24"/>
                <w:highlight w:val="none"/>
              </w:rPr>
            </w:pPr>
          </w:p>
        </w:tc>
        <w:tc>
          <w:tcPr>
            <w:tcW w:w="1453" w:type="dxa"/>
          </w:tcPr>
          <w:p w14:paraId="626BD0C6">
            <w:pPr>
              <w:autoSpaceDE w:val="0"/>
              <w:autoSpaceDN w:val="0"/>
              <w:adjustRightInd w:val="0"/>
              <w:snapToGrid w:val="0"/>
              <w:jc w:val="left"/>
              <w:rPr>
                <w:rFonts w:ascii="宋体" w:hAnsi="宋体"/>
                <w:color w:val="auto"/>
                <w:kern w:val="0"/>
                <w:sz w:val="24"/>
                <w:highlight w:val="none"/>
              </w:rPr>
            </w:pPr>
          </w:p>
        </w:tc>
        <w:tc>
          <w:tcPr>
            <w:tcW w:w="1186" w:type="dxa"/>
          </w:tcPr>
          <w:p w14:paraId="1C5C71AB">
            <w:pPr>
              <w:autoSpaceDE w:val="0"/>
              <w:autoSpaceDN w:val="0"/>
              <w:adjustRightInd w:val="0"/>
              <w:snapToGrid w:val="0"/>
              <w:jc w:val="left"/>
              <w:rPr>
                <w:rFonts w:ascii="宋体" w:hAnsi="宋体"/>
                <w:color w:val="auto"/>
                <w:kern w:val="0"/>
                <w:sz w:val="24"/>
                <w:highlight w:val="none"/>
              </w:rPr>
            </w:pPr>
          </w:p>
        </w:tc>
        <w:tc>
          <w:tcPr>
            <w:tcW w:w="1188" w:type="dxa"/>
          </w:tcPr>
          <w:p w14:paraId="2623B0C3">
            <w:pPr>
              <w:autoSpaceDE w:val="0"/>
              <w:autoSpaceDN w:val="0"/>
              <w:adjustRightInd w:val="0"/>
              <w:snapToGrid w:val="0"/>
              <w:jc w:val="left"/>
              <w:rPr>
                <w:rFonts w:ascii="宋体" w:hAnsi="宋体"/>
                <w:color w:val="auto"/>
                <w:kern w:val="0"/>
                <w:sz w:val="24"/>
                <w:highlight w:val="none"/>
              </w:rPr>
            </w:pPr>
          </w:p>
        </w:tc>
        <w:tc>
          <w:tcPr>
            <w:tcW w:w="1186" w:type="dxa"/>
          </w:tcPr>
          <w:p w14:paraId="30D94BBF">
            <w:pPr>
              <w:autoSpaceDE w:val="0"/>
              <w:autoSpaceDN w:val="0"/>
              <w:adjustRightInd w:val="0"/>
              <w:snapToGrid w:val="0"/>
              <w:jc w:val="left"/>
              <w:rPr>
                <w:rFonts w:ascii="宋体" w:hAnsi="宋体"/>
                <w:color w:val="auto"/>
                <w:kern w:val="0"/>
                <w:sz w:val="24"/>
                <w:highlight w:val="none"/>
              </w:rPr>
            </w:pPr>
          </w:p>
        </w:tc>
        <w:tc>
          <w:tcPr>
            <w:tcW w:w="1188" w:type="dxa"/>
          </w:tcPr>
          <w:p w14:paraId="2CE7A062">
            <w:pPr>
              <w:autoSpaceDE w:val="0"/>
              <w:autoSpaceDN w:val="0"/>
              <w:adjustRightInd w:val="0"/>
              <w:snapToGrid w:val="0"/>
              <w:jc w:val="left"/>
              <w:rPr>
                <w:rFonts w:ascii="宋体" w:hAnsi="宋体"/>
                <w:color w:val="auto"/>
                <w:kern w:val="0"/>
                <w:sz w:val="24"/>
                <w:highlight w:val="none"/>
              </w:rPr>
            </w:pPr>
          </w:p>
        </w:tc>
        <w:tc>
          <w:tcPr>
            <w:tcW w:w="1186" w:type="dxa"/>
          </w:tcPr>
          <w:p w14:paraId="5D01A1B2">
            <w:pPr>
              <w:autoSpaceDE w:val="0"/>
              <w:autoSpaceDN w:val="0"/>
              <w:adjustRightInd w:val="0"/>
              <w:snapToGrid w:val="0"/>
              <w:jc w:val="left"/>
              <w:rPr>
                <w:rFonts w:ascii="宋体" w:hAnsi="宋体"/>
                <w:color w:val="auto"/>
                <w:kern w:val="0"/>
                <w:sz w:val="24"/>
                <w:highlight w:val="none"/>
              </w:rPr>
            </w:pPr>
          </w:p>
        </w:tc>
        <w:tc>
          <w:tcPr>
            <w:tcW w:w="1187" w:type="dxa"/>
          </w:tcPr>
          <w:p w14:paraId="25809837">
            <w:pPr>
              <w:autoSpaceDE w:val="0"/>
              <w:autoSpaceDN w:val="0"/>
              <w:adjustRightInd w:val="0"/>
              <w:snapToGrid w:val="0"/>
              <w:jc w:val="left"/>
              <w:rPr>
                <w:rFonts w:ascii="宋体" w:hAnsi="宋体"/>
                <w:color w:val="auto"/>
                <w:kern w:val="0"/>
                <w:sz w:val="24"/>
                <w:highlight w:val="none"/>
              </w:rPr>
            </w:pPr>
          </w:p>
        </w:tc>
      </w:tr>
      <w:tr w14:paraId="3609404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332443FE">
            <w:pPr>
              <w:autoSpaceDE w:val="0"/>
              <w:autoSpaceDN w:val="0"/>
              <w:adjustRightInd w:val="0"/>
              <w:snapToGrid w:val="0"/>
              <w:jc w:val="left"/>
              <w:rPr>
                <w:rFonts w:ascii="宋体" w:hAnsi="宋体"/>
                <w:color w:val="auto"/>
                <w:kern w:val="0"/>
                <w:sz w:val="24"/>
                <w:highlight w:val="none"/>
              </w:rPr>
            </w:pPr>
          </w:p>
        </w:tc>
        <w:tc>
          <w:tcPr>
            <w:tcW w:w="1453" w:type="dxa"/>
          </w:tcPr>
          <w:p w14:paraId="4A5D41C3">
            <w:pPr>
              <w:autoSpaceDE w:val="0"/>
              <w:autoSpaceDN w:val="0"/>
              <w:adjustRightInd w:val="0"/>
              <w:snapToGrid w:val="0"/>
              <w:jc w:val="left"/>
              <w:rPr>
                <w:rFonts w:ascii="宋体" w:hAnsi="宋体"/>
                <w:color w:val="auto"/>
                <w:kern w:val="0"/>
                <w:sz w:val="24"/>
                <w:highlight w:val="none"/>
              </w:rPr>
            </w:pPr>
          </w:p>
        </w:tc>
        <w:tc>
          <w:tcPr>
            <w:tcW w:w="1186" w:type="dxa"/>
          </w:tcPr>
          <w:p w14:paraId="68188B38">
            <w:pPr>
              <w:autoSpaceDE w:val="0"/>
              <w:autoSpaceDN w:val="0"/>
              <w:adjustRightInd w:val="0"/>
              <w:snapToGrid w:val="0"/>
              <w:jc w:val="left"/>
              <w:rPr>
                <w:rFonts w:ascii="宋体" w:hAnsi="宋体"/>
                <w:color w:val="auto"/>
                <w:kern w:val="0"/>
                <w:sz w:val="24"/>
                <w:highlight w:val="none"/>
              </w:rPr>
            </w:pPr>
          </w:p>
        </w:tc>
        <w:tc>
          <w:tcPr>
            <w:tcW w:w="1188" w:type="dxa"/>
          </w:tcPr>
          <w:p w14:paraId="42BA465A">
            <w:pPr>
              <w:autoSpaceDE w:val="0"/>
              <w:autoSpaceDN w:val="0"/>
              <w:adjustRightInd w:val="0"/>
              <w:snapToGrid w:val="0"/>
              <w:jc w:val="left"/>
              <w:rPr>
                <w:rFonts w:ascii="宋体" w:hAnsi="宋体"/>
                <w:color w:val="auto"/>
                <w:kern w:val="0"/>
                <w:sz w:val="24"/>
                <w:highlight w:val="none"/>
              </w:rPr>
            </w:pPr>
          </w:p>
        </w:tc>
        <w:tc>
          <w:tcPr>
            <w:tcW w:w="1186" w:type="dxa"/>
          </w:tcPr>
          <w:p w14:paraId="74AF57B5">
            <w:pPr>
              <w:autoSpaceDE w:val="0"/>
              <w:autoSpaceDN w:val="0"/>
              <w:adjustRightInd w:val="0"/>
              <w:snapToGrid w:val="0"/>
              <w:jc w:val="left"/>
              <w:rPr>
                <w:rFonts w:ascii="宋体" w:hAnsi="宋体"/>
                <w:color w:val="auto"/>
                <w:kern w:val="0"/>
                <w:sz w:val="24"/>
                <w:highlight w:val="none"/>
              </w:rPr>
            </w:pPr>
          </w:p>
        </w:tc>
        <w:tc>
          <w:tcPr>
            <w:tcW w:w="1188" w:type="dxa"/>
          </w:tcPr>
          <w:p w14:paraId="3A49DBF3">
            <w:pPr>
              <w:autoSpaceDE w:val="0"/>
              <w:autoSpaceDN w:val="0"/>
              <w:adjustRightInd w:val="0"/>
              <w:snapToGrid w:val="0"/>
              <w:jc w:val="left"/>
              <w:rPr>
                <w:rFonts w:ascii="宋体" w:hAnsi="宋体"/>
                <w:color w:val="auto"/>
                <w:kern w:val="0"/>
                <w:sz w:val="24"/>
                <w:highlight w:val="none"/>
              </w:rPr>
            </w:pPr>
          </w:p>
        </w:tc>
        <w:tc>
          <w:tcPr>
            <w:tcW w:w="1186" w:type="dxa"/>
          </w:tcPr>
          <w:p w14:paraId="35D4E5D2">
            <w:pPr>
              <w:autoSpaceDE w:val="0"/>
              <w:autoSpaceDN w:val="0"/>
              <w:adjustRightInd w:val="0"/>
              <w:snapToGrid w:val="0"/>
              <w:jc w:val="left"/>
              <w:rPr>
                <w:rFonts w:ascii="宋体" w:hAnsi="宋体"/>
                <w:color w:val="auto"/>
                <w:kern w:val="0"/>
                <w:sz w:val="24"/>
                <w:highlight w:val="none"/>
              </w:rPr>
            </w:pPr>
          </w:p>
        </w:tc>
        <w:tc>
          <w:tcPr>
            <w:tcW w:w="1187" w:type="dxa"/>
          </w:tcPr>
          <w:p w14:paraId="37041FB7">
            <w:pPr>
              <w:autoSpaceDE w:val="0"/>
              <w:autoSpaceDN w:val="0"/>
              <w:adjustRightInd w:val="0"/>
              <w:snapToGrid w:val="0"/>
              <w:jc w:val="left"/>
              <w:rPr>
                <w:rFonts w:ascii="宋体" w:hAnsi="宋体"/>
                <w:color w:val="auto"/>
                <w:kern w:val="0"/>
                <w:sz w:val="24"/>
                <w:highlight w:val="none"/>
              </w:rPr>
            </w:pPr>
          </w:p>
        </w:tc>
      </w:tr>
      <w:tr w14:paraId="25FACF9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44FB0BD1">
            <w:pPr>
              <w:autoSpaceDE w:val="0"/>
              <w:autoSpaceDN w:val="0"/>
              <w:adjustRightInd w:val="0"/>
              <w:snapToGrid w:val="0"/>
              <w:jc w:val="left"/>
              <w:rPr>
                <w:rFonts w:ascii="宋体" w:hAnsi="宋体"/>
                <w:color w:val="auto"/>
                <w:kern w:val="0"/>
                <w:sz w:val="24"/>
                <w:highlight w:val="none"/>
              </w:rPr>
            </w:pPr>
          </w:p>
        </w:tc>
        <w:tc>
          <w:tcPr>
            <w:tcW w:w="1453" w:type="dxa"/>
          </w:tcPr>
          <w:p w14:paraId="18B47B02">
            <w:pPr>
              <w:autoSpaceDE w:val="0"/>
              <w:autoSpaceDN w:val="0"/>
              <w:adjustRightInd w:val="0"/>
              <w:snapToGrid w:val="0"/>
              <w:jc w:val="left"/>
              <w:rPr>
                <w:rFonts w:ascii="宋体" w:hAnsi="宋体"/>
                <w:color w:val="auto"/>
                <w:kern w:val="0"/>
                <w:sz w:val="24"/>
                <w:highlight w:val="none"/>
              </w:rPr>
            </w:pPr>
          </w:p>
        </w:tc>
        <w:tc>
          <w:tcPr>
            <w:tcW w:w="1186" w:type="dxa"/>
          </w:tcPr>
          <w:p w14:paraId="6B5F4297">
            <w:pPr>
              <w:autoSpaceDE w:val="0"/>
              <w:autoSpaceDN w:val="0"/>
              <w:adjustRightInd w:val="0"/>
              <w:snapToGrid w:val="0"/>
              <w:jc w:val="left"/>
              <w:rPr>
                <w:rFonts w:ascii="宋体" w:hAnsi="宋体"/>
                <w:color w:val="auto"/>
                <w:kern w:val="0"/>
                <w:sz w:val="24"/>
                <w:highlight w:val="none"/>
              </w:rPr>
            </w:pPr>
          </w:p>
        </w:tc>
        <w:tc>
          <w:tcPr>
            <w:tcW w:w="1188" w:type="dxa"/>
          </w:tcPr>
          <w:p w14:paraId="1D73B160">
            <w:pPr>
              <w:autoSpaceDE w:val="0"/>
              <w:autoSpaceDN w:val="0"/>
              <w:adjustRightInd w:val="0"/>
              <w:snapToGrid w:val="0"/>
              <w:jc w:val="left"/>
              <w:rPr>
                <w:rFonts w:ascii="宋体" w:hAnsi="宋体"/>
                <w:color w:val="auto"/>
                <w:kern w:val="0"/>
                <w:sz w:val="24"/>
                <w:highlight w:val="none"/>
              </w:rPr>
            </w:pPr>
          </w:p>
        </w:tc>
        <w:tc>
          <w:tcPr>
            <w:tcW w:w="1186" w:type="dxa"/>
          </w:tcPr>
          <w:p w14:paraId="2F7AE781">
            <w:pPr>
              <w:autoSpaceDE w:val="0"/>
              <w:autoSpaceDN w:val="0"/>
              <w:adjustRightInd w:val="0"/>
              <w:snapToGrid w:val="0"/>
              <w:jc w:val="left"/>
              <w:rPr>
                <w:rFonts w:ascii="宋体" w:hAnsi="宋体"/>
                <w:color w:val="auto"/>
                <w:kern w:val="0"/>
                <w:sz w:val="24"/>
                <w:highlight w:val="none"/>
              </w:rPr>
            </w:pPr>
          </w:p>
        </w:tc>
        <w:tc>
          <w:tcPr>
            <w:tcW w:w="1188" w:type="dxa"/>
          </w:tcPr>
          <w:p w14:paraId="466D582F">
            <w:pPr>
              <w:autoSpaceDE w:val="0"/>
              <w:autoSpaceDN w:val="0"/>
              <w:adjustRightInd w:val="0"/>
              <w:snapToGrid w:val="0"/>
              <w:jc w:val="left"/>
              <w:rPr>
                <w:rFonts w:ascii="宋体" w:hAnsi="宋体"/>
                <w:color w:val="auto"/>
                <w:kern w:val="0"/>
                <w:sz w:val="24"/>
                <w:highlight w:val="none"/>
              </w:rPr>
            </w:pPr>
          </w:p>
        </w:tc>
        <w:tc>
          <w:tcPr>
            <w:tcW w:w="1186" w:type="dxa"/>
          </w:tcPr>
          <w:p w14:paraId="6EAF984F">
            <w:pPr>
              <w:autoSpaceDE w:val="0"/>
              <w:autoSpaceDN w:val="0"/>
              <w:adjustRightInd w:val="0"/>
              <w:snapToGrid w:val="0"/>
              <w:jc w:val="left"/>
              <w:rPr>
                <w:rFonts w:ascii="宋体" w:hAnsi="宋体"/>
                <w:color w:val="auto"/>
                <w:kern w:val="0"/>
                <w:sz w:val="24"/>
                <w:highlight w:val="none"/>
              </w:rPr>
            </w:pPr>
          </w:p>
        </w:tc>
        <w:tc>
          <w:tcPr>
            <w:tcW w:w="1187" w:type="dxa"/>
          </w:tcPr>
          <w:p w14:paraId="79795F4F">
            <w:pPr>
              <w:autoSpaceDE w:val="0"/>
              <w:autoSpaceDN w:val="0"/>
              <w:adjustRightInd w:val="0"/>
              <w:snapToGrid w:val="0"/>
              <w:jc w:val="left"/>
              <w:rPr>
                <w:rFonts w:ascii="宋体" w:hAnsi="宋体"/>
                <w:color w:val="auto"/>
                <w:kern w:val="0"/>
                <w:sz w:val="24"/>
                <w:highlight w:val="none"/>
              </w:rPr>
            </w:pPr>
          </w:p>
        </w:tc>
      </w:tr>
      <w:tr w14:paraId="27BA8BC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383EAD15">
            <w:pPr>
              <w:autoSpaceDE w:val="0"/>
              <w:autoSpaceDN w:val="0"/>
              <w:adjustRightInd w:val="0"/>
              <w:snapToGrid w:val="0"/>
              <w:jc w:val="left"/>
              <w:rPr>
                <w:rFonts w:ascii="宋体" w:hAnsi="宋体"/>
                <w:color w:val="auto"/>
                <w:kern w:val="0"/>
                <w:sz w:val="24"/>
                <w:highlight w:val="none"/>
              </w:rPr>
            </w:pPr>
          </w:p>
        </w:tc>
        <w:tc>
          <w:tcPr>
            <w:tcW w:w="1453" w:type="dxa"/>
          </w:tcPr>
          <w:p w14:paraId="7E58596B">
            <w:pPr>
              <w:autoSpaceDE w:val="0"/>
              <w:autoSpaceDN w:val="0"/>
              <w:adjustRightInd w:val="0"/>
              <w:snapToGrid w:val="0"/>
              <w:jc w:val="left"/>
              <w:rPr>
                <w:rFonts w:ascii="宋体" w:hAnsi="宋体"/>
                <w:color w:val="auto"/>
                <w:kern w:val="0"/>
                <w:sz w:val="24"/>
                <w:highlight w:val="none"/>
              </w:rPr>
            </w:pPr>
          </w:p>
        </w:tc>
        <w:tc>
          <w:tcPr>
            <w:tcW w:w="1186" w:type="dxa"/>
          </w:tcPr>
          <w:p w14:paraId="01FE687A">
            <w:pPr>
              <w:autoSpaceDE w:val="0"/>
              <w:autoSpaceDN w:val="0"/>
              <w:adjustRightInd w:val="0"/>
              <w:snapToGrid w:val="0"/>
              <w:jc w:val="left"/>
              <w:rPr>
                <w:rFonts w:ascii="宋体" w:hAnsi="宋体"/>
                <w:color w:val="auto"/>
                <w:kern w:val="0"/>
                <w:sz w:val="24"/>
                <w:highlight w:val="none"/>
              </w:rPr>
            </w:pPr>
          </w:p>
        </w:tc>
        <w:tc>
          <w:tcPr>
            <w:tcW w:w="1188" w:type="dxa"/>
          </w:tcPr>
          <w:p w14:paraId="26286242">
            <w:pPr>
              <w:autoSpaceDE w:val="0"/>
              <w:autoSpaceDN w:val="0"/>
              <w:adjustRightInd w:val="0"/>
              <w:snapToGrid w:val="0"/>
              <w:jc w:val="left"/>
              <w:rPr>
                <w:rFonts w:ascii="宋体" w:hAnsi="宋体"/>
                <w:color w:val="auto"/>
                <w:kern w:val="0"/>
                <w:sz w:val="24"/>
                <w:highlight w:val="none"/>
              </w:rPr>
            </w:pPr>
          </w:p>
        </w:tc>
        <w:tc>
          <w:tcPr>
            <w:tcW w:w="1186" w:type="dxa"/>
          </w:tcPr>
          <w:p w14:paraId="7B3E71EC">
            <w:pPr>
              <w:autoSpaceDE w:val="0"/>
              <w:autoSpaceDN w:val="0"/>
              <w:adjustRightInd w:val="0"/>
              <w:snapToGrid w:val="0"/>
              <w:jc w:val="left"/>
              <w:rPr>
                <w:rFonts w:ascii="宋体" w:hAnsi="宋体"/>
                <w:color w:val="auto"/>
                <w:kern w:val="0"/>
                <w:sz w:val="24"/>
                <w:highlight w:val="none"/>
              </w:rPr>
            </w:pPr>
          </w:p>
        </w:tc>
        <w:tc>
          <w:tcPr>
            <w:tcW w:w="1188" w:type="dxa"/>
          </w:tcPr>
          <w:p w14:paraId="31D30E34">
            <w:pPr>
              <w:autoSpaceDE w:val="0"/>
              <w:autoSpaceDN w:val="0"/>
              <w:adjustRightInd w:val="0"/>
              <w:snapToGrid w:val="0"/>
              <w:jc w:val="left"/>
              <w:rPr>
                <w:rFonts w:ascii="宋体" w:hAnsi="宋体"/>
                <w:color w:val="auto"/>
                <w:kern w:val="0"/>
                <w:sz w:val="24"/>
                <w:highlight w:val="none"/>
              </w:rPr>
            </w:pPr>
          </w:p>
        </w:tc>
        <w:tc>
          <w:tcPr>
            <w:tcW w:w="1186" w:type="dxa"/>
          </w:tcPr>
          <w:p w14:paraId="17875E36">
            <w:pPr>
              <w:autoSpaceDE w:val="0"/>
              <w:autoSpaceDN w:val="0"/>
              <w:adjustRightInd w:val="0"/>
              <w:snapToGrid w:val="0"/>
              <w:jc w:val="left"/>
              <w:rPr>
                <w:rFonts w:ascii="宋体" w:hAnsi="宋体"/>
                <w:color w:val="auto"/>
                <w:kern w:val="0"/>
                <w:sz w:val="24"/>
                <w:highlight w:val="none"/>
              </w:rPr>
            </w:pPr>
          </w:p>
        </w:tc>
        <w:tc>
          <w:tcPr>
            <w:tcW w:w="1187" w:type="dxa"/>
          </w:tcPr>
          <w:p w14:paraId="39A29718">
            <w:pPr>
              <w:autoSpaceDE w:val="0"/>
              <w:autoSpaceDN w:val="0"/>
              <w:adjustRightInd w:val="0"/>
              <w:snapToGrid w:val="0"/>
              <w:jc w:val="left"/>
              <w:rPr>
                <w:rFonts w:ascii="宋体" w:hAnsi="宋体"/>
                <w:color w:val="auto"/>
                <w:kern w:val="0"/>
                <w:sz w:val="24"/>
                <w:highlight w:val="none"/>
              </w:rPr>
            </w:pPr>
          </w:p>
        </w:tc>
      </w:tr>
      <w:tr w14:paraId="5377095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0663E342">
            <w:pPr>
              <w:autoSpaceDE w:val="0"/>
              <w:autoSpaceDN w:val="0"/>
              <w:adjustRightInd w:val="0"/>
              <w:snapToGrid w:val="0"/>
              <w:jc w:val="left"/>
              <w:rPr>
                <w:rFonts w:ascii="宋体" w:hAnsi="宋体"/>
                <w:color w:val="auto"/>
                <w:kern w:val="0"/>
                <w:sz w:val="24"/>
                <w:highlight w:val="none"/>
              </w:rPr>
            </w:pPr>
          </w:p>
        </w:tc>
        <w:tc>
          <w:tcPr>
            <w:tcW w:w="1453" w:type="dxa"/>
          </w:tcPr>
          <w:p w14:paraId="367D5F48">
            <w:pPr>
              <w:autoSpaceDE w:val="0"/>
              <w:autoSpaceDN w:val="0"/>
              <w:adjustRightInd w:val="0"/>
              <w:snapToGrid w:val="0"/>
              <w:jc w:val="left"/>
              <w:rPr>
                <w:rFonts w:ascii="宋体" w:hAnsi="宋体"/>
                <w:color w:val="auto"/>
                <w:kern w:val="0"/>
                <w:sz w:val="24"/>
                <w:highlight w:val="none"/>
              </w:rPr>
            </w:pPr>
          </w:p>
        </w:tc>
        <w:tc>
          <w:tcPr>
            <w:tcW w:w="1186" w:type="dxa"/>
          </w:tcPr>
          <w:p w14:paraId="7EDC3417">
            <w:pPr>
              <w:autoSpaceDE w:val="0"/>
              <w:autoSpaceDN w:val="0"/>
              <w:adjustRightInd w:val="0"/>
              <w:snapToGrid w:val="0"/>
              <w:jc w:val="left"/>
              <w:rPr>
                <w:rFonts w:ascii="宋体" w:hAnsi="宋体"/>
                <w:color w:val="auto"/>
                <w:kern w:val="0"/>
                <w:sz w:val="24"/>
                <w:highlight w:val="none"/>
              </w:rPr>
            </w:pPr>
          </w:p>
        </w:tc>
        <w:tc>
          <w:tcPr>
            <w:tcW w:w="1188" w:type="dxa"/>
          </w:tcPr>
          <w:p w14:paraId="73FF8F79">
            <w:pPr>
              <w:autoSpaceDE w:val="0"/>
              <w:autoSpaceDN w:val="0"/>
              <w:adjustRightInd w:val="0"/>
              <w:snapToGrid w:val="0"/>
              <w:jc w:val="left"/>
              <w:rPr>
                <w:rFonts w:ascii="宋体" w:hAnsi="宋体"/>
                <w:color w:val="auto"/>
                <w:kern w:val="0"/>
                <w:sz w:val="24"/>
                <w:highlight w:val="none"/>
              </w:rPr>
            </w:pPr>
          </w:p>
        </w:tc>
        <w:tc>
          <w:tcPr>
            <w:tcW w:w="1186" w:type="dxa"/>
          </w:tcPr>
          <w:p w14:paraId="3F037D92">
            <w:pPr>
              <w:autoSpaceDE w:val="0"/>
              <w:autoSpaceDN w:val="0"/>
              <w:adjustRightInd w:val="0"/>
              <w:snapToGrid w:val="0"/>
              <w:jc w:val="left"/>
              <w:rPr>
                <w:rFonts w:ascii="宋体" w:hAnsi="宋体"/>
                <w:color w:val="auto"/>
                <w:kern w:val="0"/>
                <w:sz w:val="24"/>
                <w:highlight w:val="none"/>
              </w:rPr>
            </w:pPr>
          </w:p>
        </w:tc>
        <w:tc>
          <w:tcPr>
            <w:tcW w:w="1188" w:type="dxa"/>
          </w:tcPr>
          <w:p w14:paraId="616749A5">
            <w:pPr>
              <w:autoSpaceDE w:val="0"/>
              <w:autoSpaceDN w:val="0"/>
              <w:adjustRightInd w:val="0"/>
              <w:snapToGrid w:val="0"/>
              <w:jc w:val="left"/>
              <w:rPr>
                <w:rFonts w:ascii="宋体" w:hAnsi="宋体"/>
                <w:color w:val="auto"/>
                <w:kern w:val="0"/>
                <w:sz w:val="24"/>
                <w:highlight w:val="none"/>
              </w:rPr>
            </w:pPr>
          </w:p>
        </w:tc>
        <w:tc>
          <w:tcPr>
            <w:tcW w:w="1186" w:type="dxa"/>
          </w:tcPr>
          <w:p w14:paraId="1B30D05E">
            <w:pPr>
              <w:autoSpaceDE w:val="0"/>
              <w:autoSpaceDN w:val="0"/>
              <w:adjustRightInd w:val="0"/>
              <w:snapToGrid w:val="0"/>
              <w:jc w:val="left"/>
              <w:rPr>
                <w:rFonts w:ascii="宋体" w:hAnsi="宋体"/>
                <w:color w:val="auto"/>
                <w:kern w:val="0"/>
                <w:sz w:val="24"/>
                <w:highlight w:val="none"/>
              </w:rPr>
            </w:pPr>
          </w:p>
        </w:tc>
        <w:tc>
          <w:tcPr>
            <w:tcW w:w="1187" w:type="dxa"/>
          </w:tcPr>
          <w:p w14:paraId="0F5101FE">
            <w:pPr>
              <w:autoSpaceDE w:val="0"/>
              <w:autoSpaceDN w:val="0"/>
              <w:adjustRightInd w:val="0"/>
              <w:snapToGrid w:val="0"/>
              <w:jc w:val="left"/>
              <w:rPr>
                <w:rFonts w:ascii="宋体" w:hAnsi="宋体"/>
                <w:color w:val="auto"/>
                <w:kern w:val="0"/>
                <w:sz w:val="24"/>
                <w:highlight w:val="none"/>
              </w:rPr>
            </w:pPr>
          </w:p>
        </w:tc>
      </w:tr>
      <w:tr w14:paraId="51124E2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1ACF5561">
            <w:pPr>
              <w:autoSpaceDE w:val="0"/>
              <w:autoSpaceDN w:val="0"/>
              <w:adjustRightInd w:val="0"/>
              <w:snapToGrid w:val="0"/>
              <w:jc w:val="left"/>
              <w:rPr>
                <w:rFonts w:ascii="宋体" w:hAnsi="宋体"/>
                <w:color w:val="auto"/>
                <w:kern w:val="0"/>
                <w:sz w:val="24"/>
                <w:highlight w:val="none"/>
              </w:rPr>
            </w:pPr>
          </w:p>
        </w:tc>
        <w:tc>
          <w:tcPr>
            <w:tcW w:w="1453" w:type="dxa"/>
          </w:tcPr>
          <w:p w14:paraId="0F1C48CA">
            <w:pPr>
              <w:autoSpaceDE w:val="0"/>
              <w:autoSpaceDN w:val="0"/>
              <w:adjustRightInd w:val="0"/>
              <w:snapToGrid w:val="0"/>
              <w:jc w:val="left"/>
              <w:rPr>
                <w:rFonts w:ascii="宋体" w:hAnsi="宋体"/>
                <w:color w:val="auto"/>
                <w:kern w:val="0"/>
                <w:sz w:val="24"/>
                <w:highlight w:val="none"/>
              </w:rPr>
            </w:pPr>
          </w:p>
        </w:tc>
        <w:tc>
          <w:tcPr>
            <w:tcW w:w="1186" w:type="dxa"/>
          </w:tcPr>
          <w:p w14:paraId="524E59F1">
            <w:pPr>
              <w:autoSpaceDE w:val="0"/>
              <w:autoSpaceDN w:val="0"/>
              <w:adjustRightInd w:val="0"/>
              <w:snapToGrid w:val="0"/>
              <w:jc w:val="left"/>
              <w:rPr>
                <w:rFonts w:ascii="宋体" w:hAnsi="宋体"/>
                <w:color w:val="auto"/>
                <w:kern w:val="0"/>
                <w:sz w:val="24"/>
                <w:highlight w:val="none"/>
              </w:rPr>
            </w:pPr>
          </w:p>
        </w:tc>
        <w:tc>
          <w:tcPr>
            <w:tcW w:w="1188" w:type="dxa"/>
          </w:tcPr>
          <w:p w14:paraId="7F085A5D">
            <w:pPr>
              <w:autoSpaceDE w:val="0"/>
              <w:autoSpaceDN w:val="0"/>
              <w:adjustRightInd w:val="0"/>
              <w:snapToGrid w:val="0"/>
              <w:jc w:val="left"/>
              <w:rPr>
                <w:rFonts w:ascii="宋体" w:hAnsi="宋体"/>
                <w:color w:val="auto"/>
                <w:kern w:val="0"/>
                <w:sz w:val="24"/>
                <w:highlight w:val="none"/>
              </w:rPr>
            </w:pPr>
          </w:p>
        </w:tc>
        <w:tc>
          <w:tcPr>
            <w:tcW w:w="1186" w:type="dxa"/>
          </w:tcPr>
          <w:p w14:paraId="3B217598">
            <w:pPr>
              <w:autoSpaceDE w:val="0"/>
              <w:autoSpaceDN w:val="0"/>
              <w:adjustRightInd w:val="0"/>
              <w:snapToGrid w:val="0"/>
              <w:jc w:val="left"/>
              <w:rPr>
                <w:rFonts w:ascii="宋体" w:hAnsi="宋体"/>
                <w:color w:val="auto"/>
                <w:kern w:val="0"/>
                <w:sz w:val="24"/>
                <w:highlight w:val="none"/>
              </w:rPr>
            </w:pPr>
          </w:p>
        </w:tc>
        <w:tc>
          <w:tcPr>
            <w:tcW w:w="1188" w:type="dxa"/>
          </w:tcPr>
          <w:p w14:paraId="4AB95F04">
            <w:pPr>
              <w:autoSpaceDE w:val="0"/>
              <w:autoSpaceDN w:val="0"/>
              <w:adjustRightInd w:val="0"/>
              <w:snapToGrid w:val="0"/>
              <w:jc w:val="left"/>
              <w:rPr>
                <w:rFonts w:ascii="宋体" w:hAnsi="宋体"/>
                <w:color w:val="auto"/>
                <w:kern w:val="0"/>
                <w:sz w:val="24"/>
                <w:highlight w:val="none"/>
              </w:rPr>
            </w:pPr>
          </w:p>
        </w:tc>
        <w:tc>
          <w:tcPr>
            <w:tcW w:w="1186" w:type="dxa"/>
          </w:tcPr>
          <w:p w14:paraId="259DBF9F">
            <w:pPr>
              <w:autoSpaceDE w:val="0"/>
              <w:autoSpaceDN w:val="0"/>
              <w:adjustRightInd w:val="0"/>
              <w:snapToGrid w:val="0"/>
              <w:jc w:val="left"/>
              <w:rPr>
                <w:rFonts w:ascii="宋体" w:hAnsi="宋体"/>
                <w:color w:val="auto"/>
                <w:kern w:val="0"/>
                <w:sz w:val="24"/>
                <w:highlight w:val="none"/>
              </w:rPr>
            </w:pPr>
          </w:p>
        </w:tc>
        <w:tc>
          <w:tcPr>
            <w:tcW w:w="1187" w:type="dxa"/>
          </w:tcPr>
          <w:p w14:paraId="2DC79834">
            <w:pPr>
              <w:autoSpaceDE w:val="0"/>
              <w:autoSpaceDN w:val="0"/>
              <w:adjustRightInd w:val="0"/>
              <w:snapToGrid w:val="0"/>
              <w:jc w:val="left"/>
              <w:rPr>
                <w:rFonts w:ascii="宋体" w:hAnsi="宋体"/>
                <w:color w:val="auto"/>
                <w:kern w:val="0"/>
                <w:sz w:val="24"/>
                <w:highlight w:val="none"/>
              </w:rPr>
            </w:pPr>
          </w:p>
        </w:tc>
      </w:tr>
      <w:tr w14:paraId="7DBADA7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2C0A9FB3">
            <w:pPr>
              <w:autoSpaceDE w:val="0"/>
              <w:autoSpaceDN w:val="0"/>
              <w:adjustRightInd w:val="0"/>
              <w:snapToGrid w:val="0"/>
              <w:jc w:val="left"/>
              <w:rPr>
                <w:rFonts w:ascii="宋体" w:hAnsi="宋体"/>
                <w:color w:val="auto"/>
                <w:kern w:val="0"/>
                <w:sz w:val="24"/>
                <w:highlight w:val="none"/>
              </w:rPr>
            </w:pPr>
          </w:p>
        </w:tc>
        <w:tc>
          <w:tcPr>
            <w:tcW w:w="1453" w:type="dxa"/>
          </w:tcPr>
          <w:p w14:paraId="77D11FA0">
            <w:pPr>
              <w:autoSpaceDE w:val="0"/>
              <w:autoSpaceDN w:val="0"/>
              <w:adjustRightInd w:val="0"/>
              <w:snapToGrid w:val="0"/>
              <w:jc w:val="left"/>
              <w:rPr>
                <w:rFonts w:ascii="宋体" w:hAnsi="宋体"/>
                <w:color w:val="auto"/>
                <w:kern w:val="0"/>
                <w:sz w:val="24"/>
                <w:highlight w:val="none"/>
              </w:rPr>
            </w:pPr>
          </w:p>
        </w:tc>
        <w:tc>
          <w:tcPr>
            <w:tcW w:w="1186" w:type="dxa"/>
          </w:tcPr>
          <w:p w14:paraId="17B9E0FA">
            <w:pPr>
              <w:autoSpaceDE w:val="0"/>
              <w:autoSpaceDN w:val="0"/>
              <w:adjustRightInd w:val="0"/>
              <w:snapToGrid w:val="0"/>
              <w:jc w:val="left"/>
              <w:rPr>
                <w:rFonts w:ascii="宋体" w:hAnsi="宋体"/>
                <w:color w:val="auto"/>
                <w:kern w:val="0"/>
                <w:sz w:val="24"/>
                <w:highlight w:val="none"/>
              </w:rPr>
            </w:pPr>
          </w:p>
        </w:tc>
        <w:tc>
          <w:tcPr>
            <w:tcW w:w="1188" w:type="dxa"/>
          </w:tcPr>
          <w:p w14:paraId="53CC2AD5">
            <w:pPr>
              <w:autoSpaceDE w:val="0"/>
              <w:autoSpaceDN w:val="0"/>
              <w:adjustRightInd w:val="0"/>
              <w:snapToGrid w:val="0"/>
              <w:jc w:val="left"/>
              <w:rPr>
                <w:rFonts w:ascii="宋体" w:hAnsi="宋体"/>
                <w:color w:val="auto"/>
                <w:kern w:val="0"/>
                <w:sz w:val="24"/>
                <w:highlight w:val="none"/>
              </w:rPr>
            </w:pPr>
          </w:p>
        </w:tc>
        <w:tc>
          <w:tcPr>
            <w:tcW w:w="1186" w:type="dxa"/>
          </w:tcPr>
          <w:p w14:paraId="0B96D005">
            <w:pPr>
              <w:autoSpaceDE w:val="0"/>
              <w:autoSpaceDN w:val="0"/>
              <w:adjustRightInd w:val="0"/>
              <w:snapToGrid w:val="0"/>
              <w:jc w:val="left"/>
              <w:rPr>
                <w:rFonts w:ascii="宋体" w:hAnsi="宋体"/>
                <w:color w:val="auto"/>
                <w:kern w:val="0"/>
                <w:sz w:val="24"/>
                <w:highlight w:val="none"/>
              </w:rPr>
            </w:pPr>
          </w:p>
        </w:tc>
        <w:tc>
          <w:tcPr>
            <w:tcW w:w="1188" w:type="dxa"/>
          </w:tcPr>
          <w:p w14:paraId="4AD2E25C">
            <w:pPr>
              <w:autoSpaceDE w:val="0"/>
              <w:autoSpaceDN w:val="0"/>
              <w:adjustRightInd w:val="0"/>
              <w:snapToGrid w:val="0"/>
              <w:jc w:val="left"/>
              <w:rPr>
                <w:rFonts w:ascii="宋体" w:hAnsi="宋体"/>
                <w:color w:val="auto"/>
                <w:kern w:val="0"/>
                <w:sz w:val="24"/>
                <w:highlight w:val="none"/>
              </w:rPr>
            </w:pPr>
          </w:p>
        </w:tc>
        <w:tc>
          <w:tcPr>
            <w:tcW w:w="1186" w:type="dxa"/>
          </w:tcPr>
          <w:p w14:paraId="4C71C7C9">
            <w:pPr>
              <w:autoSpaceDE w:val="0"/>
              <w:autoSpaceDN w:val="0"/>
              <w:adjustRightInd w:val="0"/>
              <w:snapToGrid w:val="0"/>
              <w:jc w:val="left"/>
              <w:rPr>
                <w:rFonts w:ascii="宋体" w:hAnsi="宋体"/>
                <w:color w:val="auto"/>
                <w:kern w:val="0"/>
                <w:sz w:val="24"/>
                <w:highlight w:val="none"/>
              </w:rPr>
            </w:pPr>
          </w:p>
        </w:tc>
        <w:tc>
          <w:tcPr>
            <w:tcW w:w="1187" w:type="dxa"/>
          </w:tcPr>
          <w:p w14:paraId="7E4828D4">
            <w:pPr>
              <w:autoSpaceDE w:val="0"/>
              <w:autoSpaceDN w:val="0"/>
              <w:adjustRightInd w:val="0"/>
              <w:snapToGrid w:val="0"/>
              <w:jc w:val="left"/>
              <w:rPr>
                <w:rFonts w:ascii="宋体" w:hAnsi="宋体"/>
                <w:color w:val="auto"/>
                <w:kern w:val="0"/>
                <w:sz w:val="24"/>
                <w:highlight w:val="none"/>
              </w:rPr>
            </w:pPr>
          </w:p>
        </w:tc>
      </w:tr>
      <w:tr w14:paraId="07B11F4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507EF1B8">
            <w:pPr>
              <w:autoSpaceDE w:val="0"/>
              <w:autoSpaceDN w:val="0"/>
              <w:adjustRightInd w:val="0"/>
              <w:snapToGrid w:val="0"/>
              <w:jc w:val="left"/>
              <w:rPr>
                <w:rFonts w:ascii="宋体" w:hAnsi="宋体"/>
                <w:color w:val="auto"/>
                <w:kern w:val="0"/>
                <w:sz w:val="24"/>
                <w:highlight w:val="none"/>
              </w:rPr>
            </w:pPr>
          </w:p>
        </w:tc>
        <w:tc>
          <w:tcPr>
            <w:tcW w:w="1453" w:type="dxa"/>
          </w:tcPr>
          <w:p w14:paraId="55671C1B">
            <w:pPr>
              <w:autoSpaceDE w:val="0"/>
              <w:autoSpaceDN w:val="0"/>
              <w:adjustRightInd w:val="0"/>
              <w:snapToGrid w:val="0"/>
              <w:jc w:val="left"/>
              <w:rPr>
                <w:rFonts w:ascii="宋体" w:hAnsi="宋体"/>
                <w:color w:val="auto"/>
                <w:kern w:val="0"/>
                <w:sz w:val="24"/>
                <w:highlight w:val="none"/>
              </w:rPr>
            </w:pPr>
          </w:p>
        </w:tc>
        <w:tc>
          <w:tcPr>
            <w:tcW w:w="1186" w:type="dxa"/>
          </w:tcPr>
          <w:p w14:paraId="04D46427">
            <w:pPr>
              <w:autoSpaceDE w:val="0"/>
              <w:autoSpaceDN w:val="0"/>
              <w:adjustRightInd w:val="0"/>
              <w:snapToGrid w:val="0"/>
              <w:jc w:val="left"/>
              <w:rPr>
                <w:rFonts w:ascii="宋体" w:hAnsi="宋体"/>
                <w:color w:val="auto"/>
                <w:kern w:val="0"/>
                <w:sz w:val="24"/>
                <w:highlight w:val="none"/>
              </w:rPr>
            </w:pPr>
          </w:p>
        </w:tc>
        <w:tc>
          <w:tcPr>
            <w:tcW w:w="1188" w:type="dxa"/>
          </w:tcPr>
          <w:p w14:paraId="69A1DD63">
            <w:pPr>
              <w:autoSpaceDE w:val="0"/>
              <w:autoSpaceDN w:val="0"/>
              <w:adjustRightInd w:val="0"/>
              <w:snapToGrid w:val="0"/>
              <w:jc w:val="left"/>
              <w:rPr>
                <w:rFonts w:ascii="宋体" w:hAnsi="宋体"/>
                <w:color w:val="auto"/>
                <w:kern w:val="0"/>
                <w:sz w:val="24"/>
                <w:highlight w:val="none"/>
              </w:rPr>
            </w:pPr>
          </w:p>
        </w:tc>
        <w:tc>
          <w:tcPr>
            <w:tcW w:w="1186" w:type="dxa"/>
          </w:tcPr>
          <w:p w14:paraId="0073C6FF">
            <w:pPr>
              <w:autoSpaceDE w:val="0"/>
              <w:autoSpaceDN w:val="0"/>
              <w:adjustRightInd w:val="0"/>
              <w:snapToGrid w:val="0"/>
              <w:jc w:val="left"/>
              <w:rPr>
                <w:rFonts w:ascii="宋体" w:hAnsi="宋体"/>
                <w:color w:val="auto"/>
                <w:kern w:val="0"/>
                <w:sz w:val="24"/>
                <w:highlight w:val="none"/>
              </w:rPr>
            </w:pPr>
          </w:p>
        </w:tc>
        <w:tc>
          <w:tcPr>
            <w:tcW w:w="1188" w:type="dxa"/>
          </w:tcPr>
          <w:p w14:paraId="241A62E0">
            <w:pPr>
              <w:autoSpaceDE w:val="0"/>
              <w:autoSpaceDN w:val="0"/>
              <w:adjustRightInd w:val="0"/>
              <w:snapToGrid w:val="0"/>
              <w:jc w:val="left"/>
              <w:rPr>
                <w:rFonts w:ascii="宋体" w:hAnsi="宋体"/>
                <w:color w:val="auto"/>
                <w:kern w:val="0"/>
                <w:sz w:val="24"/>
                <w:highlight w:val="none"/>
              </w:rPr>
            </w:pPr>
          </w:p>
        </w:tc>
        <w:tc>
          <w:tcPr>
            <w:tcW w:w="1186" w:type="dxa"/>
          </w:tcPr>
          <w:p w14:paraId="299CE98F">
            <w:pPr>
              <w:autoSpaceDE w:val="0"/>
              <w:autoSpaceDN w:val="0"/>
              <w:adjustRightInd w:val="0"/>
              <w:snapToGrid w:val="0"/>
              <w:jc w:val="left"/>
              <w:rPr>
                <w:rFonts w:ascii="宋体" w:hAnsi="宋体"/>
                <w:color w:val="auto"/>
                <w:kern w:val="0"/>
                <w:sz w:val="24"/>
                <w:highlight w:val="none"/>
              </w:rPr>
            </w:pPr>
          </w:p>
        </w:tc>
        <w:tc>
          <w:tcPr>
            <w:tcW w:w="1187" w:type="dxa"/>
          </w:tcPr>
          <w:p w14:paraId="71334E8C">
            <w:pPr>
              <w:autoSpaceDE w:val="0"/>
              <w:autoSpaceDN w:val="0"/>
              <w:adjustRightInd w:val="0"/>
              <w:snapToGrid w:val="0"/>
              <w:jc w:val="left"/>
              <w:rPr>
                <w:rFonts w:ascii="宋体" w:hAnsi="宋体"/>
                <w:color w:val="auto"/>
                <w:kern w:val="0"/>
                <w:sz w:val="24"/>
                <w:highlight w:val="none"/>
              </w:rPr>
            </w:pPr>
          </w:p>
        </w:tc>
      </w:tr>
      <w:tr w14:paraId="7159603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4116F215">
            <w:pPr>
              <w:autoSpaceDE w:val="0"/>
              <w:autoSpaceDN w:val="0"/>
              <w:adjustRightInd w:val="0"/>
              <w:snapToGrid w:val="0"/>
              <w:jc w:val="left"/>
              <w:rPr>
                <w:rFonts w:ascii="宋体" w:hAnsi="宋体"/>
                <w:color w:val="auto"/>
                <w:kern w:val="0"/>
                <w:sz w:val="24"/>
                <w:highlight w:val="none"/>
              </w:rPr>
            </w:pPr>
          </w:p>
        </w:tc>
        <w:tc>
          <w:tcPr>
            <w:tcW w:w="1453" w:type="dxa"/>
          </w:tcPr>
          <w:p w14:paraId="49FAC2D6">
            <w:pPr>
              <w:autoSpaceDE w:val="0"/>
              <w:autoSpaceDN w:val="0"/>
              <w:adjustRightInd w:val="0"/>
              <w:snapToGrid w:val="0"/>
              <w:jc w:val="left"/>
              <w:rPr>
                <w:rFonts w:ascii="宋体" w:hAnsi="宋体"/>
                <w:color w:val="auto"/>
                <w:kern w:val="0"/>
                <w:sz w:val="24"/>
                <w:highlight w:val="none"/>
              </w:rPr>
            </w:pPr>
          </w:p>
        </w:tc>
        <w:tc>
          <w:tcPr>
            <w:tcW w:w="1186" w:type="dxa"/>
          </w:tcPr>
          <w:p w14:paraId="685119D5">
            <w:pPr>
              <w:autoSpaceDE w:val="0"/>
              <w:autoSpaceDN w:val="0"/>
              <w:adjustRightInd w:val="0"/>
              <w:snapToGrid w:val="0"/>
              <w:jc w:val="left"/>
              <w:rPr>
                <w:rFonts w:ascii="宋体" w:hAnsi="宋体"/>
                <w:color w:val="auto"/>
                <w:kern w:val="0"/>
                <w:sz w:val="24"/>
                <w:highlight w:val="none"/>
              </w:rPr>
            </w:pPr>
          </w:p>
        </w:tc>
        <w:tc>
          <w:tcPr>
            <w:tcW w:w="1188" w:type="dxa"/>
          </w:tcPr>
          <w:p w14:paraId="63090EE7">
            <w:pPr>
              <w:autoSpaceDE w:val="0"/>
              <w:autoSpaceDN w:val="0"/>
              <w:adjustRightInd w:val="0"/>
              <w:snapToGrid w:val="0"/>
              <w:jc w:val="left"/>
              <w:rPr>
                <w:rFonts w:ascii="宋体" w:hAnsi="宋体"/>
                <w:color w:val="auto"/>
                <w:kern w:val="0"/>
                <w:sz w:val="24"/>
                <w:highlight w:val="none"/>
              </w:rPr>
            </w:pPr>
          </w:p>
        </w:tc>
        <w:tc>
          <w:tcPr>
            <w:tcW w:w="1186" w:type="dxa"/>
          </w:tcPr>
          <w:p w14:paraId="02E26637">
            <w:pPr>
              <w:autoSpaceDE w:val="0"/>
              <w:autoSpaceDN w:val="0"/>
              <w:adjustRightInd w:val="0"/>
              <w:snapToGrid w:val="0"/>
              <w:jc w:val="left"/>
              <w:rPr>
                <w:rFonts w:ascii="宋体" w:hAnsi="宋体"/>
                <w:color w:val="auto"/>
                <w:kern w:val="0"/>
                <w:sz w:val="24"/>
                <w:highlight w:val="none"/>
              </w:rPr>
            </w:pPr>
          </w:p>
        </w:tc>
        <w:tc>
          <w:tcPr>
            <w:tcW w:w="1188" w:type="dxa"/>
          </w:tcPr>
          <w:p w14:paraId="48CDB1BE">
            <w:pPr>
              <w:autoSpaceDE w:val="0"/>
              <w:autoSpaceDN w:val="0"/>
              <w:adjustRightInd w:val="0"/>
              <w:snapToGrid w:val="0"/>
              <w:jc w:val="left"/>
              <w:rPr>
                <w:rFonts w:ascii="宋体" w:hAnsi="宋体"/>
                <w:color w:val="auto"/>
                <w:kern w:val="0"/>
                <w:sz w:val="24"/>
                <w:highlight w:val="none"/>
              </w:rPr>
            </w:pPr>
          </w:p>
        </w:tc>
        <w:tc>
          <w:tcPr>
            <w:tcW w:w="1186" w:type="dxa"/>
          </w:tcPr>
          <w:p w14:paraId="6AF3432E">
            <w:pPr>
              <w:autoSpaceDE w:val="0"/>
              <w:autoSpaceDN w:val="0"/>
              <w:adjustRightInd w:val="0"/>
              <w:snapToGrid w:val="0"/>
              <w:jc w:val="left"/>
              <w:rPr>
                <w:rFonts w:ascii="宋体" w:hAnsi="宋体"/>
                <w:color w:val="auto"/>
                <w:kern w:val="0"/>
                <w:sz w:val="24"/>
                <w:highlight w:val="none"/>
              </w:rPr>
            </w:pPr>
          </w:p>
        </w:tc>
        <w:tc>
          <w:tcPr>
            <w:tcW w:w="1187" w:type="dxa"/>
          </w:tcPr>
          <w:p w14:paraId="41F1F8E8">
            <w:pPr>
              <w:autoSpaceDE w:val="0"/>
              <w:autoSpaceDN w:val="0"/>
              <w:adjustRightInd w:val="0"/>
              <w:snapToGrid w:val="0"/>
              <w:jc w:val="left"/>
              <w:rPr>
                <w:rFonts w:ascii="宋体" w:hAnsi="宋体"/>
                <w:color w:val="auto"/>
                <w:kern w:val="0"/>
                <w:sz w:val="24"/>
                <w:highlight w:val="none"/>
              </w:rPr>
            </w:pPr>
          </w:p>
        </w:tc>
      </w:tr>
      <w:tr w14:paraId="569083A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553D7E9B">
            <w:pPr>
              <w:autoSpaceDE w:val="0"/>
              <w:autoSpaceDN w:val="0"/>
              <w:adjustRightInd w:val="0"/>
              <w:snapToGrid w:val="0"/>
              <w:jc w:val="left"/>
              <w:rPr>
                <w:rFonts w:ascii="宋体" w:hAnsi="宋体"/>
                <w:color w:val="auto"/>
                <w:kern w:val="0"/>
                <w:sz w:val="24"/>
                <w:highlight w:val="none"/>
              </w:rPr>
            </w:pPr>
          </w:p>
        </w:tc>
        <w:tc>
          <w:tcPr>
            <w:tcW w:w="1453" w:type="dxa"/>
          </w:tcPr>
          <w:p w14:paraId="41AB7515">
            <w:pPr>
              <w:autoSpaceDE w:val="0"/>
              <w:autoSpaceDN w:val="0"/>
              <w:adjustRightInd w:val="0"/>
              <w:snapToGrid w:val="0"/>
              <w:jc w:val="left"/>
              <w:rPr>
                <w:rFonts w:ascii="宋体" w:hAnsi="宋体"/>
                <w:color w:val="auto"/>
                <w:kern w:val="0"/>
                <w:sz w:val="24"/>
                <w:highlight w:val="none"/>
              </w:rPr>
            </w:pPr>
          </w:p>
        </w:tc>
        <w:tc>
          <w:tcPr>
            <w:tcW w:w="1186" w:type="dxa"/>
          </w:tcPr>
          <w:p w14:paraId="6B7C9A00">
            <w:pPr>
              <w:autoSpaceDE w:val="0"/>
              <w:autoSpaceDN w:val="0"/>
              <w:adjustRightInd w:val="0"/>
              <w:snapToGrid w:val="0"/>
              <w:jc w:val="left"/>
              <w:rPr>
                <w:rFonts w:ascii="宋体" w:hAnsi="宋体"/>
                <w:color w:val="auto"/>
                <w:kern w:val="0"/>
                <w:sz w:val="24"/>
                <w:highlight w:val="none"/>
              </w:rPr>
            </w:pPr>
          </w:p>
        </w:tc>
        <w:tc>
          <w:tcPr>
            <w:tcW w:w="1188" w:type="dxa"/>
          </w:tcPr>
          <w:p w14:paraId="2062CB9C">
            <w:pPr>
              <w:autoSpaceDE w:val="0"/>
              <w:autoSpaceDN w:val="0"/>
              <w:adjustRightInd w:val="0"/>
              <w:snapToGrid w:val="0"/>
              <w:jc w:val="left"/>
              <w:rPr>
                <w:rFonts w:ascii="宋体" w:hAnsi="宋体"/>
                <w:color w:val="auto"/>
                <w:kern w:val="0"/>
                <w:sz w:val="24"/>
                <w:highlight w:val="none"/>
              </w:rPr>
            </w:pPr>
          </w:p>
        </w:tc>
        <w:tc>
          <w:tcPr>
            <w:tcW w:w="1186" w:type="dxa"/>
          </w:tcPr>
          <w:p w14:paraId="7DCB4294">
            <w:pPr>
              <w:autoSpaceDE w:val="0"/>
              <w:autoSpaceDN w:val="0"/>
              <w:adjustRightInd w:val="0"/>
              <w:snapToGrid w:val="0"/>
              <w:jc w:val="left"/>
              <w:rPr>
                <w:rFonts w:ascii="宋体" w:hAnsi="宋体"/>
                <w:color w:val="auto"/>
                <w:kern w:val="0"/>
                <w:sz w:val="24"/>
                <w:highlight w:val="none"/>
              </w:rPr>
            </w:pPr>
          </w:p>
        </w:tc>
        <w:tc>
          <w:tcPr>
            <w:tcW w:w="1188" w:type="dxa"/>
          </w:tcPr>
          <w:p w14:paraId="450F27D8">
            <w:pPr>
              <w:autoSpaceDE w:val="0"/>
              <w:autoSpaceDN w:val="0"/>
              <w:adjustRightInd w:val="0"/>
              <w:snapToGrid w:val="0"/>
              <w:jc w:val="left"/>
              <w:rPr>
                <w:rFonts w:ascii="宋体" w:hAnsi="宋体"/>
                <w:color w:val="auto"/>
                <w:kern w:val="0"/>
                <w:sz w:val="24"/>
                <w:highlight w:val="none"/>
              </w:rPr>
            </w:pPr>
          </w:p>
        </w:tc>
        <w:tc>
          <w:tcPr>
            <w:tcW w:w="1186" w:type="dxa"/>
          </w:tcPr>
          <w:p w14:paraId="260F2B07">
            <w:pPr>
              <w:autoSpaceDE w:val="0"/>
              <w:autoSpaceDN w:val="0"/>
              <w:adjustRightInd w:val="0"/>
              <w:snapToGrid w:val="0"/>
              <w:jc w:val="left"/>
              <w:rPr>
                <w:rFonts w:ascii="宋体" w:hAnsi="宋体"/>
                <w:color w:val="auto"/>
                <w:kern w:val="0"/>
                <w:sz w:val="24"/>
                <w:highlight w:val="none"/>
              </w:rPr>
            </w:pPr>
          </w:p>
        </w:tc>
        <w:tc>
          <w:tcPr>
            <w:tcW w:w="1187" w:type="dxa"/>
          </w:tcPr>
          <w:p w14:paraId="7F0F3232">
            <w:pPr>
              <w:autoSpaceDE w:val="0"/>
              <w:autoSpaceDN w:val="0"/>
              <w:adjustRightInd w:val="0"/>
              <w:snapToGrid w:val="0"/>
              <w:jc w:val="left"/>
              <w:rPr>
                <w:rFonts w:ascii="宋体" w:hAnsi="宋体"/>
                <w:color w:val="auto"/>
                <w:kern w:val="0"/>
                <w:sz w:val="24"/>
                <w:highlight w:val="none"/>
              </w:rPr>
            </w:pPr>
          </w:p>
        </w:tc>
      </w:tr>
      <w:tr w14:paraId="58BD8E2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65F5B3F9">
            <w:pPr>
              <w:autoSpaceDE w:val="0"/>
              <w:autoSpaceDN w:val="0"/>
              <w:adjustRightInd w:val="0"/>
              <w:snapToGrid w:val="0"/>
              <w:jc w:val="left"/>
              <w:rPr>
                <w:rFonts w:ascii="宋体" w:hAnsi="宋体"/>
                <w:color w:val="auto"/>
                <w:kern w:val="0"/>
                <w:sz w:val="24"/>
                <w:highlight w:val="none"/>
              </w:rPr>
            </w:pPr>
          </w:p>
        </w:tc>
        <w:tc>
          <w:tcPr>
            <w:tcW w:w="1453" w:type="dxa"/>
          </w:tcPr>
          <w:p w14:paraId="4822F3C3">
            <w:pPr>
              <w:autoSpaceDE w:val="0"/>
              <w:autoSpaceDN w:val="0"/>
              <w:adjustRightInd w:val="0"/>
              <w:snapToGrid w:val="0"/>
              <w:jc w:val="left"/>
              <w:rPr>
                <w:rFonts w:ascii="宋体" w:hAnsi="宋体"/>
                <w:color w:val="auto"/>
                <w:kern w:val="0"/>
                <w:sz w:val="24"/>
                <w:highlight w:val="none"/>
              </w:rPr>
            </w:pPr>
          </w:p>
        </w:tc>
        <w:tc>
          <w:tcPr>
            <w:tcW w:w="1186" w:type="dxa"/>
          </w:tcPr>
          <w:p w14:paraId="59829448">
            <w:pPr>
              <w:autoSpaceDE w:val="0"/>
              <w:autoSpaceDN w:val="0"/>
              <w:adjustRightInd w:val="0"/>
              <w:snapToGrid w:val="0"/>
              <w:jc w:val="left"/>
              <w:rPr>
                <w:rFonts w:ascii="宋体" w:hAnsi="宋体"/>
                <w:color w:val="auto"/>
                <w:kern w:val="0"/>
                <w:sz w:val="24"/>
                <w:highlight w:val="none"/>
              </w:rPr>
            </w:pPr>
          </w:p>
        </w:tc>
        <w:tc>
          <w:tcPr>
            <w:tcW w:w="1188" w:type="dxa"/>
          </w:tcPr>
          <w:p w14:paraId="434B9A9E">
            <w:pPr>
              <w:autoSpaceDE w:val="0"/>
              <w:autoSpaceDN w:val="0"/>
              <w:adjustRightInd w:val="0"/>
              <w:snapToGrid w:val="0"/>
              <w:jc w:val="left"/>
              <w:rPr>
                <w:rFonts w:ascii="宋体" w:hAnsi="宋体"/>
                <w:color w:val="auto"/>
                <w:kern w:val="0"/>
                <w:sz w:val="24"/>
                <w:highlight w:val="none"/>
              </w:rPr>
            </w:pPr>
          </w:p>
        </w:tc>
        <w:tc>
          <w:tcPr>
            <w:tcW w:w="1186" w:type="dxa"/>
          </w:tcPr>
          <w:p w14:paraId="0D11865E">
            <w:pPr>
              <w:autoSpaceDE w:val="0"/>
              <w:autoSpaceDN w:val="0"/>
              <w:adjustRightInd w:val="0"/>
              <w:snapToGrid w:val="0"/>
              <w:jc w:val="left"/>
              <w:rPr>
                <w:rFonts w:ascii="宋体" w:hAnsi="宋体"/>
                <w:color w:val="auto"/>
                <w:kern w:val="0"/>
                <w:sz w:val="24"/>
                <w:highlight w:val="none"/>
              </w:rPr>
            </w:pPr>
          </w:p>
        </w:tc>
        <w:tc>
          <w:tcPr>
            <w:tcW w:w="1188" w:type="dxa"/>
          </w:tcPr>
          <w:p w14:paraId="6E58F0C7">
            <w:pPr>
              <w:autoSpaceDE w:val="0"/>
              <w:autoSpaceDN w:val="0"/>
              <w:adjustRightInd w:val="0"/>
              <w:snapToGrid w:val="0"/>
              <w:jc w:val="left"/>
              <w:rPr>
                <w:rFonts w:ascii="宋体" w:hAnsi="宋体"/>
                <w:color w:val="auto"/>
                <w:kern w:val="0"/>
                <w:sz w:val="24"/>
                <w:highlight w:val="none"/>
              </w:rPr>
            </w:pPr>
          </w:p>
        </w:tc>
        <w:tc>
          <w:tcPr>
            <w:tcW w:w="1186" w:type="dxa"/>
          </w:tcPr>
          <w:p w14:paraId="3C2D1D48">
            <w:pPr>
              <w:autoSpaceDE w:val="0"/>
              <w:autoSpaceDN w:val="0"/>
              <w:adjustRightInd w:val="0"/>
              <w:snapToGrid w:val="0"/>
              <w:jc w:val="left"/>
              <w:rPr>
                <w:rFonts w:ascii="宋体" w:hAnsi="宋体"/>
                <w:color w:val="auto"/>
                <w:kern w:val="0"/>
                <w:sz w:val="24"/>
                <w:highlight w:val="none"/>
              </w:rPr>
            </w:pPr>
          </w:p>
        </w:tc>
        <w:tc>
          <w:tcPr>
            <w:tcW w:w="1187" w:type="dxa"/>
          </w:tcPr>
          <w:p w14:paraId="27A07A29">
            <w:pPr>
              <w:autoSpaceDE w:val="0"/>
              <w:autoSpaceDN w:val="0"/>
              <w:adjustRightInd w:val="0"/>
              <w:snapToGrid w:val="0"/>
              <w:jc w:val="left"/>
              <w:rPr>
                <w:rFonts w:ascii="宋体" w:hAnsi="宋体"/>
                <w:color w:val="auto"/>
                <w:kern w:val="0"/>
                <w:sz w:val="24"/>
                <w:highlight w:val="none"/>
              </w:rPr>
            </w:pPr>
          </w:p>
        </w:tc>
      </w:tr>
      <w:tr w14:paraId="0C44EC4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0D8E876C">
            <w:pPr>
              <w:autoSpaceDE w:val="0"/>
              <w:autoSpaceDN w:val="0"/>
              <w:adjustRightInd w:val="0"/>
              <w:snapToGrid w:val="0"/>
              <w:jc w:val="left"/>
              <w:rPr>
                <w:rFonts w:ascii="宋体" w:hAnsi="宋体"/>
                <w:color w:val="auto"/>
                <w:kern w:val="0"/>
                <w:sz w:val="24"/>
                <w:highlight w:val="none"/>
              </w:rPr>
            </w:pPr>
          </w:p>
        </w:tc>
        <w:tc>
          <w:tcPr>
            <w:tcW w:w="1453" w:type="dxa"/>
          </w:tcPr>
          <w:p w14:paraId="54308E3D">
            <w:pPr>
              <w:autoSpaceDE w:val="0"/>
              <w:autoSpaceDN w:val="0"/>
              <w:adjustRightInd w:val="0"/>
              <w:snapToGrid w:val="0"/>
              <w:jc w:val="left"/>
              <w:rPr>
                <w:rFonts w:ascii="宋体" w:hAnsi="宋体"/>
                <w:color w:val="auto"/>
                <w:kern w:val="0"/>
                <w:sz w:val="24"/>
                <w:highlight w:val="none"/>
              </w:rPr>
            </w:pPr>
          </w:p>
        </w:tc>
        <w:tc>
          <w:tcPr>
            <w:tcW w:w="1186" w:type="dxa"/>
          </w:tcPr>
          <w:p w14:paraId="70BED3C1">
            <w:pPr>
              <w:autoSpaceDE w:val="0"/>
              <w:autoSpaceDN w:val="0"/>
              <w:adjustRightInd w:val="0"/>
              <w:snapToGrid w:val="0"/>
              <w:jc w:val="left"/>
              <w:rPr>
                <w:rFonts w:ascii="宋体" w:hAnsi="宋体"/>
                <w:color w:val="auto"/>
                <w:kern w:val="0"/>
                <w:sz w:val="24"/>
                <w:highlight w:val="none"/>
              </w:rPr>
            </w:pPr>
          </w:p>
        </w:tc>
        <w:tc>
          <w:tcPr>
            <w:tcW w:w="1188" w:type="dxa"/>
          </w:tcPr>
          <w:p w14:paraId="67D6B612">
            <w:pPr>
              <w:autoSpaceDE w:val="0"/>
              <w:autoSpaceDN w:val="0"/>
              <w:adjustRightInd w:val="0"/>
              <w:snapToGrid w:val="0"/>
              <w:jc w:val="left"/>
              <w:rPr>
                <w:rFonts w:ascii="宋体" w:hAnsi="宋体"/>
                <w:color w:val="auto"/>
                <w:kern w:val="0"/>
                <w:sz w:val="24"/>
                <w:highlight w:val="none"/>
              </w:rPr>
            </w:pPr>
          </w:p>
        </w:tc>
        <w:tc>
          <w:tcPr>
            <w:tcW w:w="1186" w:type="dxa"/>
          </w:tcPr>
          <w:p w14:paraId="2E30C6AA">
            <w:pPr>
              <w:autoSpaceDE w:val="0"/>
              <w:autoSpaceDN w:val="0"/>
              <w:adjustRightInd w:val="0"/>
              <w:snapToGrid w:val="0"/>
              <w:jc w:val="left"/>
              <w:rPr>
                <w:rFonts w:ascii="宋体" w:hAnsi="宋体"/>
                <w:color w:val="auto"/>
                <w:kern w:val="0"/>
                <w:sz w:val="24"/>
                <w:highlight w:val="none"/>
              </w:rPr>
            </w:pPr>
          </w:p>
        </w:tc>
        <w:tc>
          <w:tcPr>
            <w:tcW w:w="1188" w:type="dxa"/>
          </w:tcPr>
          <w:p w14:paraId="10129C1B">
            <w:pPr>
              <w:autoSpaceDE w:val="0"/>
              <w:autoSpaceDN w:val="0"/>
              <w:adjustRightInd w:val="0"/>
              <w:snapToGrid w:val="0"/>
              <w:jc w:val="left"/>
              <w:rPr>
                <w:rFonts w:ascii="宋体" w:hAnsi="宋体"/>
                <w:color w:val="auto"/>
                <w:kern w:val="0"/>
                <w:sz w:val="24"/>
                <w:highlight w:val="none"/>
              </w:rPr>
            </w:pPr>
          </w:p>
        </w:tc>
        <w:tc>
          <w:tcPr>
            <w:tcW w:w="1186" w:type="dxa"/>
          </w:tcPr>
          <w:p w14:paraId="2F43EF3B">
            <w:pPr>
              <w:autoSpaceDE w:val="0"/>
              <w:autoSpaceDN w:val="0"/>
              <w:adjustRightInd w:val="0"/>
              <w:snapToGrid w:val="0"/>
              <w:jc w:val="left"/>
              <w:rPr>
                <w:rFonts w:ascii="宋体" w:hAnsi="宋体"/>
                <w:color w:val="auto"/>
                <w:kern w:val="0"/>
                <w:sz w:val="24"/>
                <w:highlight w:val="none"/>
              </w:rPr>
            </w:pPr>
          </w:p>
        </w:tc>
        <w:tc>
          <w:tcPr>
            <w:tcW w:w="1187" w:type="dxa"/>
          </w:tcPr>
          <w:p w14:paraId="7A20A5A8">
            <w:pPr>
              <w:autoSpaceDE w:val="0"/>
              <w:autoSpaceDN w:val="0"/>
              <w:adjustRightInd w:val="0"/>
              <w:snapToGrid w:val="0"/>
              <w:jc w:val="left"/>
              <w:rPr>
                <w:rFonts w:ascii="宋体" w:hAnsi="宋体"/>
                <w:color w:val="auto"/>
                <w:kern w:val="0"/>
                <w:sz w:val="24"/>
                <w:highlight w:val="none"/>
              </w:rPr>
            </w:pPr>
          </w:p>
        </w:tc>
      </w:tr>
      <w:tr w14:paraId="6D263D6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31ADF9DF">
            <w:pPr>
              <w:autoSpaceDE w:val="0"/>
              <w:autoSpaceDN w:val="0"/>
              <w:adjustRightInd w:val="0"/>
              <w:snapToGrid w:val="0"/>
              <w:jc w:val="left"/>
              <w:rPr>
                <w:rFonts w:ascii="宋体" w:hAnsi="宋体"/>
                <w:color w:val="auto"/>
                <w:kern w:val="0"/>
                <w:sz w:val="24"/>
                <w:highlight w:val="none"/>
              </w:rPr>
            </w:pPr>
          </w:p>
        </w:tc>
        <w:tc>
          <w:tcPr>
            <w:tcW w:w="1453" w:type="dxa"/>
          </w:tcPr>
          <w:p w14:paraId="2869B2EB">
            <w:pPr>
              <w:autoSpaceDE w:val="0"/>
              <w:autoSpaceDN w:val="0"/>
              <w:adjustRightInd w:val="0"/>
              <w:snapToGrid w:val="0"/>
              <w:jc w:val="left"/>
              <w:rPr>
                <w:rFonts w:ascii="宋体" w:hAnsi="宋体"/>
                <w:color w:val="auto"/>
                <w:kern w:val="0"/>
                <w:sz w:val="24"/>
                <w:highlight w:val="none"/>
              </w:rPr>
            </w:pPr>
          </w:p>
        </w:tc>
        <w:tc>
          <w:tcPr>
            <w:tcW w:w="1186" w:type="dxa"/>
          </w:tcPr>
          <w:p w14:paraId="0D2A44DD">
            <w:pPr>
              <w:autoSpaceDE w:val="0"/>
              <w:autoSpaceDN w:val="0"/>
              <w:adjustRightInd w:val="0"/>
              <w:snapToGrid w:val="0"/>
              <w:jc w:val="left"/>
              <w:rPr>
                <w:rFonts w:ascii="宋体" w:hAnsi="宋体"/>
                <w:color w:val="auto"/>
                <w:kern w:val="0"/>
                <w:sz w:val="24"/>
                <w:highlight w:val="none"/>
              </w:rPr>
            </w:pPr>
          </w:p>
        </w:tc>
        <w:tc>
          <w:tcPr>
            <w:tcW w:w="1188" w:type="dxa"/>
          </w:tcPr>
          <w:p w14:paraId="049995B1">
            <w:pPr>
              <w:autoSpaceDE w:val="0"/>
              <w:autoSpaceDN w:val="0"/>
              <w:adjustRightInd w:val="0"/>
              <w:snapToGrid w:val="0"/>
              <w:jc w:val="left"/>
              <w:rPr>
                <w:rFonts w:ascii="宋体" w:hAnsi="宋体"/>
                <w:color w:val="auto"/>
                <w:kern w:val="0"/>
                <w:sz w:val="24"/>
                <w:highlight w:val="none"/>
              </w:rPr>
            </w:pPr>
          </w:p>
        </w:tc>
        <w:tc>
          <w:tcPr>
            <w:tcW w:w="1186" w:type="dxa"/>
          </w:tcPr>
          <w:p w14:paraId="1A3C9C83">
            <w:pPr>
              <w:autoSpaceDE w:val="0"/>
              <w:autoSpaceDN w:val="0"/>
              <w:adjustRightInd w:val="0"/>
              <w:snapToGrid w:val="0"/>
              <w:jc w:val="left"/>
              <w:rPr>
                <w:rFonts w:ascii="宋体" w:hAnsi="宋体"/>
                <w:color w:val="auto"/>
                <w:kern w:val="0"/>
                <w:sz w:val="24"/>
                <w:highlight w:val="none"/>
              </w:rPr>
            </w:pPr>
          </w:p>
        </w:tc>
        <w:tc>
          <w:tcPr>
            <w:tcW w:w="1188" w:type="dxa"/>
          </w:tcPr>
          <w:p w14:paraId="369F8DB7">
            <w:pPr>
              <w:autoSpaceDE w:val="0"/>
              <w:autoSpaceDN w:val="0"/>
              <w:adjustRightInd w:val="0"/>
              <w:snapToGrid w:val="0"/>
              <w:jc w:val="left"/>
              <w:rPr>
                <w:rFonts w:ascii="宋体" w:hAnsi="宋体"/>
                <w:color w:val="auto"/>
                <w:kern w:val="0"/>
                <w:sz w:val="24"/>
                <w:highlight w:val="none"/>
              </w:rPr>
            </w:pPr>
          </w:p>
        </w:tc>
        <w:tc>
          <w:tcPr>
            <w:tcW w:w="1186" w:type="dxa"/>
          </w:tcPr>
          <w:p w14:paraId="0D52FE3C">
            <w:pPr>
              <w:autoSpaceDE w:val="0"/>
              <w:autoSpaceDN w:val="0"/>
              <w:adjustRightInd w:val="0"/>
              <w:snapToGrid w:val="0"/>
              <w:jc w:val="left"/>
              <w:rPr>
                <w:rFonts w:ascii="宋体" w:hAnsi="宋体"/>
                <w:color w:val="auto"/>
                <w:kern w:val="0"/>
                <w:sz w:val="24"/>
                <w:highlight w:val="none"/>
              </w:rPr>
            </w:pPr>
          </w:p>
        </w:tc>
        <w:tc>
          <w:tcPr>
            <w:tcW w:w="1187" w:type="dxa"/>
          </w:tcPr>
          <w:p w14:paraId="43FC3D74">
            <w:pPr>
              <w:autoSpaceDE w:val="0"/>
              <w:autoSpaceDN w:val="0"/>
              <w:adjustRightInd w:val="0"/>
              <w:snapToGrid w:val="0"/>
              <w:jc w:val="left"/>
              <w:rPr>
                <w:rFonts w:ascii="宋体" w:hAnsi="宋体"/>
                <w:color w:val="auto"/>
                <w:kern w:val="0"/>
                <w:sz w:val="24"/>
                <w:highlight w:val="none"/>
              </w:rPr>
            </w:pPr>
          </w:p>
        </w:tc>
      </w:tr>
      <w:tr w14:paraId="0CD5868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3E036E2C">
            <w:pPr>
              <w:autoSpaceDE w:val="0"/>
              <w:autoSpaceDN w:val="0"/>
              <w:adjustRightInd w:val="0"/>
              <w:snapToGrid w:val="0"/>
              <w:jc w:val="left"/>
              <w:rPr>
                <w:rFonts w:ascii="宋体" w:hAnsi="宋体"/>
                <w:color w:val="auto"/>
                <w:kern w:val="0"/>
                <w:sz w:val="24"/>
                <w:highlight w:val="none"/>
              </w:rPr>
            </w:pPr>
          </w:p>
        </w:tc>
        <w:tc>
          <w:tcPr>
            <w:tcW w:w="1453" w:type="dxa"/>
          </w:tcPr>
          <w:p w14:paraId="1D494A68">
            <w:pPr>
              <w:autoSpaceDE w:val="0"/>
              <w:autoSpaceDN w:val="0"/>
              <w:adjustRightInd w:val="0"/>
              <w:snapToGrid w:val="0"/>
              <w:jc w:val="left"/>
              <w:rPr>
                <w:rFonts w:ascii="宋体" w:hAnsi="宋体"/>
                <w:color w:val="auto"/>
                <w:kern w:val="0"/>
                <w:sz w:val="24"/>
                <w:highlight w:val="none"/>
              </w:rPr>
            </w:pPr>
          </w:p>
        </w:tc>
        <w:tc>
          <w:tcPr>
            <w:tcW w:w="1186" w:type="dxa"/>
          </w:tcPr>
          <w:p w14:paraId="7470E805">
            <w:pPr>
              <w:autoSpaceDE w:val="0"/>
              <w:autoSpaceDN w:val="0"/>
              <w:adjustRightInd w:val="0"/>
              <w:snapToGrid w:val="0"/>
              <w:jc w:val="left"/>
              <w:rPr>
                <w:rFonts w:ascii="宋体" w:hAnsi="宋体"/>
                <w:color w:val="auto"/>
                <w:kern w:val="0"/>
                <w:sz w:val="24"/>
                <w:highlight w:val="none"/>
              </w:rPr>
            </w:pPr>
          </w:p>
        </w:tc>
        <w:tc>
          <w:tcPr>
            <w:tcW w:w="1188" w:type="dxa"/>
          </w:tcPr>
          <w:p w14:paraId="5FBB3466">
            <w:pPr>
              <w:autoSpaceDE w:val="0"/>
              <w:autoSpaceDN w:val="0"/>
              <w:adjustRightInd w:val="0"/>
              <w:snapToGrid w:val="0"/>
              <w:jc w:val="left"/>
              <w:rPr>
                <w:rFonts w:ascii="宋体" w:hAnsi="宋体"/>
                <w:color w:val="auto"/>
                <w:kern w:val="0"/>
                <w:sz w:val="24"/>
                <w:highlight w:val="none"/>
              </w:rPr>
            </w:pPr>
          </w:p>
        </w:tc>
        <w:tc>
          <w:tcPr>
            <w:tcW w:w="1186" w:type="dxa"/>
          </w:tcPr>
          <w:p w14:paraId="5767F37D">
            <w:pPr>
              <w:autoSpaceDE w:val="0"/>
              <w:autoSpaceDN w:val="0"/>
              <w:adjustRightInd w:val="0"/>
              <w:snapToGrid w:val="0"/>
              <w:jc w:val="left"/>
              <w:rPr>
                <w:rFonts w:ascii="宋体" w:hAnsi="宋体"/>
                <w:color w:val="auto"/>
                <w:kern w:val="0"/>
                <w:sz w:val="24"/>
                <w:highlight w:val="none"/>
              </w:rPr>
            </w:pPr>
          </w:p>
        </w:tc>
        <w:tc>
          <w:tcPr>
            <w:tcW w:w="1188" w:type="dxa"/>
          </w:tcPr>
          <w:p w14:paraId="01C9A41F">
            <w:pPr>
              <w:autoSpaceDE w:val="0"/>
              <w:autoSpaceDN w:val="0"/>
              <w:adjustRightInd w:val="0"/>
              <w:snapToGrid w:val="0"/>
              <w:jc w:val="left"/>
              <w:rPr>
                <w:rFonts w:ascii="宋体" w:hAnsi="宋体"/>
                <w:color w:val="auto"/>
                <w:kern w:val="0"/>
                <w:sz w:val="24"/>
                <w:highlight w:val="none"/>
              </w:rPr>
            </w:pPr>
          </w:p>
        </w:tc>
        <w:tc>
          <w:tcPr>
            <w:tcW w:w="1186" w:type="dxa"/>
          </w:tcPr>
          <w:p w14:paraId="3C47831E">
            <w:pPr>
              <w:autoSpaceDE w:val="0"/>
              <w:autoSpaceDN w:val="0"/>
              <w:adjustRightInd w:val="0"/>
              <w:snapToGrid w:val="0"/>
              <w:jc w:val="left"/>
              <w:rPr>
                <w:rFonts w:ascii="宋体" w:hAnsi="宋体"/>
                <w:color w:val="auto"/>
                <w:kern w:val="0"/>
                <w:sz w:val="24"/>
                <w:highlight w:val="none"/>
              </w:rPr>
            </w:pPr>
          </w:p>
        </w:tc>
        <w:tc>
          <w:tcPr>
            <w:tcW w:w="1187" w:type="dxa"/>
          </w:tcPr>
          <w:p w14:paraId="5E5B238D">
            <w:pPr>
              <w:autoSpaceDE w:val="0"/>
              <w:autoSpaceDN w:val="0"/>
              <w:adjustRightInd w:val="0"/>
              <w:snapToGrid w:val="0"/>
              <w:jc w:val="left"/>
              <w:rPr>
                <w:rFonts w:ascii="宋体" w:hAnsi="宋体"/>
                <w:color w:val="auto"/>
                <w:kern w:val="0"/>
                <w:sz w:val="24"/>
                <w:highlight w:val="none"/>
              </w:rPr>
            </w:pPr>
          </w:p>
        </w:tc>
      </w:tr>
      <w:tr w14:paraId="0A1FDBC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23CEDFA9">
            <w:pPr>
              <w:autoSpaceDE w:val="0"/>
              <w:autoSpaceDN w:val="0"/>
              <w:adjustRightInd w:val="0"/>
              <w:snapToGrid w:val="0"/>
              <w:jc w:val="left"/>
              <w:rPr>
                <w:rFonts w:ascii="宋体" w:hAnsi="宋体"/>
                <w:color w:val="auto"/>
                <w:kern w:val="0"/>
                <w:sz w:val="24"/>
                <w:highlight w:val="none"/>
              </w:rPr>
            </w:pPr>
          </w:p>
        </w:tc>
        <w:tc>
          <w:tcPr>
            <w:tcW w:w="1453" w:type="dxa"/>
          </w:tcPr>
          <w:p w14:paraId="02F3AFDD">
            <w:pPr>
              <w:autoSpaceDE w:val="0"/>
              <w:autoSpaceDN w:val="0"/>
              <w:adjustRightInd w:val="0"/>
              <w:snapToGrid w:val="0"/>
              <w:jc w:val="left"/>
              <w:rPr>
                <w:rFonts w:ascii="宋体" w:hAnsi="宋体"/>
                <w:color w:val="auto"/>
                <w:kern w:val="0"/>
                <w:sz w:val="24"/>
                <w:highlight w:val="none"/>
              </w:rPr>
            </w:pPr>
          </w:p>
        </w:tc>
        <w:tc>
          <w:tcPr>
            <w:tcW w:w="1186" w:type="dxa"/>
          </w:tcPr>
          <w:p w14:paraId="1E13EA15">
            <w:pPr>
              <w:autoSpaceDE w:val="0"/>
              <w:autoSpaceDN w:val="0"/>
              <w:adjustRightInd w:val="0"/>
              <w:snapToGrid w:val="0"/>
              <w:jc w:val="left"/>
              <w:rPr>
                <w:rFonts w:ascii="宋体" w:hAnsi="宋体"/>
                <w:color w:val="auto"/>
                <w:kern w:val="0"/>
                <w:sz w:val="24"/>
                <w:highlight w:val="none"/>
              </w:rPr>
            </w:pPr>
          </w:p>
        </w:tc>
        <w:tc>
          <w:tcPr>
            <w:tcW w:w="1188" w:type="dxa"/>
          </w:tcPr>
          <w:p w14:paraId="76FB99D2">
            <w:pPr>
              <w:autoSpaceDE w:val="0"/>
              <w:autoSpaceDN w:val="0"/>
              <w:adjustRightInd w:val="0"/>
              <w:snapToGrid w:val="0"/>
              <w:jc w:val="left"/>
              <w:rPr>
                <w:rFonts w:ascii="宋体" w:hAnsi="宋体"/>
                <w:color w:val="auto"/>
                <w:kern w:val="0"/>
                <w:sz w:val="24"/>
                <w:highlight w:val="none"/>
              </w:rPr>
            </w:pPr>
          </w:p>
        </w:tc>
        <w:tc>
          <w:tcPr>
            <w:tcW w:w="1186" w:type="dxa"/>
          </w:tcPr>
          <w:p w14:paraId="57095913">
            <w:pPr>
              <w:autoSpaceDE w:val="0"/>
              <w:autoSpaceDN w:val="0"/>
              <w:adjustRightInd w:val="0"/>
              <w:snapToGrid w:val="0"/>
              <w:jc w:val="left"/>
              <w:rPr>
                <w:rFonts w:ascii="宋体" w:hAnsi="宋体"/>
                <w:color w:val="auto"/>
                <w:kern w:val="0"/>
                <w:sz w:val="24"/>
                <w:highlight w:val="none"/>
              </w:rPr>
            </w:pPr>
          </w:p>
        </w:tc>
        <w:tc>
          <w:tcPr>
            <w:tcW w:w="1188" w:type="dxa"/>
          </w:tcPr>
          <w:p w14:paraId="45F7B0B9">
            <w:pPr>
              <w:autoSpaceDE w:val="0"/>
              <w:autoSpaceDN w:val="0"/>
              <w:adjustRightInd w:val="0"/>
              <w:snapToGrid w:val="0"/>
              <w:jc w:val="left"/>
              <w:rPr>
                <w:rFonts w:ascii="宋体" w:hAnsi="宋体"/>
                <w:color w:val="auto"/>
                <w:kern w:val="0"/>
                <w:sz w:val="24"/>
                <w:highlight w:val="none"/>
              </w:rPr>
            </w:pPr>
          </w:p>
        </w:tc>
        <w:tc>
          <w:tcPr>
            <w:tcW w:w="1186" w:type="dxa"/>
          </w:tcPr>
          <w:p w14:paraId="79D39B6B">
            <w:pPr>
              <w:autoSpaceDE w:val="0"/>
              <w:autoSpaceDN w:val="0"/>
              <w:adjustRightInd w:val="0"/>
              <w:snapToGrid w:val="0"/>
              <w:jc w:val="left"/>
              <w:rPr>
                <w:rFonts w:ascii="宋体" w:hAnsi="宋体"/>
                <w:color w:val="auto"/>
                <w:kern w:val="0"/>
                <w:sz w:val="24"/>
                <w:highlight w:val="none"/>
              </w:rPr>
            </w:pPr>
          </w:p>
        </w:tc>
        <w:tc>
          <w:tcPr>
            <w:tcW w:w="1187" w:type="dxa"/>
          </w:tcPr>
          <w:p w14:paraId="5A8F3B2E">
            <w:pPr>
              <w:autoSpaceDE w:val="0"/>
              <w:autoSpaceDN w:val="0"/>
              <w:adjustRightInd w:val="0"/>
              <w:snapToGrid w:val="0"/>
              <w:jc w:val="left"/>
              <w:rPr>
                <w:rFonts w:ascii="宋体" w:hAnsi="宋体"/>
                <w:color w:val="auto"/>
                <w:kern w:val="0"/>
                <w:sz w:val="24"/>
                <w:highlight w:val="none"/>
              </w:rPr>
            </w:pPr>
          </w:p>
        </w:tc>
      </w:tr>
      <w:tr w14:paraId="1EADDD9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144E6000">
            <w:pPr>
              <w:autoSpaceDE w:val="0"/>
              <w:autoSpaceDN w:val="0"/>
              <w:adjustRightInd w:val="0"/>
              <w:snapToGrid w:val="0"/>
              <w:jc w:val="left"/>
              <w:rPr>
                <w:rFonts w:ascii="宋体" w:hAnsi="宋体"/>
                <w:color w:val="auto"/>
                <w:kern w:val="0"/>
                <w:sz w:val="24"/>
                <w:highlight w:val="none"/>
              </w:rPr>
            </w:pPr>
          </w:p>
        </w:tc>
        <w:tc>
          <w:tcPr>
            <w:tcW w:w="1453" w:type="dxa"/>
          </w:tcPr>
          <w:p w14:paraId="1B68A0BD">
            <w:pPr>
              <w:autoSpaceDE w:val="0"/>
              <w:autoSpaceDN w:val="0"/>
              <w:adjustRightInd w:val="0"/>
              <w:snapToGrid w:val="0"/>
              <w:jc w:val="left"/>
              <w:rPr>
                <w:rFonts w:ascii="宋体" w:hAnsi="宋体"/>
                <w:color w:val="auto"/>
                <w:kern w:val="0"/>
                <w:sz w:val="24"/>
                <w:highlight w:val="none"/>
              </w:rPr>
            </w:pPr>
          </w:p>
        </w:tc>
        <w:tc>
          <w:tcPr>
            <w:tcW w:w="1186" w:type="dxa"/>
          </w:tcPr>
          <w:p w14:paraId="28C39298">
            <w:pPr>
              <w:autoSpaceDE w:val="0"/>
              <w:autoSpaceDN w:val="0"/>
              <w:adjustRightInd w:val="0"/>
              <w:snapToGrid w:val="0"/>
              <w:jc w:val="left"/>
              <w:rPr>
                <w:rFonts w:ascii="宋体" w:hAnsi="宋体"/>
                <w:color w:val="auto"/>
                <w:kern w:val="0"/>
                <w:sz w:val="24"/>
                <w:highlight w:val="none"/>
              </w:rPr>
            </w:pPr>
          </w:p>
        </w:tc>
        <w:tc>
          <w:tcPr>
            <w:tcW w:w="1188" w:type="dxa"/>
          </w:tcPr>
          <w:p w14:paraId="038B3E3E">
            <w:pPr>
              <w:autoSpaceDE w:val="0"/>
              <w:autoSpaceDN w:val="0"/>
              <w:adjustRightInd w:val="0"/>
              <w:snapToGrid w:val="0"/>
              <w:jc w:val="left"/>
              <w:rPr>
                <w:rFonts w:ascii="宋体" w:hAnsi="宋体"/>
                <w:color w:val="auto"/>
                <w:kern w:val="0"/>
                <w:sz w:val="24"/>
                <w:highlight w:val="none"/>
              </w:rPr>
            </w:pPr>
          </w:p>
        </w:tc>
        <w:tc>
          <w:tcPr>
            <w:tcW w:w="1186" w:type="dxa"/>
          </w:tcPr>
          <w:p w14:paraId="2CDC389E">
            <w:pPr>
              <w:autoSpaceDE w:val="0"/>
              <w:autoSpaceDN w:val="0"/>
              <w:adjustRightInd w:val="0"/>
              <w:snapToGrid w:val="0"/>
              <w:jc w:val="left"/>
              <w:rPr>
                <w:rFonts w:ascii="宋体" w:hAnsi="宋体"/>
                <w:color w:val="auto"/>
                <w:kern w:val="0"/>
                <w:sz w:val="24"/>
                <w:highlight w:val="none"/>
              </w:rPr>
            </w:pPr>
          </w:p>
        </w:tc>
        <w:tc>
          <w:tcPr>
            <w:tcW w:w="1188" w:type="dxa"/>
          </w:tcPr>
          <w:p w14:paraId="751F4C10">
            <w:pPr>
              <w:autoSpaceDE w:val="0"/>
              <w:autoSpaceDN w:val="0"/>
              <w:adjustRightInd w:val="0"/>
              <w:snapToGrid w:val="0"/>
              <w:jc w:val="left"/>
              <w:rPr>
                <w:rFonts w:ascii="宋体" w:hAnsi="宋体"/>
                <w:color w:val="auto"/>
                <w:kern w:val="0"/>
                <w:sz w:val="24"/>
                <w:highlight w:val="none"/>
              </w:rPr>
            </w:pPr>
          </w:p>
        </w:tc>
        <w:tc>
          <w:tcPr>
            <w:tcW w:w="1186" w:type="dxa"/>
          </w:tcPr>
          <w:p w14:paraId="12FEC5D6">
            <w:pPr>
              <w:autoSpaceDE w:val="0"/>
              <w:autoSpaceDN w:val="0"/>
              <w:adjustRightInd w:val="0"/>
              <w:snapToGrid w:val="0"/>
              <w:jc w:val="left"/>
              <w:rPr>
                <w:rFonts w:ascii="宋体" w:hAnsi="宋体"/>
                <w:color w:val="auto"/>
                <w:kern w:val="0"/>
                <w:sz w:val="24"/>
                <w:highlight w:val="none"/>
              </w:rPr>
            </w:pPr>
          </w:p>
        </w:tc>
        <w:tc>
          <w:tcPr>
            <w:tcW w:w="1187" w:type="dxa"/>
          </w:tcPr>
          <w:p w14:paraId="1DEFCD55">
            <w:pPr>
              <w:autoSpaceDE w:val="0"/>
              <w:autoSpaceDN w:val="0"/>
              <w:adjustRightInd w:val="0"/>
              <w:snapToGrid w:val="0"/>
              <w:jc w:val="left"/>
              <w:rPr>
                <w:rFonts w:ascii="宋体" w:hAnsi="宋体"/>
                <w:color w:val="auto"/>
                <w:kern w:val="0"/>
                <w:sz w:val="24"/>
                <w:highlight w:val="none"/>
              </w:rPr>
            </w:pPr>
          </w:p>
        </w:tc>
      </w:tr>
      <w:tr w14:paraId="1AA2322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43C4BFA0">
            <w:pPr>
              <w:autoSpaceDE w:val="0"/>
              <w:autoSpaceDN w:val="0"/>
              <w:adjustRightInd w:val="0"/>
              <w:snapToGrid w:val="0"/>
              <w:jc w:val="left"/>
              <w:rPr>
                <w:rFonts w:ascii="宋体" w:hAnsi="宋体"/>
                <w:color w:val="auto"/>
                <w:kern w:val="0"/>
                <w:sz w:val="24"/>
                <w:highlight w:val="none"/>
              </w:rPr>
            </w:pPr>
          </w:p>
        </w:tc>
        <w:tc>
          <w:tcPr>
            <w:tcW w:w="1453" w:type="dxa"/>
          </w:tcPr>
          <w:p w14:paraId="773AA8A6">
            <w:pPr>
              <w:autoSpaceDE w:val="0"/>
              <w:autoSpaceDN w:val="0"/>
              <w:adjustRightInd w:val="0"/>
              <w:snapToGrid w:val="0"/>
              <w:jc w:val="left"/>
              <w:rPr>
                <w:rFonts w:ascii="宋体" w:hAnsi="宋体"/>
                <w:color w:val="auto"/>
                <w:kern w:val="0"/>
                <w:sz w:val="24"/>
                <w:highlight w:val="none"/>
              </w:rPr>
            </w:pPr>
          </w:p>
        </w:tc>
        <w:tc>
          <w:tcPr>
            <w:tcW w:w="1186" w:type="dxa"/>
          </w:tcPr>
          <w:p w14:paraId="09BEC569">
            <w:pPr>
              <w:autoSpaceDE w:val="0"/>
              <w:autoSpaceDN w:val="0"/>
              <w:adjustRightInd w:val="0"/>
              <w:snapToGrid w:val="0"/>
              <w:jc w:val="left"/>
              <w:rPr>
                <w:rFonts w:ascii="宋体" w:hAnsi="宋体"/>
                <w:color w:val="auto"/>
                <w:kern w:val="0"/>
                <w:sz w:val="24"/>
                <w:highlight w:val="none"/>
              </w:rPr>
            </w:pPr>
          </w:p>
        </w:tc>
        <w:tc>
          <w:tcPr>
            <w:tcW w:w="1188" w:type="dxa"/>
          </w:tcPr>
          <w:p w14:paraId="1A1F021A">
            <w:pPr>
              <w:autoSpaceDE w:val="0"/>
              <w:autoSpaceDN w:val="0"/>
              <w:adjustRightInd w:val="0"/>
              <w:snapToGrid w:val="0"/>
              <w:jc w:val="left"/>
              <w:rPr>
                <w:rFonts w:ascii="宋体" w:hAnsi="宋体"/>
                <w:color w:val="auto"/>
                <w:kern w:val="0"/>
                <w:sz w:val="24"/>
                <w:highlight w:val="none"/>
              </w:rPr>
            </w:pPr>
          </w:p>
        </w:tc>
        <w:tc>
          <w:tcPr>
            <w:tcW w:w="1186" w:type="dxa"/>
          </w:tcPr>
          <w:p w14:paraId="7D40380F">
            <w:pPr>
              <w:autoSpaceDE w:val="0"/>
              <w:autoSpaceDN w:val="0"/>
              <w:adjustRightInd w:val="0"/>
              <w:snapToGrid w:val="0"/>
              <w:jc w:val="left"/>
              <w:rPr>
                <w:rFonts w:ascii="宋体" w:hAnsi="宋体"/>
                <w:color w:val="auto"/>
                <w:kern w:val="0"/>
                <w:sz w:val="24"/>
                <w:highlight w:val="none"/>
              </w:rPr>
            </w:pPr>
          </w:p>
        </w:tc>
        <w:tc>
          <w:tcPr>
            <w:tcW w:w="1188" w:type="dxa"/>
          </w:tcPr>
          <w:p w14:paraId="338CB88B">
            <w:pPr>
              <w:autoSpaceDE w:val="0"/>
              <w:autoSpaceDN w:val="0"/>
              <w:adjustRightInd w:val="0"/>
              <w:snapToGrid w:val="0"/>
              <w:jc w:val="left"/>
              <w:rPr>
                <w:rFonts w:ascii="宋体" w:hAnsi="宋体"/>
                <w:color w:val="auto"/>
                <w:kern w:val="0"/>
                <w:sz w:val="24"/>
                <w:highlight w:val="none"/>
              </w:rPr>
            </w:pPr>
          </w:p>
        </w:tc>
        <w:tc>
          <w:tcPr>
            <w:tcW w:w="1186" w:type="dxa"/>
          </w:tcPr>
          <w:p w14:paraId="62355FFD">
            <w:pPr>
              <w:autoSpaceDE w:val="0"/>
              <w:autoSpaceDN w:val="0"/>
              <w:adjustRightInd w:val="0"/>
              <w:snapToGrid w:val="0"/>
              <w:jc w:val="left"/>
              <w:rPr>
                <w:rFonts w:ascii="宋体" w:hAnsi="宋体"/>
                <w:color w:val="auto"/>
                <w:kern w:val="0"/>
                <w:sz w:val="24"/>
                <w:highlight w:val="none"/>
              </w:rPr>
            </w:pPr>
          </w:p>
        </w:tc>
        <w:tc>
          <w:tcPr>
            <w:tcW w:w="1187" w:type="dxa"/>
          </w:tcPr>
          <w:p w14:paraId="300ADB20">
            <w:pPr>
              <w:autoSpaceDE w:val="0"/>
              <w:autoSpaceDN w:val="0"/>
              <w:adjustRightInd w:val="0"/>
              <w:snapToGrid w:val="0"/>
              <w:jc w:val="left"/>
              <w:rPr>
                <w:rFonts w:ascii="宋体" w:hAnsi="宋体"/>
                <w:color w:val="auto"/>
                <w:kern w:val="0"/>
                <w:sz w:val="24"/>
                <w:highlight w:val="none"/>
              </w:rPr>
            </w:pPr>
          </w:p>
        </w:tc>
      </w:tr>
      <w:tr w14:paraId="6025D60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538920B7">
            <w:pPr>
              <w:autoSpaceDE w:val="0"/>
              <w:autoSpaceDN w:val="0"/>
              <w:adjustRightInd w:val="0"/>
              <w:snapToGrid w:val="0"/>
              <w:jc w:val="left"/>
              <w:rPr>
                <w:rFonts w:ascii="宋体" w:hAnsi="宋体"/>
                <w:color w:val="auto"/>
                <w:kern w:val="0"/>
                <w:sz w:val="24"/>
                <w:highlight w:val="none"/>
              </w:rPr>
            </w:pPr>
          </w:p>
        </w:tc>
        <w:tc>
          <w:tcPr>
            <w:tcW w:w="1453" w:type="dxa"/>
          </w:tcPr>
          <w:p w14:paraId="787DC5A3">
            <w:pPr>
              <w:autoSpaceDE w:val="0"/>
              <w:autoSpaceDN w:val="0"/>
              <w:adjustRightInd w:val="0"/>
              <w:snapToGrid w:val="0"/>
              <w:jc w:val="left"/>
              <w:rPr>
                <w:rFonts w:ascii="宋体" w:hAnsi="宋体"/>
                <w:color w:val="auto"/>
                <w:kern w:val="0"/>
                <w:sz w:val="24"/>
                <w:highlight w:val="none"/>
              </w:rPr>
            </w:pPr>
          </w:p>
        </w:tc>
        <w:tc>
          <w:tcPr>
            <w:tcW w:w="1186" w:type="dxa"/>
          </w:tcPr>
          <w:p w14:paraId="2CD51143">
            <w:pPr>
              <w:autoSpaceDE w:val="0"/>
              <w:autoSpaceDN w:val="0"/>
              <w:adjustRightInd w:val="0"/>
              <w:snapToGrid w:val="0"/>
              <w:jc w:val="left"/>
              <w:rPr>
                <w:rFonts w:ascii="宋体" w:hAnsi="宋体"/>
                <w:color w:val="auto"/>
                <w:kern w:val="0"/>
                <w:sz w:val="24"/>
                <w:highlight w:val="none"/>
              </w:rPr>
            </w:pPr>
          </w:p>
        </w:tc>
        <w:tc>
          <w:tcPr>
            <w:tcW w:w="1188" w:type="dxa"/>
          </w:tcPr>
          <w:p w14:paraId="5D5ED36C">
            <w:pPr>
              <w:autoSpaceDE w:val="0"/>
              <w:autoSpaceDN w:val="0"/>
              <w:adjustRightInd w:val="0"/>
              <w:snapToGrid w:val="0"/>
              <w:jc w:val="left"/>
              <w:rPr>
                <w:rFonts w:ascii="宋体" w:hAnsi="宋体"/>
                <w:color w:val="auto"/>
                <w:kern w:val="0"/>
                <w:sz w:val="24"/>
                <w:highlight w:val="none"/>
              </w:rPr>
            </w:pPr>
          </w:p>
        </w:tc>
        <w:tc>
          <w:tcPr>
            <w:tcW w:w="1186" w:type="dxa"/>
          </w:tcPr>
          <w:p w14:paraId="3199D12F">
            <w:pPr>
              <w:autoSpaceDE w:val="0"/>
              <w:autoSpaceDN w:val="0"/>
              <w:adjustRightInd w:val="0"/>
              <w:snapToGrid w:val="0"/>
              <w:jc w:val="left"/>
              <w:rPr>
                <w:rFonts w:ascii="宋体" w:hAnsi="宋体"/>
                <w:color w:val="auto"/>
                <w:kern w:val="0"/>
                <w:sz w:val="24"/>
                <w:highlight w:val="none"/>
              </w:rPr>
            </w:pPr>
          </w:p>
        </w:tc>
        <w:tc>
          <w:tcPr>
            <w:tcW w:w="1188" w:type="dxa"/>
          </w:tcPr>
          <w:p w14:paraId="23648749">
            <w:pPr>
              <w:autoSpaceDE w:val="0"/>
              <w:autoSpaceDN w:val="0"/>
              <w:adjustRightInd w:val="0"/>
              <w:snapToGrid w:val="0"/>
              <w:jc w:val="left"/>
              <w:rPr>
                <w:rFonts w:ascii="宋体" w:hAnsi="宋体"/>
                <w:color w:val="auto"/>
                <w:kern w:val="0"/>
                <w:sz w:val="24"/>
                <w:highlight w:val="none"/>
              </w:rPr>
            </w:pPr>
          </w:p>
        </w:tc>
        <w:tc>
          <w:tcPr>
            <w:tcW w:w="1186" w:type="dxa"/>
          </w:tcPr>
          <w:p w14:paraId="61929FCC">
            <w:pPr>
              <w:autoSpaceDE w:val="0"/>
              <w:autoSpaceDN w:val="0"/>
              <w:adjustRightInd w:val="0"/>
              <w:snapToGrid w:val="0"/>
              <w:jc w:val="left"/>
              <w:rPr>
                <w:rFonts w:ascii="宋体" w:hAnsi="宋体"/>
                <w:color w:val="auto"/>
                <w:kern w:val="0"/>
                <w:sz w:val="24"/>
                <w:highlight w:val="none"/>
              </w:rPr>
            </w:pPr>
          </w:p>
        </w:tc>
        <w:tc>
          <w:tcPr>
            <w:tcW w:w="1187" w:type="dxa"/>
          </w:tcPr>
          <w:p w14:paraId="3BD14637">
            <w:pPr>
              <w:autoSpaceDE w:val="0"/>
              <w:autoSpaceDN w:val="0"/>
              <w:adjustRightInd w:val="0"/>
              <w:snapToGrid w:val="0"/>
              <w:jc w:val="left"/>
              <w:rPr>
                <w:rFonts w:ascii="宋体" w:hAnsi="宋体"/>
                <w:color w:val="auto"/>
                <w:kern w:val="0"/>
                <w:sz w:val="24"/>
                <w:highlight w:val="none"/>
              </w:rPr>
            </w:pPr>
          </w:p>
        </w:tc>
      </w:tr>
      <w:tr w14:paraId="6CC293F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0ADED96A">
            <w:pPr>
              <w:autoSpaceDE w:val="0"/>
              <w:autoSpaceDN w:val="0"/>
              <w:adjustRightInd w:val="0"/>
              <w:snapToGrid w:val="0"/>
              <w:jc w:val="left"/>
              <w:rPr>
                <w:rFonts w:ascii="宋体" w:hAnsi="宋体"/>
                <w:color w:val="auto"/>
                <w:kern w:val="0"/>
                <w:sz w:val="24"/>
                <w:highlight w:val="none"/>
              </w:rPr>
            </w:pPr>
          </w:p>
        </w:tc>
        <w:tc>
          <w:tcPr>
            <w:tcW w:w="1453" w:type="dxa"/>
          </w:tcPr>
          <w:p w14:paraId="248EC322">
            <w:pPr>
              <w:autoSpaceDE w:val="0"/>
              <w:autoSpaceDN w:val="0"/>
              <w:adjustRightInd w:val="0"/>
              <w:snapToGrid w:val="0"/>
              <w:jc w:val="left"/>
              <w:rPr>
                <w:rFonts w:ascii="宋体" w:hAnsi="宋体"/>
                <w:color w:val="auto"/>
                <w:kern w:val="0"/>
                <w:sz w:val="24"/>
                <w:highlight w:val="none"/>
              </w:rPr>
            </w:pPr>
          </w:p>
        </w:tc>
        <w:tc>
          <w:tcPr>
            <w:tcW w:w="1186" w:type="dxa"/>
          </w:tcPr>
          <w:p w14:paraId="7F833D12">
            <w:pPr>
              <w:autoSpaceDE w:val="0"/>
              <w:autoSpaceDN w:val="0"/>
              <w:adjustRightInd w:val="0"/>
              <w:snapToGrid w:val="0"/>
              <w:jc w:val="left"/>
              <w:rPr>
                <w:rFonts w:ascii="宋体" w:hAnsi="宋体"/>
                <w:color w:val="auto"/>
                <w:kern w:val="0"/>
                <w:sz w:val="24"/>
                <w:highlight w:val="none"/>
              </w:rPr>
            </w:pPr>
          </w:p>
        </w:tc>
        <w:tc>
          <w:tcPr>
            <w:tcW w:w="1188" w:type="dxa"/>
          </w:tcPr>
          <w:p w14:paraId="2B079364">
            <w:pPr>
              <w:autoSpaceDE w:val="0"/>
              <w:autoSpaceDN w:val="0"/>
              <w:adjustRightInd w:val="0"/>
              <w:snapToGrid w:val="0"/>
              <w:jc w:val="left"/>
              <w:rPr>
                <w:rFonts w:ascii="宋体" w:hAnsi="宋体"/>
                <w:color w:val="auto"/>
                <w:kern w:val="0"/>
                <w:sz w:val="24"/>
                <w:highlight w:val="none"/>
              </w:rPr>
            </w:pPr>
          </w:p>
        </w:tc>
        <w:tc>
          <w:tcPr>
            <w:tcW w:w="1186" w:type="dxa"/>
          </w:tcPr>
          <w:p w14:paraId="1112E6E5">
            <w:pPr>
              <w:autoSpaceDE w:val="0"/>
              <w:autoSpaceDN w:val="0"/>
              <w:adjustRightInd w:val="0"/>
              <w:snapToGrid w:val="0"/>
              <w:jc w:val="left"/>
              <w:rPr>
                <w:rFonts w:ascii="宋体" w:hAnsi="宋体"/>
                <w:color w:val="auto"/>
                <w:kern w:val="0"/>
                <w:sz w:val="24"/>
                <w:highlight w:val="none"/>
              </w:rPr>
            </w:pPr>
          </w:p>
        </w:tc>
        <w:tc>
          <w:tcPr>
            <w:tcW w:w="1188" w:type="dxa"/>
          </w:tcPr>
          <w:p w14:paraId="1A6853DA">
            <w:pPr>
              <w:autoSpaceDE w:val="0"/>
              <w:autoSpaceDN w:val="0"/>
              <w:adjustRightInd w:val="0"/>
              <w:snapToGrid w:val="0"/>
              <w:jc w:val="left"/>
              <w:rPr>
                <w:rFonts w:ascii="宋体" w:hAnsi="宋体"/>
                <w:color w:val="auto"/>
                <w:kern w:val="0"/>
                <w:sz w:val="24"/>
                <w:highlight w:val="none"/>
              </w:rPr>
            </w:pPr>
          </w:p>
        </w:tc>
        <w:tc>
          <w:tcPr>
            <w:tcW w:w="1186" w:type="dxa"/>
          </w:tcPr>
          <w:p w14:paraId="31343FB9">
            <w:pPr>
              <w:autoSpaceDE w:val="0"/>
              <w:autoSpaceDN w:val="0"/>
              <w:adjustRightInd w:val="0"/>
              <w:snapToGrid w:val="0"/>
              <w:jc w:val="left"/>
              <w:rPr>
                <w:rFonts w:ascii="宋体" w:hAnsi="宋体"/>
                <w:color w:val="auto"/>
                <w:kern w:val="0"/>
                <w:sz w:val="24"/>
                <w:highlight w:val="none"/>
              </w:rPr>
            </w:pPr>
          </w:p>
        </w:tc>
        <w:tc>
          <w:tcPr>
            <w:tcW w:w="1187" w:type="dxa"/>
          </w:tcPr>
          <w:p w14:paraId="2BD39077">
            <w:pPr>
              <w:autoSpaceDE w:val="0"/>
              <w:autoSpaceDN w:val="0"/>
              <w:adjustRightInd w:val="0"/>
              <w:snapToGrid w:val="0"/>
              <w:jc w:val="left"/>
              <w:rPr>
                <w:rFonts w:ascii="宋体" w:hAnsi="宋体"/>
                <w:color w:val="auto"/>
                <w:kern w:val="0"/>
                <w:sz w:val="24"/>
                <w:highlight w:val="none"/>
              </w:rPr>
            </w:pPr>
          </w:p>
        </w:tc>
      </w:tr>
      <w:tr w14:paraId="03DAF44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2FD0BC5F">
            <w:pPr>
              <w:autoSpaceDE w:val="0"/>
              <w:autoSpaceDN w:val="0"/>
              <w:adjustRightInd w:val="0"/>
              <w:snapToGrid w:val="0"/>
              <w:jc w:val="left"/>
              <w:rPr>
                <w:rFonts w:ascii="宋体" w:hAnsi="宋体"/>
                <w:color w:val="auto"/>
                <w:kern w:val="0"/>
                <w:sz w:val="24"/>
                <w:highlight w:val="none"/>
              </w:rPr>
            </w:pPr>
          </w:p>
        </w:tc>
        <w:tc>
          <w:tcPr>
            <w:tcW w:w="1453" w:type="dxa"/>
          </w:tcPr>
          <w:p w14:paraId="305E4EE9">
            <w:pPr>
              <w:autoSpaceDE w:val="0"/>
              <w:autoSpaceDN w:val="0"/>
              <w:adjustRightInd w:val="0"/>
              <w:snapToGrid w:val="0"/>
              <w:jc w:val="left"/>
              <w:rPr>
                <w:rFonts w:ascii="宋体" w:hAnsi="宋体"/>
                <w:color w:val="auto"/>
                <w:kern w:val="0"/>
                <w:sz w:val="24"/>
                <w:highlight w:val="none"/>
              </w:rPr>
            </w:pPr>
          </w:p>
        </w:tc>
        <w:tc>
          <w:tcPr>
            <w:tcW w:w="1186" w:type="dxa"/>
          </w:tcPr>
          <w:p w14:paraId="1D7887F9">
            <w:pPr>
              <w:autoSpaceDE w:val="0"/>
              <w:autoSpaceDN w:val="0"/>
              <w:adjustRightInd w:val="0"/>
              <w:snapToGrid w:val="0"/>
              <w:jc w:val="left"/>
              <w:rPr>
                <w:rFonts w:ascii="宋体" w:hAnsi="宋体"/>
                <w:color w:val="auto"/>
                <w:kern w:val="0"/>
                <w:sz w:val="24"/>
                <w:highlight w:val="none"/>
              </w:rPr>
            </w:pPr>
          </w:p>
        </w:tc>
        <w:tc>
          <w:tcPr>
            <w:tcW w:w="1188" w:type="dxa"/>
          </w:tcPr>
          <w:p w14:paraId="75CA75C2">
            <w:pPr>
              <w:autoSpaceDE w:val="0"/>
              <w:autoSpaceDN w:val="0"/>
              <w:adjustRightInd w:val="0"/>
              <w:snapToGrid w:val="0"/>
              <w:jc w:val="left"/>
              <w:rPr>
                <w:rFonts w:ascii="宋体" w:hAnsi="宋体"/>
                <w:color w:val="auto"/>
                <w:kern w:val="0"/>
                <w:sz w:val="24"/>
                <w:highlight w:val="none"/>
              </w:rPr>
            </w:pPr>
          </w:p>
        </w:tc>
        <w:tc>
          <w:tcPr>
            <w:tcW w:w="1186" w:type="dxa"/>
          </w:tcPr>
          <w:p w14:paraId="1FA5AA9B">
            <w:pPr>
              <w:autoSpaceDE w:val="0"/>
              <w:autoSpaceDN w:val="0"/>
              <w:adjustRightInd w:val="0"/>
              <w:snapToGrid w:val="0"/>
              <w:jc w:val="left"/>
              <w:rPr>
                <w:rFonts w:ascii="宋体" w:hAnsi="宋体"/>
                <w:color w:val="auto"/>
                <w:kern w:val="0"/>
                <w:sz w:val="24"/>
                <w:highlight w:val="none"/>
              </w:rPr>
            </w:pPr>
          </w:p>
        </w:tc>
        <w:tc>
          <w:tcPr>
            <w:tcW w:w="1188" w:type="dxa"/>
          </w:tcPr>
          <w:p w14:paraId="31391701">
            <w:pPr>
              <w:autoSpaceDE w:val="0"/>
              <w:autoSpaceDN w:val="0"/>
              <w:adjustRightInd w:val="0"/>
              <w:snapToGrid w:val="0"/>
              <w:jc w:val="left"/>
              <w:rPr>
                <w:rFonts w:ascii="宋体" w:hAnsi="宋体"/>
                <w:color w:val="auto"/>
                <w:kern w:val="0"/>
                <w:sz w:val="24"/>
                <w:highlight w:val="none"/>
              </w:rPr>
            </w:pPr>
          </w:p>
        </w:tc>
        <w:tc>
          <w:tcPr>
            <w:tcW w:w="1186" w:type="dxa"/>
          </w:tcPr>
          <w:p w14:paraId="6D1F88B3">
            <w:pPr>
              <w:autoSpaceDE w:val="0"/>
              <w:autoSpaceDN w:val="0"/>
              <w:adjustRightInd w:val="0"/>
              <w:snapToGrid w:val="0"/>
              <w:jc w:val="left"/>
              <w:rPr>
                <w:rFonts w:ascii="宋体" w:hAnsi="宋体"/>
                <w:color w:val="auto"/>
                <w:kern w:val="0"/>
                <w:sz w:val="24"/>
                <w:highlight w:val="none"/>
              </w:rPr>
            </w:pPr>
          </w:p>
        </w:tc>
        <w:tc>
          <w:tcPr>
            <w:tcW w:w="1187" w:type="dxa"/>
          </w:tcPr>
          <w:p w14:paraId="00037F1A">
            <w:pPr>
              <w:autoSpaceDE w:val="0"/>
              <w:autoSpaceDN w:val="0"/>
              <w:adjustRightInd w:val="0"/>
              <w:snapToGrid w:val="0"/>
              <w:jc w:val="left"/>
              <w:rPr>
                <w:rFonts w:ascii="宋体" w:hAnsi="宋体"/>
                <w:color w:val="auto"/>
                <w:kern w:val="0"/>
                <w:sz w:val="24"/>
                <w:highlight w:val="none"/>
              </w:rPr>
            </w:pPr>
          </w:p>
        </w:tc>
      </w:tr>
      <w:tr w14:paraId="47622E8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261AE08C">
            <w:pPr>
              <w:autoSpaceDE w:val="0"/>
              <w:autoSpaceDN w:val="0"/>
              <w:adjustRightInd w:val="0"/>
              <w:snapToGrid w:val="0"/>
              <w:jc w:val="left"/>
              <w:rPr>
                <w:rFonts w:ascii="宋体" w:hAnsi="宋体"/>
                <w:color w:val="auto"/>
                <w:kern w:val="0"/>
                <w:sz w:val="24"/>
                <w:highlight w:val="none"/>
              </w:rPr>
            </w:pPr>
          </w:p>
        </w:tc>
        <w:tc>
          <w:tcPr>
            <w:tcW w:w="1453" w:type="dxa"/>
          </w:tcPr>
          <w:p w14:paraId="2EF34DC5">
            <w:pPr>
              <w:autoSpaceDE w:val="0"/>
              <w:autoSpaceDN w:val="0"/>
              <w:adjustRightInd w:val="0"/>
              <w:snapToGrid w:val="0"/>
              <w:jc w:val="left"/>
              <w:rPr>
                <w:rFonts w:ascii="宋体" w:hAnsi="宋体"/>
                <w:color w:val="auto"/>
                <w:kern w:val="0"/>
                <w:sz w:val="24"/>
                <w:highlight w:val="none"/>
              </w:rPr>
            </w:pPr>
          </w:p>
        </w:tc>
        <w:tc>
          <w:tcPr>
            <w:tcW w:w="1186" w:type="dxa"/>
          </w:tcPr>
          <w:p w14:paraId="29DD4207">
            <w:pPr>
              <w:autoSpaceDE w:val="0"/>
              <w:autoSpaceDN w:val="0"/>
              <w:adjustRightInd w:val="0"/>
              <w:snapToGrid w:val="0"/>
              <w:jc w:val="left"/>
              <w:rPr>
                <w:rFonts w:ascii="宋体" w:hAnsi="宋体"/>
                <w:color w:val="auto"/>
                <w:kern w:val="0"/>
                <w:sz w:val="24"/>
                <w:highlight w:val="none"/>
              </w:rPr>
            </w:pPr>
          </w:p>
        </w:tc>
        <w:tc>
          <w:tcPr>
            <w:tcW w:w="1188" w:type="dxa"/>
          </w:tcPr>
          <w:p w14:paraId="683C9A82">
            <w:pPr>
              <w:autoSpaceDE w:val="0"/>
              <w:autoSpaceDN w:val="0"/>
              <w:adjustRightInd w:val="0"/>
              <w:snapToGrid w:val="0"/>
              <w:jc w:val="left"/>
              <w:rPr>
                <w:rFonts w:ascii="宋体" w:hAnsi="宋体"/>
                <w:color w:val="auto"/>
                <w:kern w:val="0"/>
                <w:sz w:val="24"/>
                <w:highlight w:val="none"/>
              </w:rPr>
            </w:pPr>
          </w:p>
        </w:tc>
        <w:tc>
          <w:tcPr>
            <w:tcW w:w="1186" w:type="dxa"/>
          </w:tcPr>
          <w:p w14:paraId="76515136">
            <w:pPr>
              <w:autoSpaceDE w:val="0"/>
              <w:autoSpaceDN w:val="0"/>
              <w:adjustRightInd w:val="0"/>
              <w:snapToGrid w:val="0"/>
              <w:jc w:val="left"/>
              <w:rPr>
                <w:rFonts w:ascii="宋体" w:hAnsi="宋体"/>
                <w:color w:val="auto"/>
                <w:kern w:val="0"/>
                <w:sz w:val="24"/>
                <w:highlight w:val="none"/>
              </w:rPr>
            </w:pPr>
          </w:p>
        </w:tc>
        <w:tc>
          <w:tcPr>
            <w:tcW w:w="1188" w:type="dxa"/>
          </w:tcPr>
          <w:p w14:paraId="3935860D">
            <w:pPr>
              <w:autoSpaceDE w:val="0"/>
              <w:autoSpaceDN w:val="0"/>
              <w:adjustRightInd w:val="0"/>
              <w:snapToGrid w:val="0"/>
              <w:jc w:val="left"/>
              <w:rPr>
                <w:rFonts w:ascii="宋体" w:hAnsi="宋体"/>
                <w:color w:val="auto"/>
                <w:kern w:val="0"/>
                <w:sz w:val="24"/>
                <w:highlight w:val="none"/>
              </w:rPr>
            </w:pPr>
          </w:p>
        </w:tc>
        <w:tc>
          <w:tcPr>
            <w:tcW w:w="1186" w:type="dxa"/>
          </w:tcPr>
          <w:p w14:paraId="55410213">
            <w:pPr>
              <w:autoSpaceDE w:val="0"/>
              <w:autoSpaceDN w:val="0"/>
              <w:adjustRightInd w:val="0"/>
              <w:snapToGrid w:val="0"/>
              <w:jc w:val="left"/>
              <w:rPr>
                <w:rFonts w:ascii="宋体" w:hAnsi="宋体"/>
                <w:color w:val="auto"/>
                <w:kern w:val="0"/>
                <w:sz w:val="24"/>
                <w:highlight w:val="none"/>
              </w:rPr>
            </w:pPr>
          </w:p>
        </w:tc>
        <w:tc>
          <w:tcPr>
            <w:tcW w:w="1187" w:type="dxa"/>
          </w:tcPr>
          <w:p w14:paraId="386372D8">
            <w:pPr>
              <w:autoSpaceDE w:val="0"/>
              <w:autoSpaceDN w:val="0"/>
              <w:adjustRightInd w:val="0"/>
              <w:snapToGrid w:val="0"/>
              <w:jc w:val="left"/>
              <w:rPr>
                <w:rFonts w:ascii="宋体" w:hAnsi="宋体"/>
                <w:color w:val="auto"/>
                <w:kern w:val="0"/>
                <w:sz w:val="24"/>
                <w:highlight w:val="none"/>
              </w:rPr>
            </w:pPr>
          </w:p>
        </w:tc>
      </w:tr>
      <w:tr w14:paraId="2C05A8C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439DBC1B">
            <w:pPr>
              <w:autoSpaceDE w:val="0"/>
              <w:autoSpaceDN w:val="0"/>
              <w:adjustRightInd w:val="0"/>
              <w:snapToGrid w:val="0"/>
              <w:jc w:val="left"/>
              <w:rPr>
                <w:rFonts w:ascii="宋体" w:hAnsi="宋体"/>
                <w:color w:val="auto"/>
                <w:kern w:val="0"/>
                <w:sz w:val="24"/>
                <w:highlight w:val="none"/>
              </w:rPr>
            </w:pPr>
          </w:p>
        </w:tc>
        <w:tc>
          <w:tcPr>
            <w:tcW w:w="1453" w:type="dxa"/>
          </w:tcPr>
          <w:p w14:paraId="697DA218">
            <w:pPr>
              <w:autoSpaceDE w:val="0"/>
              <w:autoSpaceDN w:val="0"/>
              <w:adjustRightInd w:val="0"/>
              <w:snapToGrid w:val="0"/>
              <w:jc w:val="left"/>
              <w:rPr>
                <w:rFonts w:ascii="宋体" w:hAnsi="宋体"/>
                <w:color w:val="auto"/>
                <w:kern w:val="0"/>
                <w:sz w:val="24"/>
                <w:highlight w:val="none"/>
              </w:rPr>
            </w:pPr>
          </w:p>
        </w:tc>
        <w:tc>
          <w:tcPr>
            <w:tcW w:w="1186" w:type="dxa"/>
          </w:tcPr>
          <w:p w14:paraId="5269CDB1">
            <w:pPr>
              <w:autoSpaceDE w:val="0"/>
              <w:autoSpaceDN w:val="0"/>
              <w:adjustRightInd w:val="0"/>
              <w:snapToGrid w:val="0"/>
              <w:jc w:val="left"/>
              <w:rPr>
                <w:rFonts w:ascii="宋体" w:hAnsi="宋体"/>
                <w:color w:val="auto"/>
                <w:kern w:val="0"/>
                <w:sz w:val="24"/>
                <w:highlight w:val="none"/>
              </w:rPr>
            </w:pPr>
          </w:p>
        </w:tc>
        <w:tc>
          <w:tcPr>
            <w:tcW w:w="1188" w:type="dxa"/>
          </w:tcPr>
          <w:p w14:paraId="21A1A451">
            <w:pPr>
              <w:autoSpaceDE w:val="0"/>
              <w:autoSpaceDN w:val="0"/>
              <w:adjustRightInd w:val="0"/>
              <w:snapToGrid w:val="0"/>
              <w:jc w:val="left"/>
              <w:rPr>
                <w:rFonts w:ascii="宋体" w:hAnsi="宋体"/>
                <w:color w:val="auto"/>
                <w:kern w:val="0"/>
                <w:sz w:val="24"/>
                <w:highlight w:val="none"/>
              </w:rPr>
            </w:pPr>
          </w:p>
        </w:tc>
        <w:tc>
          <w:tcPr>
            <w:tcW w:w="1186" w:type="dxa"/>
          </w:tcPr>
          <w:p w14:paraId="0D590CEA">
            <w:pPr>
              <w:autoSpaceDE w:val="0"/>
              <w:autoSpaceDN w:val="0"/>
              <w:adjustRightInd w:val="0"/>
              <w:snapToGrid w:val="0"/>
              <w:jc w:val="left"/>
              <w:rPr>
                <w:rFonts w:ascii="宋体" w:hAnsi="宋体"/>
                <w:color w:val="auto"/>
                <w:kern w:val="0"/>
                <w:sz w:val="24"/>
                <w:highlight w:val="none"/>
              </w:rPr>
            </w:pPr>
          </w:p>
        </w:tc>
        <w:tc>
          <w:tcPr>
            <w:tcW w:w="1188" w:type="dxa"/>
          </w:tcPr>
          <w:p w14:paraId="41AAE120">
            <w:pPr>
              <w:autoSpaceDE w:val="0"/>
              <w:autoSpaceDN w:val="0"/>
              <w:adjustRightInd w:val="0"/>
              <w:snapToGrid w:val="0"/>
              <w:jc w:val="left"/>
              <w:rPr>
                <w:rFonts w:ascii="宋体" w:hAnsi="宋体"/>
                <w:color w:val="auto"/>
                <w:kern w:val="0"/>
                <w:sz w:val="24"/>
                <w:highlight w:val="none"/>
              </w:rPr>
            </w:pPr>
          </w:p>
        </w:tc>
        <w:tc>
          <w:tcPr>
            <w:tcW w:w="1186" w:type="dxa"/>
          </w:tcPr>
          <w:p w14:paraId="3C5EB60F">
            <w:pPr>
              <w:autoSpaceDE w:val="0"/>
              <w:autoSpaceDN w:val="0"/>
              <w:adjustRightInd w:val="0"/>
              <w:snapToGrid w:val="0"/>
              <w:jc w:val="left"/>
              <w:rPr>
                <w:rFonts w:ascii="宋体" w:hAnsi="宋体"/>
                <w:color w:val="auto"/>
                <w:kern w:val="0"/>
                <w:sz w:val="24"/>
                <w:highlight w:val="none"/>
              </w:rPr>
            </w:pPr>
          </w:p>
        </w:tc>
        <w:tc>
          <w:tcPr>
            <w:tcW w:w="1187" w:type="dxa"/>
          </w:tcPr>
          <w:p w14:paraId="7C148035">
            <w:pPr>
              <w:autoSpaceDE w:val="0"/>
              <w:autoSpaceDN w:val="0"/>
              <w:adjustRightInd w:val="0"/>
              <w:snapToGrid w:val="0"/>
              <w:jc w:val="left"/>
              <w:rPr>
                <w:rFonts w:ascii="宋体" w:hAnsi="宋体"/>
                <w:color w:val="auto"/>
                <w:kern w:val="0"/>
                <w:sz w:val="24"/>
                <w:highlight w:val="none"/>
              </w:rPr>
            </w:pPr>
          </w:p>
        </w:tc>
      </w:tr>
      <w:tr w14:paraId="393BDE9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7B67AF53">
            <w:pPr>
              <w:autoSpaceDE w:val="0"/>
              <w:autoSpaceDN w:val="0"/>
              <w:adjustRightInd w:val="0"/>
              <w:snapToGrid w:val="0"/>
              <w:jc w:val="left"/>
              <w:rPr>
                <w:rFonts w:ascii="宋体" w:hAnsi="宋体"/>
                <w:color w:val="auto"/>
                <w:kern w:val="0"/>
                <w:sz w:val="24"/>
                <w:highlight w:val="none"/>
              </w:rPr>
            </w:pPr>
          </w:p>
        </w:tc>
        <w:tc>
          <w:tcPr>
            <w:tcW w:w="1453" w:type="dxa"/>
          </w:tcPr>
          <w:p w14:paraId="54A65E50">
            <w:pPr>
              <w:autoSpaceDE w:val="0"/>
              <w:autoSpaceDN w:val="0"/>
              <w:adjustRightInd w:val="0"/>
              <w:snapToGrid w:val="0"/>
              <w:jc w:val="left"/>
              <w:rPr>
                <w:rFonts w:ascii="宋体" w:hAnsi="宋体"/>
                <w:color w:val="auto"/>
                <w:kern w:val="0"/>
                <w:sz w:val="24"/>
                <w:highlight w:val="none"/>
              </w:rPr>
            </w:pPr>
          </w:p>
        </w:tc>
        <w:tc>
          <w:tcPr>
            <w:tcW w:w="1186" w:type="dxa"/>
          </w:tcPr>
          <w:p w14:paraId="57C9CEAC">
            <w:pPr>
              <w:autoSpaceDE w:val="0"/>
              <w:autoSpaceDN w:val="0"/>
              <w:adjustRightInd w:val="0"/>
              <w:snapToGrid w:val="0"/>
              <w:jc w:val="left"/>
              <w:rPr>
                <w:rFonts w:ascii="宋体" w:hAnsi="宋体"/>
                <w:color w:val="auto"/>
                <w:kern w:val="0"/>
                <w:sz w:val="24"/>
                <w:highlight w:val="none"/>
              </w:rPr>
            </w:pPr>
          </w:p>
        </w:tc>
        <w:tc>
          <w:tcPr>
            <w:tcW w:w="1188" w:type="dxa"/>
          </w:tcPr>
          <w:p w14:paraId="0690BC9D">
            <w:pPr>
              <w:autoSpaceDE w:val="0"/>
              <w:autoSpaceDN w:val="0"/>
              <w:adjustRightInd w:val="0"/>
              <w:snapToGrid w:val="0"/>
              <w:jc w:val="left"/>
              <w:rPr>
                <w:rFonts w:ascii="宋体" w:hAnsi="宋体"/>
                <w:color w:val="auto"/>
                <w:kern w:val="0"/>
                <w:sz w:val="24"/>
                <w:highlight w:val="none"/>
              </w:rPr>
            </w:pPr>
          </w:p>
        </w:tc>
        <w:tc>
          <w:tcPr>
            <w:tcW w:w="1186" w:type="dxa"/>
          </w:tcPr>
          <w:p w14:paraId="56DF8FD1">
            <w:pPr>
              <w:autoSpaceDE w:val="0"/>
              <w:autoSpaceDN w:val="0"/>
              <w:adjustRightInd w:val="0"/>
              <w:snapToGrid w:val="0"/>
              <w:jc w:val="left"/>
              <w:rPr>
                <w:rFonts w:ascii="宋体" w:hAnsi="宋体"/>
                <w:color w:val="auto"/>
                <w:kern w:val="0"/>
                <w:sz w:val="24"/>
                <w:highlight w:val="none"/>
              </w:rPr>
            </w:pPr>
          </w:p>
        </w:tc>
        <w:tc>
          <w:tcPr>
            <w:tcW w:w="1188" w:type="dxa"/>
          </w:tcPr>
          <w:p w14:paraId="56768F5E">
            <w:pPr>
              <w:autoSpaceDE w:val="0"/>
              <w:autoSpaceDN w:val="0"/>
              <w:adjustRightInd w:val="0"/>
              <w:snapToGrid w:val="0"/>
              <w:jc w:val="left"/>
              <w:rPr>
                <w:rFonts w:ascii="宋体" w:hAnsi="宋体"/>
                <w:color w:val="auto"/>
                <w:kern w:val="0"/>
                <w:sz w:val="24"/>
                <w:highlight w:val="none"/>
              </w:rPr>
            </w:pPr>
          </w:p>
        </w:tc>
        <w:tc>
          <w:tcPr>
            <w:tcW w:w="1186" w:type="dxa"/>
          </w:tcPr>
          <w:p w14:paraId="1F1CCCBD">
            <w:pPr>
              <w:autoSpaceDE w:val="0"/>
              <w:autoSpaceDN w:val="0"/>
              <w:adjustRightInd w:val="0"/>
              <w:snapToGrid w:val="0"/>
              <w:jc w:val="left"/>
              <w:rPr>
                <w:rFonts w:ascii="宋体" w:hAnsi="宋体"/>
                <w:color w:val="auto"/>
                <w:kern w:val="0"/>
                <w:sz w:val="24"/>
                <w:highlight w:val="none"/>
              </w:rPr>
            </w:pPr>
          </w:p>
        </w:tc>
        <w:tc>
          <w:tcPr>
            <w:tcW w:w="1187" w:type="dxa"/>
          </w:tcPr>
          <w:p w14:paraId="4DA69A0A">
            <w:pPr>
              <w:autoSpaceDE w:val="0"/>
              <w:autoSpaceDN w:val="0"/>
              <w:adjustRightInd w:val="0"/>
              <w:snapToGrid w:val="0"/>
              <w:jc w:val="left"/>
              <w:rPr>
                <w:rFonts w:ascii="宋体" w:hAnsi="宋体"/>
                <w:color w:val="auto"/>
                <w:kern w:val="0"/>
                <w:sz w:val="24"/>
                <w:highlight w:val="none"/>
              </w:rPr>
            </w:pPr>
          </w:p>
        </w:tc>
      </w:tr>
      <w:tr w14:paraId="1A01B96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61A1E057">
            <w:pPr>
              <w:autoSpaceDE w:val="0"/>
              <w:autoSpaceDN w:val="0"/>
              <w:adjustRightInd w:val="0"/>
              <w:snapToGrid w:val="0"/>
              <w:jc w:val="left"/>
              <w:rPr>
                <w:rFonts w:ascii="宋体" w:hAnsi="宋体"/>
                <w:color w:val="auto"/>
                <w:kern w:val="0"/>
                <w:sz w:val="24"/>
                <w:highlight w:val="none"/>
              </w:rPr>
            </w:pPr>
          </w:p>
        </w:tc>
        <w:tc>
          <w:tcPr>
            <w:tcW w:w="1453" w:type="dxa"/>
          </w:tcPr>
          <w:p w14:paraId="5619747F">
            <w:pPr>
              <w:autoSpaceDE w:val="0"/>
              <w:autoSpaceDN w:val="0"/>
              <w:adjustRightInd w:val="0"/>
              <w:snapToGrid w:val="0"/>
              <w:jc w:val="left"/>
              <w:rPr>
                <w:rFonts w:ascii="宋体" w:hAnsi="宋体"/>
                <w:color w:val="auto"/>
                <w:kern w:val="0"/>
                <w:sz w:val="24"/>
                <w:highlight w:val="none"/>
              </w:rPr>
            </w:pPr>
          </w:p>
        </w:tc>
        <w:tc>
          <w:tcPr>
            <w:tcW w:w="1186" w:type="dxa"/>
          </w:tcPr>
          <w:p w14:paraId="0E6B4716">
            <w:pPr>
              <w:autoSpaceDE w:val="0"/>
              <w:autoSpaceDN w:val="0"/>
              <w:adjustRightInd w:val="0"/>
              <w:snapToGrid w:val="0"/>
              <w:jc w:val="left"/>
              <w:rPr>
                <w:rFonts w:ascii="宋体" w:hAnsi="宋体"/>
                <w:color w:val="auto"/>
                <w:kern w:val="0"/>
                <w:sz w:val="24"/>
                <w:highlight w:val="none"/>
              </w:rPr>
            </w:pPr>
          </w:p>
        </w:tc>
        <w:tc>
          <w:tcPr>
            <w:tcW w:w="1188" w:type="dxa"/>
          </w:tcPr>
          <w:p w14:paraId="448AA2AC">
            <w:pPr>
              <w:autoSpaceDE w:val="0"/>
              <w:autoSpaceDN w:val="0"/>
              <w:adjustRightInd w:val="0"/>
              <w:snapToGrid w:val="0"/>
              <w:jc w:val="left"/>
              <w:rPr>
                <w:rFonts w:ascii="宋体" w:hAnsi="宋体"/>
                <w:color w:val="auto"/>
                <w:kern w:val="0"/>
                <w:sz w:val="24"/>
                <w:highlight w:val="none"/>
              </w:rPr>
            </w:pPr>
          </w:p>
        </w:tc>
        <w:tc>
          <w:tcPr>
            <w:tcW w:w="1186" w:type="dxa"/>
          </w:tcPr>
          <w:p w14:paraId="20188A3F">
            <w:pPr>
              <w:autoSpaceDE w:val="0"/>
              <w:autoSpaceDN w:val="0"/>
              <w:adjustRightInd w:val="0"/>
              <w:snapToGrid w:val="0"/>
              <w:jc w:val="left"/>
              <w:rPr>
                <w:rFonts w:ascii="宋体" w:hAnsi="宋体"/>
                <w:color w:val="auto"/>
                <w:kern w:val="0"/>
                <w:sz w:val="24"/>
                <w:highlight w:val="none"/>
              </w:rPr>
            </w:pPr>
          </w:p>
        </w:tc>
        <w:tc>
          <w:tcPr>
            <w:tcW w:w="1188" w:type="dxa"/>
          </w:tcPr>
          <w:p w14:paraId="10DC3C70">
            <w:pPr>
              <w:autoSpaceDE w:val="0"/>
              <w:autoSpaceDN w:val="0"/>
              <w:adjustRightInd w:val="0"/>
              <w:snapToGrid w:val="0"/>
              <w:jc w:val="left"/>
              <w:rPr>
                <w:rFonts w:ascii="宋体" w:hAnsi="宋体"/>
                <w:color w:val="auto"/>
                <w:kern w:val="0"/>
                <w:sz w:val="24"/>
                <w:highlight w:val="none"/>
              </w:rPr>
            </w:pPr>
          </w:p>
        </w:tc>
        <w:tc>
          <w:tcPr>
            <w:tcW w:w="1186" w:type="dxa"/>
          </w:tcPr>
          <w:p w14:paraId="10A7414B">
            <w:pPr>
              <w:autoSpaceDE w:val="0"/>
              <w:autoSpaceDN w:val="0"/>
              <w:adjustRightInd w:val="0"/>
              <w:snapToGrid w:val="0"/>
              <w:jc w:val="left"/>
              <w:rPr>
                <w:rFonts w:ascii="宋体" w:hAnsi="宋体"/>
                <w:color w:val="auto"/>
                <w:kern w:val="0"/>
                <w:sz w:val="24"/>
                <w:highlight w:val="none"/>
              </w:rPr>
            </w:pPr>
          </w:p>
        </w:tc>
        <w:tc>
          <w:tcPr>
            <w:tcW w:w="1187" w:type="dxa"/>
          </w:tcPr>
          <w:p w14:paraId="7A04CB05">
            <w:pPr>
              <w:autoSpaceDE w:val="0"/>
              <w:autoSpaceDN w:val="0"/>
              <w:adjustRightInd w:val="0"/>
              <w:snapToGrid w:val="0"/>
              <w:jc w:val="left"/>
              <w:rPr>
                <w:rFonts w:ascii="宋体" w:hAnsi="宋体"/>
                <w:color w:val="auto"/>
                <w:kern w:val="0"/>
                <w:sz w:val="24"/>
                <w:highlight w:val="none"/>
              </w:rPr>
            </w:pPr>
          </w:p>
        </w:tc>
      </w:tr>
      <w:tr w14:paraId="6E48B05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7DB360F9">
            <w:pPr>
              <w:autoSpaceDE w:val="0"/>
              <w:autoSpaceDN w:val="0"/>
              <w:adjustRightInd w:val="0"/>
              <w:snapToGrid w:val="0"/>
              <w:jc w:val="left"/>
              <w:rPr>
                <w:rFonts w:ascii="宋体" w:hAnsi="宋体"/>
                <w:color w:val="auto"/>
                <w:kern w:val="0"/>
                <w:sz w:val="24"/>
                <w:highlight w:val="none"/>
              </w:rPr>
            </w:pPr>
          </w:p>
        </w:tc>
        <w:tc>
          <w:tcPr>
            <w:tcW w:w="1453" w:type="dxa"/>
          </w:tcPr>
          <w:p w14:paraId="28482795">
            <w:pPr>
              <w:autoSpaceDE w:val="0"/>
              <w:autoSpaceDN w:val="0"/>
              <w:adjustRightInd w:val="0"/>
              <w:snapToGrid w:val="0"/>
              <w:jc w:val="left"/>
              <w:rPr>
                <w:rFonts w:ascii="宋体" w:hAnsi="宋体"/>
                <w:color w:val="auto"/>
                <w:kern w:val="0"/>
                <w:sz w:val="24"/>
                <w:highlight w:val="none"/>
              </w:rPr>
            </w:pPr>
          </w:p>
        </w:tc>
        <w:tc>
          <w:tcPr>
            <w:tcW w:w="1186" w:type="dxa"/>
          </w:tcPr>
          <w:p w14:paraId="143EECA0">
            <w:pPr>
              <w:autoSpaceDE w:val="0"/>
              <w:autoSpaceDN w:val="0"/>
              <w:adjustRightInd w:val="0"/>
              <w:snapToGrid w:val="0"/>
              <w:jc w:val="left"/>
              <w:rPr>
                <w:rFonts w:ascii="宋体" w:hAnsi="宋体"/>
                <w:color w:val="auto"/>
                <w:kern w:val="0"/>
                <w:sz w:val="24"/>
                <w:highlight w:val="none"/>
              </w:rPr>
            </w:pPr>
          </w:p>
        </w:tc>
        <w:tc>
          <w:tcPr>
            <w:tcW w:w="1188" w:type="dxa"/>
          </w:tcPr>
          <w:p w14:paraId="274AA104">
            <w:pPr>
              <w:autoSpaceDE w:val="0"/>
              <w:autoSpaceDN w:val="0"/>
              <w:adjustRightInd w:val="0"/>
              <w:snapToGrid w:val="0"/>
              <w:jc w:val="left"/>
              <w:rPr>
                <w:rFonts w:ascii="宋体" w:hAnsi="宋体"/>
                <w:color w:val="auto"/>
                <w:kern w:val="0"/>
                <w:sz w:val="24"/>
                <w:highlight w:val="none"/>
              </w:rPr>
            </w:pPr>
          </w:p>
        </w:tc>
        <w:tc>
          <w:tcPr>
            <w:tcW w:w="1186" w:type="dxa"/>
          </w:tcPr>
          <w:p w14:paraId="6D88A4BA">
            <w:pPr>
              <w:autoSpaceDE w:val="0"/>
              <w:autoSpaceDN w:val="0"/>
              <w:adjustRightInd w:val="0"/>
              <w:snapToGrid w:val="0"/>
              <w:jc w:val="left"/>
              <w:rPr>
                <w:rFonts w:ascii="宋体" w:hAnsi="宋体"/>
                <w:color w:val="auto"/>
                <w:kern w:val="0"/>
                <w:sz w:val="24"/>
                <w:highlight w:val="none"/>
              </w:rPr>
            </w:pPr>
          </w:p>
        </w:tc>
        <w:tc>
          <w:tcPr>
            <w:tcW w:w="1188" w:type="dxa"/>
          </w:tcPr>
          <w:p w14:paraId="75372570">
            <w:pPr>
              <w:autoSpaceDE w:val="0"/>
              <w:autoSpaceDN w:val="0"/>
              <w:adjustRightInd w:val="0"/>
              <w:snapToGrid w:val="0"/>
              <w:jc w:val="left"/>
              <w:rPr>
                <w:rFonts w:ascii="宋体" w:hAnsi="宋体"/>
                <w:color w:val="auto"/>
                <w:kern w:val="0"/>
                <w:sz w:val="24"/>
                <w:highlight w:val="none"/>
              </w:rPr>
            </w:pPr>
          </w:p>
        </w:tc>
        <w:tc>
          <w:tcPr>
            <w:tcW w:w="1186" w:type="dxa"/>
          </w:tcPr>
          <w:p w14:paraId="3A17F335">
            <w:pPr>
              <w:autoSpaceDE w:val="0"/>
              <w:autoSpaceDN w:val="0"/>
              <w:adjustRightInd w:val="0"/>
              <w:snapToGrid w:val="0"/>
              <w:jc w:val="left"/>
              <w:rPr>
                <w:rFonts w:ascii="宋体" w:hAnsi="宋体"/>
                <w:color w:val="auto"/>
                <w:kern w:val="0"/>
                <w:sz w:val="24"/>
                <w:highlight w:val="none"/>
              </w:rPr>
            </w:pPr>
          </w:p>
        </w:tc>
        <w:tc>
          <w:tcPr>
            <w:tcW w:w="1187" w:type="dxa"/>
          </w:tcPr>
          <w:p w14:paraId="25E5B77E">
            <w:pPr>
              <w:autoSpaceDE w:val="0"/>
              <w:autoSpaceDN w:val="0"/>
              <w:adjustRightInd w:val="0"/>
              <w:snapToGrid w:val="0"/>
              <w:jc w:val="left"/>
              <w:rPr>
                <w:rFonts w:ascii="宋体" w:hAnsi="宋体"/>
                <w:color w:val="auto"/>
                <w:kern w:val="0"/>
                <w:sz w:val="24"/>
                <w:highlight w:val="none"/>
              </w:rPr>
            </w:pPr>
          </w:p>
        </w:tc>
      </w:tr>
    </w:tbl>
    <w:p w14:paraId="2CAE3D4E">
      <w:pPr>
        <w:autoSpaceDE w:val="0"/>
        <w:autoSpaceDN w:val="0"/>
        <w:adjustRightInd w:val="0"/>
        <w:snapToGrid w:val="0"/>
        <w:spacing w:line="20" w:lineRule="exact"/>
        <w:jc w:val="left"/>
        <w:rPr>
          <w:rFonts w:ascii="宋体" w:hAnsi="宋体"/>
          <w:color w:val="auto"/>
          <w:kern w:val="0"/>
          <w:highlight w:val="none"/>
        </w:rPr>
      </w:pPr>
    </w:p>
    <w:p w14:paraId="2F252EE7">
      <w:pPr>
        <w:jc w:val="center"/>
        <w:rPr>
          <w:rFonts w:ascii="宋体" w:hAnsi="宋体"/>
          <w:b/>
          <w:color w:val="auto"/>
          <w:highlight w:val="none"/>
        </w:rPr>
      </w:pPr>
      <w:bookmarkStart w:id="2132" w:name="_Toc430530542"/>
      <w:r>
        <w:rPr>
          <w:rFonts w:ascii="宋体" w:hAnsi="宋体"/>
          <w:color w:val="auto"/>
          <w:sz w:val="28"/>
          <w:highlight w:val="none"/>
        </w:rPr>
        <w:br w:type="page"/>
      </w:r>
      <w:bookmarkStart w:id="2133" w:name="_Toc534185837"/>
      <w:bookmarkStart w:id="2134" w:name="_Toc509218860"/>
      <w:r>
        <w:rPr>
          <w:color w:val="auto"/>
          <w:sz w:val="32"/>
          <w:szCs w:val="32"/>
          <w:highlight w:val="none"/>
        </w:rPr>
        <w:t>附表四：计划开、竣工日期和施工进度网络图</w:t>
      </w:r>
      <w:bookmarkEnd w:id="2114"/>
      <w:bookmarkEnd w:id="2115"/>
      <w:bookmarkEnd w:id="2116"/>
      <w:bookmarkEnd w:id="2117"/>
      <w:bookmarkEnd w:id="2132"/>
      <w:bookmarkEnd w:id="2133"/>
      <w:bookmarkEnd w:id="2134"/>
    </w:p>
    <w:p w14:paraId="2DE802E0">
      <w:pPr>
        <w:autoSpaceDE w:val="0"/>
        <w:autoSpaceDN w:val="0"/>
        <w:adjustRightInd w:val="0"/>
        <w:snapToGrid w:val="0"/>
        <w:spacing w:line="360" w:lineRule="auto"/>
        <w:jc w:val="left"/>
        <w:rPr>
          <w:rFonts w:ascii="宋体" w:hAnsi="宋体"/>
          <w:color w:val="auto"/>
          <w:kern w:val="0"/>
          <w:sz w:val="20"/>
          <w:szCs w:val="20"/>
          <w:highlight w:val="none"/>
        </w:rPr>
      </w:pPr>
    </w:p>
    <w:p w14:paraId="5820812A">
      <w:pPr>
        <w:autoSpaceDE w:val="0"/>
        <w:autoSpaceDN w:val="0"/>
        <w:adjustRightInd w:val="0"/>
        <w:snapToGrid w:val="0"/>
        <w:spacing w:line="360" w:lineRule="auto"/>
        <w:ind w:firstLine="420"/>
        <w:jc w:val="left"/>
        <w:rPr>
          <w:rFonts w:ascii="宋体" w:hAnsi="宋体"/>
          <w:color w:val="auto"/>
          <w:kern w:val="0"/>
          <w:szCs w:val="21"/>
          <w:highlight w:val="none"/>
        </w:rPr>
      </w:pPr>
      <w:r>
        <w:rPr>
          <w:rFonts w:ascii="宋体" w:hAnsi="宋体"/>
          <w:color w:val="auto"/>
          <w:kern w:val="0"/>
          <w:szCs w:val="21"/>
          <w:highlight w:val="none"/>
        </w:rPr>
        <w:t xml:space="preserve">1. </w:t>
      </w:r>
      <w:r>
        <w:rPr>
          <w:rFonts w:ascii="宋体" w:hAnsi="宋体"/>
          <w:color w:val="auto"/>
          <w:spacing w:val="1"/>
          <w:kern w:val="0"/>
          <w:szCs w:val="21"/>
          <w:highlight w:val="none"/>
        </w:rPr>
        <w:t>投标人</w:t>
      </w:r>
      <w:r>
        <w:rPr>
          <w:rFonts w:hint="eastAsia" w:ascii="宋体" w:hAnsi="宋体"/>
          <w:color w:val="auto"/>
          <w:spacing w:val="2"/>
          <w:kern w:val="0"/>
          <w:szCs w:val="21"/>
          <w:highlight w:val="none"/>
        </w:rPr>
        <w:t>可</w:t>
      </w:r>
      <w:r>
        <w:rPr>
          <w:rFonts w:ascii="宋体" w:hAnsi="宋体"/>
          <w:color w:val="auto"/>
          <w:spacing w:val="1"/>
          <w:kern w:val="0"/>
          <w:szCs w:val="21"/>
          <w:highlight w:val="none"/>
        </w:rPr>
        <w:t>递交</w:t>
      </w:r>
      <w:r>
        <w:rPr>
          <w:rFonts w:ascii="宋体" w:hAnsi="宋体"/>
          <w:color w:val="auto"/>
          <w:spacing w:val="2"/>
          <w:kern w:val="0"/>
          <w:szCs w:val="21"/>
          <w:highlight w:val="none"/>
        </w:rPr>
        <w:t>施</w:t>
      </w:r>
      <w:r>
        <w:rPr>
          <w:rFonts w:ascii="宋体" w:hAnsi="宋体"/>
          <w:color w:val="auto"/>
          <w:spacing w:val="1"/>
          <w:kern w:val="0"/>
          <w:szCs w:val="21"/>
          <w:highlight w:val="none"/>
        </w:rPr>
        <w:t>工</w:t>
      </w:r>
      <w:r>
        <w:rPr>
          <w:rFonts w:ascii="宋体" w:hAnsi="宋体"/>
          <w:color w:val="auto"/>
          <w:spacing w:val="2"/>
          <w:kern w:val="0"/>
          <w:szCs w:val="21"/>
          <w:highlight w:val="none"/>
        </w:rPr>
        <w:t>进</w:t>
      </w:r>
      <w:r>
        <w:rPr>
          <w:rFonts w:ascii="宋体" w:hAnsi="宋体"/>
          <w:color w:val="auto"/>
          <w:spacing w:val="1"/>
          <w:kern w:val="0"/>
          <w:szCs w:val="21"/>
          <w:highlight w:val="none"/>
        </w:rPr>
        <w:t>度网</w:t>
      </w:r>
      <w:r>
        <w:rPr>
          <w:rFonts w:ascii="宋体" w:hAnsi="宋体"/>
          <w:color w:val="auto"/>
          <w:spacing w:val="2"/>
          <w:kern w:val="0"/>
          <w:szCs w:val="21"/>
          <w:highlight w:val="none"/>
        </w:rPr>
        <w:t>络</w:t>
      </w:r>
      <w:r>
        <w:rPr>
          <w:rFonts w:ascii="宋体" w:hAnsi="宋体"/>
          <w:color w:val="auto"/>
          <w:spacing w:val="1"/>
          <w:kern w:val="0"/>
          <w:szCs w:val="21"/>
          <w:highlight w:val="none"/>
        </w:rPr>
        <w:t>图</w:t>
      </w:r>
      <w:r>
        <w:rPr>
          <w:rFonts w:ascii="宋体" w:hAnsi="宋体"/>
          <w:color w:val="auto"/>
          <w:spacing w:val="2"/>
          <w:kern w:val="0"/>
          <w:szCs w:val="21"/>
          <w:highlight w:val="none"/>
        </w:rPr>
        <w:t>或</w:t>
      </w:r>
      <w:r>
        <w:rPr>
          <w:rFonts w:ascii="宋体" w:hAnsi="宋体"/>
          <w:color w:val="auto"/>
          <w:spacing w:val="1"/>
          <w:kern w:val="0"/>
          <w:szCs w:val="21"/>
          <w:highlight w:val="none"/>
        </w:rPr>
        <w:t>施工</w:t>
      </w:r>
      <w:r>
        <w:rPr>
          <w:rFonts w:ascii="宋体" w:hAnsi="宋体"/>
          <w:color w:val="auto"/>
          <w:spacing w:val="2"/>
          <w:kern w:val="0"/>
          <w:szCs w:val="21"/>
          <w:highlight w:val="none"/>
        </w:rPr>
        <w:t>进</w:t>
      </w:r>
      <w:r>
        <w:rPr>
          <w:rFonts w:ascii="宋体" w:hAnsi="宋体"/>
          <w:color w:val="auto"/>
          <w:spacing w:val="1"/>
          <w:kern w:val="0"/>
          <w:szCs w:val="21"/>
          <w:highlight w:val="none"/>
        </w:rPr>
        <w:t>度</w:t>
      </w:r>
      <w:r>
        <w:rPr>
          <w:rFonts w:ascii="宋体" w:hAnsi="宋体"/>
          <w:color w:val="auto"/>
          <w:spacing w:val="2"/>
          <w:kern w:val="0"/>
          <w:szCs w:val="21"/>
          <w:highlight w:val="none"/>
        </w:rPr>
        <w:t>表</w:t>
      </w:r>
      <w:r>
        <w:rPr>
          <w:rFonts w:ascii="宋体" w:hAnsi="宋体"/>
          <w:color w:val="auto"/>
          <w:spacing w:val="1"/>
          <w:kern w:val="0"/>
          <w:szCs w:val="21"/>
          <w:highlight w:val="none"/>
        </w:rPr>
        <w:t>，说</w:t>
      </w:r>
      <w:r>
        <w:rPr>
          <w:rFonts w:ascii="宋体" w:hAnsi="宋体"/>
          <w:color w:val="auto"/>
          <w:spacing w:val="2"/>
          <w:kern w:val="0"/>
          <w:szCs w:val="21"/>
          <w:highlight w:val="none"/>
        </w:rPr>
        <w:t>明</w:t>
      </w:r>
      <w:r>
        <w:rPr>
          <w:rFonts w:ascii="宋体" w:hAnsi="宋体"/>
          <w:color w:val="auto"/>
          <w:spacing w:val="1"/>
          <w:kern w:val="0"/>
          <w:szCs w:val="21"/>
          <w:highlight w:val="none"/>
        </w:rPr>
        <w:t>按</w:t>
      </w:r>
      <w:r>
        <w:rPr>
          <w:rFonts w:ascii="宋体" w:hAnsi="宋体"/>
          <w:color w:val="auto"/>
          <w:spacing w:val="2"/>
          <w:kern w:val="0"/>
          <w:szCs w:val="21"/>
          <w:highlight w:val="none"/>
        </w:rPr>
        <w:t>招</w:t>
      </w:r>
      <w:r>
        <w:rPr>
          <w:rFonts w:ascii="宋体" w:hAnsi="宋体"/>
          <w:color w:val="auto"/>
          <w:spacing w:val="1"/>
          <w:kern w:val="0"/>
          <w:szCs w:val="21"/>
          <w:highlight w:val="none"/>
        </w:rPr>
        <w:t>标文</w:t>
      </w:r>
      <w:r>
        <w:rPr>
          <w:rFonts w:ascii="宋体" w:hAnsi="宋体"/>
          <w:color w:val="auto"/>
          <w:spacing w:val="2"/>
          <w:kern w:val="0"/>
          <w:szCs w:val="21"/>
          <w:highlight w:val="none"/>
        </w:rPr>
        <w:t>件</w:t>
      </w:r>
      <w:r>
        <w:rPr>
          <w:rFonts w:ascii="宋体" w:hAnsi="宋体"/>
          <w:color w:val="auto"/>
          <w:spacing w:val="1"/>
          <w:kern w:val="0"/>
          <w:szCs w:val="21"/>
          <w:highlight w:val="none"/>
        </w:rPr>
        <w:t>要</w:t>
      </w:r>
      <w:r>
        <w:rPr>
          <w:rFonts w:ascii="宋体" w:hAnsi="宋体"/>
          <w:color w:val="auto"/>
          <w:spacing w:val="2"/>
          <w:kern w:val="0"/>
          <w:szCs w:val="21"/>
          <w:highlight w:val="none"/>
        </w:rPr>
        <w:t>求</w:t>
      </w:r>
      <w:r>
        <w:rPr>
          <w:rFonts w:ascii="宋体" w:hAnsi="宋体"/>
          <w:color w:val="auto"/>
          <w:spacing w:val="1"/>
          <w:kern w:val="0"/>
          <w:szCs w:val="21"/>
          <w:highlight w:val="none"/>
        </w:rPr>
        <w:t>的计</w:t>
      </w:r>
      <w:r>
        <w:rPr>
          <w:rFonts w:ascii="宋体" w:hAnsi="宋体"/>
          <w:color w:val="auto"/>
          <w:spacing w:val="2"/>
          <w:kern w:val="0"/>
          <w:szCs w:val="21"/>
          <w:highlight w:val="none"/>
        </w:rPr>
        <w:t>划</w:t>
      </w:r>
      <w:r>
        <w:rPr>
          <w:rFonts w:ascii="宋体" w:hAnsi="宋体"/>
          <w:color w:val="auto"/>
          <w:spacing w:val="1"/>
          <w:kern w:val="0"/>
          <w:szCs w:val="21"/>
          <w:highlight w:val="none"/>
        </w:rPr>
        <w:t>工</w:t>
      </w:r>
      <w:r>
        <w:rPr>
          <w:rFonts w:ascii="宋体" w:hAnsi="宋体"/>
          <w:color w:val="auto"/>
          <w:spacing w:val="4"/>
          <w:kern w:val="0"/>
          <w:szCs w:val="21"/>
          <w:highlight w:val="none"/>
        </w:rPr>
        <w:t>期</w:t>
      </w:r>
      <w:r>
        <w:rPr>
          <w:rFonts w:ascii="宋体" w:hAnsi="宋体"/>
          <w:color w:val="auto"/>
          <w:spacing w:val="2"/>
          <w:kern w:val="0"/>
          <w:szCs w:val="21"/>
          <w:highlight w:val="none"/>
        </w:rPr>
        <w:t>进</w:t>
      </w:r>
      <w:r>
        <w:rPr>
          <w:rFonts w:ascii="宋体" w:hAnsi="宋体"/>
          <w:color w:val="auto"/>
          <w:spacing w:val="1"/>
          <w:kern w:val="0"/>
          <w:szCs w:val="21"/>
          <w:highlight w:val="none"/>
        </w:rPr>
        <w:t>行</w:t>
      </w:r>
      <w:r>
        <w:rPr>
          <w:rFonts w:ascii="宋体" w:hAnsi="宋体"/>
          <w:color w:val="auto"/>
          <w:kern w:val="0"/>
          <w:szCs w:val="21"/>
          <w:highlight w:val="none"/>
        </w:rPr>
        <w:t>施工的各个关键日期。</w:t>
      </w:r>
    </w:p>
    <w:p w14:paraId="550BF166">
      <w:pPr>
        <w:autoSpaceDE w:val="0"/>
        <w:autoSpaceDN w:val="0"/>
        <w:adjustRightInd w:val="0"/>
        <w:snapToGrid w:val="0"/>
        <w:spacing w:line="360" w:lineRule="auto"/>
        <w:ind w:firstLine="424" w:firstLineChars="202"/>
        <w:jc w:val="left"/>
        <w:rPr>
          <w:rFonts w:ascii="宋体" w:hAnsi="宋体"/>
          <w:color w:val="auto"/>
          <w:kern w:val="0"/>
          <w:szCs w:val="21"/>
          <w:highlight w:val="none"/>
        </w:rPr>
      </w:pPr>
      <w:r>
        <w:rPr>
          <w:rFonts w:ascii="宋体" w:hAnsi="宋体"/>
          <w:color w:val="auto"/>
          <w:kern w:val="0"/>
          <w:szCs w:val="21"/>
          <w:highlight w:val="none"/>
        </w:rPr>
        <w:t>2.施工进</w:t>
      </w:r>
      <w:r>
        <w:rPr>
          <w:rFonts w:ascii="宋体" w:hAnsi="宋体"/>
          <w:color w:val="auto"/>
          <w:spacing w:val="-1"/>
          <w:kern w:val="0"/>
          <w:szCs w:val="21"/>
          <w:highlight w:val="none"/>
        </w:rPr>
        <w:t>度</w:t>
      </w:r>
      <w:r>
        <w:rPr>
          <w:rFonts w:ascii="宋体" w:hAnsi="宋体"/>
          <w:color w:val="auto"/>
          <w:kern w:val="0"/>
          <w:szCs w:val="21"/>
          <w:highlight w:val="none"/>
        </w:rPr>
        <w:t>表可采用网络图（或横道图）表示。</w:t>
      </w:r>
    </w:p>
    <w:p w14:paraId="6C536C02">
      <w:pPr>
        <w:jc w:val="center"/>
        <w:rPr>
          <w:rFonts w:ascii="宋体" w:hAnsi="宋体"/>
          <w:color w:val="auto"/>
          <w:sz w:val="28"/>
          <w:highlight w:val="none"/>
        </w:rPr>
      </w:pPr>
      <w:bookmarkStart w:id="2135" w:name="_Toc277082654"/>
      <w:bookmarkStart w:id="2136" w:name="_Toc509218861"/>
      <w:bookmarkStart w:id="2137" w:name="_Toc430530543"/>
      <w:bookmarkStart w:id="2138" w:name="_Toc224103508"/>
      <w:bookmarkStart w:id="2139" w:name="_Toc287607880"/>
      <w:bookmarkStart w:id="2140" w:name="_Toc287620827"/>
      <w:bookmarkStart w:id="2141" w:name="_Toc534185838"/>
      <w:r>
        <w:rPr>
          <w:rFonts w:ascii="宋体" w:hAnsi="宋体"/>
          <w:color w:val="auto"/>
          <w:kern w:val="0"/>
          <w:sz w:val="24"/>
          <w:highlight w:val="none"/>
        </w:rPr>
        <w:br w:type="page"/>
      </w:r>
      <w:r>
        <w:rPr>
          <w:color w:val="auto"/>
          <w:sz w:val="32"/>
          <w:szCs w:val="32"/>
          <w:highlight w:val="none"/>
        </w:rPr>
        <w:t>附表五：施工总平面图</w:t>
      </w:r>
      <w:bookmarkEnd w:id="2135"/>
      <w:bookmarkEnd w:id="2136"/>
      <w:bookmarkEnd w:id="2137"/>
      <w:bookmarkEnd w:id="2138"/>
      <w:bookmarkEnd w:id="2139"/>
      <w:bookmarkEnd w:id="2140"/>
      <w:bookmarkEnd w:id="2141"/>
    </w:p>
    <w:p w14:paraId="74606429">
      <w:pPr>
        <w:autoSpaceDE w:val="0"/>
        <w:autoSpaceDN w:val="0"/>
        <w:adjustRightInd w:val="0"/>
        <w:snapToGrid w:val="0"/>
        <w:spacing w:line="360" w:lineRule="auto"/>
        <w:jc w:val="left"/>
        <w:rPr>
          <w:rFonts w:ascii="宋体" w:hAnsi="宋体"/>
          <w:color w:val="auto"/>
          <w:kern w:val="0"/>
          <w:sz w:val="20"/>
          <w:szCs w:val="20"/>
          <w:highlight w:val="none"/>
        </w:rPr>
      </w:pPr>
    </w:p>
    <w:p w14:paraId="0894F3AB">
      <w:pPr>
        <w:autoSpaceDE w:val="0"/>
        <w:autoSpaceDN w:val="0"/>
        <w:adjustRightInd w:val="0"/>
        <w:snapToGrid w:val="0"/>
        <w:spacing w:line="360" w:lineRule="auto"/>
        <w:ind w:firstLine="424" w:firstLineChars="202"/>
        <w:jc w:val="left"/>
        <w:rPr>
          <w:rFonts w:ascii="宋体" w:hAnsi="宋体"/>
          <w:color w:val="auto"/>
          <w:kern w:val="0"/>
          <w:szCs w:val="21"/>
          <w:highlight w:val="none"/>
        </w:rPr>
      </w:pPr>
      <w:r>
        <w:rPr>
          <w:rFonts w:ascii="宋体" w:hAnsi="宋体"/>
          <w:color w:val="auto"/>
          <w:kern w:val="0"/>
          <w:szCs w:val="21"/>
          <w:highlight w:val="none"/>
        </w:rPr>
        <w:t>投标人</w:t>
      </w:r>
      <w:r>
        <w:rPr>
          <w:rFonts w:hint="eastAsia" w:ascii="宋体" w:hAnsi="宋体"/>
          <w:color w:val="auto"/>
          <w:kern w:val="0"/>
          <w:szCs w:val="21"/>
          <w:highlight w:val="none"/>
        </w:rPr>
        <w:t>可</w:t>
      </w:r>
      <w:r>
        <w:rPr>
          <w:rFonts w:ascii="宋体" w:hAnsi="宋体"/>
          <w:color w:val="auto"/>
          <w:kern w:val="0"/>
          <w:szCs w:val="21"/>
          <w:highlight w:val="none"/>
        </w:rPr>
        <w:t>递交一份施工总平面图</w:t>
      </w:r>
      <w:r>
        <w:rPr>
          <w:rFonts w:ascii="宋体" w:hAnsi="宋体"/>
          <w:color w:val="auto"/>
          <w:spacing w:val="-47"/>
          <w:kern w:val="0"/>
          <w:szCs w:val="21"/>
          <w:highlight w:val="none"/>
        </w:rPr>
        <w:t>，</w:t>
      </w:r>
      <w:r>
        <w:rPr>
          <w:rFonts w:ascii="宋体" w:hAnsi="宋体"/>
          <w:color w:val="auto"/>
          <w:kern w:val="0"/>
          <w:szCs w:val="21"/>
          <w:highlight w:val="none"/>
        </w:rPr>
        <w:t>绘出现场临时设施布置图表并附文字说明</w:t>
      </w:r>
      <w:r>
        <w:rPr>
          <w:rFonts w:ascii="宋体" w:hAnsi="宋体"/>
          <w:color w:val="auto"/>
          <w:spacing w:val="-47"/>
          <w:kern w:val="0"/>
          <w:szCs w:val="21"/>
          <w:highlight w:val="none"/>
        </w:rPr>
        <w:t>，</w:t>
      </w:r>
      <w:r>
        <w:rPr>
          <w:rFonts w:ascii="宋体" w:hAnsi="宋体"/>
          <w:color w:val="auto"/>
          <w:kern w:val="0"/>
          <w:szCs w:val="21"/>
          <w:highlight w:val="none"/>
        </w:rPr>
        <w:t>说明临时 设施</w:t>
      </w:r>
      <w:r>
        <w:rPr>
          <w:rFonts w:ascii="宋体" w:hAnsi="宋体"/>
          <w:color w:val="auto"/>
          <w:spacing w:val="-11"/>
          <w:kern w:val="0"/>
          <w:szCs w:val="21"/>
          <w:highlight w:val="none"/>
        </w:rPr>
        <w:t>、</w:t>
      </w:r>
      <w:r>
        <w:rPr>
          <w:rFonts w:ascii="宋体" w:hAnsi="宋体"/>
          <w:color w:val="auto"/>
          <w:kern w:val="0"/>
          <w:szCs w:val="21"/>
          <w:highlight w:val="none"/>
        </w:rPr>
        <w:t>加工车间</w:t>
      </w:r>
      <w:r>
        <w:rPr>
          <w:rFonts w:ascii="宋体" w:hAnsi="宋体"/>
          <w:color w:val="auto"/>
          <w:spacing w:val="-11"/>
          <w:kern w:val="0"/>
          <w:szCs w:val="21"/>
          <w:highlight w:val="none"/>
        </w:rPr>
        <w:t>、</w:t>
      </w:r>
      <w:r>
        <w:rPr>
          <w:rFonts w:ascii="宋体" w:hAnsi="宋体"/>
          <w:color w:val="auto"/>
          <w:kern w:val="0"/>
          <w:szCs w:val="21"/>
          <w:highlight w:val="none"/>
        </w:rPr>
        <w:t>现场办公</w:t>
      </w:r>
      <w:r>
        <w:rPr>
          <w:rFonts w:ascii="宋体" w:hAnsi="宋体"/>
          <w:color w:val="auto"/>
          <w:spacing w:val="-11"/>
          <w:kern w:val="0"/>
          <w:szCs w:val="21"/>
          <w:highlight w:val="none"/>
        </w:rPr>
        <w:t>、</w:t>
      </w:r>
      <w:r>
        <w:rPr>
          <w:rFonts w:ascii="宋体" w:hAnsi="宋体"/>
          <w:color w:val="auto"/>
          <w:kern w:val="0"/>
          <w:szCs w:val="21"/>
          <w:highlight w:val="none"/>
        </w:rPr>
        <w:t>设备及仓储</w:t>
      </w:r>
      <w:r>
        <w:rPr>
          <w:rFonts w:ascii="宋体" w:hAnsi="宋体"/>
          <w:color w:val="auto"/>
          <w:spacing w:val="-11"/>
          <w:kern w:val="0"/>
          <w:szCs w:val="21"/>
          <w:highlight w:val="none"/>
        </w:rPr>
        <w:t>、</w:t>
      </w:r>
      <w:r>
        <w:rPr>
          <w:rFonts w:ascii="宋体" w:hAnsi="宋体"/>
          <w:color w:val="auto"/>
          <w:kern w:val="0"/>
          <w:szCs w:val="21"/>
          <w:highlight w:val="none"/>
        </w:rPr>
        <w:t>供电</w:t>
      </w:r>
      <w:r>
        <w:rPr>
          <w:rFonts w:ascii="宋体" w:hAnsi="宋体"/>
          <w:color w:val="auto"/>
          <w:spacing w:val="-11"/>
          <w:kern w:val="0"/>
          <w:szCs w:val="21"/>
          <w:highlight w:val="none"/>
        </w:rPr>
        <w:t>、</w:t>
      </w:r>
      <w:r>
        <w:rPr>
          <w:rFonts w:ascii="宋体" w:hAnsi="宋体"/>
          <w:color w:val="auto"/>
          <w:kern w:val="0"/>
          <w:szCs w:val="21"/>
          <w:highlight w:val="none"/>
        </w:rPr>
        <w:t>供水</w:t>
      </w:r>
      <w:r>
        <w:rPr>
          <w:rFonts w:ascii="宋体" w:hAnsi="宋体"/>
          <w:color w:val="auto"/>
          <w:spacing w:val="-10"/>
          <w:kern w:val="0"/>
          <w:szCs w:val="21"/>
          <w:highlight w:val="none"/>
        </w:rPr>
        <w:t>、</w:t>
      </w:r>
      <w:r>
        <w:rPr>
          <w:rFonts w:ascii="宋体" w:hAnsi="宋体"/>
          <w:color w:val="auto"/>
          <w:kern w:val="0"/>
          <w:szCs w:val="21"/>
          <w:highlight w:val="none"/>
        </w:rPr>
        <w:t>卫生</w:t>
      </w:r>
      <w:r>
        <w:rPr>
          <w:rFonts w:ascii="宋体" w:hAnsi="宋体"/>
          <w:color w:val="auto"/>
          <w:spacing w:val="-11"/>
          <w:kern w:val="0"/>
          <w:szCs w:val="21"/>
          <w:highlight w:val="none"/>
        </w:rPr>
        <w:t>、</w:t>
      </w:r>
      <w:r>
        <w:rPr>
          <w:rFonts w:ascii="宋体" w:hAnsi="宋体"/>
          <w:color w:val="auto"/>
          <w:kern w:val="0"/>
          <w:szCs w:val="21"/>
          <w:highlight w:val="none"/>
        </w:rPr>
        <w:t>生活</w:t>
      </w:r>
      <w:r>
        <w:rPr>
          <w:rFonts w:ascii="宋体" w:hAnsi="宋体"/>
          <w:color w:val="auto"/>
          <w:spacing w:val="-11"/>
          <w:kern w:val="0"/>
          <w:szCs w:val="21"/>
          <w:highlight w:val="none"/>
        </w:rPr>
        <w:t>、</w:t>
      </w:r>
      <w:r>
        <w:rPr>
          <w:rFonts w:ascii="宋体" w:hAnsi="宋体"/>
          <w:color w:val="auto"/>
          <w:kern w:val="0"/>
          <w:szCs w:val="21"/>
          <w:highlight w:val="none"/>
        </w:rPr>
        <w:t>道路</w:t>
      </w:r>
      <w:r>
        <w:rPr>
          <w:rFonts w:ascii="宋体" w:hAnsi="宋体"/>
          <w:color w:val="auto"/>
          <w:spacing w:val="-11"/>
          <w:kern w:val="0"/>
          <w:szCs w:val="21"/>
          <w:highlight w:val="none"/>
        </w:rPr>
        <w:t>、</w:t>
      </w:r>
      <w:r>
        <w:rPr>
          <w:rFonts w:ascii="宋体" w:hAnsi="宋体"/>
          <w:color w:val="auto"/>
          <w:spacing w:val="1"/>
          <w:kern w:val="0"/>
          <w:szCs w:val="21"/>
          <w:highlight w:val="none"/>
        </w:rPr>
        <w:t>消</w:t>
      </w:r>
      <w:r>
        <w:rPr>
          <w:rFonts w:ascii="宋体" w:hAnsi="宋体"/>
          <w:color w:val="auto"/>
          <w:kern w:val="0"/>
          <w:szCs w:val="21"/>
          <w:highlight w:val="none"/>
        </w:rPr>
        <w:t>防等设施的情况和布置。</w:t>
      </w:r>
    </w:p>
    <w:p w14:paraId="561EF8A3">
      <w:pPr>
        <w:autoSpaceDE w:val="0"/>
        <w:autoSpaceDN w:val="0"/>
        <w:adjustRightInd w:val="0"/>
        <w:snapToGrid w:val="0"/>
        <w:spacing w:line="360" w:lineRule="auto"/>
        <w:jc w:val="left"/>
        <w:rPr>
          <w:rFonts w:ascii="宋体" w:hAnsi="宋体"/>
          <w:color w:val="auto"/>
          <w:kern w:val="0"/>
          <w:szCs w:val="21"/>
          <w:highlight w:val="none"/>
        </w:rPr>
      </w:pPr>
      <w:r>
        <w:rPr>
          <w:rFonts w:ascii="宋体" w:hAnsi="宋体"/>
          <w:color w:val="auto"/>
          <w:kern w:val="0"/>
          <w:szCs w:val="21"/>
          <w:highlight w:val="none"/>
        </w:rPr>
        <w:br w:type="page"/>
      </w:r>
    </w:p>
    <w:p w14:paraId="61161676">
      <w:pPr>
        <w:jc w:val="center"/>
        <w:rPr>
          <w:color w:val="auto"/>
          <w:sz w:val="32"/>
          <w:szCs w:val="32"/>
          <w:highlight w:val="none"/>
        </w:rPr>
      </w:pPr>
      <w:bookmarkStart w:id="2142" w:name="_Toc287607881"/>
      <w:bookmarkStart w:id="2143" w:name="_Toc509218862"/>
      <w:bookmarkStart w:id="2144" w:name="_Toc430530544"/>
      <w:bookmarkStart w:id="2145" w:name="_Toc287620828"/>
      <w:bookmarkStart w:id="2146" w:name="_Toc224103509"/>
      <w:bookmarkStart w:id="2147" w:name="_Toc277082655"/>
      <w:bookmarkStart w:id="2148" w:name="_Toc534185839"/>
      <w:r>
        <w:rPr>
          <w:rFonts w:hint="eastAsia"/>
          <w:color w:val="auto"/>
          <w:sz w:val="32"/>
          <w:szCs w:val="32"/>
          <w:highlight w:val="none"/>
        </w:rPr>
        <w:t>附表六：临时用地表</w:t>
      </w:r>
      <w:bookmarkEnd w:id="2142"/>
      <w:bookmarkEnd w:id="2143"/>
      <w:bookmarkEnd w:id="2144"/>
      <w:bookmarkEnd w:id="2145"/>
      <w:bookmarkEnd w:id="2146"/>
      <w:bookmarkEnd w:id="2147"/>
      <w:bookmarkEnd w:id="2148"/>
    </w:p>
    <w:tbl>
      <w:tblPr>
        <w:tblStyle w:val="46"/>
        <w:tblW w:w="952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2381"/>
        <w:gridCol w:w="2381"/>
        <w:gridCol w:w="2383"/>
        <w:gridCol w:w="2384"/>
      </w:tblGrid>
      <w:tr w14:paraId="5C8AC7B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vAlign w:val="center"/>
          </w:tcPr>
          <w:p w14:paraId="1D245436">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用 途</w:t>
            </w:r>
          </w:p>
        </w:tc>
        <w:tc>
          <w:tcPr>
            <w:tcW w:w="2381" w:type="dxa"/>
            <w:vAlign w:val="center"/>
          </w:tcPr>
          <w:p w14:paraId="5A210A5E">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面 积（平</w:t>
            </w:r>
            <w:r>
              <w:rPr>
                <w:rFonts w:ascii="宋体" w:hAnsi="宋体"/>
                <w:color w:val="auto"/>
                <w:spacing w:val="-1"/>
                <w:kern w:val="0"/>
                <w:szCs w:val="21"/>
                <w:highlight w:val="none"/>
              </w:rPr>
              <w:t>方</w:t>
            </w:r>
            <w:r>
              <w:rPr>
                <w:rFonts w:ascii="宋体" w:hAnsi="宋体"/>
                <w:color w:val="auto"/>
                <w:kern w:val="0"/>
                <w:szCs w:val="21"/>
                <w:highlight w:val="none"/>
              </w:rPr>
              <w:t>米）</w:t>
            </w:r>
          </w:p>
        </w:tc>
        <w:tc>
          <w:tcPr>
            <w:tcW w:w="2383" w:type="dxa"/>
            <w:vAlign w:val="center"/>
          </w:tcPr>
          <w:p w14:paraId="58145F6A">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位 置</w:t>
            </w:r>
          </w:p>
        </w:tc>
        <w:tc>
          <w:tcPr>
            <w:tcW w:w="2384" w:type="dxa"/>
            <w:vAlign w:val="center"/>
          </w:tcPr>
          <w:p w14:paraId="1E4B4FD4">
            <w:pPr>
              <w:autoSpaceDE w:val="0"/>
              <w:autoSpaceDN w:val="0"/>
              <w:adjustRightInd w:val="0"/>
              <w:snapToGrid w:val="0"/>
              <w:jc w:val="center"/>
              <w:rPr>
                <w:rFonts w:ascii="宋体" w:hAnsi="宋体"/>
                <w:color w:val="auto"/>
                <w:kern w:val="0"/>
                <w:sz w:val="24"/>
                <w:highlight w:val="none"/>
              </w:rPr>
            </w:pPr>
            <w:r>
              <w:rPr>
                <w:rFonts w:ascii="宋体" w:hAnsi="宋体"/>
                <w:color w:val="auto"/>
                <w:kern w:val="0"/>
                <w:szCs w:val="21"/>
                <w:highlight w:val="none"/>
              </w:rPr>
              <w:t>需用时间</w:t>
            </w:r>
          </w:p>
        </w:tc>
      </w:tr>
      <w:tr w14:paraId="26B622A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06D3B20F">
            <w:pPr>
              <w:autoSpaceDE w:val="0"/>
              <w:autoSpaceDN w:val="0"/>
              <w:adjustRightInd w:val="0"/>
              <w:snapToGrid w:val="0"/>
              <w:jc w:val="left"/>
              <w:rPr>
                <w:rFonts w:ascii="宋体" w:hAnsi="宋体"/>
                <w:color w:val="auto"/>
                <w:kern w:val="0"/>
                <w:sz w:val="24"/>
                <w:highlight w:val="none"/>
              </w:rPr>
            </w:pPr>
          </w:p>
        </w:tc>
        <w:tc>
          <w:tcPr>
            <w:tcW w:w="2381" w:type="dxa"/>
          </w:tcPr>
          <w:p w14:paraId="746B9FD2">
            <w:pPr>
              <w:autoSpaceDE w:val="0"/>
              <w:autoSpaceDN w:val="0"/>
              <w:adjustRightInd w:val="0"/>
              <w:snapToGrid w:val="0"/>
              <w:jc w:val="left"/>
              <w:rPr>
                <w:rFonts w:ascii="宋体" w:hAnsi="宋体"/>
                <w:color w:val="auto"/>
                <w:kern w:val="0"/>
                <w:sz w:val="24"/>
                <w:highlight w:val="none"/>
              </w:rPr>
            </w:pPr>
          </w:p>
        </w:tc>
        <w:tc>
          <w:tcPr>
            <w:tcW w:w="2383" w:type="dxa"/>
          </w:tcPr>
          <w:p w14:paraId="38C52710">
            <w:pPr>
              <w:autoSpaceDE w:val="0"/>
              <w:autoSpaceDN w:val="0"/>
              <w:adjustRightInd w:val="0"/>
              <w:snapToGrid w:val="0"/>
              <w:jc w:val="left"/>
              <w:rPr>
                <w:rFonts w:ascii="宋体" w:hAnsi="宋体"/>
                <w:color w:val="auto"/>
                <w:kern w:val="0"/>
                <w:sz w:val="24"/>
                <w:highlight w:val="none"/>
              </w:rPr>
            </w:pPr>
          </w:p>
        </w:tc>
        <w:tc>
          <w:tcPr>
            <w:tcW w:w="2384" w:type="dxa"/>
          </w:tcPr>
          <w:p w14:paraId="3756DB6B">
            <w:pPr>
              <w:autoSpaceDE w:val="0"/>
              <w:autoSpaceDN w:val="0"/>
              <w:adjustRightInd w:val="0"/>
              <w:snapToGrid w:val="0"/>
              <w:jc w:val="left"/>
              <w:rPr>
                <w:rFonts w:ascii="宋体" w:hAnsi="宋体"/>
                <w:color w:val="auto"/>
                <w:kern w:val="0"/>
                <w:sz w:val="24"/>
                <w:highlight w:val="none"/>
              </w:rPr>
            </w:pPr>
          </w:p>
        </w:tc>
      </w:tr>
      <w:tr w14:paraId="09B9AE7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426DED37">
            <w:pPr>
              <w:autoSpaceDE w:val="0"/>
              <w:autoSpaceDN w:val="0"/>
              <w:adjustRightInd w:val="0"/>
              <w:snapToGrid w:val="0"/>
              <w:jc w:val="left"/>
              <w:rPr>
                <w:rFonts w:ascii="宋体" w:hAnsi="宋体"/>
                <w:color w:val="auto"/>
                <w:kern w:val="0"/>
                <w:sz w:val="24"/>
                <w:highlight w:val="none"/>
              </w:rPr>
            </w:pPr>
          </w:p>
        </w:tc>
        <w:tc>
          <w:tcPr>
            <w:tcW w:w="2381" w:type="dxa"/>
          </w:tcPr>
          <w:p w14:paraId="2CA56DAA">
            <w:pPr>
              <w:autoSpaceDE w:val="0"/>
              <w:autoSpaceDN w:val="0"/>
              <w:adjustRightInd w:val="0"/>
              <w:snapToGrid w:val="0"/>
              <w:jc w:val="left"/>
              <w:rPr>
                <w:rFonts w:ascii="宋体" w:hAnsi="宋体"/>
                <w:color w:val="auto"/>
                <w:kern w:val="0"/>
                <w:sz w:val="24"/>
                <w:highlight w:val="none"/>
              </w:rPr>
            </w:pPr>
          </w:p>
        </w:tc>
        <w:tc>
          <w:tcPr>
            <w:tcW w:w="2383" w:type="dxa"/>
          </w:tcPr>
          <w:p w14:paraId="0E7C5D93">
            <w:pPr>
              <w:autoSpaceDE w:val="0"/>
              <w:autoSpaceDN w:val="0"/>
              <w:adjustRightInd w:val="0"/>
              <w:snapToGrid w:val="0"/>
              <w:jc w:val="left"/>
              <w:rPr>
                <w:rFonts w:ascii="宋体" w:hAnsi="宋体"/>
                <w:color w:val="auto"/>
                <w:kern w:val="0"/>
                <w:sz w:val="24"/>
                <w:highlight w:val="none"/>
              </w:rPr>
            </w:pPr>
          </w:p>
        </w:tc>
        <w:tc>
          <w:tcPr>
            <w:tcW w:w="2384" w:type="dxa"/>
          </w:tcPr>
          <w:p w14:paraId="1EBC16B6">
            <w:pPr>
              <w:autoSpaceDE w:val="0"/>
              <w:autoSpaceDN w:val="0"/>
              <w:adjustRightInd w:val="0"/>
              <w:snapToGrid w:val="0"/>
              <w:jc w:val="left"/>
              <w:rPr>
                <w:rFonts w:ascii="宋体" w:hAnsi="宋体"/>
                <w:color w:val="auto"/>
                <w:kern w:val="0"/>
                <w:sz w:val="24"/>
                <w:highlight w:val="none"/>
              </w:rPr>
            </w:pPr>
          </w:p>
        </w:tc>
      </w:tr>
      <w:tr w14:paraId="1262A7C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14D4A774">
            <w:pPr>
              <w:autoSpaceDE w:val="0"/>
              <w:autoSpaceDN w:val="0"/>
              <w:adjustRightInd w:val="0"/>
              <w:snapToGrid w:val="0"/>
              <w:jc w:val="left"/>
              <w:rPr>
                <w:rFonts w:ascii="宋体" w:hAnsi="宋体"/>
                <w:color w:val="auto"/>
                <w:kern w:val="0"/>
                <w:sz w:val="24"/>
                <w:highlight w:val="none"/>
              </w:rPr>
            </w:pPr>
          </w:p>
        </w:tc>
        <w:tc>
          <w:tcPr>
            <w:tcW w:w="2381" w:type="dxa"/>
          </w:tcPr>
          <w:p w14:paraId="4070E5A6">
            <w:pPr>
              <w:autoSpaceDE w:val="0"/>
              <w:autoSpaceDN w:val="0"/>
              <w:adjustRightInd w:val="0"/>
              <w:snapToGrid w:val="0"/>
              <w:jc w:val="left"/>
              <w:rPr>
                <w:rFonts w:ascii="宋体" w:hAnsi="宋体"/>
                <w:color w:val="auto"/>
                <w:kern w:val="0"/>
                <w:sz w:val="24"/>
                <w:highlight w:val="none"/>
              </w:rPr>
            </w:pPr>
          </w:p>
        </w:tc>
        <w:tc>
          <w:tcPr>
            <w:tcW w:w="2383" w:type="dxa"/>
          </w:tcPr>
          <w:p w14:paraId="24DBA09C">
            <w:pPr>
              <w:autoSpaceDE w:val="0"/>
              <w:autoSpaceDN w:val="0"/>
              <w:adjustRightInd w:val="0"/>
              <w:snapToGrid w:val="0"/>
              <w:jc w:val="left"/>
              <w:rPr>
                <w:rFonts w:ascii="宋体" w:hAnsi="宋体"/>
                <w:color w:val="auto"/>
                <w:kern w:val="0"/>
                <w:sz w:val="24"/>
                <w:highlight w:val="none"/>
              </w:rPr>
            </w:pPr>
          </w:p>
        </w:tc>
        <w:tc>
          <w:tcPr>
            <w:tcW w:w="2384" w:type="dxa"/>
          </w:tcPr>
          <w:p w14:paraId="79C24813">
            <w:pPr>
              <w:autoSpaceDE w:val="0"/>
              <w:autoSpaceDN w:val="0"/>
              <w:adjustRightInd w:val="0"/>
              <w:snapToGrid w:val="0"/>
              <w:jc w:val="left"/>
              <w:rPr>
                <w:rFonts w:ascii="宋体" w:hAnsi="宋体"/>
                <w:color w:val="auto"/>
                <w:kern w:val="0"/>
                <w:sz w:val="24"/>
                <w:highlight w:val="none"/>
              </w:rPr>
            </w:pPr>
          </w:p>
        </w:tc>
      </w:tr>
      <w:tr w14:paraId="6876148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46DD6AAD">
            <w:pPr>
              <w:autoSpaceDE w:val="0"/>
              <w:autoSpaceDN w:val="0"/>
              <w:adjustRightInd w:val="0"/>
              <w:snapToGrid w:val="0"/>
              <w:jc w:val="left"/>
              <w:rPr>
                <w:rFonts w:ascii="宋体" w:hAnsi="宋体"/>
                <w:color w:val="auto"/>
                <w:kern w:val="0"/>
                <w:sz w:val="24"/>
                <w:highlight w:val="none"/>
              </w:rPr>
            </w:pPr>
          </w:p>
        </w:tc>
        <w:tc>
          <w:tcPr>
            <w:tcW w:w="2381" w:type="dxa"/>
          </w:tcPr>
          <w:p w14:paraId="7094BD98">
            <w:pPr>
              <w:autoSpaceDE w:val="0"/>
              <w:autoSpaceDN w:val="0"/>
              <w:adjustRightInd w:val="0"/>
              <w:snapToGrid w:val="0"/>
              <w:jc w:val="left"/>
              <w:rPr>
                <w:rFonts w:ascii="宋体" w:hAnsi="宋体"/>
                <w:color w:val="auto"/>
                <w:kern w:val="0"/>
                <w:sz w:val="24"/>
                <w:highlight w:val="none"/>
              </w:rPr>
            </w:pPr>
          </w:p>
        </w:tc>
        <w:tc>
          <w:tcPr>
            <w:tcW w:w="2383" w:type="dxa"/>
          </w:tcPr>
          <w:p w14:paraId="0D5CE200">
            <w:pPr>
              <w:autoSpaceDE w:val="0"/>
              <w:autoSpaceDN w:val="0"/>
              <w:adjustRightInd w:val="0"/>
              <w:snapToGrid w:val="0"/>
              <w:jc w:val="left"/>
              <w:rPr>
                <w:rFonts w:ascii="宋体" w:hAnsi="宋体"/>
                <w:color w:val="auto"/>
                <w:kern w:val="0"/>
                <w:sz w:val="24"/>
                <w:highlight w:val="none"/>
              </w:rPr>
            </w:pPr>
          </w:p>
        </w:tc>
        <w:tc>
          <w:tcPr>
            <w:tcW w:w="2384" w:type="dxa"/>
          </w:tcPr>
          <w:p w14:paraId="007C1C42">
            <w:pPr>
              <w:autoSpaceDE w:val="0"/>
              <w:autoSpaceDN w:val="0"/>
              <w:adjustRightInd w:val="0"/>
              <w:snapToGrid w:val="0"/>
              <w:jc w:val="left"/>
              <w:rPr>
                <w:rFonts w:ascii="宋体" w:hAnsi="宋体"/>
                <w:color w:val="auto"/>
                <w:kern w:val="0"/>
                <w:sz w:val="24"/>
                <w:highlight w:val="none"/>
              </w:rPr>
            </w:pPr>
          </w:p>
        </w:tc>
      </w:tr>
      <w:tr w14:paraId="3DC8036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19DB72C6">
            <w:pPr>
              <w:autoSpaceDE w:val="0"/>
              <w:autoSpaceDN w:val="0"/>
              <w:adjustRightInd w:val="0"/>
              <w:snapToGrid w:val="0"/>
              <w:jc w:val="left"/>
              <w:rPr>
                <w:rFonts w:ascii="宋体" w:hAnsi="宋体"/>
                <w:color w:val="auto"/>
                <w:kern w:val="0"/>
                <w:sz w:val="24"/>
                <w:highlight w:val="none"/>
              </w:rPr>
            </w:pPr>
          </w:p>
        </w:tc>
        <w:tc>
          <w:tcPr>
            <w:tcW w:w="2381" w:type="dxa"/>
          </w:tcPr>
          <w:p w14:paraId="0B5C2807">
            <w:pPr>
              <w:autoSpaceDE w:val="0"/>
              <w:autoSpaceDN w:val="0"/>
              <w:adjustRightInd w:val="0"/>
              <w:snapToGrid w:val="0"/>
              <w:jc w:val="left"/>
              <w:rPr>
                <w:rFonts w:ascii="宋体" w:hAnsi="宋体"/>
                <w:color w:val="auto"/>
                <w:kern w:val="0"/>
                <w:sz w:val="24"/>
                <w:highlight w:val="none"/>
              </w:rPr>
            </w:pPr>
          </w:p>
        </w:tc>
        <w:tc>
          <w:tcPr>
            <w:tcW w:w="2383" w:type="dxa"/>
          </w:tcPr>
          <w:p w14:paraId="25EA0198">
            <w:pPr>
              <w:autoSpaceDE w:val="0"/>
              <w:autoSpaceDN w:val="0"/>
              <w:adjustRightInd w:val="0"/>
              <w:snapToGrid w:val="0"/>
              <w:jc w:val="left"/>
              <w:rPr>
                <w:rFonts w:ascii="宋体" w:hAnsi="宋体"/>
                <w:color w:val="auto"/>
                <w:kern w:val="0"/>
                <w:sz w:val="24"/>
                <w:highlight w:val="none"/>
              </w:rPr>
            </w:pPr>
          </w:p>
        </w:tc>
        <w:tc>
          <w:tcPr>
            <w:tcW w:w="2384" w:type="dxa"/>
          </w:tcPr>
          <w:p w14:paraId="009BC312">
            <w:pPr>
              <w:autoSpaceDE w:val="0"/>
              <w:autoSpaceDN w:val="0"/>
              <w:adjustRightInd w:val="0"/>
              <w:snapToGrid w:val="0"/>
              <w:jc w:val="left"/>
              <w:rPr>
                <w:rFonts w:ascii="宋体" w:hAnsi="宋体"/>
                <w:color w:val="auto"/>
                <w:kern w:val="0"/>
                <w:sz w:val="24"/>
                <w:highlight w:val="none"/>
              </w:rPr>
            </w:pPr>
          </w:p>
        </w:tc>
      </w:tr>
      <w:tr w14:paraId="7A88628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595AFD7A">
            <w:pPr>
              <w:autoSpaceDE w:val="0"/>
              <w:autoSpaceDN w:val="0"/>
              <w:adjustRightInd w:val="0"/>
              <w:snapToGrid w:val="0"/>
              <w:jc w:val="left"/>
              <w:rPr>
                <w:rFonts w:ascii="宋体" w:hAnsi="宋体"/>
                <w:color w:val="auto"/>
                <w:kern w:val="0"/>
                <w:sz w:val="24"/>
                <w:highlight w:val="none"/>
              </w:rPr>
            </w:pPr>
          </w:p>
        </w:tc>
        <w:tc>
          <w:tcPr>
            <w:tcW w:w="2381" w:type="dxa"/>
          </w:tcPr>
          <w:p w14:paraId="649D0F1C">
            <w:pPr>
              <w:autoSpaceDE w:val="0"/>
              <w:autoSpaceDN w:val="0"/>
              <w:adjustRightInd w:val="0"/>
              <w:snapToGrid w:val="0"/>
              <w:jc w:val="left"/>
              <w:rPr>
                <w:rFonts w:ascii="宋体" w:hAnsi="宋体"/>
                <w:color w:val="auto"/>
                <w:kern w:val="0"/>
                <w:sz w:val="24"/>
                <w:highlight w:val="none"/>
              </w:rPr>
            </w:pPr>
          </w:p>
        </w:tc>
        <w:tc>
          <w:tcPr>
            <w:tcW w:w="2383" w:type="dxa"/>
          </w:tcPr>
          <w:p w14:paraId="294B64E3">
            <w:pPr>
              <w:autoSpaceDE w:val="0"/>
              <w:autoSpaceDN w:val="0"/>
              <w:adjustRightInd w:val="0"/>
              <w:snapToGrid w:val="0"/>
              <w:jc w:val="left"/>
              <w:rPr>
                <w:rFonts w:ascii="宋体" w:hAnsi="宋体"/>
                <w:color w:val="auto"/>
                <w:kern w:val="0"/>
                <w:sz w:val="24"/>
                <w:highlight w:val="none"/>
              </w:rPr>
            </w:pPr>
          </w:p>
        </w:tc>
        <w:tc>
          <w:tcPr>
            <w:tcW w:w="2384" w:type="dxa"/>
          </w:tcPr>
          <w:p w14:paraId="4202012D">
            <w:pPr>
              <w:autoSpaceDE w:val="0"/>
              <w:autoSpaceDN w:val="0"/>
              <w:adjustRightInd w:val="0"/>
              <w:snapToGrid w:val="0"/>
              <w:jc w:val="left"/>
              <w:rPr>
                <w:rFonts w:ascii="宋体" w:hAnsi="宋体"/>
                <w:color w:val="auto"/>
                <w:kern w:val="0"/>
                <w:sz w:val="24"/>
                <w:highlight w:val="none"/>
              </w:rPr>
            </w:pPr>
          </w:p>
        </w:tc>
      </w:tr>
      <w:tr w14:paraId="44DF78C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4C7FE106">
            <w:pPr>
              <w:autoSpaceDE w:val="0"/>
              <w:autoSpaceDN w:val="0"/>
              <w:adjustRightInd w:val="0"/>
              <w:snapToGrid w:val="0"/>
              <w:jc w:val="left"/>
              <w:rPr>
                <w:rFonts w:ascii="宋体" w:hAnsi="宋体"/>
                <w:color w:val="auto"/>
                <w:kern w:val="0"/>
                <w:sz w:val="24"/>
                <w:highlight w:val="none"/>
              </w:rPr>
            </w:pPr>
          </w:p>
        </w:tc>
        <w:tc>
          <w:tcPr>
            <w:tcW w:w="2381" w:type="dxa"/>
          </w:tcPr>
          <w:p w14:paraId="5C831C29">
            <w:pPr>
              <w:autoSpaceDE w:val="0"/>
              <w:autoSpaceDN w:val="0"/>
              <w:adjustRightInd w:val="0"/>
              <w:snapToGrid w:val="0"/>
              <w:jc w:val="left"/>
              <w:rPr>
                <w:rFonts w:ascii="宋体" w:hAnsi="宋体"/>
                <w:color w:val="auto"/>
                <w:kern w:val="0"/>
                <w:sz w:val="24"/>
                <w:highlight w:val="none"/>
              </w:rPr>
            </w:pPr>
          </w:p>
        </w:tc>
        <w:tc>
          <w:tcPr>
            <w:tcW w:w="2383" w:type="dxa"/>
          </w:tcPr>
          <w:p w14:paraId="7B2FD625">
            <w:pPr>
              <w:autoSpaceDE w:val="0"/>
              <w:autoSpaceDN w:val="0"/>
              <w:adjustRightInd w:val="0"/>
              <w:snapToGrid w:val="0"/>
              <w:jc w:val="left"/>
              <w:rPr>
                <w:rFonts w:ascii="宋体" w:hAnsi="宋体"/>
                <w:color w:val="auto"/>
                <w:kern w:val="0"/>
                <w:sz w:val="24"/>
                <w:highlight w:val="none"/>
              </w:rPr>
            </w:pPr>
          </w:p>
        </w:tc>
        <w:tc>
          <w:tcPr>
            <w:tcW w:w="2384" w:type="dxa"/>
          </w:tcPr>
          <w:p w14:paraId="62F9C65D">
            <w:pPr>
              <w:autoSpaceDE w:val="0"/>
              <w:autoSpaceDN w:val="0"/>
              <w:adjustRightInd w:val="0"/>
              <w:snapToGrid w:val="0"/>
              <w:jc w:val="left"/>
              <w:rPr>
                <w:rFonts w:ascii="宋体" w:hAnsi="宋体"/>
                <w:color w:val="auto"/>
                <w:kern w:val="0"/>
                <w:sz w:val="24"/>
                <w:highlight w:val="none"/>
              </w:rPr>
            </w:pPr>
          </w:p>
        </w:tc>
      </w:tr>
      <w:tr w14:paraId="6C47FC6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27C8094B">
            <w:pPr>
              <w:autoSpaceDE w:val="0"/>
              <w:autoSpaceDN w:val="0"/>
              <w:adjustRightInd w:val="0"/>
              <w:snapToGrid w:val="0"/>
              <w:jc w:val="left"/>
              <w:rPr>
                <w:rFonts w:ascii="宋体" w:hAnsi="宋体"/>
                <w:color w:val="auto"/>
                <w:kern w:val="0"/>
                <w:sz w:val="24"/>
                <w:highlight w:val="none"/>
              </w:rPr>
            </w:pPr>
          </w:p>
        </w:tc>
        <w:tc>
          <w:tcPr>
            <w:tcW w:w="2381" w:type="dxa"/>
          </w:tcPr>
          <w:p w14:paraId="4B15F70D">
            <w:pPr>
              <w:autoSpaceDE w:val="0"/>
              <w:autoSpaceDN w:val="0"/>
              <w:adjustRightInd w:val="0"/>
              <w:snapToGrid w:val="0"/>
              <w:jc w:val="left"/>
              <w:rPr>
                <w:rFonts w:ascii="宋体" w:hAnsi="宋体"/>
                <w:color w:val="auto"/>
                <w:kern w:val="0"/>
                <w:sz w:val="24"/>
                <w:highlight w:val="none"/>
              </w:rPr>
            </w:pPr>
          </w:p>
        </w:tc>
        <w:tc>
          <w:tcPr>
            <w:tcW w:w="2383" w:type="dxa"/>
          </w:tcPr>
          <w:p w14:paraId="39AF27DF">
            <w:pPr>
              <w:autoSpaceDE w:val="0"/>
              <w:autoSpaceDN w:val="0"/>
              <w:adjustRightInd w:val="0"/>
              <w:snapToGrid w:val="0"/>
              <w:jc w:val="left"/>
              <w:rPr>
                <w:rFonts w:ascii="宋体" w:hAnsi="宋体"/>
                <w:color w:val="auto"/>
                <w:kern w:val="0"/>
                <w:sz w:val="24"/>
                <w:highlight w:val="none"/>
              </w:rPr>
            </w:pPr>
          </w:p>
        </w:tc>
        <w:tc>
          <w:tcPr>
            <w:tcW w:w="2384" w:type="dxa"/>
          </w:tcPr>
          <w:p w14:paraId="31EE5DFA">
            <w:pPr>
              <w:autoSpaceDE w:val="0"/>
              <w:autoSpaceDN w:val="0"/>
              <w:adjustRightInd w:val="0"/>
              <w:snapToGrid w:val="0"/>
              <w:jc w:val="left"/>
              <w:rPr>
                <w:rFonts w:ascii="宋体" w:hAnsi="宋体"/>
                <w:color w:val="auto"/>
                <w:kern w:val="0"/>
                <w:sz w:val="24"/>
                <w:highlight w:val="none"/>
              </w:rPr>
            </w:pPr>
          </w:p>
        </w:tc>
      </w:tr>
      <w:tr w14:paraId="7D24728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3B4137BD">
            <w:pPr>
              <w:autoSpaceDE w:val="0"/>
              <w:autoSpaceDN w:val="0"/>
              <w:adjustRightInd w:val="0"/>
              <w:snapToGrid w:val="0"/>
              <w:jc w:val="left"/>
              <w:rPr>
                <w:rFonts w:ascii="宋体" w:hAnsi="宋体"/>
                <w:color w:val="auto"/>
                <w:kern w:val="0"/>
                <w:sz w:val="24"/>
                <w:highlight w:val="none"/>
              </w:rPr>
            </w:pPr>
          </w:p>
        </w:tc>
        <w:tc>
          <w:tcPr>
            <w:tcW w:w="2381" w:type="dxa"/>
          </w:tcPr>
          <w:p w14:paraId="38700A89">
            <w:pPr>
              <w:autoSpaceDE w:val="0"/>
              <w:autoSpaceDN w:val="0"/>
              <w:adjustRightInd w:val="0"/>
              <w:snapToGrid w:val="0"/>
              <w:jc w:val="left"/>
              <w:rPr>
                <w:rFonts w:ascii="宋体" w:hAnsi="宋体"/>
                <w:color w:val="auto"/>
                <w:kern w:val="0"/>
                <w:sz w:val="24"/>
                <w:highlight w:val="none"/>
              </w:rPr>
            </w:pPr>
          </w:p>
        </w:tc>
        <w:tc>
          <w:tcPr>
            <w:tcW w:w="2383" w:type="dxa"/>
          </w:tcPr>
          <w:p w14:paraId="61DCB350">
            <w:pPr>
              <w:autoSpaceDE w:val="0"/>
              <w:autoSpaceDN w:val="0"/>
              <w:adjustRightInd w:val="0"/>
              <w:snapToGrid w:val="0"/>
              <w:jc w:val="left"/>
              <w:rPr>
                <w:rFonts w:ascii="宋体" w:hAnsi="宋体"/>
                <w:color w:val="auto"/>
                <w:kern w:val="0"/>
                <w:sz w:val="24"/>
                <w:highlight w:val="none"/>
              </w:rPr>
            </w:pPr>
          </w:p>
        </w:tc>
        <w:tc>
          <w:tcPr>
            <w:tcW w:w="2384" w:type="dxa"/>
          </w:tcPr>
          <w:p w14:paraId="17C24DD0">
            <w:pPr>
              <w:autoSpaceDE w:val="0"/>
              <w:autoSpaceDN w:val="0"/>
              <w:adjustRightInd w:val="0"/>
              <w:snapToGrid w:val="0"/>
              <w:jc w:val="left"/>
              <w:rPr>
                <w:rFonts w:ascii="宋体" w:hAnsi="宋体"/>
                <w:color w:val="auto"/>
                <w:kern w:val="0"/>
                <w:sz w:val="24"/>
                <w:highlight w:val="none"/>
              </w:rPr>
            </w:pPr>
          </w:p>
        </w:tc>
      </w:tr>
      <w:tr w14:paraId="150D5B7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63E0C58C">
            <w:pPr>
              <w:autoSpaceDE w:val="0"/>
              <w:autoSpaceDN w:val="0"/>
              <w:adjustRightInd w:val="0"/>
              <w:snapToGrid w:val="0"/>
              <w:jc w:val="left"/>
              <w:rPr>
                <w:rFonts w:ascii="宋体" w:hAnsi="宋体"/>
                <w:color w:val="auto"/>
                <w:kern w:val="0"/>
                <w:sz w:val="24"/>
                <w:highlight w:val="none"/>
              </w:rPr>
            </w:pPr>
          </w:p>
        </w:tc>
        <w:tc>
          <w:tcPr>
            <w:tcW w:w="2381" w:type="dxa"/>
          </w:tcPr>
          <w:p w14:paraId="35741550">
            <w:pPr>
              <w:autoSpaceDE w:val="0"/>
              <w:autoSpaceDN w:val="0"/>
              <w:adjustRightInd w:val="0"/>
              <w:snapToGrid w:val="0"/>
              <w:jc w:val="left"/>
              <w:rPr>
                <w:rFonts w:ascii="宋体" w:hAnsi="宋体"/>
                <w:color w:val="auto"/>
                <w:kern w:val="0"/>
                <w:sz w:val="24"/>
                <w:highlight w:val="none"/>
              </w:rPr>
            </w:pPr>
          </w:p>
        </w:tc>
        <w:tc>
          <w:tcPr>
            <w:tcW w:w="2383" w:type="dxa"/>
          </w:tcPr>
          <w:p w14:paraId="6EECCA13">
            <w:pPr>
              <w:autoSpaceDE w:val="0"/>
              <w:autoSpaceDN w:val="0"/>
              <w:adjustRightInd w:val="0"/>
              <w:snapToGrid w:val="0"/>
              <w:jc w:val="left"/>
              <w:rPr>
                <w:rFonts w:ascii="宋体" w:hAnsi="宋体"/>
                <w:color w:val="auto"/>
                <w:kern w:val="0"/>
                <w:sz w:val="24"/>
                <w:highlight w:val="none"/>
              </w:rPr>
            </w:pPr>
          </w:p>
        </w:tc>
        <w:tc>
          <w:tcPr>
            <w:tcW w:w="2384" w:type="dxa"/>
          </w:tcPr>
          <w:p w14:paraId="26318405">
            <w:pPr>
              <w:autoSpaceDE w:val="0"/>
              <w:autoSpaceDN w:val="0"/>
              <w:adjustRightInd w:val="0"/>
              <w:snapToGrid w:val="0"/>
              <w:jc w:val="left"/>
              <w:rPr>
                <w:rFonts w:ascii="宋体" w:hAnsi="宋体"/>
                <w:color w:val="auto"/>
                <w:kern w:val="0"/>
                <w:sz w:val="24"/>
                <w:highlight w:val="none"/>
              </w:rPr>
            </w:pPr>
          </w:p>
        </w:tc>
      </w:tr>
      <w:tr w14:paraId="7594C37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66BDCE8F">
            <w:pPr>
              <w:autoSpaceDE w:val="0"/>
              <w:autoSpaceDN w:val="0"/>
              <w:adjustRightInd w:val="0"/>
              <w:snapToGrid w:val="0"/>
              <w:jc w:val="left"/>
              <w:rPr>
                <w:rFonts w:ascii="宋体" w:hAnsi="宋体"/>
                <w:color w:val="auto"/>
                <w:kern w:val="0"/>
                <w:sz w:val="24"/>
                <w:highlight w:val="none"/>
              </w:rPr>
            </w:pPr>
          </w:p>
        </w:tc>
        <w:tc>
          <w:tcPr>
            <w:tcW w:w="2381" w:type="dxa"/>
          </w:tcPr>
          <w:p w14:paraId="29539D6B">
            <w:pPr>
              <w:autoSpaceDE w:val="0"/>
              <w:autoSpaceDN w:val="0"/>
              <w:adjustRightInd w:val="0"/>
              <w:snapToGrid w:val="0"/>
              <w:jc w:val="left"/>
              <w:rPr>
                <w:rFonts w:ascii="宋体" w:hAnsi="宋体"/>
                <w:color w:val="auto"/>
                <w:kern w:val="0"/>
                <w:sz w:val="24"/>
                <w:highlight w:val="none"/>
              </w:rPr>
            </w:pPr>
          </w:p>
        </w:tc>
        <w:tc>
          <w:tcPr>
            <w:tcW w:w="2383" w:type="dxa"/>
          </w:tcPr>
          <w:p w14:paraId="3600117E">
            <w:pPr>
              <w:autoSpaceDE w:val="0"/>
              <w:autoSpaceDN w:val="0"/>
              <w:adjustRightInd w:val="0"/>
              <w:snapToGrid w:val="0"/>
              <w:jc w:val="left"/>
              <w:rPr>
                <w:rFonts w:ascii="宋体" w:hAnsi="宋体"/>
                <w:color w:val="auto"/>
                <w:kern w:val="0"/>
                <w:sz w:val="24"/>
                <w:highlight w:val="none"/>
              </w:rPr>
            </w:pPr>
          </w:p>
        </w:tc>
        <w:tc>
          <w:tcPr>
            <w:tcW w:w="2384" w:type="dxa"/>
          </w:tcPr>
          <w:p w14:paraId="4B1AE9E4">
            <w:pPr>
              <w:autoSpaceDE w:val="0"/>
              <w:autoSpaceDN w:val="0"/>
              <w:adjustRightInd w:val="0"/>
              <w:snapToGrid w:val="0"/>
              <w:jc w:val="left"/>
              <w:rPr>
                <w:rFonts w:ascii="宋体" w:hAnsi="宋体"/>
                <w:color w:val="auto"/>
                <w:kern w:val="0"/>
                <w:sz w:val="24"/>
                <w:highlight w:val="none"/>
              </w:rPr>
            </w:pPr>
          </w:p>
        </w:tc>
      </w:tr>
      <w:tr w14:paraId="39DEECF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4F1F0523">
            <w:pPr>
              <w:autoSpaceDE w:val="0"/>
              <w:autoSpaceDN w:val="0"/>
              <w:adjustRightInd w:val="0"/>
              <w:snapToGrid w:val="0"/>
              <w:jc w:val="left"/>
              <w:rPr>
                <w:rFonts w:ascii="宋体" w:hAnsi="宋体"/>
                <w:color w:val="auto"/>
                <w:kern w:val="0"/>
                <w:sz w:val="24"/>
                <w:highlight w:val="none"/>
              </w:rPr>
            </w:pPr>
          </w:p>
        </w:tc>
        <w:tc>
          <w:tcPr>
            <w:tcW w:w="2381" w:type="dxa"/>
          </w:tcPr>
          <w:p w14:paraId="3DA3312D">
            <w:pPr>
              <w:autoSpaceDE w:val="0"/>
              <w:autoSpaceDN w:val="0"/>
              <w:adjustRightInd w:val="0"/>
              <w:snapToGrid w:val="0"/>
              <w:jc w:val="left"/>
              <w:rPr>
                <w:rFonts w:ascii="宋体" w:hAnsi="宋体"/>
                <w:color w:val="auto"/>
                <w:kern w:val="0"/>
                <w:sz w:val="24"/>
                <w:highlight w:val="none"/>
              </w:rPr>
            </w:pPr>
          </w:p>
        </w:tc>
        <w:tc>
          <w:tcPr>
            <w:tcW w:w="2383" w:type="dxa"/>
          </w:tcPr>
          <w:p w14:paraId="59BB88DB">
            <w:pPr>
              <w:autoSpaceDE w:val="0"/>
              <w:autoSpaceDN w:val="0"/>
              <w:adjustRightInd w:val="0"/>
              <w:snapToGrid w:val="0"/>
              <w:jc w:val="left"/>
              <w:rPr>
                <w:rFonts w:ascii="宋体" w:hAnsi="宋体"/>
                <w:color w:val="auto"/>
                <w:kern w:val="0"/>
                <w:sz w:val="24"/>
                <w:highlight w:val="none"/>
              </w:rPr>
            </w:pPr>
          </w:p>
        </w:tc>
        <w:tc>
          <w:tcPr>
            <w:tcW w:w="2384" w:type="dxa"/>
          </w:tcPr>
          <w:p w14:paraId="6809764B">
            <w:pPr>
              <w:autoSpaceDE w:val="0"/>
              <w:autoSpaceDN w:val="0"/>
              <w:adjustRightInd w:val="0"/>
              <w:snapToGrid w:val="0"/>
              <w:jc w:val="left"/>
              <w:rPr>
                <w:rFonts w:ascii="宋体" w:hAnsi="宋体"/>
                <w:color w:val="auto"/>
                <w:kern w:val="0"/>
                <w:sz w:val="24"/>
                <w:highlight w:val="none"/>
              </w:rPr>
            </w:pPr>
          </w:p>
        </w:tc>
      </w:tr>
      <w:tr w14:paraId="5A0838C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31AD5C3C">
            <w:pPr>
              <w:autoSpaceDE w:val="0"/>
              <w:autoSpaceDN w:val="0"/>
              <w:adjustRightInd w:val="0"/>
              <w:snapToGrid w:val="0"/>
              <w:jc w:val="left"/>
              <w:rPr>
                <w:rFonts w:ascii="宋体" w:hAnsi="宋体"/>
                <w:color w:val="auto"/>
                <w:kern w:val="0"/>
                <w:sz w:val="24"/>
                <w:highlight w:val="none"/>
              </w:rPr>
            </w:pPr>
          </w:p>
        </w:tc>
        <w:tc>
          <w:tcPr>
            <w:tcW w:w="2381" w:type="dxa"/>
          </w:tcPr>
          <w:p w14:paraId="3F69D2F1">
            <w:pPr>
              <w:autoSpaceDE w:val="0"/>
              <w:autoSpaceDN w:val="0"/>
              <w:adjustRightInd w:val="0"/>
              <w:snapToGrid w:val="0"/>
              <w:jc w:val="left"/>
              <w:rPr>
                <w:rFonts w:ascii="宋体" w:hAnsi="宋体"/>
                <w:color w:val="auto"/>
                <w:kern w:val="0"/>
                <w:sz w:val="24"/>
                <w:highlight w:val="none"/>
              </w:rPr>
            </w:pPr>
          </w:p>
        </w:tc>
        <w:tc>
          <w:tcPr>
            <w:tcW w:w="2383" w:type="dxa"/>
          </w:tcPr>
          <w:p w14:paraId="00162ABF">
            <w:pPr>
              <w:autoSpaceDE w:val="0"/>
              <w:autoSpaceDN w:val="0"/>
              <w:adjustRightInd w:val="0"/>
              <w:snapToGrid w:val="0"/>
              <w:jc w:val="left"/>
              <w:rPr>
                <w:rFonts w:ascii="宋体" w:hAnsi="宋体"/>
                <w:color w:val="auto"/>
                <w:kern w:val="0"/>
                <w:sz w:val="24"/>
                <w:highlight w:val="none"/>
              </w:rPr>
            </w:pPr>
          </w:p>
        </w:tc>
        <w:tc>
          <w:tcPr>
            <w:tcW w:w="2384" w:type="dxa"/>
          </w:tcPr>
          <w:p w14:paraId="480059E3">
            <w:pPr>
              <w:autoSpaceDE w:val="0"/>
              <w:autoSpaceDN w:val="0"/>
              <w:adjustRightInd w:val="0"/>
              <w:snapToGrid w:val="0"/>
              <w:jc w:val="left"/>
              <w:rPr>
                <w:rFonts w:ascii="宋体" w:hAnsi="宋体"/>
                <w:color w:val="auto"/>
                <w:kern w:val="0"/>
                <w:sz w:val="24"/>
                <w:highlight w:val="none"/>
              </w:rPr>
            </w:pPr>
          </w:p>
        </w:tc>
      </w:tr>
      <w:tr w14:paraId="627ED44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1F1005FA">
            <w:pPr>
              <w:autoSpaceDE w:val="0"/>
              <w:autoSpaceDN w:val="0"/>
              <w:adjustRightInd w:val="0"/>
              <w:snapToGrid w:val="0"/>
              <w:jc w:val="left"/>
              <w:rPr>
                <w:rFonts w:ascii="宋体" w:hAnsi="宋体"/>
                <w:color w:val="auto"/>
                <w:kern w:val="0"/>
                <w:sz w:val="24"/>
                <w:highlight w:val="none"/>
              </w:rPr>
            </w:pPr>
          </w:p>
        </w:tc>
        <w:tc>
          <w:tcPr>
            <w:tcW w:w="2381" w:type="dxa"/>
          </w:tcPr>
          <w:p w14:paraId="39A2E573">
            <w:pPr>
              <w:autoSpaceDE w:val="0"/>
              <w:autoSpaceDN w:val="0"/>
              <w:adjustRightInd w:val="0"/>
              <w:snapToGrid w:val="0"/>
              <w:jc w:val="left"/>
              <w:rPr>
                <w:rFonts w:ascii="宋体" w:hAnsi="宋体"/>
                <w:color w:val="auto"/>
                <w:kern w:val="0"/>
                <w:sz w:val="24"/>
                <w:highlight w:val="none"/>
              </w:rPr>
            </w:pPr>
          </w:p>
        </w:tc>
        <w:tc>
          <w:tcPr>
            <w:tcW w:w="2383" w:type="dxa"/>
          </w:tcPr>
          <w:p w14:paraId="50173D0F">
            <w:pPr>
              <w:autoSpaceDE w:val="0"/>
              <w:autoSpaceDN w:val="0"/>
              <w:adjustRightInd w:val="0"/>
              <w:snapToGrid w:val="0"/>
              <w:jc w:val="left"/>
              <w:rPr>
                <w:rFonts w:ascii="宋体" w:hAnsi="宋体"/>
                <w:color w:val="auto"/>
                <w:kern w:val="0"/>
                <w:sz w:val="24"/>
                <w:highlight w:val="none"/>
              </w:rPr>
            </w:pPr>
          </w:p>
        </w:tc>
        <w:tc>
          <w:tcPr>
            <w:tcW w:w="2384" w:type="dxa"/>
          </w:tcPr>
          <w:p w14:paraId="501F47B9">
            <w:pPr>
              <w:autoSpaceDE w:val="0"/>
              <w:autoSpaceDN w:val="0"/>
              <w:adjustRightInd w:val="0"/>
              <w:snapToGrid w:val="0"/>
              <w:jc w:val="left"/>
              <w:rPr>
                <w:rFonts w:ascii="宋体" w:hAnsi="宋体"/>
                <w:color w:val="auto"/>
                <w:kern w:val="0"/>
                <w:sz w:val="24"/>
                <w:highlight w:val="none"/>
              </w:rPr>
            </w:pPr>
          </w:p>
        </w:tc>
      </w:tr>
      <w:tr w14:paraId="0B23C4B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549E095A">
            <w:pPr>
              <w:autoSpaceDE w:val="0"/>
              <w:autoSpaceDN w:val="0"/>
              <w:adjustRightInd w:val="0"/>
              <w:snapToGrid w:val="0"/>
              <w:jc w:val="left"/>
              <w:rPr>
                <w:rFonts w:ascii="宋体" w:hAnsi="宋体"/>
                <w:color w:val="auto"/>
                <w:kern w:val="0"/>
                <w:sz w:val="24"/>
                <w:highlight w:val="none"/>
              </w:rPr>
            </w:pPr>
          </w:p>
        </w:tc>
        <w:tc>
          <w:tcPr>
            <w:tcW w:w="2381" w:type="dxa"/>
          </w:tcPr>
          <w:p w14:paraId="47C3AED4">
            <w:pPr>
              <w:autoSpaceDE w:val="0"/>
              <w:autoSpaceDN w:val="0"/>
              <w:adjustRightInd w:val="0"/>
              <w:snapToGrid w:val="0"/>
              <w:jc w:val="left"/>
              <w:rPr>
                <w:rFonts w:ascii="宋体" w:hAnsi="宋体"/>
                <w:color w:val="auto"/>
                <w:kern w:val="0"/>
                <w:sz w:val="24"/>
                <w:highlight w:val="none"/>
              </w:rPr>
            </w:pPr>
          </w:p>
        </w:tc>
        <w:tc>
          <w:tcPr>
            <w:tcW w:w="2383" w:type="dxa"/>
          </w:tcPr>
          <w:p w14:paraId="5DC0A915">
            <w:pPr>
              <w:autoSpaceDE w:val="0"/>
              <w:autoSpaceDN w:val="0"/>
              <w:adjustRightInd w:val="0"/>
              <w:snapToGrid w:val="0"/>
              <w:jc w:val="left"/>
              <w:rPr>
                <w:rFonts w:ascii="宋体" w:hAnsi="宋体"/>
                <w:color w:val="auto"/>
                <w:kern w:val="0"/>
                <w:sz w:val="24"/>
                <w:highlight w:val="none"/>
              </w:rPr>
            </w:pPr>
          </w:p>
        </w:tc>
        <w:tc>
          <w:tcPr>
            <w:tcW w:w="2384" w:type="dxa"/>
          </w:tcPr>
          <w:p w14:paraId="19C11BCC">
            <w:pPr>
              <w:autoSpaceDE w:val="0"/>
              <w:autoSpaceDN w:val="0"/>
              <w:adjustRightInd w:val="0"/>
              <w:snapToGrid w:val="0"/>
              <w:jc w:val="left"/>
              <w:rPr>
                <w:rFonts w:ascii="宋体" w:hAnsi="宋体"/>
                <w:color w:val="auto"/>
                <w:kern w:val="0"/>
                <w:sz w:val="24"/>
                <w:highlight w:val="none"/>
              </w:rPr>
            </w:pPr>
          </w:p>
        </w:tc>
      </w:tr>
      <w:tr w14:paraId="07643FF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0F1C6EC1">
            <w:pPr>
              <w:autoSpaceDE w:val="0"/>
              <w:autoSpaceDN w:val="0"/>
              <w:adjustRightInd w:val="0"/>
              <w:snapToGrid w:val="0"/>
              <w:jc w:val="left"/>
              <w:rPr>
                <w:rFonts w:ascii="宋体" w:hAnsi="宋体"/>
                <w:color w:val="auto"/>
                <w:kern w:val="0"/>
                <w:sz w:val="24"/>
                <w:highlight w:val="none"/>
              </w:rPr>
            </w:pPr>
          </w:p>
        </w:tc>
        <w:tc>
          <w:tcPr>
            <w:tcW w:w="2381" w:type="dxa"/>
          </w:tcPr>
          <w:p w14:paraId="75A96B49">
            <w:pPr>
              <w:autoSpaceDE w:val="0"/>
              <w:autoSpaceDN w:val="0"/>
              <w:adjustRightInd w:val="0"/>
              <w:snapToGrid w:val="0"/>
              <w:jc w:val="left"/>
              <w:rPr>
                <w:rFonts w:ascii="宋体" w:hAnsi="宋体"/>
                <w:color w:val="auto"/>
                <w:kern w:val="0"/>
                <w:sz w:val="24"/>
                <w:highlight w:val="none"/>
              </w:rPr>
            </w:pPr>
          </w:p>
        </w:tc>
        <w:tc>
          <w:tcPr>
            <w:tcW w:w="2383" w:type="dxa"/>
          </w:tcPr>
          <w:p w14:paraId="209D67B0">
            <w:pPr>
              <w:autoSpaceDE w:val="0"/>
              <w:autoSpaceDN w:val="0"/>
              <w:adjustRightInd w:val="0"/>
              <w:snapToGrid w:val="0"/>
              <w:jc w:val="left"/>
              <w:rPr>
                <w:rFonts w:ascii="宋体" w:hAnsi="宋体"/>
                <w:color w:val="auto"/>
                <w:kern w:val="0"/>
                <w:sz w:val="24"/>
                <w:highlight w:val="none"/>
              </w:rPr>
            </w:pPr>
          </w:p>
        </w:tc>
        <w:tc>
          <w:tcPr>
            <w:tcW w:w="2384" w:type="dxa"/>
          </w:tcPr>
          <w:p w14:paraId="3EA73DF3">
            <w:pPr>
              <w:autoSpaceDE w:val="0"/>
              <w:autoSpaceDN w:val="0"/>
              <w:adjustRightInd w:val="0"/>
              <w:snapToGrid w:val="0"/>
              <w:jc w:val="left"/>
              <w:rPr>
                <w:rFonts w:ascii="宋体" w:hAnsi="宋体"/>
                <w:color w:val="auto"/>
                <w:kern w:val="0"/>
                <w:sz w:val="24"/>
                <w:highlight w:val="none"/>
              </w:rPr>
            </w:pPr>
          </w:p>
        </w:tc>
      </w:tr>
      <w:tr w14:paraId="419E576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0649EE7E">
            <w:pPr>
              <w:autoSpaceDE w:val="0"/>
              <w:autoSpaceDN w:val="0"/>
              <w:adjustRightInd w:val="0"/>
              <w:snapToGrid w:val="0"/>
              <w:jc w:val="left"/>
              <w:rPr>
                <w:rFonts w:ascii="宋体" w:hAnsi="宋体"/>
                <w:color w:val="auto"/>
                <w:kern w:val="0"/>
                <w:sz w:val="24"/>
                <w:highlight w:val="none"/>
              </w:rPr>
            </w:pPr>
          </w:p>
        </w:tc>
        <w:tc>
          <w:tcPr>
            <w:tcW w:w="2381" w:type="dxa"/>
          </w:tcPr>
          <w:p w14:paraId="25B82717">
            <w:pPr>
              <w:autoSpaceDE w:val="0"/>
              <w:autoSpaceDN w:val="0"/>
              <w:adjustRightInd w:val="0"/>
              <w:snapToGrid w:val="0"/>
              <w:jc w:val="left"/>
              <w:rPr>
                <w:rFonts w:ascii="宋体" w:hAnsi="宋体"/>
                <w:color w:val="auto"/>
                <w:kern w:val="0"/>
                <w:sz w:val="24"/>
                <w:highlight w:val="none"/>
              </w:rPr>
            </w:pPr>
          </w:p>
        </w:tc>
        <w:tc>
          <w:tcPr>
            <w:tcW w:w="2383" w:type="dxa"/>
          </w:tcPr>
          <w:p w14:paraId="1B5561D1">
            <w:pPr>
              <w:autoSpaceDE w:val="0"/>
              <w:autoSpaceDN w:val="0"/>
              <w:adjustRightInd w:val="0"/>
              <w:snapToGrid w:val="0"/>
              <w:jc w:val="left"/>
              <w:rPr>
                <w:rFonts w:ascii="宋体" w:hAnsi="宋体"/>
                <w:color w:val="auto"/>
                <w:kern w:val="0"/>
                <w:sz w:val="24"/>
                <w:highlight w:val="none"/>
              </w:rPr>
            </w:pPr>
          </w:p>
        </w:tc>
        <w:tc>
          <w:tcPr>
            <w:tcW w:w="2384" w:type="dxa"/>
          </w:tcPr>
          <w:p w14:paraId="186491DA">
            <w:pPr>
              <w:autoSpaceDE w:val="0"/>
              <w:autoSpaceDN w:val="0"/>
              <w:adjustRightInd w:val="0"/>
              <w:snapToGrid w:val="0"/>
              <w:jc w:val="left"/>
              <w:rPr>
                <w:rFonts w:ascii="宋体" w:hAnsi="宋体"/>
                <w:color w:val="auto"/>
                <w:kern w:val="0"/>
                <w:sz w:val="24"/>
                <w:highlight w:val="none"/>
              </w:rPr>
            </w:pPr>
          </w:p>
        </w:tc>
      </w:tr>
      <w:tr w14:paraId="730AD77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58702063">
            <w:pPr>
              <w:autoSpaceDE w:val="0"/>
              <w:autoSpaceDN w:val="0"/>
              <w:adjustRightInd w:val="0"/>
              <w:snapToGrid w:val="0"/>
              <w:jc w:val="left"/>
              <w:rPr>
                <w:rFonts w:ascii="宋体" w:hAnsi="宋体"/>
                <w:color w:val="auto"/>
                <w:kern w:val="0"/>
                <w:sz w:val="24"/>
                <w:highlight w:val="none"/>
              </w:rPr>
            </w:pPr>
          </w:p>
        </w:tc>
        <w:tc>
          <w:tcPr>
            <w:tcW w:w="2381" w:type="dxa"/>
          </w:tcPr>
          <w:p w14:paraId="7B2B3401">
            <w:pPr>
              <w:autoSpaceDE w:val="0"/>
              <w:autoSpaceDN w:val="0"/>
              <w:adjustRightInd w:val="0"/>
              <w:snapToGrid w:val="0"/>
              <w:jc w:val="left"/>
              <w:rPr>
                <w:rFonts w:ascii="宋体" w:hAnsi="宋体"/>
                <w:color w:val="auto"/>
                <w:kern w:val="0"/>
                <w:sz w:val="24"/>
                <w:highlight w:val="none"/>
              </w:rPr>
            </w:pPr>
          </w:p>
        </w:tc>
        <w:tc>
          <w:tcPr>
            <w:tcW w:w="2383" w:type="dxa"/>
          </w:tcPr>
          <w:p w14:paraId="223DCFCB">
            <w:pPr>
              <w:autoSpaceDE w:val="0"/>
              <w:autoSpaceDN w:val="0"/>
              <w:adjustRightInd w:val="0"/>
              <w:snapToGrid w:val="0"/>
              <w:jc w:val="left"/>
              <w:rPr>
                <w:rFonts w:ascii="宋体" w:hAnsi="宋体"/>
                <w:color w:val="auto"/>
                <w:kern w:val="0"/>
                <w:sz w:val="24"/>
                <w:highlight w:val="none"/>
              </w:rPr>
            </w:pPr>
          </w:p>
        </w:tc>
        <w:tc>
          <w:tcPr>
            <w:tcW w:w="2384" w:type="dxa"/>
          </w:tcPr>
          <w:p w14:paraId="6C076B6B">
            <w:pPr>
              <w:autoSpaceDE w:val="0"/>
              <w:autoSpaceDN w:val="0"/>
              <w:adjustRightInd w:val="0"/>
              <w:snapToGrid w:val="0"/>
              <w:jc w:val="left"/>
              <w:rPr>
                <w:rFonts w:ascii="宋体" w:hAnsi="宋体"/>
                <w:color w:val="auto"/>
                <w:kern w:val="0"/>
                <w:sz w:val="24"/>
                <w:highlight w:val="none"/>
              </w:rPr>
            </w:pPr>
          </w:p>
        </w:tc>
      </w:tr>
      <w:tr w14:paraId="5EFD417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6AF1FFD8">
            <w:pPr>
              <w:autoSpaceDE w:val="0"/>
              <w:autoSpaceDN w:val="0"/>
              <w:adjustRightInd w:val="0"/>
              <w:snapToGrid w:val="0"/>
              <w:jc w:val="left"/>
              <w:rPr>
                <w:rFonts w:ascii="宋体" w:hAnsi="宋体"/>
                <w:color w:val="auto"/>
                <w:kern w:val="0"/>
                <w:sz w:val="24"/>
                <w:highlight w:val="none"/>
              </w:rPr>
            </w:pPr>
          </w:p>
        </w:tc>
        <w:tc>
          <w:tcPr>
            <w:tcW w:w="2381" w:type="dxa"/>
          </w:tcPr>
          <w:p w14:paraId="6DE51CAA">
            <w:pPr>
              <w:autoSpaceDE w:val="0"/>
              <w:autoSpaceDN w:val="0"/>
              <w:adjustRightInd w:val="0"/>
              <w:snapToGrid w:val="0"/>
              <w:jc w:val="left"/>
              <w:rPr>
                <w:rFonts w:ascii="宋体" w:hAnsi="宋体"/>
                <w:color w:val="auto"/>
                <w:kern w:val="0"/>
                <w:sz w:val="24"/>
                <w:highlight w:val="none"/>
              </w:rPr>
            </w:pPr>
          </w:p>
        </w:tc>
        <w:tc>
          <w:tcPr>
            <w:tcW w:w="2383" w:type="dxa"/>
          </w:tcPr>
          <w:p w14:paraId="6B3538C4">
            <w:pPr>
              <w:autoSpaceDE w:val="0"/>
              <w:autoSpaceDN w:val="0"/>
              <w:adjustRightInd w:val="0"/>
              <w:snapToGrid w:val="0"/>
              <w:jc w:val="left"/>
              <w:rPr>
                <w:rFonts w:ascii="宋体" w:hAnsi="宋体"/>
                <w:color w:val="auto"/>
                <w:kern w:val="0"/>
                <w:sz w:val="24"/>
                <w:highlight w:val="none"/>
              </w:rPr>
            </w:pPr>
          </w:p>
        </w:tc>
        <w:tc>
          <w:tcPr>
            <w:tcW w:w="2384" w:type="dxa"/>
          </w:tcPr>
          <w:p w14:paraId="017D014E">
            <w:pPr>
              <w:autoSpaceDE w:val="0"/>
              <w:autoSpaceDN w:val="0"/>
              <w:adjustRightInd w:val="0"/>
              <w:snapToGrid w:val="0"/>
              <w:jc w:val="left"/>
              <w:rPr>
                <w:rFonts w:ascii="宋体" w:hAnsi="宋体"/>
                <w:color w:val="auto"/>
                <w:kern w:val="0"/>
                <w:sz w:val="24"/>
                <w:highlight w:val="none"/>
              </w:rPr>
            </w:pPr>
          </w:p>
        </w:tc>
      </w:tr>
      <w:tr w14:paraId="764CDA7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7AD8B437">
            <w:pPr>
              <w:autoSpaceDE w:val="0"/>
              <w:autoSpaceDN w:val="0"/>
              <w:adjustRightInd w:val="0"/>
              <w:snapToGrid w:val="0"/>
              <w:jc w:val="left"/>
              <w:rPr>
                <w:rFonts w:ascii="宋体" w:hAnsi="宋体"/>
                <w:color w:val="auto"/>
                <w:kern w:val="0"/>
                <w:sz w:val="24"/>
                <w:highlight w:val="none"/>
              </w:rPr>
            </w:pPr>
          </w:p>
        </w:tc>
        <w:tc>
          <w:tcPr>
            <w:tcW w:w="2381" w:type="dxa"/>
          </w:tcPr>
          <w:p w14:paraId="6FBFE71A">
            <w:pPr>
              <w:autoSpaceDE w:val="0"/>
              <w:autoSpaceDN w:val="0"/>
              <w:adjustRightInd w:val="0"/>
              <w:snapToGrid w:val="0"/>
              <w:jc w:val="left"/>
              <w:rPr>
                <w:rFonts w:ascii="宋体" w:hAnsi="宋体"/>
                <w:color w:val="auto"/>
                <w:kern w:val="0"/>
                <w:sz w:val="24"/>
                <w:highlight w:val="none"/>
              </w:rPr>
            </w:pPr>
          </w:p>
        </w:tc>
        <w:tc>
          <w:tcPr>
            <w:tcW w:w="2383" w:type="dxa"/>
          </w:tcPr>
          <w:p w14:paraId="2D74313F">
            <w:pPr>
              <w:autoSpaceDE w:val="0"/>
              <w:autoSpaceDN w:val="0"/>
              <w:adjustRightInd w:val="0"/>
              <w:snapToGrid w:val="0"/>
              <w:jc w:val="left"/>
              <w:rPr>
                <w:rFonts w:ascii="宋体" w:hAnsi="宋体"/>
                <w:color w:val="auto"/>
                <w:kern w:val="0"/>
                <w:sz w:val="24"/>
                <w:highlight w:val="none"/>
              </w:rPr>
            </w:pPr>
          </w:p>
        </w:tc>
        <w:tc>
          <w:tcPr>
            <w:tcW w:w="2384" w:type="dxa"/>
          </w:tcPr>
          <w:p w14:paraId="123DC129">
            <w:pPr>
              <w:autoSpaceDE w:val="0"/>
              <w:autoSpaceDN w:val="0"/>
              <w:adjustRightInd w:val="0"/>
              <w:snapToGrid w:val="0"/>
              <w:jc w:val="left"/>
              <w:rPr>
                <w:rFonts w:ascii="宋体" w:hAnsi="宋体"/>
                <w:color w:val="auto"/>
                <w:kern w:val="0"/>
                <w:sz w:val="24"/>
                <w:highlight w:val="none"/>
              </w:rPr>
            </w:pPr>
          </w:p>
        </w:tc>
      </w:tr>
      <w:tr w14:paraId="3A7AB31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5C266F86">
            <w:pPr>
              <w:autoSpaceDE w:val="0"/>
              <w:autoSpaceDN w:val="0"/>
              <w:adjustRightInd w:val="0"/>
              <w:snapToGrid w:val="0"/>
              <w:jc w:val="left"/>
              <w:rPr>
                <w:rFonts w:ascii="宋体" w:hAnsi="宋体"/>
                <w:color w:val="auto"/>
                <w:kern w:val="0"/>
                <w:sz w:val="24"/>
                <w:highlight w:val="none"/>
              </w:rPr>
            </w:pPr>
          </w:p>
        </w:tc>
        <w:tc>
          <w:tcPr>
            <w:tcW w:w="2381" w:type="dxa"/>
          </w:tcPr>
          <w:p w14:paraId="7E8E80E3">
            <w:pPr>
              <w:autoSpaceDE w:val="0"/>
              <w:autoSpaceDN w:val="0"/>
              <w:adjustRightInd w:val="0"/>
              <w:snapToGrid w:val="0"/>
              <w:jc w:val="left"/>
              <w:rPr>
                <w:rFonts w:ascii="宋体" w:hAnsi="宋体"/>
                <w:color w:val="auto"/>
                <w:kern w:val="0"/>
                <w:sz w:val="24"/>
                <w:highlight w:val="none"/>
              </w:rPr>
            </w:pPr>
          </w:p>
        </w:tc>
        <w:tc>
          <w:tcPr>
            <w:tcW w:w="2383" w:type="dxa"/>
          </w:tcPr>
          <w:p w14:paraId="4F798BA3">
            <w:pPr>
              <w:autoSpaceDE w:val="0"/>
              <w:autoSpaceDN w:val="0"/>
              <w:adjustRightInd w:val="0"/>
              <w:snapToGrid w:val="0"/>
              <w:jc w:val="left"/>
              <w:rPr>
                <w:rFonts w:ascii="宋体" w:hAnsi="宋体"/>
                <w:color w:val="auto"/>
                <w:kern w:val="0"/>
                <w:sz w:val="24"/>
                <w:highlight w:val="none"/>
              </w:rPr>
            </w:pPr>
          </w:p>
        </w:tc>
        <w:tc>
          <w:tcPr>
            <w:tcW w:w="2384" w:type="dxa"/>
          </w:tcPr>
          <w:p w14:paraId="197BF62E">
            <w:pPr>
              <w:autoSpaceDE w:val="0"/>
              <w:autoSpaceDN w:val="0"/>
              <w:adjustRightInd w:val="0"/>
              <w:snapToGrid w:val="0"/>
              <w:jc w:val="left"/>
              <w:rPr>
                <w:rFonts w:ascii="宋体" w:hAnsi="宋体"/>
                <w:color w:val="auto"/>
                <w:kern w:val="0"/>
                <w:sz w:val="24"/>
                <w:highlight w:val="none"/>
              </w:rPr>
            </w:pPr>
          </w:p>
        </w:tc>
      </w:tr>
      <w:tr w14:paraId="54EF398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4954BDB4">
            <w:pPr>
              <w:autoSpaceDE w:val="0"/>
              <w:autoSpaceDN w:val="0"/>
              <w:adjustRightInd w:val="0"/>
              <w:snapToGrid w:val="0"/>
              <w:jc w:val="left"/>
              <w:rPr>
                <w:rFonts w:ascii="宋体" w:hAnsi="宋体"/>
                <w:color w:val="auto"/>
                <w:kern w:val="0"/>
                <w:sz w:val="24"/>
                <w:highlight w:val="none"/>
              </w:rPr>
            </w:pPr>
          </w:p>
        </w:tc>
        <w:tc>
          <w:tcPr>
            <w:tcW w:w="2381" w:type="dxa"/>
          </w:tcPr>
          <w:p w14:paraId="7F878068">
            <w:pPr>
              <w:autoSpaceDE w:val="0"/>
              <w:autoSpaceDN w:val="0"/>
              <w:adjustRightInd w:val="0"/>
              <w:snapToGrid w:val="0"/>
              <w:jc w:val="left"/>
              <w:rPr>
                <w:rFonts w:ascii="宋体" w:hAnsi="宋体"/>
                <w:color w:val="auto"/>
                <w:kern w:val="0"/>
                <w:sz w:val="24"/>
                <w:highlight w:val="none"/>
              </w:rPr>
            </w:pPr>
          </w:p>
        </w:tc>
        <w:tc>
          <w:tcPr>
            <w:tcW w:w="2383" w:type="dxa"/>
          </w:tcPr>
          <w:p w14:paraId="67F23A2E">
            <w:pPr>
              <w:autoSpaceDE w:val="0"/>
              <w:autoSpaceDN w:val="0"/>
              <w:adjustRightInd w:val="0"/>
              <w:snapToGrid w:val="0"/>
              <w:jc w:val="left"/>
              <w:rPr>
                <w:rFonts w:ascii="宋体" w:hAnsi="宋体"/>
                <w:color w:val="auto"/>
                <w:kern w:val="0"/>
                <w:sz w:val="24"/>
                <w:highlight w:val="none"/>
              </w:rPr>
            </w:pPr>
          </w:p>
        </w:tc>
        <w:tc>
          <w:tcPr>
            <w:tcW w:w="2384" w:type="dxa"/>
          </w:tcPr>
          <w:p w14:paraId="534FE551">
            <w:pPr>
              <w:autoSpaceDE w:val="0"/>
              <w:autoSpaceDN w:val="0"/>
              <w:adjustRightInd w:val="0"/>
              <w:snapToGrid w:val="0"/>
              <w:jc w:val="left"/>
              <w:rPr>
                <w:rFonts w:ascii="宋体" w:hAnsi="宋体"/>
                <w:color w:val="auto"/>
                <w:kern w:val="0"/>
                <w:sz w:val="24"/>
                <w:highlight w:val="none"/>
              </w:rPr>
            </w:pPr>
          </w:p>
        </w:tc>
      </w:tr>
    </w:tbl>
    <w:p w14:paraId="2A4F9AE8">
      <w:pPr>
        <w:autoSpaceDE w:val="0"/>
        <w:autoSpaceDN w:val="0"/>
        <w:adjustRightInd w:val="0"/>
        <w:snapToGrid w:val="0"/>
        <w:spacing w:line="20" w:lineRule="exact"/>
        <w:jc w:val="left"/>
        <w:rPr>
          <w:rFonts w:ascii="宋体" w:hAnsi="宋体"/>
          <w:color w:val="auto"/>
          <w:kern w:val="0"/>
          <w:highlight w:val="none"/>
        </w:rPr>
      </w:pPr>
    </w:p>
    <w:p w14:paraId="257E17F8">
      <w:pPr>
        <w:autoSpaceDE w:val="0"/>
        <w:autoSpaceDN w:val="0"/>
        <w:adjustRightInd w:val="0"/>
        <w:snapToGrid w:val="0"/>
        <w:spacing w:line="360" w:lineRule="auto"/>
        <w:jc w:val="center"/>
        <w:rPr>
          <w:rFonts w:ascii="宋体" w:hAnsi="宋体"/>
          <w:color w:val="auto"/>
          <w:sz w:val="36"/>
          <w:szCs w:val="36"/>
          <w:highlight w:val="none"/>
        </w:rPr>
      </w:pPr>
      <w:r>
        <w:rPr>
          <w:rFonts w:ascii="宋体" w:hAnsi="宋体"/>
          <w:color w:val="auto"/>
          <w:sz w:val="36"/>
          <w:szCs w:val="36"/>
          <w:highlight w:val="none"/>
        </w:rPr>
        <w:br w:type="page"/>
      </w:r>
    </w:p>
    <w:p w14:paraId="5D33E7EA">
      <w:pPr>
        <w:pStyle w:val="4"/>
        <w:spacing w:line="360" w:lineRule="auto"/>
        <w:jc w:val="center"/>
        <w:rPr>
          <w:rFonts w:ascii="宋体" w:hAnsi="宋体"/>
          <w:b w:val="0"/>
          <w:bCs w:val="0"/>
          <w:color w:val="auto"/>
          <w:sz w:val="44"/>
          <w:szCs w:val="44"/>
          <w:highlight w:val="none"/>
        </w:rPr>
      </w:pPr>
      <w:bookmarkStart w:id="2149" w:name="_Toc430530545"/>
      <w:bookmarkStart w:id="2150" w:name="_Toc277082656"/>
      <w:bookmarkStart w:id="2151" w:name="_Toc287607882"/>
      <w:bookmarkStart w:id="2152" w:name="_Toc287620829"/>
      <w:bookmarkStart w:id="2153" w:name="_Toc224103510"/>
      <w:bookmarkStart w:id="2154" w:name="_Toc117005263"/>
      <w:r>
        <w:rPr>
          <w:rFonts w:hint="eastAsia" w:ascii="宋体" w:hAnsi="宋体"/>
          <w:b w:val="0"/>
          <w:bCs w:val="0"/>
          <w:color w:val="auto"/>
          <w:sz w:val="44"/>
          <w:szCs w:val="44"/>
          <w:highlight w:val="none"/>
        </w:rPr>
        <w:t>四、</w:t>
      </w:r>
      <w:bookmarkEnd w:id="2149"/>
      <w:bookmarkEnd w:id="2150"/>
      <w:bookmarkEnd w:id="2151"/>
      <w:bookmarkEnd w:id="2152"/>
      <w:bookmarkEnd w:id="2153"/>
      <w:r>
        <w:rPr>
          <w:rFonts w:hint="eastAsia" w:ascii="宋体" w:hAnsi="宋体"/>
          <w:b w:val="0"/>
          <w:bCs w:val="0"/>
          <w:color w:val="auto"/>
          <w:sz w:val="44"/>
          <w:szCs w:val="44"/>
          <w:highlight w:val="none"/>
        </w:rPr>
        <w:t>资格审查部分</w:t>
      </w:r>
      <w:bookmarkEnd w:id="2154"/>
    </w:p>
    <w:p w14:paraId="2F6BA9E2">
      <w:pPr>
        <w:spacing w:line="360" w:lineRule="auto"/>
        <w:jc w:val="center"/>
        <w:rPr>
          <w:rFonts w:ascii="宋体" w:hAnsi="宋体"/>
          <w:color w:val="auto"/>
          <w:kern w:val="0"/>
          <w:sz w:val="32"/>
          <w:szCs w:val="32"/>
          <w:highlight w:val="none"/>
        </w:rPr>
      </w:pPr>
      <w:r>
        <w:rPr>
          <w:rFonts w:ascii="宋体" w:hAnsi="宋体"/>
          <w:color w:val="auto"/>
          <w:sz w:val="32"/>
          <w:szCs w:val="32"/>
          <w:highlight w:val="none"/>
        </w:rPr>
        <w:br w:type="page"/>
      </w:r>
      <w:r>
        <w:rPr>
          <w:rFonts w:hint="eastAsia" w:ascii="宋体" w:hAnsi="宋体"/>
          <w:color w:val="auto"/>
          <w:kern w:val="0"/>
          <w:sz w:val="32"/>
          <w:szCs w:val="32"/>
          <w:highlight w:val="none"/>
          <w:u w:val="single"/>
        </w:rPr>
        <w:t xml:space="preserve">                   （项目名称）</w:t>
      </w:r>
    </w:p>
    <w:p w14:paraId="70188CE7">
      <w:pPr>
        <w:tabs>
          <w:tab w:val="left" w:pos="3600"/>
          <w:tab w:val="left" w:pos="4480"/>
          <w:tab w:val="left" w:pos="5360"/>
        </w:tabs>
        <w:autoSpaceDE w:val="0"/>
        <w:autoSpaceDN w:val="0"/>
        <w:adjustRightInd w:val="0"/>
        <w:snapToGrid w:val="0"/>
        <w:spacing w:line="360" w:lineRule="auto"/>
        <w:jc w:val="left"/>
        <w:rPr>
          <w:rFonts w:ascii="宋体" w:hAnsi="宋体" w:cs="MingLiU"/>
          <w:color w:val="auto"/>
          <w:kern w:val="0"/>
          <w:sz w:val="44"/>
          <w:szCs w:val="44"/>
          <w:highlight w:val="none"/>
        </w:rPr>
      </w:pPr>
    </w:p>
    <w:p w14:paraId="53D3B795">
      <w:pPr>
        <w:tabs>
          <w:tab w:val="left" w:pos="3600"/>
          <w:tab w:val="left" w:pos="4480"/>
          <w:tab w:val="left" w:pos="5360"/>
        </w:tabs>
        <w:autoSpaceDE w:val="0"/>
        <w:autoSpaceDN w:val="0"/>
        <w:adjustRightInd w:val="0"/>
        <w:snapToGrid w:val="0"/>
        <w:spacing w:line="360" w:lineRule="auto"/>
        <w:jc w:val="left"/>
        <w:rPr>
          <w:rFonts w:ascii="宋体" w:hAnsi="宋体" w:cs="MingLiU"/>
          <w:color w:val="auto"/>
          <w:kern w:val="0"/>
          <w:sz w:val="44"/>
          <w:szCs w:val="44"/>
          <w:highlight w:val="none"/>
        </w:rPr>
      </w:pPr>
    </w:p>
    <w:p w14:paraId="796F3E26">
      <w:pPr>
        <w:tabs>
          <w:tab w:val="left" w:pos="3600"/>
          <w:tab w:val="left" w:pos="4480"/>
          <w:tab w:val="left" w:pos="5360"/>
        </w:tabs>
        <w:autoSpaceDE w:val="0"/>
        <w:autoSpaceDN w:val="0"/>
        <w:adjustRightInd w:val="0"/>
        <w:snapToGrid w:val="0"/>
        <w:spacing w:line="360" w:lineRule="auto"/>
        <w:jc w:val="left"/>
        <w:rPr>
          <w:rFonts w:ascii="宋体" w:hAnsi="宋体" w:cs="MingLiU"/>
          <w:color w:val="auto"/>
          <w:kern w:val="0"/>
          <w:sz w:val="44"/>
          <w:szCs w:val="44"/>
          <w:highlight w:val="none"/>
        </w:rPr>
      </w:pPr>
    </w:p>
    <w:p w14:paraId="302570EB">
      <w:pPr>
        <w:tabs>
          <w:tab w:val="left" w:pos="3600"/>
          <w:tab w:val="left" w:pos="4480"/>
          <w:tab w:val="left" w:pos="5360"/>
        </w:tabs>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投 标 文 件</w:t>
      </w:r>
    </w:p>
    <w:p w14:paraId="5946DC94">
      <w:pPr>
        <w:autoSpaceDE w:val="0"/>
        <w:autoSpaceDN w:val="0"/>
        <w:adjustRightInd w:val="0"/>
        <w:snapToGrid w:val="0"/>
        <w:spacing w:line="360" w:lineRule="auto"/>
        <w:jc w:val="left"/>
        <w:rPr>
          <w:rFonts w:ascii="宋体" w:hAnsi="宋体"/>
          <w:color w:val="auto"/>
          <w:kern w:val="0"/>
          <w:sz w:val="16"/>
          <w:szCs w:val="16"/>
          <w:highlight w:val="none"/>
        </w:rPr>
      </w:pPr>
    </w:p>
    <w:p w14:paraId="1B7D5F77">
      <w:pPr>
        <w:autoSpaceDE w:val="0"/>
        <w:autoSpaceDN w:val="0"/>
        <w:adjustRightInd w:val="0"/>
        <w:snapToGrid w:val="0"/>
        <w:spacing w:line="360" w:lineRule="auto"/>
        <w:jc w:val="center"/>
        <w:rPr>
          <w:rFonts w:ascii="宋体" w:hAnsi="宋体"/>
          <w:color w:val="auto"/>
          <w:kern w:val="0"/>
          <w:sz w:val="36"/>
          <w:szCs w:val="36"/>
          <w:highlight w:val="none"/>
        </w:rPr>
      </w:pPr>
      <w:r>
        <w:rPr>
          <w:rFonts w:hint="eastAsia" w:ascii="宋体" w:hAnsi="宋体"/>
          <w:color w:val="auto"/>
          <w:kern w:val="0"/>
          <w:sz w:val="36"/>
          <w:szCs w:val="36"/>
          <w:highlight w:val="none"/>
        </w:rPr>
        <w:t>资格审查部分</w:t>
      </w:r>
    </w:p>
    <w:p w14:paraId="58E4DDDC">
      <w:pPr>
        <w:autoSpaceDE w:val="0"/>
        <w:autoSpaceDN w:val="0"/>
        <w:adjustRightInd w:val="0"/>
        <w:snapToGrid w:val="0"/>
        <w:spacing w:line="360" w:lineRule="auto"/>
        <w:jc w:val="left"/>
        <w:rPr>
          <w:rFonts w:ascii="宋体" w:hAnsi="宋体" w:cs="MingLiU"/>
          <w:color w:val="auto"/>
          <w:kern w:val="0"/>
          <w:sz w:val="20"/>
          <w:szCs w:val="20"/>
          <w:highlight w:val="none"/>
        </w:rPr>
      </w:pPr>
    </w:p>
    <w:p w14:paraId="5593D5CF">
      <w:pPr>
        <w:adjustRightInd w:val="0"/>
        <w:snapToGrid w:val="0"/>
        <w:spacing w:line="264" w:lineRule="auto"/>
        <w:rPr>
          <w:rFonts w:ascii="宋体" w:hAnsi="宋体"/>
          <w:color w:val="auto"/>
          <w:szCs w:val="21"/>
          <w:highlight w:val="none"/>
        </w:rPr>
      </w:pPr>
    </w:p>
    <w:p w14:paraId="4486F66D">
      <w:pPr>
        <w:autoSpaceDE w:val="0"/>
        <w:autoSpaceDN w:val="0"/>
        <w:adjustRightInd w:val="0"/>
        <w:snapToGrid w:val="0"/>
        <w:spacing w:line="360" w:lineRule="auto"/>
        <w:jc w:val="left"/>
        <w:rPr>
          <w:rFonts w:ascii="宋体" w:hAnsi="宋体" w:cs="MingLiU"/>
          <w:color w:val="auto"/>
          <w:kern w:val="0"/>
          <w:sz w:val="20"/>
          <w:szCs w:val="20"/>
          <w:highlight w:val="none"/>
        </w:rPr>
      </w:pPr>
    </w:p>
    <w:p w14:paraId="6F6A326B">
      <w:pPr>
        <w:autoSpaceDE w:val="0"/>
        <w:autoSpaceDN w:val="0"/>
        <w:adjustRightInd w:val="0"/>
        <w:snapToGrid w:val="0"/>
        <w:spacing w:line="360" w:lineRule="auto"/>
        <w:jc w:val="left"/>
        <w:rPr>
          <w:rFonts w:ascii="宋体" w:hAnsi="宋体" w:cs="MingLiU"/>
          <w:color w:val="auto"/>
          <w:kern w:val="0"/>
          <w:sz w:val="20"/>
          <w:szCs w:val="20"/>
          <w:highlight w:val="none"/>
        </w:rPr>
      </w:pPr>
    </w:p>
    <w:p w14:paraId="49C2A988">
      <w:pPr>
        <w:autoSpaceDE w:val="0"/>
        <w:autoSpaceDN w:val="0"/>
        <w:adjustRightInd w:val="0"/>
        <w:snapToGrid w:val="0"/>
        <w:spacing w:line="360" w:lineRule="auto"/>
        <w:jc w:val="left"/>
        <w:rPr>
          <w:rFonts w:ascii="宋体" w:hAnsi="宋体" w:cs="MingLiU"/>
          <w:color w:val="auto"/>
          <w:kern w:val="0"/>
          <w:sz w:val="20"/>
          <w:szCs w:val="20"/>
          <w:highlight w:val="none"/>
        </w:rPr>
      </w:pPr>
    </w:p>
    <w:p w14:paraId="700463BE">
      <w:pPr>
        <w:autoSpaceDE w:val="0"/>
        <w:autoSpaceDN w:val="0"/>
        <w:adjustRightInd w:val="0"/>
        <w:snapToGrid w:val="0"/>
        <w:spacing w:line="360" w:lineRule="auto"/>
        <w:jc w:val="left"/>
        <w:rPr>
          <w:rFonts w:ascii="宋体" w:hAnsi="宋体" w:cs="MingLiU"/>
          <w:color w:val="auto"/>
          <w:kern w:val="0"/>
          <w:sz w:val="20"/>
          <w:szCs w:val="20"/>
          <w:highlight w:val="none"/>
        </w:rPr>
      </w:pPr>
    </w:p>
    <w:p w14:paraId="6257295E">
      <w:pPr>
        <w:autoSpaceDE w:val="0"/>
        <w:autoSpaceDN w:val="0"/>
        <w:adjustRightInd w:val="0"/>
        <w:snapToGrid w:val="0"/>
        <w:spacing w:line="360" w:lineRule="auto"/>
        <w:jc w:val="left"/>
        <w:rPr>
          <w:rFonts w:ascii="宋体" w:hAnsi="宋体" w:cs="MingLiU"/>
          <w:color w:val="auto"/>
          <w:kern w:val="0"/>
          <w:sz w:val="20"/>
          <w:szCs w:val="20"/>
          <w:highlight w:val="none"/>
        </w:rPr>
      </w:pPr>
    </w:p>
    <w:p w14:paraId="507475F8">
      <w:pPr>
        <w:autoSpaceDE w:val="0"/>
        <w:autoSpaceDN w:val="0"/>
        <w:adjustRightInd w:val="0"/>
        <w:snapToGrid w:val="0"/>
        <w:spacing w:line="360" w:lineRule="auto"/>
        <w:jc w:val="left"/>
        <w:rPr>
          <w:rFonts w:ascii="宋体" w:hAnsi="宋体" w:cs="MingLiU"/>
          <w:color w:val="auto"/>
          <w:kern w:val="0"/>
          <w:sz w:val="20"/>
          <w:szCs w:val="20"/>
          <w:highlight w:val="none"/>
        </w:rPr>
      </w:pPr>
    </w:p>
    <w:p w14:paraId="4EB0C831">
      <w:pPr>
        <w:autoSpaceDE w:val="0"/>
        <w:autoSpaceDN w:val="0"/>
        <w:adjustRightInd w:val="0"/>
        <w:snapToGrid w:val="0"/>
        <w:spacing w:line="360" w:lineRule="auto"/>
        <w:jc w:val="left"/>
        <w:rPr>
          <w:rFonts w:ascii="宋体" w:hAnsi="宋体" w:cs="MingLiU"/>
          <w:color w:val="auto"/>
          <w:kern w:val="0"/>
          <w:sz w:val="20"/>
          <w:szCs w:val="20"/>
          <w:highlight w:val="none"/>
        </w:rPr>
      </w:pPr>
    </w:p>
    <w:p w14:paraId="322B6B52">
      <w:pPr>
        <w:autoSpaceDE w:val="0"/>
        <w:autoSpaceDN w:val="0"/>
        <w:adjustRightInd w:val="0"/>
        <w:snapToGrid w:val="0"/>
        <w:spacing w:line="360" w:lineRule="auto"/>
        <w:jc w:val="left"/>
        <w:rPr>
          <w:rFonts w:ascii="宋体" w:hAnsi="宋体" w:cs="MingLiU"/>
          <w:color w:val="auto"/>
          <w:kern w:val="0"/>
          <w:sz w:val="20"/>
          <w:szCs w:val="20"/>
          <w:highlight w:val="none"/>
        </w:rPr>
      </w:pPr>
    </w:p>
    <w:p w14:paraId="250AC3E8">
      <w:pPr>
        <w:autoSpaceDE w:val="0"/>
        <w:autoSpaceDN w:val="0"/>
        <w:adjustRightInd w:val="0"/>
        <w:snapToGrid w:val="0"/>
        <w:spacing w:line="360" w:lineRule="auto"/>
        <w:jc w:val="left"/>
        <w:rPr>
          <w:rFonts w:ascii="宋体" w:hAnsi="宋体" w:cs="MingLiU"/>
          <w:color w:val="auto"/>
          <w:kern w:val="0"/>
          <w:sz w:val="20"/>
          <w:szCs w:val="20"/>
          <w:highlight w:val="none"/>
        </w:rPr>
      </w:pPr>
    </w:p>
    <w:p w14:paraId="15A6B9CD">
      <w:pPr>
        <w:autoSpaceDE w:val="0"/>
        <w:autoSpaceDN w:val="0"/>
        <w:adjustRightInd w:val="0"/>
        <w:snapToGrid w:val="0"/>
        <w:spacing w:line="360" w:lineRule="auto"/>
        <w:jc w:val="left"/>
        <w:rPr>
          <w:rFonts w:ascii="宋体" w:hAnsi="宋体" w:cs="MingLiU"/>
          <w:color w:val="auto"/>
          <w:kern w:val="0"/>
          <w:sz w:val="20"/>
          <w:szCs w:val="20"/>
          <w:highlight w:val="none"/>
        </w:rPr>
      </w:pPr>
    </w:p>
    <w:p w14:paraId="440086A7">
      <w:pPr>
        <w:autoSpaceDE w:val="0"/>
        <w:autoSpaceDN w:val="0"/>
        <w:adjustRightInd w:val="0"/>
        <w:snapToGrid w:val="0"/>
        <w:spacing w:line="360" w:lineRule="auto"/>
        <w:jc w:val="left"/>
        <w:rPr>
          <w:rFonts w:ascii="宋体" w:hAnsi="宋体" w:cs="MingLiU"/>
          <w:color w:val="auto"/>
          <w:kern w:val="0"/>
          <w:sz w:val="20"/>
          <w:szCs w:val="20"/>
          <w:highlight w:val="none"/>
        </w:rPr>
      </w:pPr>
    </w:p>
    <w:p w14:paraId="7D1E5B1F">
      <w:pPr>
        <w:autoSpaceDE w:val="0"/>
        <w:autoSpaceDN w:val="0"/>
        <w:adjustRightInd w:val="0"/>
        <w:snapToGrid w:val="0"/>
        <w:spacing w:line="360" w:lineRule="auto"/>
        <w:jc w:val="left"/>
        <w:rPr>
          <w:rFonts w:ascii="宋体" w:hAnsi="宋体" w:cs="MingLiU"/>
          <w:color w:val="auto"/>
          <w:kern w:val="0"/>
          <w:sz w:val="20"/>
          <w:szCs w:val="20"/>
          <w:highlight w:val="none"/>
        </w:rPr>
      </w:pPr>
    </w:p>
    <w:p w14:paraId="4144E28F">
      <w:pPr>
        <w:autoSpaceDE w:val="0"/>
        <w:autoSpaceDN w:val="0"/>
        <w:adjustRightInd w:val="0"/>
        <w:snapToGrid w:val="0"/>
        <w:spacing w:line="360" w:lineRule="auto"/>
        <w:jc w:val="left"/>
        <w:rPr>
          <w:rFonts w:ascii="宋体" w:hAnsi="宋体" w:cs="MingLiU"/>
          <w:color w:val="auto"/>
          <w:kern w:val="0"/>
          <w:sz w:val="20"/>
          <w:szCs w:val="20"/>
          <w:highlight w:val="none"/>
        </w:rPr>
      </w:pPr>
    </w:p>
    <w:p w14:paraId="3CD994FB">
      <w:pPr>
        <w:tabs>
          <w:tab w:val="left" w:pos="6080"/>
          <w:tab w:val="left" w:pos="6640"/>
        </w:tabs>
        <w:autoSpaceDE w:val="0"/>
        <w:autoSpaceDN w:val="0"/>
        <w:adjustRightInd w:val="0"/>
        <w:snapToGrid w:val="0"/>
        <w:spacing w:line="480" w:lineRule="auto"/>
        <w:jc w:val="center"/>
        <w:rPr>
          <w:rFonts w:ascii="宋体" w:hAnsi="宋体"/>
          <w:color w:val="auto"/>
          <w:w w:val="99"/>
          <w:kern w:val="0"/>
          <w:sz w:val="28"/>
          <w:szCs w:val="28"/>
          <w:highlight w:val="none"/>
        </w:rPr>
      </w:pPr>
      <w:r>
        <w:rPr>
          <w:rFonts w:ascii="宋体" w:hAnsi="宋体"/>
          <w:color w:val="auto"/>
          <w:w w:val="99"/>
          <w:kern w:val="0"/>
          <w:sz w:val="28"/>
          <w:szCs w:val="28"/>
          <w:highlight w:val="none"/>
        </w:rPr>
        <w:t>投标人</w:t>
      </w:r>
      <w:r>
        <w:rPr>
          <w:rFonts w:ascii="宋体" w:hAnsi="宋体"/>
          <w:color w:val="auto"/>
          <w:spacing w:val="1"/>
          <w:w w:val="99"/>
          <w:kern w:val="0"/>
          <w:sz w:val="28"/>
          <w:szCs w:val="28"/>
          <w:highlight w:val="none"/>
        </w:rPr>
        <w:t>：</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（盖单位法人章）</w:t>
      </w:r>
    </w:p>
    <w:p w14:paraId="5CEFDB18">
      <w:pPr>
        <w:tabs>
          <w:tab w:val="left" w:pos="6080"/>
          <w:tab w:val="left" w:pos="6640"/>
        </w:tabs>
        <w:autoSpaceDE w:val="0"/>
        <w:autoSpaceDN w:val="0"/>
        <w:adjustRightInd w:val="0"/>
        <w:snapToGrid w:val="0"/>
        <w:spacing w:line="480" w:lineRule="auto"/>
        <w:jc w:val="center"/>
        <w:rPr>
          <w:rFonts w:ascii="宋体" w:hAnsi="宋体"/>
          <w:color w:val="auto"/>
          <w:kern w:val="0"/>
          <w:sz w:val="28"/>
          <w:szCs w:val="28"/>
          <w:highlight w:val="none"/>
        </w:rPr>
      </w:pPr>
      <w:r>
        <w:rPr>
          <w:rFonts w:ascii="宋体" w:hAnsi="宋体"/>
          <w:color w:val="auto"/>
          <w:w w:val="99"/>
          <w:kern w:val="0"/>
          <w:sz w:val="28"/>
          <w:szCs w:val="28"/>
          <w:highlight w:val="none"/>
        </w:rPr>
        <w:t>法定代表人或其委托代理人：</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w:t>
      </w:r>
      <w:r>
        <w:rPr>
          <w:rFonts w:hint="eastAsia" w:ascii="宋体" w:hAnsi="宋体"/>
          <w:color w:val="auto"/>
          <w:w w:val="99"/>
          <w:kern w:val="0"/>
          <w:sz w:val="28"/>
          <w:szCs w:val="28"/>
          <w:highlight w:val="none"/>
        </w:rPr>
        <w:t>签名</w:t>
      </w:r>
      <w:r>
        <w:rPr>
          <w:rFonts w:ascii="宋体" w:hAnsi="宋体"/>
          <w:color w:val="auto"/>
          <w:w w:val="99"/>
          <w:kern w:val="0"/>
          <w:sz w:val="28"/>
          <w:szCs w:val="28"/>
          <w:highlight w:val="none"/>
        </w:rPr>
        <w:t>或盖章）</w:t>
      </w:r>
    </w:p>
    <w:p w14:paraId="215887AB">
      <w:pPr>
        <w:tabs>
          <w:tab w:val="left" w:pos="3280"/>
          <w:tab w:val="left" w:pos="4680"/>
          <w:tab w:val="left" w:pos="6080"/>
        </w:tabs>
        <w:autoSpaceDE w:val="0"/>
        <w:autoSpaceDN w:val="0"/>
        <w:adjustRightInd w:val="0"/>
        <w:snapToGrid w:val="0"/>
        <w:spacing w:line="480" w:lineRule="auto"/>
        <w:jc w:val="center"/>
        <w:rPr>
          <w:rFonts w:ascii="宋体" w:hAnsi="宋体"/>
          <w:color w:val="auto"/>
          <w:w w:val="99"/>
          <w:kern w:val="0"/>
          <w:sz w:val="28"/>
          <w:szCs w:val="28"/>
          <w:highlight w:val="none"/>
        </w:rPr>
      </w:pP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年</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月</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日</w:t>
      </w:r>
    </w:p>
    <w:p w14:paraId="4F462666">
      <w:pPr>
        <w:tabs>
          <w:tab w:val="left" w:pos="3280"/>
          <w:tab w:val="left" w:pos="4680"/>
          <w:tab w:val="left" w:pos="6080"/>
        </w:tabs>
        <w:autoSpaceDE w:val="0"/>
        <w:autoSpaceDN w:val="0"/>
        <w:adjustRightInd w:val="0"/>
        <w:snapToGrid w:val="0"/>
        <w:spacing w:line="480" w:lineRule="auto"/>
        <w:jc w:val="center"/>
        <w:rPr>
          <w:rFonts w:ascii="宋体" w:hAnsi="宋体"/>
          <w:b/>
          <w:color w:val="auto"/>
          <w:kern w:val="0"/>
          <w:sz w:val="28"/>
          <w:szCs w:val="28"/>
          <w:highlight w:val="none"/>
        </w:rPr>
      </w:pPr>
      <w:r>
        <w:rPr>
          <w:rFonts w:ascii="宋体" w:hAnsi="宋体"/>
          <w:color w:val="auto"/>
          <w:w w:val="99"/>
          <w:kern w:val="0"/>
          <w:sz w:val="28"/>
          <w:szCs w:val="28"/>
          <w:highlight w:val="none"/>
        </w:rPr>
        <w:br w:type="page"/>
      </w:r>
    </w:p>
    <w:p w14:paraId="5A721BF8">
      <w:pPr>
        <w:autoSpaceDE w:val="0"/>
        <w:autoSpaceDN w:val="0"/>
        <w:adjustRightInd w:val="0"/>
        <w:snapToGrid w:val="0"/>
        <w:jc w:val="center"/>
        <w:rPr>
          <w:rFonts w:ascii="宋体" w:hAnsi="宋体"/>
          <w:color w:val="auto"/>
          <w:kern w:val="0"/>
          <w:sz w:val="36"/>
          <w:szCs w:val="36"/>
          <w:highlight w:val="none"/>
        </w:rPr>
      </w:pPr>
      <w:r>
        <w:rPr>
          <w:rFonts w:hint="eastAsia" w:ascii="宋体" w:hAnsi="宋体"/>
          <w:color w:val="auto"/>
          <w:kern w:val="0"/>
          <w:sz w:val="36"/>
          <w:szCs w:val="36"/>
          <w:highlight w:val="none"/>
        </w:rPr>
        <w:t>目  录</w:t>
      </w:r>
    </w:p>
    <w:p w14:paraId="7B0FC5FC">
      <w:pPr>
        <w:spacing w:line="360" w:lineRule="auto"/>
        <w:jc w:val="center"/>
        <w:rPr>
          <w:rFonts w:ascii="宋体" w:hAnsi="宋体"/>
          <w:b/>
          <w:color w:val="auto"/>
          <w:kern w:val="0"/>
          <w:sz w:val="32"/>
          <w:szCs w:val="32"/>
          <w:highlight w:val="none"/>
        </w:rPr>
      </w:pPr>
    </w:p>
    <w:p w14:paraId="53B85B17">
      <w:pPr>
        <w:spacing w:line="360" w:lineRule="auto"/>
        <w:ind w:firstLine="420" w:firstLineChars="200"/>
        <w:rPr>
          <w:rFonts w:ascii="宋体" w:hAnsi="宋体"/>
          <w:color w:val="auto"/>
          <w:szCs w:val="21"/>
          <w:highlight w:val="none"/>
        </w:rPr>
      </w:pPr>
      <w:r>
        <w:rPr>
          <w:rFonts w:ascii="宋体" w:hAnsi="宋体"/>
          <w:color w:val="auto"/>
          <w:szCs w:val="21"/>
          <w:highlight w:val="none"/>
        </w:rPr>
        <w:t>（一）</w:t>
      </w:r>
      <w:r>
        <w:rPr>
          <w:rFonts w:hint="eastAsia" w:ascii="宋体" w:hAnsi="宋体"/>
          <w:color w:val="auto"/>
          <w:szCs w:val="21"/>
          <w:highlight w:val="none"/>
        </w:rPr>
        <w:t>法定代表人身份证明或附有法定代表人身份证明的授权委托书</w:t>
      </w:r>
    </w:p>
    <w:p w14:paraId="251378F3">
      <w:pPr>
        <w:spacing w:line="360" w:lineRule="auto"/>
        <w:ind w:firstLine="420" w:firstLineChars="200"/>
        <w:rPr>
          <w:rFonts w:ascii="宋体" w:hAnsi="宋体"/>
          <w:color w:val="auto"/>
          <w:szCs w:val="21"/>
          <w:highlight w:val="none"/>
        </w:rPr>
      </w:pPr>
      <w:r>
        <w:rPr>
          <w:rFonts w:ascii="宋体" w:hAnsi="宋体"/>
          <w:color w:val="auto"/>
          <w:szCs w:val="21"/>
          <w:highlight w:val="none"/>
        </w:rPr>
        <w:t>（二）投标人基本情况表</w:t>
      </w:r>
    </w:p>
    <w:p w14:paraId="5A462BA6">
      <w:pPr>
        <w:spacing w:line="360" w:lineRule="auto"/>
        <w:ind w:firstLine="420" w:firstLineChars="200"/>
        <w:rPr>
          <w:rFonts w:ascii="宋体" w:hAnsi="宋体"/>
          <w:color w:val="auto"/>
          <w:szCs w:val="21"/>
          <w:highlight w:val="none"/>
        </w:rPr>
      </w:pPr>
      <w:r>
        <w:rPr>
          <w:rFonts w:ascii="宋体" w:hAnsi="宋体"/>
          <w:color w:val="auto"/>
          <w:szCs w:val="21"/>
          <w:highlight w:val="none"/>
        </w:rPr>
        <w:t>（三）项目管理机构</w:t>
      </w:r>
    </w:p>
    <w:p w14:paraId="4E1FA5B6">
      <w:pPr>
        <w:spacing w:line="360" w:lineRule="auto"/>
        <w:ind w:firstLine="420" w:firstLineChars="200"/>
        <w:rPr>
          <w:rFonts w:ascii="宋体" w:hAnsi="宋体"/>
          <w:color w:val="auto"/>
          <w:szCs w:val="21"/>
          <w:highlight w:val="none"/>
        </w:rPr>
      </w:pPr>
      <w:r>
        <w:rPr>
          <w:rFonts w:ascii="宋体" w:hAnsi="宋体"/>
          <w:color w:val="auto"/>
          <w:szCs w:val="21"/>
          <w:highlight w:val="none"/>
        </w:rPr>
        <w:t>（四）近年财务状况表</w:t>
      </w:r>
    </w:p>
    <w:p w14:paraId="33E720B7">
      <w:pPr>
        <w:spacing w:line="360" w:lineRule="auto"/>
        <w:ind w:firstLine="420" w:firstLineChars="200"/>
        <w:rPr>
          <w:rFonts w:ascii="宋体" w:hAnsi="宋体"/>
          <w:color w:val="auto"/>
          <w:szCs w:val="21"/>
          <w:highlight w:val="none"/>
        </w:rPr>
      </w:pPr>
      <w:r>
        <w:rPr>
          <w:rFonts w:ascii="宋体" w:hAnsi="宋体"/>
          <w:color w:val="auto"/>
          <w:szCs w:val="21"/>
          <w:highlight w:val="none"/>
        </w:rPr>
        <w:t>（五）类似项目情况表</w:t>
      </w:r>
    </w:p>
    <w:p w14:paraId="1CDCDEAC">
      <w:pPr>
        <w:spacing w:line="360" w:lineRule="auto"/>
        <w:ind w:firstLine="420" w:firstLineChars="200"/>
        <w:rPr>
          <w:rFonts w:ascii="宋体" w:hAnsi="宋体"/>
          <w:color w:val="auto"/>
          <w:szCs w:val="21"/>
          <w:highlight w:val="none"/>
        </w:rPr>
      </w:pPr>
      <w:r>
        <w:rPr>
          <w:rFonts w:ascii="宋体" w:hAnsi="宋体"/>
          <w:color w:val="auto"/>
          <w:szCs w:val="21"/>
          <w:highlight w:val="none"/>
        </w:rPr>
        <w:t>（六）</w:t>
      </w:r>
      <w:r>
        <w:rPr>
          <w:rFonts w:hint="eastAsia" w:ascii="宋体" w:hAnsi="宋体"/>
          <w:color w:val="auto"/>
          <w:szCs w:val="21"/>
          <w:highlight w:val="none"/>
        </w:rPr>
        <w:t>承诺</w:t>
      </w:r>
    </w:p>
    <w:p w14:paraId="161F66CE">
      <w:pPr>
        <w:spacing w:line="360" w:lineRule="auto"/>
        <w:ind w:firstLine="420" w:firstLineChars="200"/>
        <w:rPr>
          <w:rFonts w:ascii="宋体" w:hAnsi="宋体"/>
          <w:color w:val="auto"/>
          <w:szCs w:val="21"/>
          <w:highlight w:val="none"/>
        </w:rPr>
      </w:pPr>
      <w:r>
        <w:rPr>
          <w:rFonts w:ascii="宋体" w:hAnsi="宋体"/>
          <w:color w:val="auto"/>
          <w:szCs w:val="21"/>
          <w:highlight w:val="none"/>
        </w:rPr>
        <w:t>（七）其他资料</w:t>
      </w:r>
    </w:p>
    <w:p w14:paraId="2251B6FE">
      <w:pPr>
        <w:spacing w:line="360" w:lineRule="auto"/>
        <w:jc w:val="center"/>
        <w:rPr>
          <w:rFonts w:ascii="宋体" w:hAnsi="宋体"/>
          <w:b/>
          <w:color w:val="auto"/>
          <w:kern w:val="0"/>
          <w:sz w:val="32"/>
          <w:szCs w:val="32"/>
          <w:highlight w:val="none"/>
        </w:rPr>
      </w:pPr>
    </w:p>
    <w:p w14:paraId="0EA7E0A3">
      <w:pPr>
        <w:spacing w:line="360" w:lineRule="auto"/>
        <w:jc w:val="center"/>
        <w:rPr>
          <w:rFonts w:ascii="宋体" w:hAnsi="宋体"/>
          <w:b/>
          <w:color w:val="auto"/>
          <w:kern w:val="0"/>
          <w:sz w:val="32"/>
          <w:szCs w:val="32"/>
          <w:highlight w:val="none"/>
        </w:rPr>
      </w:pPr>
    </w:p>
    <w:p w14:paraId="59F3E791">
      <w:pPr>
        <w:pStyle w:val="5"/>
        <w:spacing w:before="0" w:after="0" w:line="240" w:lineRule="auto"/>
        <w:jc w:val="center"/>
        <w:rPr>
          <w:rFonts w:ascii="宋体" w:hAnsi="宋体"/>
          <w:color w:val="auto"/>
          <w:sz w:val="36"/>
          <w:szCs w:val="36"/>
          <w:highlight w:val="none"/>
        </w:rPr>
      </w:pPr>
      <w:r>
        <w:rPr>
          <w:rFonts w:ascii="宋体" w:hAnsi="宋体"/>
          <w:color w:val="auto"/>
          <w:highlight w:val="none"/>
        </w:rPr>
        <w:br w:type="page"/>
      </w:r>
      <w:bookmarkStart w:id="2155" w:name="_Toc277082657"/>
      <w:bookmarkStart w:id="2156" w:name="_Toc117005264"/>
      <w:bookmarkStart w:id="2157" w:name="_Toc287607883"/>
      <w:bookmarkStart w:id="2158" w:name="_Toc287620830"/>
      <w:bookmarkStart w:id="2159" w:name="_Toc224103511"/>
      <w:bookmarkStart w:id="2160" w:name="_Toc430530546"/>
      <w:r>
        <w:rPr>
          <w:rFonts w:hint="eastAsia" w:ascii="宋体" w:hAnsi="宋体"/>
          <w:b w:val="0"/>
          <w:bCs w:val="0"/>
          <w:color w:val="auto"/>
          <w:sz w:val="28"/>
          <w:highlight w:val="none"/>
        </w:rPr>
        <w:t>（一）法定代表人身份证明或附有法定代表人身份证明的授权委托书</w:t>
      </w:r>
      <w:bookmarkEnd w:id="2155"/>
      <w:bookmarkEnd w:id="2156"/>
      <w:bookmarkEnd w:id="2157"/>
      <w:bookmarkEnd w:id="2158"/>
      <w:bookmarkEnd w:id="2159"/>
      <w:bookmarkEnd w:id="2160"/>
    </w:p>
    <w:p w14:paraId="63DF7FEB">
      <w:pPr>
        <w:spacing w:line="480" w:lineRule="auto"/>
        <w:jc w:val="center"/>
        <w:rPr>
          <w:rFonts w:ascii="宋体" w:hAnsi="宋体"/>
          <w:color w:val="auto"/>
          <w:sz w:val="28"/>
          <w:highlight w:val="none"/>
        </w:rPr>
      </w:pPr>
      <w:r>
        <w:rPr>
          <w:rFonts w:hint="eastAsia" w:ascii="宋体" w:hAnsi="宋体"/>
          <w:color w:val="auto"/>
          <w:sz w:val="28"/>
          <w:highlight w:val="none"/>
        </w:rPr>
        <w:t>法定代表人身份证明</w:t>
      </w:r>
    </w:p>
    <w:p w14:paraId="2504C4CC">
      <w:pPr>
        <w:spacing w:line="480" w:lineRule="auto"/>
        <w:jc w:val="center"/>
        <w:rPr>
          <w:rFonts w:ascii="宋体" w:hAnsi="宋体"/>
          <w:color w:val="auto"/>
          <w:highlight w:val="none"/>
        </w:rPr>
      </w:pPr>
    </w:p>
    <w:p w14:paraId="6A73FBB0">
      <w:pPr>
        <w:tabs>
          <w:tab w:val="left" w:pos="556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投标人名称：</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14:paraId="7C06400F">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单位性质：</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14:paraId="22B1E31A">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地</w:t>
      </w:r>
      <w:r>
        <w:rPr>
          <w:rFonts w:hint="eastAsia" w:ascii="宋体" w:hAnsi="宋体"/>
          <w:color w:val="auto"/>
          <w:kern w:val="0"/>
          <w:szCs w:val="21"/>
          <w:highlight w:val="none"/>
        </w:rPr>
        <w:t xml:space="preserve">    </w:t>
      </w:r>
      <w:r>
        <w:rPr>
          <w:rFonts w:ascii="宋体" w:hAnsi="宋体"/>
          <w:color w:val="auto"/>
          <w:kern w:val="0"/>
          <w:szCs w:val="21"/>
          <w:highlight w:val="none"/>
        </w:rPr>
        <w:t>址：</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14:paraId="3900F9EF">
      <w:pPr>
        <w:tabs>
          <w:tab w:val="left" w:pos="2520"/>
          <w:tab w:val="left" w:pos="3836"/>
        </w:tabs>
        <w:autoSpaceDE w:val="0"/>
        <w:autoSpaceDN w:val="0"/>
        <w:adjustRightInd w:val="0"/>
        <w:snapToGrid w:val="0"/>
        <w:spacing w:line="480" w:lineRule="auto"/>
        <w:ind w:firstLine="390" w:firstLineChars="186"/>
        <w:jc w:val="left"/>
        <w:rPr>
          <w:rFonts w:ascii="宋体" w:hAnsi="宋体"/>
          <w:color w:val="auto"/>
          <w:kern w:val="0"/>
          <w:sz w:val="10"/>
          <w:szCs w:val="10"/>
          <w:highlight w:val="none"/>
        </w:rPr>
      </w:pPr>
      <w:r>
        <w:rPr>
          <w:rFonts w:ascii="宋体" w:hAnsi="宋体"/>
          <w:color w:val="auto"/>
          <w:kern w:val="0"/>
          <w:szCs w:val="21"/>
          <w:highlight w:val="none"/>
        </w:rPr>
        <w:t>成立时间：</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p>
    <w:p w14:paraId="3B032CC7">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经营期限：</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14:paraId="4DD39569">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姓名：</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性别</w:t>
      </w:r>
      <w:r>
        <w:rPr>
          <w:rFonts w:ascii="宋体" w:hAnsi="宋体"/>
          <w:color w:val="auto"/>
          <w:spacing w:val="-1"/>
          <w:kern w:val="0"/>
          <w:szCs w:val="21"/>
          <w:highlight w:val="none"/>
        </w:rPr>
        <w:t>：</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spacing w:val="-1"/>
          <w:kern w:val="0"/>
          <w:szCs w:val="21"/>
          <w:highlight w:val="none"/>
        </w:rPr>
        <w:t>年</w:t>
      </w:r>
      <w:r>
        <w:rPr>
          <w:rFonts w:ascii="宋体" w:hAnsi="宋体"/>
          <w:color w:val="auto"/>
          <w:kern w:val="0"/>
          <w:szCs w:val="21"/>
          <w:highlight w:val="none"/>
        </w:rPr>
        <w:t>龄：</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职务：</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p>
    <w:p w14:paraId="3BE9CA8C">
      <w:pPr>
        <w:tabs>
          <w:tab w:val="left" w:pos="336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系</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（投标人名称）</w:t>
      </w:r>
      <w:r>
        <w:rPr>
          <w:rFonts w:ascii="宋体" w:hAnsi="宋体"/>
          <w:color w:val="auto"/>
          <w:kern w:val="0"/>
          <w:szCs w:val="21"/>
          <w:highlight w:val="none"/>
        </w:rPr>
        <w:t>的法定代表人。</w:t>
      </w:r>
    </w:p>
    <w:p w14:paraId="670939DB">
      <w:pPr>
        <w:tabs>
          <w:tab w:val="left" w:pos="336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特此证明。</w:t>
      </w:r>
    </w:p>
    <w:p w14:paraId="52ECFEF6">
      <w:pPr>
        <w:autoSpaceDE w:val="0"/>
        <w:autoSpaceDN w:val="0"/>
        <w:adjustRightInd w:val="0"/>
        <w:snapToGrid w:val="0"/>
        <w:spacing w:line="48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附：法定代表人身份证扫描件（双面）</w:t>
      </w:r>
    </w:p>
    <w:p w14:paraId="0C6F5D74">
      <w:pPr>
        <w:autoSpaceDE w:val="0"/>
        <w:autoSpaceDN w:val="0"/>
        <w:adjustRightInd w:val="0"/>
        <w:snapToGrid w:val="0"/>
        <w:spacing w:line="360" w:lineRule="auto"/>
        <w:jc w:val="left"/>
        <w:rPr>
          <w:rFonts w:ascii="宋体" w:hAnsi="宋体"/>
          <w:color w:val="auto"/>
          <w:szCs w:val="21"/>
          <w:highlight w:val="none"/>
        </w:rPr>
      </w:pPr>
    </w:p>
    <w:p w14:paraId="0FAC43AA">
      <w:pPr>
        <w:pStyle w:val="2"/>
        <w:spacing w:after="0" w:line="360" w:lineRule="auto"/>
        <w:rPr>
          <w:rFonts w:ascii="宋体" w:hAnsi="宋体"/>
          <w:color w:val="auto"/>
          <w:szCs w:val="21"/>
          <w:highlight w:val="none"/>
        </w:rPr>
      </w:pPr>
    </w:p>
    <w:p w14:paraId="01E03370">
      <w:pPr>
        <w:pStyle w:val="2"/>
        <w:spacing w:after="0" w:line="360" w:lineRule="auto"/>
        <w:rPr>
          <w:rFonts w:ascii="宋体" w:hAnsi="宋体"/>
          <w:color w:val="auto"/>
          <w:szCs w:val="21"/>
          <w:highlight w:val="none"/>
        </w:rPr>
      </w:pPr>
    </w:p>
    <w:p w14:paraId="384B6340">
      <w:pPr>
        <w:pStyle w:val="2"/>
        <w:spacing w:after="0" w:line="360" w:lineRule="auto"/>
        <w:rPr>
          <w:rFonts w:ascii="宋体" w:hAnsi="宋体"/>
          <w:color w:val="auto"/>
          <w:szCs w:val="21"/>
          <w:highlight w:val="none"/>
        </w:rPr>
      </w:pPr>
    </w:p>
    <w:p w14:paraId="3A19C893">
      <w:pPr>
        <w:pStyle w:val="2"/>
        <w:spacing w:after="0" w:line="360" w:lineRule="auto"/>
        <w:rPr>
          <w:rFonts w:ascii="宋体" w:hAnsi="宋体"/>
          <w:color w:val="auto"/>
          <w:szCs w:val="21"/>
          <w:highlight w:val="none"/>
        </w:rPr>
      </w:pPr>
    </w:p>
    <w:p w14:paraId="3D9E3A70">
      <w:pPr>
        <w:pStyle w:val="2"/>
        <w:spacing w:after="0" w:line="360" w:lineRule="auto"/>
        <w:rPr>
          <w:rFonts w:ascii="宋体" w:hAnsi="宋体"/>
          <w:color w:val="auto"/>
          <w:szCs w:val="21"/>
          <w:highlight w:val="none"/>
        </w:rPr>
      </w:pPr>
    </w:p>
    <w:p w14:paraId="20804B92">
      <w:pPr>
        <w:autoSpaceDE w:val="0"/>
        <w:autoSpaceDN w:val="0"/>
        <w:adjustRightInd w:val="0"/>
        <w:snapToGrid w:val="0"/>
        <w:spacing w:line="480" w:lineRule="auto"/>
        <w:ind w:firstLine="420" w:firstLineChars="200"/>
        <w:jc w:val="right"/>
        <w:rPr>
          <w:rFonts w:ascii="宋体" w:hAnsi="宋体"/>
          <w:color w:val="auto"/>
          <w:kern w:val="0"/>
          <w:szCs w:val="21"/>
          <w:highlight w:val="none"/>
        </w:rPr>
      </w:pPr>
      <w:r>
        <w:rPr>
          <w:rFonts w:ascii="宋体" w:hAnsi="宋体"/>
          <w:color w:val="auto"/>
          <w:kern w:val="0"/>
          <w:szCs w:val="21"/>
          <w:highlight w:val="none"/>
        </w:rPr>
        <w:t>投标</w:t>
      </w:r>
      <w:r>
        <w:rPr>
          <w:rFonts w:ascii="宋体" w:hAnsi="宋体"/>
          <w:color w:val="auto"/>
          <w:spacing w:val="-1"/>
          <w:kern w:val="0"/>
          <w:szCs w:val="21"/>
          <w:highlight w:val="none"/>
        </w:rPr>
        <w:t>人</w:t>
      </w:r>
      <w:r>
        <w:rPr>
          <w:rFonts w:ascii="宋体" w:hAnsi="宋体"/>
          <w:color w:val="auto"/>
          <w:kern w:val="0"/>
          <w:szCs w:val="21"/>
          <w:highlight w:val="none"/>
        </w:rPr>
        <w:t>：</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ab/>
      </w:r>
      <w:r>
        <w:rPr>
          <w:rFonts w:ascii="宋体" w:hAnsi="宋体"/>
          <w:color w:val="auto"/>
          <w:spacing w:val="-1"/>
          <w:kern w:val="0"/>
          <w:szCs w:val="21"/>
          <w:highlight w:val="none"/>
        </w:rPr>
        <w:t>（</w:t>
      </w:r>
      <w:r>
        <w:rPr>
          <w:rFonts w:ascii="宋体" w:hAnsi="宋体"/>
          <w:color w:val="auto"/>
          <w:kern w:val="0"/>
          <w:szCs w:val="21"/>
          <w:highlight w:val="none"/>
        </w:rPr>
        <w:t>盖单位法人章）</w:t>
      </w:r>
    </w:p>
    <w:p w14:paraId="7DE3EC32">
      <w:pPr>
        <w:autoSpaceDE w:val="0"/>
        <w:autoSpaceDN w:val="0"/>
        <w:adjustRightInd w:val="0"/>
        <w:snapToGrid w:val="0"/>
        <w:spacing w:line="480" w:lineRule="auto"/>
        <w:jc w:val="left"/>
        <w:rPr>
          <w:rFonts w:ascii="宋体" w:hAnsi="宋体"/>
          <w:color w:val="auto"/>
          <w:kern w:val="0"/>
          <w:sz w:val="20"/>
          <w:szCs w:val="20"/>
          <w:highlight w:val="none"/>
        </w:rPr>
      </w:pPr>
    </w:p>
    <w:p w14:paraId="08D66AEF">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r>
        <w:rPr>
          <w:rFonts w:hint="eastAsia" w:ascii="宋体" w:hAnsi="宋体"/>
          <w:color w:val="auto"/>
          <w:kern w:val="0"/>
          <w:szCs w:val="21"/>
          <w:highlight w:val="none"/>
        </w:rPr>
        <w:t xml:space="preserve">  </w:t>
      </w:r>
    </w:p>
    <w:p w14:paraId="30F02CD2">
      <w:pPr>
        <w:autoSpaceDE w:val="0"/>
        <w:autoSpaceDN w:val="0"/>
        <w:adjustRightInd w:val="0"/>
        <w:snapToGrid w:val="0"/>
        <w:spacing w:line="360" w:lineRule="auto"/>
        <w:jc w:val="left"/>
        <w:rPr>
          <w:rFonts w:ascii="宋体" w:hAnsi="宋体"/>
          <w:color w:val="auto"/>
          <w:kern w:val="0"/>
          <w:highlight w:val="none"/>
        </w:rPr>
      </w:pPr>
    </w:p>
    <w:p w14:paraId="7B36462A">
      <w:pPr>
        <w:autoSpaceDE w:val="0"/>
        <w:autoSpaceDN w:val="0"/>
        <w:adjustRightInd w:val="0"/>
        <w:snapToGrid w:val="0"/>
        <w:spacing w:line="360" w:lineRule="auto"/>
        <w:jc w:val="left"/>
        <w:rPr>
          <w:rFonts w:ascii="宋体" w:hAnsi="宋体"/>
          <w:color w:val="auto"/>
          <w:kern w:val="0"/>
          <w:highlight w:val="none"/>
        </w:rPr>
      </w:pPr>
    </w:p>
    <w:p w14:paraId="30CB76F5">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color w:val="auto"/>
          <w:kern w:val="0"/>
          <w:szCs w:val="21"/>
          <w:highlight w:val="none"/>
        </w:rPr>
      </w:pPr>
      <w:r>
        <w:rPr>
          <w:rFonts w:ascii="宋体" w:hAnsi="宋体"/>
          <w:color w:val="auto"/>
          <w:highlight w:val="none"/>
        </w:rPr>
        <w:t>注：法定代表人身份证明需按上述格式填写完整，不可缺少内容。在此基础上增加内容的不影响其有效性</w:t>
      </w:r>
      <w:r>
        <w:rPr>
          <w:rFonts w:hint="eastAsia" w:ascii="宋体" w:hAnsi="宋体"/>
          <w:color w:val="auto"/>
          <w:kern w:val="0"/>
          <w:szCs w:val="21"/>
          <w:highlight w:val="none"/>
        </w:rPr>
        <w:t>。</w:t>
      </w:r>
    </w:p>
    <w:p w14:paraId="2052C05A">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color w:val="auto"/>
          <w:kern w:val="0"/>
          <w:szCs w:val="21"/>
          <w:highlight w:val="none"/>
        </w:rPr>
      </w:pPr>
    </w:p>
    <w:p w14:paraId="5D6BC90B">
      <w:pPr>
        <w:tabs>
          <w:tab w:val="left" w:pos="1680"/>
          <w:tab w:val="left" w:pos="4215"/>
          <w:tab w:val="left" w:pos="4305"/>
          <w:tab w:val="left" w:pos="8000"/>
        </w:tabs>
        <w:autoSpaceDE w:val="0"/>
        <w:autoSpaceDN w:val="0"/>
        <w:adjustRightInd w:val="0"/>
        <w:snapToGrid w:val="0"/>
        <w:spacing w:line="360" w:lineRule="auto"/>
        <w:jc w:val="center"/>
        <w:rPr>
          <w:rFonts w:ascii="宋体" w:hAnsi="宋体"/>
          <w:color w:val="auto"/>
          <w:kern w:val="0"/>
          <w:sz w:val="28"/>
          <w:szCs w:val="28"/>
          <w:highlight w:val="none"/>
        </w:rPr>
      </w:pPr>
      <w:r>
        <w:rPr>
          <w:rFonts w:ascii="宋体" w:hAnsi="宋体"/>
          <w:b/>
          <w:color w:val="auto"/>
          <w:kern w:val="0"/>
          <w:sz w:val="28"/>
          <w:szCs w:val="28"/>
          <w:highlight w:val="none"/>
        </w:rPr>
        <w:br w:type="page"/>
      </w:r>
      <w:r>
        <w:rPr>
          <w:rFonts w:ascii="宋体" w:hAnsi="宋体"/>
          <w:snapToGrid w:val="0"/>
          <w:color w:val="auto"/>
          <w:kern w:val="0"/>
          <w:sz w:val="32"/>
          <w:szCs w:val="32"/>
          <w:highlight w:val="none"/>
        </w:rPr>
        <w:t>授权委托书</w:t>
      </w:r>
    </w:p>
    <w:p w14:paraId="57EF7B61">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color w:val="auto"/>
          <w:kern w:val="0"/>
          <w:szCs w:val="21"/>
          <w:highlight w:val="none"/>
        </w:rPr>
      </w:pPr>
      <w:r>
        <w:rPr>
          <w:rFonts w:ascii="宋体" w:hAnsi="宋体"/>
          <w:color w:val="auto"/>
          <w:kern w:val="0"/>
          <w:szCs w:val="21"/>
          <w:highlight w:val="none"/>
        </w:rPr>
        <w:t>本人</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系</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w:t>
      </w:r>
      <w:r>
        <w:rPr>
          <w:rFonts w:ascii="宋体" w:hAnsi="宋体"/>
          <w:color w:val="auto"/>
          <w:spacing w:val="-1"/>
          <w:kern w:val="0"/>
          <w:szCs w:val="21"/>
          <w:highlight w:val="none"/>
          <w:u w:val="single"/>
        </w:rPr>
        <w:t>投</w:t>
      </w:r>
      <w:r>
        <w:rPr>
          <w:rFonts w:ascii="宋体" w:hAnsi="宋体"/>
          <w:color w:val="auto"/>
          <w:kern w:val="0"/>
          <w:szCs w:val="21"/>
          <w:highlight w:val="none"/>
          <w:u w:val="single"/>
        </w:rPr>
        <w:t>标人名称</w:t>
      </w:r>
      <w:r>
        <w:rPr>
          <w:rFonts w:ascii="宋体" w:hAnsi="宋体"/>
          <w:color w:val="auto"/>
          <w:spacing w:val="1"/>
          <w:kern w:val="0"/>
          <w:szCs w:val="21"/>
          <w:highlight w:val="none"/>
          <w:u w:val="single"/>
        </w:rPr>
        <w:t>）</w:t>
      </w:r>
      <w:r>
        <w:rPr>
          <w:rFonts w:ascii="宋体" w:hAnsi="宋体"/>
          <w:color w:val="auto"/>
          <w:kern w:val="0"/>
          <w:szCs w:val="21"/>
          <w:highlight w:val="none"/>
        </w:rPr>
        <w:t>的法定代</w:t>
      </w:r>
      <w:r>
        <w:rPr>
          <w:rFonts w:ascii="宋体" w:hAnsi="宋体"/>
          <w:color w:val="auto"/>
          <w:spacing w:val="1"/>
          <w:kern w:val="0"/>
          <w:szCs w:val="21"/>
          <w:highlight w:val="none"/>
        </w:rPr>
        <w:t>表</w:t>
      </w:r>
      <w:r>
        <w:rPr>
          <w:rFonts w:ascii="宋体" w:hAnsi="宋体"/>
          <w:color w:val="auto"/>
          <w:kern w:val="0"/>
          <w:szCs w:val="21"/>
          <w:highlight w:val="none"/>
        </w:rPr>
        <w:t>人，现委托</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为我方代理人。代理人根据授权，以我方名义签署、澄清、说明、补正、递交、撤回、 修改</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（项</w:t>
      </w:r>
      <w:r>
        <w:rPr>
          <w:rFonts w:ascii="宋体" w:hAnsi="宋体"/>
          <w:color w:val="auto"/>
          <w:spacing w:val="-1"/>
          <w:kern w:val="0"/>
          <w:szCs w:val="21"/>
          <w:highlight w:val="none"/>
          <w:u w:val="single"/>
        </w:rPr>
        <w:t>目</w:t>
      </w:r>
      <w:r>
        <w:rPr>
          <w:rFonts w:ascii="宋体" w:hAnsi="宋体"/>
          <w:color w:val="auto"/>
          <w:kern w:val="0"/>
          <w:szCs w:val="21"/>
          <w:highlight w:val="none"/>
          <w:u w:val="single"/>
        </w:rPr>
        <w:t>名称）</w:t>
      </w:r>
      <w:r>
        <w:rPr>
          <w:rFonts w:ascii="宋体" w:hAnsi="宋体"/>
          <w:color w:val="auto"/>
          <w:kern w:val="0"/>
          <w:szCs w:val="21"/>
          <w:highlight w:val="none"/>
        </w:rPr>
        <w:t>投标文件、签订合同和处理有关事宜， 其法律后果由我方承担。</w:t>
      </w:r>
    </w:p>
    <w:p w14:paraId="17E93FE1">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委托</w:t>
      </w:r>
      <w:r>
        <w:rPr>
          <w:rFonts w:ascii="宋体" w:hAnsi="宋体"/>
          <w:color w:val="auto"/>
          <w:spacing w:val="-1"/>
          <w:kern w:val="0"/>
          <w:szCs w:val="21"/>
          <w:highlight w:val="none"/>
        </w:rPr>
        <w:t>期</w:t>
      </w:r>
      <w:r>
        <w:rPr>
          <w:rFonts w:ascii="宋体" w:hAnsi="宋体"/>
          <w:color w:val="auto"/>
          <w:kern w:val="0"/>
          <w:szCs w:val="21"/>
          <w:highlight w:val="none"/>
        </w:rPr>
        <w:t>限：</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 xml:space="preserve">。 </w:t>
      </w:r>
    </w:p>
    <w:p w14:paraId="11C7A59A">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代理人无转委托权。</w:t>
      </w:r>
    </w:p>
    <w:p w14:paraId="79AF5C3F">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p>
    <w:p w14:paraId="1FEF5339">
      <w:pPr>
        <w:tabs>
          <w:tab w:val="left" w:pos="1680"/>
          <w:tab w:val="left" w:pos="4200"/>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投  标  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14:paraId="606C4DAE">
      <w:pPr>
        <w:tabs>
          <w:tab w:val="left" w:pos="630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或盖章）</w:t>
      </w:r>
    </w:p>
    <w:p w14:paraId="6E3F0EFC">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14:paraId="660EB08D">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委托代理人：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hint="eastAsia" w:ascii="宋体" w:hAnsi="宋体"/>
          <w:color w:val="auto"/>
          <w:spacing w:val="-1"/>
          <w:kern w:val="0"/>
          <w:szCs w:val="21"/>
          <w:highlight w:val="none"/>
        </w:rPr>
        <w:t>）</w:t>
      </w:r>
    </w:p>
    <w:p w14:paraId="1282FBED">
      <w:pPr>
        <w:tabs>
          <w:tab w:val="left" w:pos="6825"/>
        </w:tabs>
        <w:autoSpaceDE w:val="0"/>
        <w:autoSpaceDN w:val="0"/>
        <w:adjustRightInd w:val="0"/>
        <w:snapToGrid w:val="0"/>
        <w:spacing w:line="480" w:lineRule="auto"/>
        <w:ind w:firstLine="420" w:firstLineChars="200"/>
        <w:jc w:val="left"/>
        <w:rPr>
          <w:rFonts w:ascii="宋体" w:hAnsi="宋体"/>
          <w:color w:val="auto"/>
          <w:w w:val="200"/>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14:paraId="5D48E28B">
      <w:pPr>
        <w:tabs>
          <w:tab w:val="left" w:pos="6825"/>
        </w:tabs>
        <w:autoSpaceDE w:val="0"/>
        <w:autoSpaceDN w:val="0"/>
        <w:adjustRightInd w:val="0"/>
        <w:snapToGrid w:val="0"/>
        <w:spacing w:line="480" w:lineRule="auto"/>
        <w:ind w:firstLine="420" w:firstLineChars="200"/>
        <w:jc w:val="left"/>
        <w:rPr>
          <w:rFonts w:ascii="宋体" w:hAnsi="宋体"/>
          <w:color w:val="auto"/>
          <w:kern w:val="0"/>
          <w:szCs w:val="21"/>
          <w:highlight w:val="none"/>
          <w:u w:val="single"/>
        </w:rPr>
      </w:pPr>
      <w:r>
        <w:rPr>
          <w:rFonts w:hint="eastAsia" w:ascii="宋体" w:hAnsi="宋体"/>
          <w:color w:val="auto"/>
          <w:kern w:val="0"/>
          <w:szCs w:val="21"/>
          <w:highlight w:val="none"/>
        </w:rPr>
        <w:t>单位电话（座机）：</w:t>
      </w:r>
      <w:r>
        <w:rPr>
          <w:rFonts w:hint="eastAsia" w:ascii="宋体" w:hAnsi="宋体"/>
          <w:color w:val="auto"/>
          <w:kern w:val="0"/>
          <w:szCs w:val="21"/>
          <w:highlight w:val="none"/>
          <w:u w:val="single"/>
        </w:rPr>
        <w:t xml:space="preserve">                              </w:t>
      </w:r>
    </w:p>
    <w:p w14:paraId="7CDD9AF4">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 xml:space="preserve">委托代理人电话（手机）：                                          </w:t>
      </w:r>
    </w:p>
    <w:p w14:paraId="4A3D3AE3">
      <w:pPr>
        <w:autoSpaceDE w:val="0"/>
        <w:autoSpaceDN w:val="0"/>
        <w:adjustRightInd w:val="0"/>
        <w:snapToGrid w:val="0"/>
        <w:spacing w:line="480" w:lineRule="auto"/>
        <w:ind w:firstLine="810" w:firstLineChars="386"/>
        <w:jc w:val="left"/>
        <w:rPr>
          <w:rFonts w:ascii="宋体" w:hAnsi="宋体"/>
          <w:color w:val="auto"/>
          <w:kern w:val="0"/>
          <w:szCs w:val="21"/>
          <w:highlight w:val="none"/>
        </w:rPr>
      </w:pPr>
      <w:r>
        <w:rPr>
          <w:rFonts w:hint="eastAsia" w:ascii="宋体" w:hAnsi="宋体"/>
          <w:color w:val="auto"/>
          <w:kern w:val="0"/>
          <w:szCs w:val="21"/>
          <w:highlight w:val="none"/>
        </w:rPr>
        <w:t>附：法定代表人和委托代理人身份证扫描件（双面）</w:t>
      </w:r>
    </w:p>
    <w:p w14:paraId="6EAA687D">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14:paraId="77A20DB7">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14:paraId="6581B480">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14:paraId="54DEFA00">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14:paraId="19E52195">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14:paraId="3E1E1126">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w w:val="200"/>
          <w:kern w:val="0"/>
          <w:szCs w:val="21"/>
          <w:highlight w:val="none"/>
          <w:u w:val="single"/>
        </w:rPr>
      </w:pPr>
    </w:p>
    <w:p w14:paraId="7F14CDD0">
      <w:pPr>
        <w:tabs>
          <w:tab w:val="left" w:pos="6825"/>
        </w:tabs>
        <w:autoSpaceDE w:val="0"/>
        <w:autoSpaceDN w:val="0"/>
        <w:adjustRightInd w:val="0"/>
        <w:snapToGrid w:val="0"/>
        <w:spacing w:line="480" w:lineRule="auto"/>
        <w:ind w:firstLine="420" w:firstLineChars="200"/>
        <w:jc w:val="left"/>
        <w:rPr>
          <w:rFonts w:ascii="宋体" w:hAnsi="宋体"/>
          <w:color w:val="auto"/>
          <w:kern w:val="0"/>
          <w:szCs w:val="21"/>
          <w:highlight w:val="none"/>
        </w:rPr>
      </w:pPr>
    </w:p>
    <w:p w14:paraId="026571BD">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日</w:t>
      </w:r>
      <w:r>
        <w:rPr>
          <w:rFonts w:hint="eastAsia" w:ascii="宋体" w:hAnsi="宋体"/>
          <w:color w:val="auto"/>
          <w:kern w:val="0"/>
          <w:szCs w:val="21"/>
          <w:highlight w:val="none"/>
        </w:rPr>
        <w:t xml:space="preserve"> </w:t>
      </w:r>
    </w:p>
    <w:p w14:paraId="7AD4F249">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kern w:val="0"/>
          <w:szCs w:val="21"/>
          <w:highlight w:val="none"/>
        </w:rPr>
      </w:pPr>
    </w:p>
    <w:p w14:paraId="346E22F1">
      <w:pPr>
        <w:tabs>
          <w:tab w:val="left" w:pos="5760"/>
        </w:tabs>
        <w:autoSpaceDE w:val="0"/>
        <w:autoSpaceDN w:val="0"/>
        <w:adjustRightInd w:val="0"/>
        <w:spacing w:line="360" w:lineRule="auto"/>
        <w:ind w:firstLine="420" w:firstLineChars="200"/>
        <w:rPr>
          <w:rFonts w:ascii="宋体" w:hAnsi="宋体"/>
          <w:color w:val="auto"/>
          <w:kern w:val="0"/>
          <w:highlight w:val="none"/>
        </w:rPr>
      </w:pPr>
    </w:p>
    <w:p w14:paraId="32663B9E">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14:paraId="7A4A1BFE">
      <w:pPr>
        <w:autoSpaceDE w:val="0"/>
        <w:autoSpaceDN w:val="0"/>
        <w:adjustRightInd w:val="0"/>
        <w:snapToGrid w:val="0"/>
        <w:spacing w:line="360" w:lineRule="auto"/>
        <w:ind w:firstLine="420" w:firstLineChars="200"/>
        <w:rPr>
          <w:rFonts w:ascii="宋体" w:hAnsi="宋体"/>
          <w:color w:val="auto"/>
          <w:highlight w:val="none"/>
        </w:rPr>
      </w:pPr>
      <w:r>
        <w:rPr>
          <w:rFonts w:hint="eastAsia" w:ascii="宋体" w:hAnsi="宋体"/>
          <w:color w:val="auto"/>
          <w:kern w:val="0"/>
          <w:szCs w:val="21"/>
          <w:highlight w:val="none"/>
        </w:rPr>
        <w:t>2.</w:t>
      </w:r>
      <w:r>
        <w:rPr>
          <w:rFonts w:hint="eastAsia" w:ascii="宋体" w:hAnsi="宋体"/>
          <w:color w:val="auto"/>
          <w:highlight w:val="none"/>
        </w:rPr>
        <w:t>授权委托书</w:t>
      </w:r>
      <w:r>
        <w:rPr>
          <w:rFonts w:ascii="宋体" w:hAnsi="宋体"/>
          <w:color w:val="auto"/>
          <w:highlight w:val="none"/>
        </w:rPr>
        <w:t>需按上述格式填写完整，不可缺少内容。在此基础上增加内容的不影响其有效性。</w:t>
      </w:r>
    </w:p>
    <w:p w14:paraId="07373947">
      <w:pPr>
        <w:autoSpaceDE w:val="0"/>
        <w:autoSpaceDN w:val="0"/>
        <w:adjustRightInd w:val="0"/>
        <w:snapToGrid w:val="0"/>
        <w:jc w:val="center"/>
        <w:rPr>
          <w:rFonts w:ascii="宋体" w:hAnsi="宋体"/>
          <w:color w:val="auto"/>
          <w:highlight w:val="none"/>
        </w:rPr>
      </w:pPr>
      <w:r>
        <w:rPr>
          <w:rFonts w:ascii="宋体" w:hAnsi="宋体"/>
          <w:color w:val="auto"/>
          <w:highlight w:val="none"/>
        </w:rPr>
        <w:br w:type="page"/>
      </w:r>
    </w:p>
    <w:p w14:paraId="149BAF96">
      <w:pPr>
        <w:pStyle w:val="5"/>
        <w:spacing w:before="0" w:after="0" w:line="240" w:lineRule="auto"/>
        <w:jc w:val="center"/>
        <w:rPr>
          <w:rFonts w:ascii="宋体" w:hAnsi="宋体"/>
          <w:b w:val="0"/>
          <w:bCs w:val="0"/>
          <w:color w:val="auto"/>
          <w:highlight w:val="none"/>
        </w:rPr>
      </w:pPr>
      <w:bookmarkStart w:id="2161" w:name="_Toc287620831"/>
      <w:bookmarkStart w:id="2162" w:name="_Toc430530547"/>
      <w:bookmarkStart w:id="2163" w:name="_Toc224103512"/>
      <w:bookmarkStart w:id="2164" w:name="_Toc277082658"/>
      <w:bookmarkStart w:id="2165" w:name="_Toc287607884"/>
      <w:bookmarkStart w:id="2166" w:name="_Toc117005265"/>
      <w:r>
        <w:rPr>
          <w:rFonts w:hint="eastAsia" w:ascii="宋体" w:hAnsi="宋体"/>
          <w:b w:val="0"/>
          <w:bCs w:val="0"/>
          <w:color w:val="auto"/>
          <w:highlight w:val="none"/>
        </w:rPr>
        <w:t>（二）</w:t>
      </w:r>
      <w:bookmarkEnd w:id="2161"/>
      <w:bookmarkEnd w:id="2162"/>
      <w:bookmarkEnd w:id="2163"/>
      <w:bookmarkEnd w:id="2164"/>
      <w:bookmarkEnd w:id="2165"/>
      <w:bookmarkStart w:id="2167" w:name="_Toc277082659"/>
      <w:bookmarkStart w:id="2168" w:name="_Toc287607887"/>
      <w:r>
        <w:rPr>
          <w:rFonts w:hint="eastAsia" w:ascii="宋体" w:hAnsi="宋体"/>
          <w:b w:val="0"/>
          <w:bCs w:val="0"/>
          <w:color w:val="auto"/>
          <w:highlight w:val="none"/>
        </w:rPr>
        <w:t>投标人基本情况表</w:t>
      </w:r>
      <w:bookmarkEnd w:id="2166"/>
    </w:p>
    <w:tbl>
      <w:tblPr>
        <w:tblStyle w:val="46"/>
        <w:tblW w:w="946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862"/>
        <w:gridCol w:w="967"/>
        <w:gridCol w:w="1024"/>
        <w:gridCol w:w="904"/>
        <w:gridCol w:w="452"/>
        <w:gridCol w:w="103"/>
        <w:gridCol w:w="1392"/>
        <w:gridCol w:w="529"/>
        <w:gridCol w:w="925"/>
        <w:gridCol w:w="1311"/>
      </w:tblGrid>
      <w:tr w14:paraId="200B25D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0C347F37">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投标人名称</w:t>
            </w:r>
          </w:p>
        </w:tc>
        <w:tc>
          <w:tcPr>
            <w:tcW w:w="7607" w:type="dxa"/>
            <w:gridSpan w:val="9"/>
            <w:vAlign w:val="center"/>
          </w:tcPr>
          <w:p w14:paraId="595FC9C6">
            <w:pPr>
              <w:autoSpaceDE w:val="0"/>
              <w:autoSpaceDN w:val="0"/>
              <w:adjustRightInd w:val="0"/>
              <w:snapToGrid w:val="0"/>
              <w:jc w:val="center"/>
              <w:rPr>
                <w:rFonts w:ascii="宋体" w:hAnsi="宋体"/>
                <w:color w:val="auto"/>
                <w:kern w:val="0"/>
                <w:szCs w:val="21"/>
                <w:highlight w:val="none"/>
              </w:rPr>
            </w:pPr>
          </w:p>
        </w:tc>
      </w:tr>
      <w:tr w14:paraId="547A875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5F5F4B58">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注册地址</w:t>
            </w:r>
          </w:p>
        </w:tc>
        <w:tc>
          <w:tcPr>
            <w:tcW w:w="3450" w:type="dxa"/>
            <w:gridSpan w:val="5"/>
            <w:vAlign w:val="center"/>
          </w:tcPr>
          <w:p w14:paraId="2F576CDF">
            <w:pPr>
              <w:autoSpaceDE w:val="0"/>
              <w:autoSpaceDN w:val="0"/>
              <w:adjustRightInd w:val="0"/>
              <w:snapToGrid w:val="0"/>
              <w:jc w:val="center"/>
              <w:rPr>
                <w:rFonts w:ascii="宋体" w:hAnsi="宋体"/>
                <w:color w:val="auto"/>
                <w:kern w:val="0"/>
                <w:szCs w:val="21"/>
                <w:highlight w:val="none"/>
              </w:rPr>
            </w:pPr>
          </w:p>
        </w:tc>
        <w:tc>
          <w:tcPr>
            <w:tcW w:w="1392" w:type="dxa"/>
            <w:vAlign w:val="center"/>
          </w:tcPr>
          <w:p w14:paraId="16DDB8D8">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邮政编码</w:t>
            </w:r>
          </w:p>
        </w:tc>
        <w:tc>
          <w:tcPr>
            <w:tcW w:w="2765" w:type="dxa"/>
            <w:gridSpan w:val="3"/>
            <w:vAlign w:val="center"/>
          </w:tcPr>
          <w:p w14:paraId="7122D816">
            <w:pPr>
              <w:autoSpaceDE w:val="0"/>
              <w:autoSpaceDN w:val="0"/>
              <w:adjustRightInd w:val="0"/>
              <w:snapToGrid w:val="0"/>
              <w:jc w:val="center"/>
              <w:rPr>
                <w:rFonts w:ascii="宋体" w:hAnsi="宋体"/>
                <w:color w:val="auto"/>
                <w:kern w:val="0"/>
                <w:szCs w:val="21"/>
                <w:highlight w:val="none"/>
              </w:rPr>
            </w:pPr>
          </w:p>
        </w:tc>
      </w:tr>
      <w:tr w14:paraId="01B9F4A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restart"/>
            <w:vAlign w:val="center"/>
          </w:tcPr>
          <w:p w14:paraId="07EA9CD2">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联系方式</w:t>
            </w:r>
          </w:p>
        </w:tc>
        <w:tc>
          <w:tcPr>
            <w:tcW w:w="967" w:type="dxa"/>
            <w:vAlign w:val="center"/>
          </w:tcPr>
          <w:p w14:paraId="6533DA81">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联系人</w:t>
            </w:r>
          </w:p>
        </w:tc>
        <w:tc>
          <w:tcPr>
            <w:tcW w:w="2483" w:type="dxa"/>
            <w:gridSpan w:val="4"/>
            <w:vAlign w:val="center"/>
          </w:tcPr>
          <w:p w14:paraId="5B86EA8A">
            <w:pPr>
              <w:autoSpaceDE w:val="0"/>
              <w:autoSpaceDN w:val="0"/>
              <w:adjustRightInd w:val="0"/>
              <w:snapToGrid w:val="0"/>
              <w:jc w:val="center"/>
              <w:rPr>
                <w:rFonts w:ascii="宋体" w:hAnsi="宋体"/>
                <w:color w:val="auto"/>
                <w:kern w:val="0"/>
                <w:szCs w:val="21"/>
                <w:highlight w:val="none"/>
              </w:rPr>
            </w:pPr>
          </w:p>
        </w:tc>
        <w:tc>
          <w:tcPr>
            <w:tcW w:w="1392" w:type="dxa"/>
            <w:vAlign w:val="center"/>
          </w:tcPr>
          <w:p w14:paraId="630A649C">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电话</w:t>
            </w:r>
          </w:p>
        </w:tc>
        <w:tc>
          <w:tcPr>
            <w:tcW w:w="2765" w:type="dxa"/>
            <w:gridSpan w:val="3"/>
            <w:vAlign w:val="center"/>
          </w:tcPr>
          <w:p w14:paraId="23B6C849">
            <w:pPr>
              <w:autoSpaceDE w:val="0"/>
              <w:autoSpaceDN w:val="0"/>
              <w:adjustRightInd w:val="0"/>
              <w:snapToGrid w:val="0"/>
              <w:jc w:val="center"/>
              <w:rPr>
                <w:rFonts w:ascii="宋体" w:hAnsi="宋体"/>
                <w:color w:val="auto"/>
                <w:kern w:val="0"/>
                <w:szCs w:val="21"/>
                <w:highlight w:val="none"/>
              </w:rPr>
            </w:pPr>
          </w:p>
        </w:tc>
      </w:tr>
      <w:tr w14:paraId="4724995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continue"/>
            <w:vAlign w:val="center"/>
          </w:tcPr>
          <w:p w14:paraId="21338EA6">
            <w:pPr>
              <w:autoSpaceDE w:val="0"/>
              <w:autoSpaceDN w:val="0"/>
              <w:adjustRightInd w:val="0"/>
              <w:snapToGrid w:val="0"/>
              <w:jc w:val="center"/>
              <w:rPr>
                <w:rFonts w:ascii="宋体" w:hAnsi="宋体"/>
                <w:color w:val="auto"/>
                <w:kern w:val="0"/>
                <w:szCs w:val="21"/>
                <w:highlight w:val="none"/>
              </w:rPr>
            </w:pPr>
          </w:p>
        </w:tc>
        <w:tc>
          <w:tcPr>
            <w:tcW w:w="967" w:type="dxa"/>
            <w:vAlign w:val="center"/>
          </w:tcPr>
          <w:p w14:paraId="24251CDA">
            <w:pPr>
              <w:tabs>
                <w:tab w:val="left" w:pos="540"/>
              </w:tabs>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传  真</w:t>
            </w:r>
          </w:p>
        </w:tc>
        <w:tc>
          <w:tcPr>
            <w:tcW w:w="2483" w:type="dxa"/>
            <w:gridSpan w:val="4"/>
            <w:vAlign w:val="center"/>
          </w:tcPr>
          <w:p w14:paraId="5BD834D1">
            <w:pPr>
              <w:autoSpaceDE w:val="0"/>
              <w:autoSpaceDN w:val="0"/>
              <w:adjustRightInd w:val="0"/>
              <w:snapToGrid w:val="0"/>
              <w:jc w:val="center"/>
              <w:rPr>
                <w:rFonts w:ascii="宋体" w:hAnsi="宋体"/>
                <w:color w:val="auto"/>
                <w:kern w:val="0"/>
                <w:szCs w:val="21"/>
                <w:highlight w:val="none"/>
              </w:rPr>
            </w:pPr>
          </w:p>
        </w:tc>
        <w:tc>
          <w:tcPr>
            <w:tcW w:w="1392" w:type="dxa"/>
            <w:vAlign w:val="center"/>
          </w:tcPr>
          <w:p w14:paraId="66A76964">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网址</w:t>
            </w:r>
          </w:p>
        </w:tc>
        <w:tc>
          <w:tcPr>
            <w:tcW w:w="2765" w:type="dxa"/>
            <w:gridSpan w:val="3"/>
            <w:vAlign w:val="center"/>
          </w:tcPr>
          <w:p w14:paraId="0991691B">
            <w:pPr>
              <w:autoSpaceDE w:val="0"/>
              <w:autoSpaceDN w:val="0"/>
              <w:adjustRightInd w:val="0"/>
              <w:snapToGrid w:val="0"/>
              <w:jc w:val="center"/>
              <w:rPr>
                <w:rFonts w:ascii="宋体" w:hAnsi="宋体"/>
                <w:color w:val="auto"/>
                <w:kern w:val="0"/>
                <w:szCs w:val="21"/>
                <w:highlight w:val="none"/>
              </w:rPr>
            </w:pPr>
          </w:p>
        </w:tc>
      </w:tr>
      <w:tr w14:paraId="53C1229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23367047">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组织结构</w:t>
            </w:r>
          </w:p>
        </w:tc>
        <w:tc>
          <w:tcPr>
            <w:tcW w:w="7607" w:type="dxa"/>
            <w:gridSpan w:val="9"/>
            <w:vAlign w:val="center"/>
          </w:tcPr>
          <w:p w14:paraId="552E11F3">
            <w:pPr>
              <w:autoSpaceDE w:val="0"/>
              <w:autoSpaceDN w:val="0"/>
              <w:adjustRightInd w:val="0"/>
              <w:snapToGrid w:val="0"/>
              <w:jc w:val="center"/>
              <w:rPr>
                <w:rFonts w:ascii="宋体" w:hAnsi="宋体"/>
                <w:color w:val="auto"/>
                <w:kern w:val="0"/>
                <w:szCs w:val="21"/>
                <w:highlight w:val="none"/>
              </w:rPr>
            </w:pPr>
          </w:p>
        </w:tc>
      </w:tr>
      <w:tr w14:paraId="32C7B26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4AC50BE7">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法定代表人</w:t>
            </w:r>
          </w:p>
        </w:tc>
        <w:tc>
          <w:tcPr>
            <w:tcW w:w="967" w:type="dxa"/>
            <w:vAlign w:val="center"/>
          </w:tcPr>
          <w:p w14:paraId="3831B66E">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姓  名</w:t>
            </w:r>
          </w:p>
        </w:tc>
        <w:tc>
          <w:tcPr>
            <w:tcW w:w="1024" w:type="dxa"/>
            <w:vAlign w:val="center"/>
          </w:tcPr>
          <w:p w14:paraId="71C2F020">
            <w:pPr>
              <w:autoSpaceDE w:val="0"/>
              <w:autoSpaceDN w:val="0"/>
              <w:adjustRightInd w:val="0"/>
              <w:snapToGrid w:val="0"/>
              <w:jc w:val="center"/>
              <w:rPr>
                <w:rFonts w:ascii="宋体" w:hAnsi="宋体"/>
                <w:color w:val="auto"/>
                <w:kern w:val="0"/>
                <w:szCs w:val="21"/>
                <w:highlight w:val="none"/>
              </w:rPr>
            </w:pPr>
          </w:p>
        </w:tc>
        <w:tc>
          <w:tcPr>
            <w:tcW w:w="1356" w:type="dxa"/>
            <w:gridSpan w:val="2"/>
            <w:vAlign w:val="center"/>
          </w:tcPr>
          <w:p w14:paraId="02596837">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技术职称</w:t>
            </w:r>
          </w:p>
        </w:tc>
        <w:tc>
          <w:tcPr>
            <w:tcW w:w="2024" w:type="dxa"/>
            <w:gridSpan w:val="3"/>
            <w:vAlign w:val="center"/>
          </w:tcPr>
          <w:p w14:paraId="2C92EAE0">
            <w:pPr>
              <w:autoSpaceDE w:val="0"/>
              <w:autoSpaceDN w:val="0"/>
              <w:adjustRightInd w:val="0"/>
              <w:snapToGrid w:val="0"/>
              <w:jc w:val="center"/>
              <w:rPr>
                <w:rFonts w:ascii="宋体" w:hAnsi="宋体"/>
                <w:color w:val="auto"/>
                <w:kern w:val="0"/>
                <w:szCs w:val="21"/>
                <w:highlight w:val="none"/>
              </w:rPr>
            </w:pPr>
          </w:p>
        </w:tc>
        <w:tc>
          <w:tcPr>
            <w:tcW w:w="925" w:type="dxa"/>
            <w:vAlign w:val="center"/>
          </w:tcPr>
          <w:p w14:paraId="7EECAF4B">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电  话</w:t>
            </w:r>
          </w:p>
        </w:tc>
        <w:tc>
          <w:tcPr>
            <w:tcW w:w="1311" w:type="dxa"/>
            <w:vAlign w:val="center"/>
          </w:tcPr>
          <w:p w14:paraId="7C40295B">
            <w:pPr>
              <w:autoSpaceDE w:val="0"/>
              <w:autoSpaceDN w:val="0"/>
              <w:adjustRightInd w:val="0"/>
              <w:snapToGrid w:val="0"/>
              <w:jc w:val="center"/>
              <w:rPr>
                <w:rFonts w:ascii="宋体" w:hAnsi="宋体"/>
                <w:color w:val="auto"/>
                <w:kern w:val="0"/>
                <w:szCs w:val="21"/>
                <w:highlight w:val="none"/>
              </w:rPr>
            </w:pPr>
          </w:p>
        </w:tc>
      </w:tr>
      <w:tr w14:paraId="047239B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59516D19">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技术负责人</w:t>
            </w:r>
          </w:p>
        </w:tc>
        <w:tc>
          <w:tcPr>
            <w:tcW w:w="967" w:type="dxa"/>
            <w:vAlign w:val="center"/>
          </w:tcPr>
          <w:p w14:paraId="343FD3D6">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姓  名</w:t>
            </w:r>
          </w:p>
        </w:tc>
        <w:tc>
          <w:tcPr>
            <w:tcW w:w="1024" w:type="dxa"/>
            <w:vAlign w:val="center"/>
          </w:tcPr>
          <w:p w14:paraId="2A872F61">
            <w:pPr>
              <w:autoSpaceDE w:val="0"/>
              <w:autoSpaceDN w:val="0"/>
              <w:adjustRightInd w:val="0"/>
              <w:snapToGrid w:val="0"/>
              <w:jc w:val="center"/>
              <w:rPr>
                <w:rFonts w:ascii="宋体" w:hAnsi="宋体"/>
                <w:color w:val="auto"/>
                <w:kern w:val="0"/>
                <w:szCs w:val="21"/>
                <w:highlight w:val="none"/>
              </w:rPr>
            </w:pPr>
          </w:p>
        </w:tc>
        <w:tc>
          <w:tcPr>
            <w:tcW w:w="1356" w:type="dxa"/>
            <w:gridSpan w:val="2"/>
            <w:vAlign w:val="center"/>
          </w:tcPr>
          <w:p w14:paraId="32C31ACA">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技术职称</w:t>
            </w:r>
          </w:p>
        </w:tc>
        <w:tc>
          <w:tcPr>
            <w:tcW w:w="2024" w:type="dxa"/>
            <w:gridSpan w:val="3"/>
            <w:vAlign w:val="center"/>
          </w:tcPr>
          <w:p w14:paraId="017497B0">
            <w:pPr>
              <w:autoSpaceDE w:val="0"/>
              <w:autoSpaceDN w:val="0"/>
              <w:adjustRightInd w:val="0"/>
              <w:snapToGrid w:val="0"/>
              <w:jc w:val="center"/>
              <w:rPr>
                <w:rFonts w:ascii="宋体" w:hAnsi="宋体"/>
                <w:color w:val="auto"/>
                <w:kern w:val="0"/>
                <w:szCs w:val="21"/>
                <w:highlight w:val="none"/>
              </w:rPr>
            </w:pPr>
          </w:p>
        </w:tc>
        <w:tc>
          <w:tcPr>
            <w:tcW w:w="925" w:type="dxa"/>
            <w:vAlign w:val="center"/>
          </w:tcPr>
          <w:p w14:paraId="03B9BEFC">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电  话</w:t>
            </w:r>
          </w:p>
        </w:tc>
        <w:tc>
          <w:tcPr>
            <w:tcW w:w="1311" w:type="dxa"/>
            <w:vAlign w:val="center"/>
          </w:tcPr>
          <w:p w14:paraId="0ACA4C28">
            <w:pPr>
              <w:autoSpaceDE w:val="0"/>
              <w:autoSpaceDN w:val="0"/>
              <w:adjustRightInd w:val="0"/>
              <w:snapToGrid w:val="0"/>
              <w:jc w:val="center"/>
              <w:rPr>
                <w:rFonts w:ascii="宋体" w:hAnsi="宋体"/>
                <w:color w:val="auto"/>
                <w:kern w:val="0"/>
                <w:szCs w:val="21"/>
                <w:highlight w:val="none"/>
              </w:rPr>
            </w:pPr>
          </w:p>
        </w:tc>
      </w:tr>
      <w:tr w14:paraId="70AA9C2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6FF9340C">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成立时间</w:t>
            </w:r>
          </w:p>
        </w:tc>
        <w:tc>
          <w:tcPr>
            <w:tcW w:w="1991" w:type="dxa"/>
            <w:gridSpan w:val="2"/>
            <w:vAlign w:val="center"/>
          </w:tcPr>
          <w:p w14:paraId="78D25DCA">
            <w:pPr>
              <w:autoSpaceDE w:val="0"/>
              <w:autoSpaceDN w:val="0"/>
              <w:adjustRightInd w:val="0"/>
              <w:snapToGrid w:val="0"/>
              <w:jc w:val="center"/>
              <w:rPr>
                <w:rFonts w:ascii="宋体" w:hAnsi="宋体"/>
                <w:color w:val="auto"/>
                <w:kern w:val="0"/>
                <w:szCs w:val="21"/>
                <w:highlight w:val="none"/>
              </w:rPr>
            </w:pPr>
          </w:p>
        </w:tc>
        <w:tc>
          <w:tcPr>
            <w:tcW w:w="5616" w:type="dxa"/>
            <w:gridSpan w:val="7"/>
            <w:vAlign w:val="center"/>
          </w:tcPr>
          <w:p w14:paraId="72B0BD83">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员工总人数：</w:t>
            </w:r>
          </w:p>
        </w:tc>
      </w:tr>
      <w:tr w14:paraId="4DE4F64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5E5F0760">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企业资质等级</w:t>
            </w:r>
          </w:p>
        </w:tc>
        <w:tc>
          <w:tcPr>
            <w:tcW w:w="1991" w:type="dxa"/>
            <w:gridSpan w:val="2"/>
            <w:vAlign w:val="center"/>
          </w:tcPr>
          <w:p w14:paraId="26274DE5">
            <w:pPr>
              <w:autoSpaceDE w:val="0"/>
              <w:autoSpaceDN w:val="0"/>
              <w:adjustRightInd w:val="0"/>
              <w:snapToGrid w:val="0"/>
              <w:jc w:val="center"/>
              <w:rPr>
                <w:rFonts w:ascii="宋体" w:hAnsi="宋体"/>
                <w:color w:val="auto"/>
                <w:kern w:val="0"/>
                <w:szCs w:val="21"/>
                <w:highlight w:val="none"/>
              </w:rPr>
            </w:pPr>
          </w:p>
        </w:tc>
        <w:tc>
          <w:tcPr>
            <w:tcW w:w="904" w:type="dxa"/>
            <w:vMerge w:val="restart"/>
            <w:vAlign w:val="center"/>
          </w:tcPr>
          <w:p w14:paraId="07834C57">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其中</w:t>
            </w:r>
          </w:p>
        </w:tc>
        <w:tc>
          <w:tcPr>
            <w:tcW w:w="2476" w:type="dxa"/>
            <w:gridSpan w:val="4"/>
            <w:vAlign w:val="center"/>
          </w:tcPr>
          <w:p w14:paraId="4042CA95">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项目经理</w:t>
            </w:r>
          </w:p>
        </w:tc>
        <w:tc>
          <w:tcPr>
            <w:tcW w:w="2236" w:type="dxa"/>
            <w:gridSpan w:val="2"/>
            <w:vAlign w:val="center"/>
          </w:tcPr>
          <w:p w14:paraId="5DA6C081">
            <w:pPr>
              <w:autoSpaceDE w:val="0"/>
              <w:autoSpaceDN w:val="0"/>
              <w:adjustRightInd w:val="0"/>
              <w:snapToGrid w:val="0"/>
              <w:jc w:val="center"/>
              <w:rPr>
                <w:rFonts w:ascii="宋体" w:hAnsi="宋体"/>
                <w:color w:val="auto"/>
                <w:kern w:val="0"/>
                <w:szCs w:val="21"/>
                <w:highlight w:val="none"/>
              </w:rPr>
            </w:pPr>
          </w:p>
        </w:tc>
      </w:tr>
      <w:tr w14:paraId="61CD5D3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61D99EBB">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统一社会信用代码</w:t>
            </w:r>
          </w:p>
        </w:tc>
        <w:tc>
          <w:tcPr>
            <w:tcW w:w="1991" w:type="dxa"/>
            <w:gridSpan w:val="2"/>
            <w:vAlign w:val="center"/>
          </w:tcPr>
          <w:p w14:paraId="66AE85BE">
            <w:pPr>
              <w:autoSpaceDE w:val="0"/>
              <w:autoSpaceDN w:val="0"/>
              <w:adjustRightInd w:val="0"/>
              <w:snapToGrid w:val="0"/>
              <w:jc w:val="center"/>
              <w:rPr>
                <w:rFonts w:ascii="宋体" w:hAnsi="宋体"/>
                <w:color w:val="auto"/>
                <w:kern w:val="0"/>
                <w:szCs w:val="21"/>
                <w:highlight w:val="none"/>
              </w:rPr>
            </w:pPr>
          </w:p>
        </w:tc>
        <w:tc>
          <w:tcPr>
            <w:tcW w:w="904" w:type="dxa"/>
            <w:vMerge w:val="continue"/>
            <w:vAlign w:val="center"/>
          </w:tcPr>
          <w:p w14:paraId="2351E887">
            <w:pPr>
              <w:autoSpaceDE w:val="0"/>
              <w:autoSpaceDN w:val="0"/>
              <w:adjustRightInd w:val="0"/>
              <w:snapToGrid w:val="0"/>
              <w:jc w:val="center"/>
              <w:rPr>
                <w:rFonts w:ascii="宋体" w:hAnsi="宋体"/>
                <w:color w:val="auto"/>
                <w:kern w:val="0"/>
                <w:szCs w:val="21"/>
                <w:highlight w:val="none"/>
              </w:rPr>
            </w:pPr>
          </w:p>
        </w:tc>
        <w:tc>
          <w:tcPr>
            <w:tcW w:w="2476" w:type="dxa"/>
            <w:gridSpan w:val="4"/>
            <w:vAlign w:val="center"/>
          </w:tcPr>
          <w:p w14:paraId="5D6BE0D3">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高级职称人员</w:t>
            </w:r>
          </w:p>
        </w:tc>
        <w:tc>
          <w:tcPr>
            <w:tcW w:w="2236" w:type="dxa"/>
            <w:gridSpan w:val="2"/>
            <w:vAlign w:val="center"/>
          </w:tcPr>
          <w:p w14:paraId="519572A8">
            <w:pPr>
              <w:autoSpaceDE w:val="0"/>
              <w:autoSpaceDN w:val="0"/>
              <w:adjustRightInd w:val="0"/>
              <w:snapToGrid w:val="0"/>
              <w:jc w:val="center"/>
              <w:rPr>
                <w:rFonts w:ascii="宋体" w:hAnsi="宋体"/>
                <w:color w:val="auto"/>
                <w:kern w:val="0"/>
                <w:szCs w:val="21"/>
                <w:highlight w:val="none"/>
              </w:rPr>
            </w:pPr>
          </w:p>
        </w:tc>
      </w:tr>
      <w:tr w14:paraId="4077159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61122451">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注册资金</w:t>
            </w:r>
          </w:p>
        </w:tc>
        <w:tc>
          <w:tcPr>
            <w:tcW w:w="1991" w:type="dxa"/>
            <w:gridSpan w:val="2"/>
            <w:vAlign w:val="center"/>
          </w:tcPr>
          <w:p w14:paraId="7CBA81EE">
            <w:pPr>
              <w:autoSpaceDE w:val="0"/>
              <w:autoSpaceDN w:val="0"/>
              <w:adjustRightInd w:val="0"/>
              <w:snapToGrid w:val="0"/>
              <w:jc w:val="center"/>
              <w:rPr>
                <w:rFonts w:ascii="宋体" w:hAnsi="宋体"/>
                <w:color w:val="auto"/>
                <w:kern w:val="0"/>
                <w:szCs w:val="21"/>
                <w:highlight w:val="none"/>
              </w:rPr>
            </w:pPr>
          </w:p>
        </w:tc>
        <w:tc>
          <w:tcPr>
            <w:tcW w:w="904" w:type="dxa"/>
            <w:vMerge w:val="continue"/>
            <w:vAlign w:val="center"/>
          </w:tcPr>
          <w:p w14:paraId="35B373DA">
            <w:pPr>
              <w:autoSpaceDE w:val="0"/>
              <w:autoSpaceDN w:val="0"/>
              <w:adjustRightInd w:val="0"/>
              <w:snapToGrid w:val="0"/>
              <w:jc w:val="center"/>
              <w:rPr>
                <w:rFonts w:ascii="宋体" w:hAnsi="宋体"/>
                <w:color w:val="auto"/>
                <w:kern w:val="0"/>
                <w:szCs w:val="21"/>
                <w:highlight w:val="none"/>
              </w:rPr>
            </w:pPr>
          </w:p>
        </w:tc>
        <w:tc>
          <w:tcPr>
            <w:tcW w:w="2476" w:type="dxa"/>
            <w:gridSpan w:val="4"/>
            <w:vAlign w:val="center"/>
          </w:tcPr>
          <w:p w14:paraId="2E82308A">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中级职称人员</w:t>
            </w:r>
          </w:p>
        </w:tc>
        <w:tc>
          <w:tcPr>
            <w:tcW w:w="2236" w:type="dxa"/>
            <w:gridSpan w:val="2"/>
            <w:vAlign w:val="center"/>
          </w:tcPr>
          <w:p w14:paraId="38DE3F0B">
            <w:pPr>
              <w:autoSpaceDE w:val="0"/>
              <w:autoSpaceDN w:val="0"/>
              <w:adjustRightInd w:val="0"/>
              <w:snapToGrid w:val="0"/>
              <w:jc w:val="center"/>
              <w:rPr>
                <w:rFonts w:ascii="宋体" w:hAnsi="宋体"/>
                <w:color w:val="auto"/>
                <w:kern w:val="0"/>
                <w:szCs w:val="21"/>
                <w:highlight w:val="none"/>
              </w:rPr>
            </w:pPr>
          </w:p>
        </w:tc>
      </w:tr>
      <w:tr w14:paraId="7F6660F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2C829613">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开户银行</w:t>
            </w:r>
          </w:p>
        </w:tc>
        <w:tc>
          <w:tcPr>
            <w:tcW w:w="1991" w:type="dxa"/>
            <w:gridSpan w:val="2"/>
            <w:vAlign w:val="center"/>
          </w:tcPr>
          <w:p w14:paraId="0A3555B6">
            <w:pPr>
              <w:autoSpaceDE w:val="0"/>
              <w:autoSpaceDN w:val="0"/>
              <w:adjustRightInd w:val="0"/>
              <w:snapToGrid w:val="0"/>
              <w:jc w:val="center"/>
              <w:rPr>
                <w:rFonts w:ascii="宋体" w:hAnsi="宋体"/>
                <w:color w:val="auto"/>
                <w:kern w:val="0"/>
                <w:szCs w:val="21"/>
                <w:highlight w:val="none"/>
              </w:rPr>
            </w:pPr>
          </w:p>
        </w:tc>
        <w:tc>
          <w:tcPr>
            <w:tcW w:w="904" w:type="dxa"/>
            <w:vMerge w:val="continue"/>
            <w:vAlign w:val="center"/>
          </w:tcPr>
          <w:p w14:paraId="29004976">
            <w:pPr>
              <w:autoSpaceDE w:val="0"/>
              <w:autoSpaceDN w:val="0"/>
              <w:adjustRightInd w:val="0"/>
              <w:snapToGrid w:val="0"/>
              <w:jc w:val="center"/>
              <w:rPr>
                <w:rFonts w:ascii="宋体" w:hAnsi="宋体"/>
                <w:color w:val="auto"/>
                <w:kern w:val="0"/>
                <w:szCs w:val="21"/>
                <w:highlight w:val="none"/>
              </w:rPr>
            </w:pPr>
          </w:p>
        </w:tc>
        <w:tc>
          <w:tcPr>
            <w:tcW w:w="2476" w:type="dxa"/>
            <w:gridSpan w:val="4"/>
            <w:vAlign w:val="center"/>
          </w:tcPr>
          <w:p w14:paraId="36ADCF9F">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初级职称人员</w:t>
            </w:r>
          </w:p>
        </w:tc>
        <w:tc>
          <w:tcPr>
            <w:tcW w:w="2236" w:type="dxa"/>
            <w:gridSpan w:val="2"/>
            <w:vAlign w:val="center"/>
          </w:tcPr>
          <w:p w14:paraId="166C05C3">
            <w:pPr>
              <w:autoSpaceDE w:val="0"/>
              <w:autoSpaceDN w:val="0"/>
              <w:adjustRightInd w:val="0"/>
              <w:snapToGrid w:val="0"/>
              <w:jc w:val="center"/>
              <w:rPr>
                <w:rFonts w:ascii="宋体" w:hAnsi="宋体"/>
                <w:color w:val="auto"/>
                <w:kern w:val="0"/>
                <w:szCs w:val="21"/>
                <w:highlight w:val="none"/>
              </w:rPr>
            </w:pPr>
          </w:p>
        </w:tc>
      </w:tr>
      <w:tr w14:paraId="5665D74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1762F3AF">
            <w:pPr>
              <w:autoSpaceDE w:val="0"/>
              <w:autoSpaceDN w:val="0"/>
              <w:adjustRightInd w:val="0"/>
              <w:snapToGrid w:val="0"/>
              <w:jc w:val="center"/>
              <w:rPr>
                <w:rFonts w:ascii="宋体" w:hAnsi="宋体"/>
                <w:color w:val="auto"/>
                <w:kern w:val="0"/>
                <w:szCs w:val="21"/>
                <w:highlight w:val="none"/>
              </w:rPr>
            </w:pPr>
            <w:r>
              <w:rPr>
                <w:rFonts w:hint="eastAsia" w:ascii="宋体" w:hAnsi="宋体"/>
                <w:color w:val="auto"/>
                <w:kern w:val="0"/>
                <w:szCs w:val="21"/>
                <w:highlight w:val="none"/>
              </w:rPr>
              <w:t>账号</w:t>
            </w:r>
          </w:p>
        </w:tc>
        <w:tc>
          <w:tcPr>
            <w:tcW w:w="1991" w:type="dxa"/>
            <w:gridSpan w:val="2"/>
            <w:vAlign w:val="center"/>
          </w:tcPr>
          <w:p w14:paraId="4B81117C">
            <w:pPr>
              <w:autoSpaceDE w:val="0"/>
              <w:autoSpaceDN w:val="0"/>
              <w:adjustRightInd w:val="0"/>
              <w:snapToGrid w:val="0"/>
              <w:jc w:val="center"/>
              <w:rPr>
                <w:rFonts w:ascii="宋体" w:hAnsi="宋体"/>
                <w:color w:val="auto"/>
                <w:kern w:val="0"/>
                <w:szCs w:val="21"/>
                <w:highlight w:val="none"/>
              </w:rPr>
            </w:pPr>
          </w:p>
        </w:tc>
        <w:tc>
          <w:tcPr>
            <w:tcW w:w="904" w:type="dxa"/>
            <w:vMerge w:val="continue"/>
            <w:vAlign w:val="center"/>
          </w:tcPr>
          <w:p w14:paraId="7DA11C3C">
            <w:pPr>
              <w:autoSpaceDE w:val="0"/>
              <w:autoSpaceDN w:val="0"/>
              <w:adjustRightInd w:val="0"/>
              <w:snapToGrid w:val="0"/>
              <w:jc w:val="center"/>
              <w:rPr>
                <w:rFonts w:ascii="宋体" w:hAnsi="宋体"/>
                <w:color w:val="auto"/>
                <w:kern w:val="0"/>
                <w:szCs w:val="21"/>
                <w:highlight w:val="none"/>
              </w:rPr>
            </w:pPr>
          </w:p>
        </w:tc>
        <w:tc>
          <w:tcPr>
            <w:tcW w:w="2476" w:type="dxa"/>
            <w:gridSpan w:val="4"/>
            <w:vAlign w:val="center"/>
          </w:tcPr>
          <w:p w14:paraId="0E6AC7FF">
            <w:pPr>
              <w:tabs>
                <w:tab w:val="left" w:pos="1240"/>
              </w:tabs>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技</w:t>
            </w:r>
            <w:r>
              <w:rPr>
                <w:rFonts w:ascii="宋体" w:hAnsi="宋体"/>
                <w:color w:val="auto"/>
                <w:kern w:val="0"/>
                <w:szCs w:val="21"/>
                <w:highlight w:val="none"/>
              </w:rPr>
              <w:tab/>
            </w:r>
            <w:r>
              <w:rPr>
                <w:rFonts w:hint="eastAsia" w:ascii="宋体" w:hAnsi="宋体" w:cs="MingLiU"/>
                <w:color w:val="auto"/>
                <w:kern w:val="0"/>
                <w:szCs w:val="21"/>
                <w:highlight w:val="none"/>
              </w:rPr>
              <w:t>工</w:t>
            </w:r>
          </w:p>
        </w:tc>
        <w:tc>
          <w:tcPr>
            <w:tcW w:w="2236" w:type="dxa"/>
            <w:gridSpan w:val="2"/>
            <w:vAlign w:val="center"/>
          </w:tcPr>
          <w:p w14:paraId="711F3E0B">
            <w:pPr>
              <w:autoSpaceDE w:val="0"/>
              <w:autoSpaceDN w:val="0"/>
              <w:adjustRightInd w:val="0"/>
              <w:snapToGrid w:val="0"/>
              <w:jc w:val="center"/>
              <w:rPr>
                <w:rFonts w:ascii="宋体" w:hAnsi="宋体"/>
                <w:color w:val="auto"/>
                <w:kern w:val="0"/>
                <w:szCs w:val="21"/>
                <w:highlight w:val="none"/>
              </w:rPr>
            </w:pPr>
          </w:p>
        </w:tc>
      </w:tr>
      <w:tr w14:paraId="54F500A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189435D9">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经营范围</w:t>
            </w:r>
          </w:p>
        </w:tc>
        <w:tc>
          <w:tcPr>
            <w:tcW w:w="7607" w:type="dxa"/>
            <w:gridSpan w:val="9"/>
            <w:vAlign w:val="center"/>
          </w:tcPr>
          <w:p w14:paraId="521C4F69">
            <w:pPr>
              <w:autoSpaceDE w:val="0"/>
              <w:autoSpaceDN w:val="0"/>
              <w:adjustRightInd w:val="0"/>
              <w:snapToGrid w:val="0"/>
              <w:jc w:val="center"/>
              <w:rPr>
                <w:rFonts w:ascii="宋体" w:hAnsi="宋体"/>
                <w:color w:val="auto"/>
                <w:kern w:val="0"/>
                <w:szCs w:val="21"/>
                <w:highlight w:val="none"/>
              </w:rPr>
            </w:pPr>
          </w:p>
        </w:tc>
      </w:tr>
      <w:tr w14:paraId="16D376D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361EF0E3">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备注</w:t>
            </w:r>
          </w:p>
        </w:tc>
        <w:tc>
          <w:tcPr>
            <w:tcW w:w="7607" w:type="dxa"/>
            <w:gridSpan w:val="9"/>
            <w:vAlign w:val="center"/>
          </w:tcPr>
          <w:p w14:paraId="43D3F0E5">
            <w:pPr>
              <w:autoSpaceDE w:val="0"/>
              <w:autoSpaceDN w:val="0"/>
              <w:adjustRightInd w:val="0"/>
              <w:snapToGrid w:val="0"/>
              <w:jc w:val="center"/>
              <w:rPr>
                <w:rFonts w:ascii="宋体" w:hAnsi="宋体"/>
                <w:color w:val="auto"/>
                <w:kern w:val="0"/>
                <w:szCs w:val="21"/>
                <w:highlight w:val="none"/>
              </w:rPr>
            </w:pPr>
          </w:p>
        </w:tc>
      </w:tr>
    </w:tbl>
    <w:p w14:paraId="5C32ECC8">
      <w:pPr>
        <w:spacing w:line="360" w:lineRule="auto"/>
        <w:jc w:val="center"/>
        <w:rPr>
          <w:rFonts w:ascii="宋体" w:hAnsi="宋体"/>
          <w:color w:val="auto"/>
          <w:szCs w:val="21"/>
          <w:highlight w:val="none"/>
        </w:rPr>
      </w:pPr>
    </w:p>
    <w:p w14:paraId="1802C167">
      <w:pPr>
        <w:pStyle w:val="5"/>
        <w:spacing w:before="0" w:after="0" w:line="240" w:lineRule="auto"/>
        <w:jc w:val="center"/>
        <w:rPr>
          <w:rFonts w:ascii="宋体" w:hAnsi="宋体"/>
          <w:b w:val="0"/>
          <w:bCs w:val="0"/>
          <w:color w:val="auto"/>
          <w:highlight w:val="none"/>
        </w:rPr>
      </w:pPr>
      <w:r>
        <w:rPr>
          <w:rFonts w:ascii="宋体" w:hAnsi="宋体"/>
          <w:color w:val="auto"/>
          <w:szCs w:val="21"/>
          <w:highlight w:val="none"/>
        </w:rPr>
        <w:br w:type="page"/>
      </w:r>
      <w:bookmarkStart w:id="2169" w:name="_Toc509218863"/>
      <w:bookmarkStart w:id="2170" w:name="_Toc117005266"/>
      <w:bookmarkStart w:id="2171" w:name="_Toc534185840"/>
      <w:r>
        <w:rPr>
          <w:rFonts w:hint="eastAsia" w:ascii="宋体" w:hAnsi="宋体"/>
          <w:b w:val="0"/>
          <w:bCs w:val="0"/>
          <w:color w:val="auto"/>
          <w:highlight w:val="none"/>
        </w:rPr>
        <w:t>（三）项目管理机构</w:t>
      </w:r>
      <w:bookmarkEnd w:id="2169"/>
      <w:bookmarkEnd w:id="2170"/>
      <w:bookmarkEnd w:id="2171"/>
    </w:p>
    <w:p w14:paraId="2FE901F7">
      <w:pPr>
        <w:spacing w:line="360" w:lineRule="auto"/>
        <w:rPr>
          <w:rFonts w:ascii="宋体" w:hAnsi="宋体"/>
          <w:color w:val="auto"/>
          <w:highlight w:val="none"/>
        </w:rPr>
      </w:pPr>
    </w:p>
    <w:p w14:paraId="015904A2">
      <w:pPr>
        <w:autoSpaceDE w:val="0"/>
        <w:autoSpaceDN w:val="0"/>
        <w:adjustRightInd w:val="0"/>
        <w:snapToGrid w:val="0"/>
        <w:spacing w:line="360" w:lineRule="auto"/>
        <w:jc w:val="center"/>
        <w:rPr>
          <w:rFonts w:ascii="宋体" w:hAnsi="宋体" w:cs="MingLiU"/>
          <w:color w:val="auto"/>
          <w:kern w:val="0"/>
          <w:sz w:val="28"/>
          <w:szCs w:val="28"/>
          <w:highlight w:val="none"/>
        </w:rPr>
      </w:pPr>
      <w:r>
        <w:rPr>
          <w:rFonts w:hint="eastAsia" w:ascii="宋体" w:hAnsi="宋体" w:cs="MingLiU"/>
          <w:color w:val="auto"/>
          <w:kern w:val="0"/>
          <w:sz w:val="28"/>
          <w:szCs w:val="28"/>
          <w:highlight w:val="none"/>
        </w:rPr>
        <w:t>项目管理机构组成表</w:t>
      </w:r>
    </w:p>
    <w:tbl>
      <w:tblPr>
        <w:tblStyle w:val="46"/>
        <w:tblW w:w="9482" w:type="dxa"/>
        <w:tblInd w:w="-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856"/>
        <w:gridCol w:w="734"/>
        <w:gridCol w:w="776"/>
        <w:gridCol w:w="1167"/>
        <w:gridCol w:w="776"/>
        <w:gridCol w:w="778"/>
        <w:gridCol w:w="776"/>
        <w:gridCol w:w="2723"/>
        <w:gridCol w:w="896"/>
      </w:tblGrid>
      <w:tr w14:paraId="0B23B22F">
        <w:tblPrEx>
          <w:tblCellMar>
            <w:top w:w="0" w:type="dxa"/>
            <w:left w:w="0" w:type="dxa"/>
            <w:bottom w:w="0" w:type="dxa"/>
            <w:right w:w="0" w:type="dxa"/>
          </w:tblCellMar>
        </w:tblPrEx>
        <w:trPr>
          <w:trHeight w:val="508" w:hRule="exact"/>
        </w:trPr>
        <w:tc>
          <w:tcPr>
            <w:tcW w:w="856" w:type="dxa"/>
            <w:vMerge w:val="restart"/>
            <w:vAlign w:val="center"/>
          </w:tcPr>
          <w:p w14:paraId="0E5B416C">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职务</w:t>
            </w:r>
          </w:p>
        </w:tc>
        <w:tc>
          <w:tcPr>
            <w:tcW w:w="734" w:type="dxa"/>
            <w:vMerge w:val="restart"/>
            <w:vAlign w:val="center"/>
          </w:tcPr>
          <w:p w14:paraId="348F03F5">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姓名</w:t>
            </w:r>
          </w:p>
        </w:tc>
        <w:tc>
          <w:tcPr>
            <w:tcW w:w="776" w:type="dxa"/>
            <w:vMerge w:val="restart"/>
            <w:vAlign w:val="center"/>
          </w:tcPr>
          <w:p w14:paraId="442CC5BD">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职称</w:t>
            </w:r>
          </w:p>
        </w:tc>
        <w:tc>
          <w:tcPr>
            <w:tcW w:w="6220" w:type="dxa"/>
            <w:gridSpan w:val="5"/>
            <w:vAlign w:val="center"/>
          </w:tcPr>
          <w:p w14:paraId="06EACC37">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执业或职业资格证明</w:t>
            </w:r>
          </w:p>
        </w:tc>
        <w:tc>
          <w:tcPr>
            <w:tcW w:w="896" w:type="dxa"/>
            <w:vAlign w:val="center"/>
          </w:tcPr>
          <w:p w14:paraId="5266F3A0">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备注</w:t>
            </w:r>
          </w:p>
        </w:tc>
      </w:tr>
      <w:tr w14:paraId="70D0B84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continue"/>
          </w:tcPr>
          <w:p w14:paraId="35AA20D3">
            <w:pPr>
              <w:autoSpaceDE w:val="0"/>
              <w:autoSpaceDN w:val="0"/>
              <w:adjustRightInd w:val="0"/>
              <w:snapToGrid w:val="0"/>
              <w:jc w:val="left"/>
              <w:rPr>
                <w:rFonts w:ascii="宋体" w:hAnsi="宋体"/>
                <w:color w:val="auto"/>
                <w:kern w:val="0"/>
                <w:szCs w:val="21"/>
                <w:highlight w:val="none"/>
              </w:rPr>
            </w:pPr>
          </w:p>
        </w:tc>
        <w:tc>
          <w:tcPr>
            <w:tcW w:w="734" w:type="dxa"/>
            <w:vMerge w:val="continue"/>
          </w:tcPr>
          <w:p w14:paraId="6A29B457">
            <w:pPr>
              <w:autoSpaceDE w:val="0"/>
              <w:autoSpaceDN w:val="0"/>
              <w:adjustRightInd w:val="0"/>
              <w:snapToGrid w:val="0"/>
              <w:jc w:val="left"/>
              <w:rPr>
                <w:rFonts w:ascii="宋体" w:hAnsi="宋体"/>
                <w:color w:val="auto"/>
                <w:kern w:val="0"/>
                <w:szCs w:val="21"/>
                <w:highlight w:val="none"/>
              </w:rPr>
            </w:pPr>
          </w:p>
        </w:tc>
        <w:tc>
          <w:tcPr>
            <w:tcW w:w="776" w:type="dxa"/>
            <w:vMerge w:val="continue"/>
          </w:tcPr>
          <w:p w14:paraId="2875C4B8">
            <w:pPr>
              <w:autoSpaceDE w:val="0"/>
              <w:autoSpaceDN w:val="0"/>
              <w:adjustRightInd w:val="0"/>
              <w:snapToGrid w:val="0"/>
              <w:jc w:val="left"/>
              <w:rPr>
                <w:rFonts w:ascii="宋体" w:hAnsi="宋体"/>
                <w:color w:val="auto"/>
                <w:kern w:val="0"/>
                <w:szCs w:val="21"/>
                <w:highlight w:val="none"/>
              </w:rPr>
            </w:pPr>
          </w:p>
        </w:tc>
        <w:tc>
          <w:tcPr>
            <w:tcW w:w="1167" w:type="dxa"/>
            <w:vAlign w:val="center"/>
          </w:tcPr>
          <w:p w14:paraId="35324DA4">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证书名称</w:t>
            </w:r>
          </w:p>
        </w:tc>
        <w:tc>
          <w:tcPr>
            <w:tcW w:w="776" w:type="dxa"/>
            <w:vAlign w:val="center"/>
          </w:tcPr>
          <w:p w14:paraId="28E50099">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级别</w:t>
            </w:r>
          </w:p>
        </w:tc>
        <w:tc>
          <w:tcPr>
            <w:tcW w:w="778" w:type="dxa"/>
            <w:vAlign w:val="center"/>
          </w:tcPr>
          <w:p w14:paraId="6EAB899F">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证号</w:t>
            </w:r>
          </w:p>
        </w:tc>
        <w:tc>
          <w:tcPr>
            <w:tcW w:w="776" w:type="dxa"/>
            <w:vAlign w:val="center"/>
          </w:tcPr>
          <w:p w14:paraId="3BCA10CD">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专业</w:t>
            </w:r>
          </w:p>
        </w:tc>
        <w:tc>
          <w:tcPr>
            <w:tcW w:w="2723" w:type="dxa"/>
            <w:vAlign w:val="center"/>
          </w:tcPr>
          <w:p w14:paraId="0BCAA343">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养老保险</w:t>
            </w:r>
          </w:p>
        </w:tc>
        <w:tc>
          <w:tcPr>
            <w:tcW w:w="896" w:type="dxa"/>
          </w:tcPr>
          <w:p w14:paraId="7A0CDCB8">
            <w:pPr>
              <w:autoSpaceDE w:val="0"/>
              <w:autoSpaceDN w:val="0"/>
              <w:adjustRightInd w:val="0"/>
              <w:snapToGrid w:val="0"/>
              <w:jc w:val="left"/>
              <w:rPr>
                <w:rFonts w:ascii="宋体" w:hAnsi="宋体"/>
                <w:color w:val="auto"/>
                <w:kern w:val="0"/>
                <w:szCs w:val="21"/>
                <w:highlight w:val="none"/>
              </w:rPr>
            </w:pPr>
          </w:p>
        </w:tc>
      </w:tr>
      <w:tr w14:paraId="4A7CFA4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center"/>
          </w:tcPr>
          <w:p w14:paraId="698315CE">
            <w:pPr>
              <w:autoSpaceDE w:val="0"/>
              <w:autoSpaceDN w:val="0"/>
              <w:adjustRightInd w:val="0"/>
              <w:snapToGrid w:val="0"/>
              <w:jc w:val="center"/>
              <w:rPr>
                <w:rFonts w:ascii="宋体" w:hAnsi="宋体"/>
                <w:color w:val="auto"/>
                <w:kern w:val="0"/>
                <w:szCs w:val="21"/>
                <w:highlight w:val="none"/>
              </w:rPr>
            </w:pPr>
            <w:r>
              <w:rPr>
                <w:rFonts w:hint="eastAsia" w:ascii="宋体" w:hAnsi="宋体"/>
                <w:color w:val="auto"/>
                <w:kern w:val="0"/>
                <w:szCs w:val="21"/>
                <w:highlight w:val="none"/>
              </w:rPr>
              <w:t>项目经理</w:t>
            </w:r>
          </w:p>
        </w:tc>
        <w:tc>
          <w:tcPr>
            <w:tcW w:w="734" w:type="dxa"/>
          </w:tcPr>
          <w:p w14:paraId="31FE4352">
            <w:pPr>
              <w:autoSpaceDE w:val="0"/>
              <w:autoSpaceDN w:val="0"/>
              <w:adjustRightInd w:val="0"/>
              <w:snapToGrid w:val="0"/>
              <w:jc w:val="left"/>
              <w:rPr>
                <w:rFonts w:ascii="宋体" w:hAnsi="宋体"/>
                <w:color w:val="auto"/>
                <w:kern w:val="0"/>
                <w:szCs w:val="21"/>
                <w:highlight w:val="none"/>
              </w:rPr>
            </w:pPr>
          </w:p>
        </w:tc>
        <w:tc>
          <w:tcPr>
            <w:tcW w:w="776" w:type="dxa"/>
          </w:tcPr>
          <w:p w14:paraId="452692E7">
            <w:pPr>
              <w:autoSpaceDE w:val="0"/>
              <w:autoSpaceDN w:val="0"/>
              <w:adjustRightInd w:val="0"/>
              <w:snapToGrid w:val="0"/>
              <w:jc w:val="left"/>
              <w:rPr>
                <w:rFonts w:ascii="宋体" w:hAnsi="宋体"/>
                <w:color w:val="auto"/>
                <w:kern w:val="0"/>
                <w:szCs w:val="21"/>
                <w:highlight w:val="none"/>
              </w:rPr>
            </w:pPr>
          </w:p>
        </w:tc>
        <w:tc>
          <w:tcPr>
            <w:tcW w:w="1167" w:type="dxa"/>
          </w:tcPr>
          <w:p w14:paraId="57C99A28">
            <w:pPr>
              <w:autoSpaceDE w:val="0"/>
              <w:autoSpaceDN w:val="0"/>
              <w:adjustRightInd w:val="0"/>
              <w:snapToGrid w:val="0"/>
              <w:jc w:val="left"/>
              <w:rPr>
                <w:rFonts w:ascii="宋体" w:hAnsi="宋体"/>
                <w:color w:val="auto"/>
                <w:kern w:val="0"/>
                <w:szCs w:val="21"/>
                <w:highlight w:val="none"/>
              </w:rPr>
            </w:pPr>
          </w:p>
        </w:tc>
        <w:tc>
          <w:tcPr>
            <w:tcW w:w="776" w:type="dxa"/>
          </w:tcPr>
          <w:p w14:paraId="7EBBCE5E">
            <w:pPr>
              <w:autoSpaceDE w:val="0"/>
              <w:autoSpaceDN w:val="0"/>
              <w:adjustRightInd w:val="0"/>
              <w:snapToGrid w:val="0"/>
              <w:jc w:val="left"/>
              <w:rPr>
                <w:rFonts w:ascii="宋体" w:hAnsi="宋体"/>
                <w:color w:val="auto"/>
                <w:kern w:val="0"/>
                <w:szCs w:val="21"/>
                <w:highlight w:val="none"/>
              </w:rPr>
            </w:pPr>
          </w:p>
        </w:tc>
        <w:tc>
          <w:tcPr>
            <w:tcW w:w="778" w:type="dxa"/>
          </w:tcPr>
          <w:p w14:paraId="1D0CF715">
            <w:pPr>
              <w:autoSpaceDE w:val="0"/>
              <w:autoSpaceDN w:val="0"/>
              <w:adjustRightInd w:val="0"/>
              <w:snapToGrid w:val="0"/>
              <w:jc w:val="left"/>
              <w:rPr>
                <w:rFonts w:ascii="宋体" w:hAnsi="宋体"/>
                <w:color w:val="auto"/>
                <w:kern w:val="0"/>
                <w:szCs w:val="21"/>
                <w:highlight w:val="none"/>
              </w:rPr>
            </w:pPr>
          </w:p>
        </w:tc>
        <w:tc>
          <w:tcPr>
            <w:tcW w:w="776" w:type="dxa"/>
          </w:tcPr>
          <w:p w14:paraId="60092C0D">
            <w:pPr>
              <w:autoSpaceDE w:val="0"/>
              <w:autoSpaceDN w:val="0"/>
              <w:adjustRightInd w:val="0"/>
              <w:snapToGrid w:val="0"/>
              <w:jc w:val="left"/>
              <w:rPr>
                <w:rFonts w:ascii="宋体" w:hAnsi="宋体"/>
                <w:color w:val="auto"/>
                <w:kern w:val="0"/>
                <w:szCs w:val="21"/>
                <w:highlight w:val="none"/>
              </w:rPr>
            </w:pPr>
          </w:p>
        </w:tc>
        <w:tc>
          <w:tcPr>
            <w:tcW w:w="2723" w:type="dxa"/>
          </w:tcPr>
          <w:p w14:paraId="2C5F0F91">
            <w:pPr>
              <w:autoSpaceDE w:val="0"/>
              <w:autoSpaceDN w:val="0"/>
              <w:adjustRightInd w:val="0"/>
              <w:snapToGrid w:val="0"/>
              <w:jc w:val="left"/>
              <w:rPr>
                <w:rFonts w:ascii="宋体" w:hAnsi="宋体"/>
                <w:color w:val="auto"/>
                <w:kern w:val="0"/>
                <w:szCs w:val="21"/>
                <w:highlight w:val="none"/>
              </w:rPr>
            </w:pPr>
          </w:p>
        </w:tc>
        <w:tc>
          <w:tcPr>
            <w:tcW w:w="896" w:type="dxa"/>
          </w:tcPr>
          <w:p w14:paraId="55156349">
            <w:pPr>
              <w:autoSpaceDE w:val="0"/>
              <w:autoSpaceDN w:val="0"/>
              <w:adjustRightInd w:val="0"/>
              <w:snapToGrid w:val="0"/>
              <w:jc w:val="left"/>
              <w:rPr>
                <w:rFonts w:ascii="宋体" w:hAnsi="宋体"/>
                <w:color w:val="auto"/>
                <w:kern w:val="0"/>
                <w:szCs w:val="21"/>
                <w:highlight w:val="none"/>
              </w:rPr>
            </w:pPr>
          </w:p>
        </w:tc>
      </w:tr>
      <w:tr w14:paraId="36CB445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03" w:hRule="exact"/>
        </w:trPr>
        <w:tc>
          <w:tcPr>
            <w:tcW w:w="856" w:type="dxa"/>
            <w:vAlign w:val="center"/>
          </w:tcPr>
          <w:p w14:paraId="3E1A9188">
            <w:pPr>
              <w:autoSpaceDE w:val="0"/>
              <w:autoSpaceDN w:val="0"/>
              <w:adjustRightInd w:val="0"/>
              <w:snapToGrid w:val="0"/>
              <w:jc w:val="center"/>
              <w:rPr>
                <w:rFonts w:ascii="宋体" w:hAnsi="宋体"/>
                <w:color w:val="auto"/>
                <w:kern w:val="0"/>
                <w:szCs w:val="21"/>
                <w:highlight w:val="none"/>
              </w:rPr>
            </w:pPr>
            <w:r>
              <w:rPr>
                <w:rFonts w:hint="eastAsia" w:ascii="宋体" w:hAnsi="宋体"/>
                <w:color w:val="auto"/>
                <w:kern w:val="0"/>
                <w:szCs w:val="21"/>
                <w:highlight w:val="none"/>
              </w:rPr>
              <w:t>项目技术负责人</w:t>
            </w:r>
          </w:p>
        </w:tc>
        <w:tc>
          <w:tcPr>
            <w:tcW w:w="734" w:type="dxa"/>
          </w:tcPr>
          <w:p w14:paraId="76FD06BE">
            <w:pPr>
              <w:autoSpaceDE w:val="0"/>
              <w:autoSpaceDN w:val="0"/>
              <w:adjustRightInd w:val="0"/>
              <w:snapToGrid w:val="0"/>
              <w:jc w:val="left"/>
              <w:rPr>
                <w:rFonts w:ascii="宋体" w:hAnsi="宋体"/>
                <w:color w:val="auto"/>
                <w:kern w:val="0"/>
                <w:szCs w:val="21"/>
                <w:highlight w:val="none"/>
              </w:rPr>
            </w:pPr>
          </w:p>
        </w:tc>
        <w:tc>
          <w:tcPr>
            <w:tcW w:w="776" w:type="dxa"/>
          </w:tcPr>
          <w:p w14:paraId="7B9C3AA2">
            <w:pPr>
              <w:autoSpaceDE w:val="0"/>
              <w:autoSpaceDN w:val="0"/>
              <w:adjustRightInd w:val="0"/>
              <w:snapToGrid w:val="0"/>
              <w:jc w:val="left"/>
              <w:rPr>
                <w:rFonts w:ascii="宋体" w:hAnsi="宋体"/>
                <w:color w:val="auto"/>
                <w:kern w:val="0"/>
                <w:szCs w:val="21"/>
                <w:highlight w:val="none"/>
              </w:rPr>
            </w:pPr>
          </w:p>
        </w:tc>
        <w:tc>
          <w:tcPr>
            <w:tcW w:w="1167" w:type="dxa"/>
          </w:tcPr>
          <w:p w14:paraId="5E83F54F">
            <w:pPr>
              <w:autoSpaceDE w:val="0"/>
              <w:autoSpaceDN w:val="0"/>
              <w:adjustRightInd w:val="0"/>
              <w:snapToGrid w:val="0"/>
              <w:jc w:val="left"/>
              <w:rPr>
                <w:rFonts w:ascii="宋体" w:hAnsi="宋体"/>
                <w:color w:val="auto"/>
                <w:kern w:val="0"/>
                <w:szCs w:val="21"/>
                <w:highlight w:val="none"/>
              </w:rPr>
            </w:pPr>
          </w:p>
        </w:tc>
        <w:tc>
          <w:tcPr>
            <w:tcW w:w="776" w:type="dxa"/>
          </w:tcPr>
          <w:p w14:paraId="066630E6">
            <w:pPr>
              <w:autoSpaceDE w:val="0"/>
              <w:autoSpaceDN w:val="0"/>
              <w:adjustRightInd w:val="0"/>
              <w:snapToGrid w:val="0"/>
              <w:jc w:val="left"/>
              <w:rPr>
                <w:rFonts w:ascii="宋体" w:hAnsi="宋体"/>
                <w:color w:val="auto"/>
                <w:kern w:val="0"/>
                <w:szCs w:val="21"/>
                <w:highlight w:val="none"/>
              </w:rPr>
            </w:pPr>
          </w:p>
        </w:tc>
        <w:tc>
          <w:tcPr>
            <w:tcW w:w="778" w:type="dxa"/>
          </w:tcPr>
          <w:p w14:paraId="4BD6D4F4">
            <w:pPr>
              <w:autoSpaceDE w:val="0"/>
              <w:autoSpaceDN w:val="0"/>
              <w:adjustRightInd w:val="0"/>
              <w:snapToGrid w:val="0"/>
              <w:jc w:val="left"/>
              <w:rPr>
                <w:rFonts w:ascii="宋体" w:hAnsi="宋体"/>
                <w:color w:val="auto"/>
                <w:kern w:val="0"/>
                <w:szCs w:val="21"/>
                <w:highlight w:val="none"/>
              </w:rPr>
            </w:pPr>
          </w:p>
        </w:tc>
        <w:tc>
          <w:tcPr>
            <w:tcW w:w="776" w:type="dxa"/>
          </w:tcPr>
          <w:p w14:paraId="2BBF14BB">
            <w:pPr>
              <w:autoSpaceDE w:val="0"/>
              <w:autoSpaceDN w:val="0"/>
              <w:adjustRightInd w:val="0"/>
              <w:snapToGrid w:val="0"/>
              <w:jc w:val="left"/>
              <w:rPr>
                <w:rFonts w:ascii="宋体" w:hAnsi="宋体"/>
                <w:color w:val="auto"/>
                <w:kern w:val="0"/>
                <w:szCs w:val="21"/>
                <w:highlight w:val="none"/>
              </w:rPr>
            </w:pPr>
          </w:p>
        </w:tc>
        <w:tc>
          <w:tcPr>
            <w:tcW w:w="2723" w:type="dxa"/>
          </w:tcPr>
          <w:p w14:paraId="0F78EEDD">
            <w:pPr>
              <w:autoSpaceDE w:val="0"/>
              <w:autoSpaceDN w:val="0"/>
              <w:adjustRightInd w:val="0"/>
              <w:snapToGrid w:val="0"/>
              <w:jc w:val="left"/>
              <w:rPr>
                <w:rFonts w:ascii="宋体" w:hAnsi="宋体"/>
                <w:color w:val="auto"/>
                <w:kern w:val="0"/>
                <w:szCs w:val="21"/>
                <w:highlight w:val="none"/>
              </w:rPr>
            </w:pPr>
          </w:p>
        </w:tc>
        <w:tc>
          <w:tcPr>
            <w:tcW w:w="896" w:type="dxa"/>
          </w:tcPr>
          <w:p w14:paraId="17A1D28E">
            <w:pPr>
              <w:autoSpaceDE w:val="0"/>
              <w:autoSpaceDN w:val="0"/>
              <w:adjustRightInd w:val="0"/>
              <w:snapToGrid w:val="0"/>
              <w:jc w:val="left"/>
              <w:rPr>
                <w:rFonts w:ascii="宋体" w:hAnsi="宋体"/>
                <w:color w:val="auto"/>
                <w:kern w:val="0"/>
                <w:szCs w:val="21"/>
                <w:highlight w:val="none"/>
              </w:rPr>
            </w:pPr>
          </w:p>
        </w:tc>
      </w:tr>
      <w:tr w14:paraId="2776E20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6A0B1D7E">
            <w:pPr>
              <w:autoSpaceDE w:val="0"/>
              <w:autoSpaceDN w:val="0"/>
              <w:adjustRightInd w:val="0"/>
              <w:snapToGrid w:val="0"/>
              <w:jc w:val="left"/>
              <w:rPr>
                <w:rFonts w:ascii="宋体" w:hAnsi="宋体"/>
                <w:color w:val="auto"/>
                <w:kern w:val="0"/>
                <w:szCs w:val="21"/>
                <w:highlight w:val="none"/>
              </w:rPr>
            </w:pPr>
          </w:p>
        </w:tc>
        <w:tc>
          <w:tcPr>
            <w:tcW w:w="734" w:type="dxa"/>
          </w:tcPr>
          <w:p w14:paraId="4E64EC3A">
            <w:pPr>
              <w:autoSpaceDE w:val="0"/>
              <w:autoSpaceDN w:val="0"/>
              <w:adjustRightInd w:val="0"/>
              <w:snapToGrid w:val="0"/>
              <w:jc w:val="left"/>
              <w:rPr>
                <w:rFonts w:ascii="宋体" w:hAnsi="宋体"/>
                <w:color w:val="auto"/>
                <w:kern w:val="0"/>
                <w:szCs w:val="21"/>
                <w:highlight w:val="none"/>
              </w:rPr>
            </w:pPr>
          </w:p>
        </w:tc>
        <w:tc>
          <w:tcPr>
            <w:tcW w:w="776" w:type="dxa"/>
          </w:tcPr>
          <w:p w14:paraId="29696ACF">
            <w:pPr>
              <w:autoSpaceDE w:val="0"/>
              <w:autoSpaceDN w:val="0"/>
              <w:adjustRightInd w:val="0"/>
              <w:snapToGrid w:val="0"/>
              <w:jc w:val="left"/>
              <w:rPr>
                <w:rFonts w:ascii="宋体" w:hAnsi="宋体"/>
                <w:color w:val="auto"/>
                <w:kern w:val="0"/>
                <w:szCs w:val="21"/>
                <w:highlight w:val="none"/>
              </w:rPr>
            </w:pPr>
          </w:p>
        </w:tc>
        <w:tc>
          <w:tcPr>
            <w:tcW w:w="1167" w:type="dxa"/>
          </w:tcPr>
          <w:p w14:paraId="59EBE326">
            <w:pPr>
              <w:autoSpaceDE w:val="0"/>
              <w:autoSpaceDN w:val="0"/>
              <w:adjustRightInd w:val="0"/>
              <w:snapToGrid w:val="0"/>
              <w:jc w:val="left"/>
              <w:rPr>
                <w:rFonts w:ascii="宋体" w:hAnsi="宋体"/>
                <w:color w:val="auto"/>
                <w:kern w:val="0"/>
                <w:szCs w:val="21"/>
                <w:highlight w:val="none"/>
              </w:rPr>
            </w:pPr>
          </w:p>
        </w:tc>
        <w:tc>
          <w:tcPr>
            <w:tcW w:w="776" w:type="dxa"/>
          </w:tcPr>
          <w:p w14:paraId="3BFD138F">
            <w:pPr>
              <w:autoSpaceDE w:val="0"/>
              <w:autoSpaceDN w:val="0"/>
              <w:adjustRightInd w:val="0"/>
              <w:snapToGrid w:val="0"/>
              <w:jc w:val="left"/>
              <w:rPr>
                <w:rFonts w:ascii="宋体" w:hAnsi="宋体"/>
                <w:color w:val="auto"/>
                <w:kern w:val="0"/>
                <w:szCs w:val="21"/>
                <w:highlight w:val="none"/>
              </w:rPr>
            </w:pPr>
          </w:p>
        </w:tc>
        <w:tc>
          <w:tcPr>
            <w:tcW w:w="778" w:type="dxa"/>
          </w:tcPr>
          <w:p w14:paraId="29E39C28">
            <w:pPr>
              <w:autoSpaceDE w:val="0"/>
              <w:autoSpaceDN w:val="0"/>
              <w:adjustRightInd w:val="0"/>
              <w:snapToGrid w:val="0"/>
              <w:jc w:val="left"/>
              <w:rPr>
                <w:rFonts w:ascii="宋体" w:hAnsi="宋体"/>
                <w:color w:val="auto"/>
                <w:kern w:val="0"/>
                <w:szCs w:val="21"/>
                <w:highlight w:val="none"/>
              </w:rPr>
            </w:pPr>
          </w:p>
        </w:tc>
        <w:tc>
          <w:tcPr>
            <w:tcW w:w="776" w:type="dxa"/>
          </w:tcPr>
          <w:p w14:paraId="00C4E0B1">
            <w:pPr>
              <w:autoSpaceDE w:val="0"/>
              <w:autoSpaceDN w:val="0"/>
              <w:adjustRightInd w:val="0"/>
              <w:snapToGrid w:val="0"/>
              <w:jc w:val="left"/>
              <w:rPr>
                <w:rFonts w:ascii="宋体" w:hAnsi="宋体"/>
                <w:color w:val="auto"/>
                <w:kern w:val="0"/>
                <w:szCs w:val="21"/>
                <w:highlight w:val="none"/>
              </w:rPr>
            </w:pPr>
          </w:p>
        </w:tc>
        <w:tc>
          <w:tcPr>
            <w:tcW w:w="2723" w:type="dxa"/>
          </w:tcPr>
          <w:p w14:paraId="7D157915">
            <w:pPr>
              <w:autoSpaceDE w:val="0"/>
              <w:autoSpaceDN w:val="0"/>
              <w:adjustRightInd w:val="0"/>
              <w:snapToGrid w:val="0"/>
              <w:jc w:val="left"/>
              <w:rPr>
                <w:rFonts w:ascii="宋体" w:hAnsi="宋体"/>
                <w:color w:val="auto"/>
                <w:kern w:val="0"/>
                <w:szCs w:val="21"/>
                <w:highlight w:val="none"/>
              </w:rPr>
            </w:pPr>
          </w:p>
        </w:tc>
        <w:tc>
          <w:tcPr>
            <w:tcW w:w="896" w:type="dxa"/>
          </w:tcPr>
          <w:p w14:paraId="40BB6B52">
            <w:pPr>
              <w:autoSpaceDE w:val="0"/>
              <w:autoSpaceDN w:val="0"/>
              <w:adjustRightInd w:val="0"/>
              <w:snapToGrid w:val="0"/>
              <w:jc w:val="left"/>
              <w:rPr>
                <w:rFonts w:ascii="宋体" w:hAnsi="宋体"/>
                <w:color w:val="auto"/>
                <w:kern w:val="0"/>
                <w:szCs w:val="21"/>
                <w:highlight w:val="none"/>
              </w:rPr>
            </w:pPr>
          </w:p>
        </w:tc>
      </w:tr>
      <w:tr w14:paraId="78525A4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5838141F">
            <w:pPr>
              <w:autoSpaceDE w:val="0"/>
              <w:autoSpaceDN w:val="0"/>
              <w:adjustRightInd w:val="0"/>
              <w:snapToGrid w:val="0"/>
              <w:jc w:val="left"/>
              <w:rPr>
                <w:rFonts w:ascii="宋体" w:hAnsi="宋体"/>
                <w:color w:val="auto"/>
                <w:kern w:val="0"/>
                <w:szCs w:val="21"/>
                <w:highlight w:val="none"/>
              </w:rPr>
            </w:pPr>
          </w:p>
        </w:tc>
        <w:tc>
          <w:tcPr>
            <w:tcW w:w="734" w:type="dxa"/>
          </w:tcPr>
          <w:p w14:paraId="180736AA">
            <w:pPr>
              <w:autoSpaceDE w:val="0"/>
              <w:autoSpaceDN w:val="0"/>
              <w:adjustRightInd w:val="0"/>
              <w:snapToGrid w:val="0"/>
              <w:jc w:val="left"/>
              <w:rPr>
                <w:rFonts w:ascii="宋体" w:hAnsi="宋体"/>
                <w:color w:val="auto"/>
                <w:kern w:val="0"/>
                <w:szCs w:val="21"/>
                <w:highlight w:val="none"/>
              </w:rPr>
            </w:pPr>
          </w:p>
        </w:tc>
        <w:tc>
          <w:tcPr>
            <w:tcW w:w="776" w:type="dxa"/>
          </w:tcPr>
          <w:p w14:paraId="3E9FB49C">
            <w:pPr>
              <w:autoSpaceDE w:val="0"/>
              <w:autoSpaceDN w:val="0"/>
              <w:adjustRightInd w:val="0"/>
              <w:snapToGrid w:val="0"/>
              <w:jc w:val="left"/>
              <w:rPr>
                <w:rFonts w:ascii="宋体" w:hAnsi="宋体"/>
                <w:color w:val="auto"/>
                <w:kern w:val="0"/>
                <w:szCs w:val="21"/>
                <w:highlight w:val="none"/>
              </w:rPr>
            </w:pPr>
          </w:p>
        </w:tc>
        <w:tc>
          <w:tcPr>
            <w:tcW w:w="1167" w:type="dxa"/>
          </w:tcPr>
          <w:p w14:paraId="2C996E31">
            <w:pPr>
              <w:autoSpaceDE w:val="0"/>
              <w:autoSpaceDN w:val="0"/>
              <w:adjustRightInd w:val="0"/>
              <w:snapToGrid w:val="0"/>
              <w:jc w:val="left"/>
              <w:rPr>
                <w:rFonts w:ascii="宋体" w:hAnsi="宋体"/>
                <w:color w:val="auto"/>
                <w:kern w:val="0"/>
                <w:szCs w:val="21"/>
                <w:highlight w:val="none"/>
              </w:rPr>
            </w:pPr>
          </w:p>
        </w:tc>
        <w:tc>
          <w:tcPr>
            <w:tcW w:w="776" w:type="dxa"/>
          </w:tcPr>
          <w:p w14:paraId="12AC37D1">
            <w:pPr>
              <w:autoSpaceDE w:val="0"/>
              <w:autoSpaceDN w:val="0"/>
              <w:adjustRightInd w:val="0"/>
              <w:snapToGrid w:val="0"/>
              <w:jc w:val="left"/>
              <w:rPr>
                <w:rFonts w:ascii="宋体" w:hAnsi="宋体"/>
                <w:color w:val="auto"/>
                <w:kern w:val="0"/>
                <w:szCs w:val="21"/>
                <w:highlight w:val="none"/>
              </w:rPr>
            </w:pPr>
          </w:p>
        </w:tc>
        <w:tc>
          <w:tcPr>
            <w:tcW w:w="778" w:type="dxa"/>
          </w:tcPr>
          <w:p w14:paraId="51578D64">
            <w:pPr>
              <w:autoSpaceDE w:val="0"/>
              <w:autoSpaceDN w:val="0"/>
              <w:adjustRightInd w:val="0"/>
              <w:snapToGrid w:val="0"/>
              <w:jc w:val="left"/>
              <w:rPr>
                <w:rFonts w:ascii="宋体" w:hAnsi="宋体"/>
                <w:color w:val="auto"/>
                <w:kern w:val="0"/>
                <w:szCs w:val="21"/>
                <w:highlight w:val="none"/>
              </w:rPr>
            </w:pPr>
          </w:p>
        </w:tc>
        <w:tc>
          <w:tcPr>
            <w:tcW w:w="776" w:type="dxa"/>
          </w:tcPr>
          <w:p w14:paraId="439399F1">
            <w:pPr>
              <w:autoSpaceDE w:val="0"/>
              <w:autoSpaceDN w:val="0"/>
              <w:adjustRightInd w:val="0"/>
              <w:snapToGrid w:val="0"/>
              <w:jc w:val="left"/>
              <w:rPr>
                <w:rFonts w:ascii="宋体" w:hAnsi="宋体"/>
                <w:color w:val="auto"/>
                <w:kern w:val="0"/>
                <w:szCs w:val="21"/>
                <w:highlight w:val="none"/>
              </w:rPr>
            </w:pPr>
          </w:p>
        </w:tc>
        <w:tc>
          <w:tcPr>
            <w:tcW w:w="2723" w:type="dxa"/>
          </w:tcPr>
          <w:p w14:paraId="0EC16B15">
            <w:pPr>
              <w:autoSpaceDE w:val="0"/>
              <w:autoSpaceDN w:val="0"/>
              <w:adjustRightInd w:val="0"/>
              <w:snapToGrid w:val="0"/>
              <w:jc w:val="left"/>
              <w:rPr>
                <w:rFonts w:ascii="宋体" w:hAnsi="宋体"/>
                <w:color w:val="auto"/>
                <w:kern w:val="0"/>
                <w:szCs w:val="21"/>
                <w:highlight w:val="none"/>
              </w:rPr>
            </w:pPr>
          </w:p>
        </w:tc>
        <w:tc>
          <w:tcPr>
            <w:tcW w:w="896" w:type="dxa"/>
          </w:tcPr>
          <w:p w14:paraId="03CC0281">
            <w:pPr>
              <w:autoSpaceDE w:val="0"/>
              <w:autoSpaceDN w:val="0"/>
              <w:adjustRightInd w:val="0"/>
              <w:snapToGrid w:val="0"/>
              <w:jc w:val="left"/>
              <w:rPr>
                <w:rFonts w:ascii="宋体" w:hAnsi="宋体"/>
                <w:color w:val="auto"/>
                <w:kern w:val="0"/>
                <w:szCs w:val="21"/>
                <w:highlight w:val="none"/>
              </w:rPr>
            </w:pPr>
          </w:p>
        </w:tc>
      </w:tr>
      <w:tr w14:paraId="7E11296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6A6D13C1">
            <w:pPr>
              <w:autoSpaceDE w:val="0"/>
              <w:autoSpaceDN w:val="0"/>
              <w:adjustRightInd w:val="0"/>
              <w:snapToGrid w:val="0"/>
              <w:jc w:val="left"/>
              <w:rPr>
                <w:rFonts w:ascii="宋体" w:hAnsi="宋体"/>
                <w:color w:val="auto"/>
                <w:kern w:val="0"/>
                <w:szCs w:val="21"/>
                <w:highlight w:val="none"/>
              </w:rPr>
            </w:pPr>
          </w:p>
        </w:tc>
        <w:tc>
          <w:tcPr>
            <w:tcW w:w="734" w:type="dxa"/>
          </w:tcPr>
          <w:p w14:paraId="459D5636">
            <w:pPr>
              <w:autoSpaceDE w:val="0"/>
              <w:autoSpaceDN w:val="0"/>
              <w:adjustRightInd w:val="0"/>
              <w:snapToGrid w:val="0"/>
              <w:jc w:val="left"/>
              <w:rPr>
                <w:rFonts w:ascii="宋体" w:hAnsi="宋体"/>
                <w:color w:val="auto"/>
                <w:kern w:val="0"/>
                <w:szCs w:val="21"/>
                <w:highlight w:val="none"/>
              </w:rPr>
            </w:pPr>
          </w:p>
        </w:tc>
        <w:tc>
          <w:tcPr>
            <w:tcW w:w="776" w:type="dxa"/>
          </w:tcPr>
          <w:p w14:paraId="59D094DA">
            <w:pPr>
              <w:autoSpaceDE w:val="0"/>
              <w:autoSpaceDN w:val="0"/>
              <w:adjustRightInd w:val="0"/>
              <w:snapToGrid w:val="0"/>
              <w:jc w:val="left"/>
              <w:rPr>
                <w:rFonts w:ascii="宋体" w:hAnsi="宋体"/>
                <w:color w:val="auto"/>
                <w:kern w:val="0"/>
                <w:szCs w:val="21"/>
                <w:highlight w:val="none"/>
              </w:rPr>
            </w:pPr>
          </w:p>
        </w:tc>
        <w:tc>
          <w:tcPr>
            <w:tcW w:w="1167" w:type="dxa"/>
          </w:tcPr>
          <w:p w14:paraId="2DB4BF74">
            <w:pPr>
              <w:autoSpaceDE w:val="0"/>
              <w:autoSpaceDN w:val="0"/>
              <w:adjustRightInd w:val="0"/>
              <w:snapToGrid w:val="0"/>
              <w:jc w:val="left"/>
              <w:rPr>
                <w:rFonts w:ascii="宋体" w:hAnsi="宋体"/>
                <w:color w:val="auto"/>
                <w:kern w:val="0"/>
                <w:szCs w:val="21"/>
                <w:highlight w:val="none"/>
              </w:rPr>
            </w:pPr>
          </w:p>
        </w:tc>
        <w:tc>
          <w:tcPr>
            <w:tcW w:w="776" w:type="dxa"/>
          </w:tcPr>
          <w:p w14:paraId="63E85E37">
            <w:pPr>
              <w:autoSpaceDE w:val="0"/>
              <w:autoSpaceDN w:val="0"/>
              <w:adjustRightInd w:val="0"/>
              <w:snapToGrid w:val="0"/>
              <w:jc w:val="left"/>
              <w:rPr>
                <w:rFonts w:ascii="宋体" w:hAnsi="宋体"/>
                <w:color w:val="auto"/>
                <w:kern w:val="0"/>
                <w:szCs w:val="21"/>
                <w:highlight w:val="none"/>
              </w:rPr>
            </w:pPr>
          </w:p>
        </w:tc>
        <w:tc>
          <w:tcPr>
            <w:tcW w:w="778" w:type="dxa"/>
          </w:tcPr>
          <w:p w14:paraId="56D2E3FE">
            <w:pPr>
              <w:autoSpaceDE w:val="0"/>
              <w:autoSpaceDN w:val="0"/>
              <w:adjustRightInd w:val="0"/>
              <w:snapToGrid w:val="0"/>
              <w:jc w:val="left"/>
              <w:rPr>
                <w:rFonts w:ascii="宋体" w:hAnsi="宋体"/>
                <w:color w:val="auto"/>
                <w:kern w:val="0"/>
                <w:szCs w:val="21"/>
                <w:highlight w:val="none"/>
              </w:rPr>
            </w:pPr>
          </w:p>
        </w:tc>
        <w:tc>
          <w:tcPr>
            <w:tcW w:w="776" w:type="dxa"/>
          </w:tcPr>
          <w:p w14:paraId="2C7DFFE4">
            <w:pPr>
              <w:autoSpaceDE w:val="0"/>
              <w:autoSpaceDN w:val="0"/>
              <w:adjustRightInd w:val="0"/>
              <w:snapToGrid w:val="0"/>
              <w:jc w:val="left"/>
              <w:rPr>
                <w:rFonts w:ascii="宋体" w:hAnsi="宋体"/>
                <w:color w:val="auto"/>
                <w:kern w:val="0"/>
                <w:szCs w:val="21"/>
                <w:highlight w:val="none"/>
              </w:rPr>
            </w:pPr>
          </w:p>
        </w:tc>
        <w:tc>
          <w:tcPr>
            <w:tcW w:w="2723" w:type="dxa"/>
          </w:tcPr>
          <w:p w14:paraId="170D0700">
            <w:pPr>
              <w:autoSpaceDE w:val="0"/>
              <w:autoSpaceDN w:val="0"/>
              <w:adjustRightInd w:val="0"/>
              <w:snapToGrid w:val="0"/>
              <w:jc w:val="left"/>
              <w:rPr>
                <w:rFonts w:ascii="宋体" w:hAnsi="宋体"/>
                <w:color w:val="auto"/>
                <w:kern w:val="0"/>
                <w:szCs w:val="21"/>
                <w:highlight w:val="none"/>
              </w:rPr>
            </w:pPr>
          </w:p>
        </w:tc>
        <w:tc>
          <w:tcPr>
            <w:tcW w:w="896" w:type="dxa"/>
          </w:tcPr>
          <w:p w14:paraId="527FF5C1">
            <w:pPr>
              <w:autoSpaceDE w:val="0"/>
              <w:autoSpaceDN w:val="0"/>
              <w:adjustRightInd w:val="0"/>
              <w:snapToGrid w:val="0"/>
              <w:jc w:val="left"/>
              <w:rPr>
                <w:rFonts w:ascii="宋体" w:hAnsi="宋体"/>
                <w:color w:val="auto"/>
                <w:kern w:val="0"/>
                <w:szCs w:val="21"/>
                <w:highlight w:val="none"/>
              </w:rPr>
            </w:pPr>
          </w:p>
        </w:tc>
      </w:tr>
      <w:tr w14:paraId="557AAB6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039E91E2">
            <w:pPr>
              <w:autoSpaceDE w:val="0"/>
              <w:autoSpaceDN w:val="0"/>
              <w:adjustRightInd w:val="0"/>
              <w:snapToGrid w:val="0"/>
              <w:jc w:val="left"/>
              <w:rPr>
                <w:rFonts w:ascii="宋体" w:hAnsi="宋体"/>
                <w:color w:val="auto"/>
                <w:kern w:val="0"/>
                <w:szCs w:val="21"/>
                <w:highlight w:val="none"/>
              </w:rPr>
            </w:pPr>
          </w:p>
        </w:tc>
        <w:tc>
          <w:tcPr>
            <w:tcW w:w="734" w:type="dxa"/>
          </w:tcPr>
          <w:p w14:paraId="73256F90">
            <w:pPr>
              <w:autoSpaceDE w:val="0"/>
              <w:autoSpaceDN w:val="0"/>
              <w:adjustRightInd w:val="0"/>
              <w:snapToGrid w:val="0"/>
              <w:jc w:val="left"/>
              <w:rPr>
                <w:rFonts w:ascii="宋体" w:hAnsi="宋体"/>
                <w:color w:val="auto"/>
                <w:kern w:val="0"/>
                <w:szCs w:val="21"/>
                <w:highlight w:val="none"/>
              </w:rPr>
            </w:pPr>
          </w:p>
        </w:tc>
        <w:tc>
          <w:tcPr>
            <w:tcW w:w="776" w:type="dxa"/>
          </w:tcPr>
          <w:p w14:paraId="5BBD6B45">
            <w:pPr>
              <w:autoSpaceDE w:val="0"/>
              <w:autoSpaceDN w:val="0"/>
              <w:adjustRightInd w:val="0"/>
              <w:snapToGrid w:val="0"/>
              <w:jc w:val="left"/>
              <w:rPr>
                <w:rFonts w:ascii="宋体" w:hAnsi="宋体"/>
                <w:color w:val="auto"/>
                <w:kern w:val="0"/>
                <w:szCs w:val="21"/>
                <w:highlight w:val="none"/>
              </w:rPr>
            </w:pPr>
          </w:p>
        </w:tc>
        <w:tc>
          <w:tcPr>
            <w:tcW w:w="1167" w:type="dxa"/>
          </w:tcPr>
          <w:p w14:paraId="3A6A679F">
            <w:pPr>
              <w:autoSpaceDE w:val="0"/>
              <w:autoSpaceDN w:val="0"/>
              <w:adjustRightInd w:val="0"/>
              <w:snapToGrid w:val="0"/>
              <w:jc w:val="left"/>
              <w:rPr>
                <w:rFonts w:ascii="宋体" w:hAnsi="宋体"/>
                <w:color w:val="auto"/>
                <w:kern w:val="0"/>
                <w:szCs w:val="21"/>
                <w:highlight w:val="none"/>
              </w:rPr>
            </w:pPr>
          </w:p>
        </w:tc>
        <w:tc>
          <w:tcPr>
            <w:tcW w:w="776" w:type="dxa"/>
          </w:tcPr>
          <w:p w14:paraId="0F20206F">
            <w:pPr>
              <w:autoSpaceDE w:val="0"/>
              <w:autoSpaceDN w:val="0"/>
              <w:adjustRightInd w:val="0"/>
              <w:snapToGrid w:val="0"/>
              <w:jc w:val="left"/>
              <w:rPr>
                <w:rFonts w:ascii="宋体" w:hAnsi="宋体"/>
                <w:color w:val="auto"/>
                <w:kern w:val="0"/>
                <w:szCs w:val="21"/>
                <w:highlight w:val="none"/>
              </w:rPr>
            </w:pPr>
          </w:p>
        </w:tc>
        <w:tc>
          <w:tcPr>
            <w:tcW w:w="778" w:type="dxa"/>
          </w:tcPr>
          <w:p w14:paraId="164F63BF">
            <w:pPr>
              <w:autoSpaceDE w:val="0"/>
              <w:autoSpaceDN w:val="0"/>
              <w:adjustRightInd w:val="0"/>
              <w:snapToGrid w:val="0"/>
              <w:jc w:val="left"/>
              <w:rPr>
                <w:rFonts w:ascii="宋体" w:hAnsi="宋体"/>
                <w:color w:val="auto"/>
                <w:kern w:val="0"/>
                <w:szCs w:val="21"/>
                <w:highlight w:val="none"/>
              </w:rPr>
            </w:pPr>
          </w:p>
        </w:tc>
        <w:tc>
          <w:tcPr>
            <w:tcW w:w="776" w:type="dxa"/>
          </w:tcPr>
          <w:p w14:paraId="5EE48752">
            <w:pPr>
              <w:autoSpaceDE w:val="0"/>
              <w:autoSpaceDN w:val="0"/>
              <w:adjustRightInd w:val="0"/>
              <w:snapToGrid w:val="0"/>
              <w:jc w:val="left"/>
              <w:rPr>
                <w:rFonts w:ascii="宋体" w:hAnsi="宋体"/>
                <w:color w:val="auto"/>
                <w:kern w:val="0"/>
                <w:szCs w:val="21"/>
                <w:highlight w:val="none"/>
              </w:rPr>
            </w:pPr>
          </w:p>
        </w:tc>
        <w:tc>
          <w:tcPr>
            <w:tcW w:w="2723" w:type="dxa"/>
          </w:tcPr>
          <w:p w14:paraId="6895BBD3">
            <w:pPr>
              <w:autoSpaceDE w:val="0"/>
              <w:autoSpaceDN w:val="0"/>
              <w:adjustRightInd w:val="0"/>
              <w:snapToGrid w:val="0"/>
              <w:jc w:val="left"/>
              <w:rPr>
                <w:rFonts w:ascii="宋体" w:hAnsi="宋体"/>
                <w:color w:val="auto"/>
                <w:kern w:val="0"/>
                <w:szCs w:val="21"/>
                <w:highlight w:val="none"/>
              </w:rPr>
            </w:pPr>
          </w:p>
        </w:tc>
        <w:tc>
          <w:tcPr>
            <w:tcW w:w="896" w:type="dxa"/>
          </w:tcPr>
          <w:p w14:paraId="76B177A2">
            <w:pPr>
              <w:autoSpaceDE w:val="0"/>
              <w:autoSpaceDN w:val="0"/>
              <w:adjustRightInd w:val="0"/>
              <w:snapToGrid w:val="0"/>
              <w:jc w:val="left"/>
              <w:rPr>
                <w:rFonts w:ascii="宋体" w:hAnsi="宋体"/>
                <w:color w:val="auto"/>
                <w:kern w:val="0"/>
                <w:szCs w:val="21"/>
                <w:highlight w:val="none"/>
              </w:rPr>
            </w:pPr>
          </w:p>
        </w:tc>
      </w:tr>
      <w:tr w14:paraId="015D955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78E9E1D0">
            <w:pPr>
              <w:autoSpaceDE w:val="0"/>
              <w:autoSpaceDN w:val="0"/>
              <w:adjustRightInd w:val="0"/>
              <w:snapToGrid w:val="0"/>
              <w:jc w:val="left"/>
              <w:rPr>
                <w:rFonts w:ascii="宋体" w:hAnsi="宋体"/>
                <w:color w:val="auto"/>
                <w:kern w:val="0"/>
                <w:szCs w:val="21"/>
                <w:highlight w:val="none"/>
              </w:rPr>
            </w:pPr>
          </w:p>
        </w:tc>
        <w:tc>
          <w:tcPr>
            <w:tcW w:w="734" w:type="dxa"/>
          </w:tcPr>
          <w:p w14:paraId="6E6BB03F">
            <w:pPr>
              <w:autoSpaceDE w:val="0"/>
              <w:autoSpaceDN w:val="0"/>
              <w:adjustRightInd w:val="0"/>
              <w:snapToGrid w:val="0"/>
              <w:jc w:val="left"/>
              <w:rPr>
                <w:rFonts w:ascii="宋体" w:hAnsi="宋体"/>
                <w:color w:val="auto"/>
                <w:kern w:val="0"/>
                <w:szCs w:val="21"/>
                <w:highlight w:val="none"/>
              </w:rPr>
            </w:pPr>
          </w:p>
        </w:tc>
        <w:tc>
          <w:tcPr>
            <w:tcW w:w="776" w:type="dxa"/>
          </w:tcPr>
          <w:p w14:paraId="1E9E59DF">
            <w:pPr>
              <w:autoSpaceDE w:val="0"/>
              <w:autoSpaceDN w:val="0"/>
              <w:adjustRightInd w:val="0"/>
              <w:snapToGrid w:val="0"/>
              <w:jc w:val="left"/>
              <w:rPr>
                <w:rFonts w:ascii="宋体" w:hAnsi="宋体"/>
                <w:color w:val="auto"/>
                <w:kern w:val="0"/>
                <w:szCs w:val="21"/>
                <w:highlight w:val="none"/>
              </w:rPr>
            </w:pPr>
          </w:p>
        </w:tc>
        <w:tc>
          <w:tcPr>
            <w:tcW w:w="1167" w:type="dxa"/>
          </w:tcPr>
          <w:p w14:paraId="71FDD501">
            <w:pPr>
              <w:autoSpaceDE w:val="0"/>
              <w:autoSpaceDN w:val="0"/>
              <w:adjustRightInd w:val="0"/>
              <w:snapToGrid w:val="0"/>
              <w:jc w:val="left"/>
              <w:rPr>
                <w:rFonts w:ascii="宋体" w:hAnsi="宋体"/>
                <w:color w:val="auto"/>
                <w:kern w:val="0"/>
                <w:szCs w:val="21"/>
                <w:highlight w:val="none"/>
              </w:rPr>
            </w:pPr>
          </w:p>
        </w:tc>
        <w:tc>
          <w:tcPr>
            <w:tcW w:w="776" w:type="dxa"/>
          </w:tcPr>
          <w:p w14:paraId="09D0F7F9">
            <w:pPr>
              <w:autoSpaceDE w:val="0"/>
              <w:autoSpaceDN w:val="0"/>
              <w:adjustRightInd w:val="0"/>
              <w:snapToGrid w:val="0"/>
              <w:jc w:val="left"/>
              <w:rPr>
                <w:rFonts w:ascii="宋体" w:hAnsi="宋体"/>
                <w:color w:val="auto"/>
                <w:kern w:val="0"/>
                <w:szCs w:val="21"/>
                <w:highlight w:val="none"/>
              </w:rPr>
            </w:pPr>
          </w:p>
        </w:tc>
        <w:tc>
          <w:tcPr>
            <w:tcW w:w="778" w:type="dxa"/>
          </w:tcPr>
          <w:p w14:paraId="604A4EB1">
            <w:pPr>
              <w:autoSpaceDE w:val="0"/>
              <w:autoSpaceDN w:val="0"/>
              <w:adjustRightInd w:val="0"/>
              <w:snapToGrid w:val="0"/>
              <w:jc w:val="left"/>
              <w:rPr>
                <w:rFonts w:ascii="宋体" w:hAnsi="宋体"/>
                <w:color w:val="auto"/>
                <w:kern w:val="0"/>
                <w:szCs w:val="21"/>
                <w:highlight w:val="none"/>
              </w:rPr>
            </w:pPr>
          </w:p>
        </w:tc>
        <w:tc>
          <w:tcPr>
            <w:tcW w:w="776" w:type="dxa"/>
          </w:tcPr>
          <w:p w14:paraId="241A72CF">
            <w:pPr>
              <w:autoSpaceDE w:val="0"/>
              <w:autoSpaceDN w:val="0"/>
              <w:adjustRightInd w:val="0"/>
              <w:snapToGrid w:val="0"/>
              <w:jc w:val="left"/>
              <w:rPr>
                <w:rFonts w:ascii="宋体" w:hAnsi="宋体"/>
                <w:color w:val="auto"/>
                <w:kern w:val="0"/>
                <w:szCs w:val="21"/>
                <w:highlight w:val="none"/>
              </w:rPr>
            </w:pPr>
          </w:p>
        </w:tc>
        <w:tc>
          <w:tcPr>
            <w:tcW w:w="2723" w:type="dxa"/>
          </w:tcPr>
          <w:p w14:paraId="36965CB3">
            <w:pPr>
              <w:autoSpaceDE w:val="0"/>
              <w:autoSpaceDN w:val="0"/>
              <w:adjustRightInd w:val="0"/>
              <w:snapToGrid w:val="0"/>
              <w:jc w:val="left"/>
              <w:rPr>
                <w:rFonts w:ascii="宋体" w:hAnsi="宋体"/>
                <w:color w:val="auto"/>
                <w:kern w:val="0"/>
                <w:szCs w:val="21"/>
                <w:highlight w:val="none"/>
              </w:rPr>
            </w:pPr>
          </w:p>
        </w:tc>
        <w:tc>
          <w:tcPr>
            <w:tcW w:w="896" w:type="dxa"/>
          </w:tcPr>
          <w:p w14:paraId="6F503CC3">
            <w:pPr>
              <w:autoSpaceDE w:val="0"/>
              <w:autoSpaceDN w:val="0"/>
              <w:adjustRightInd w:val="0"/>
              <w:snapToGrid w:val="0"/>
              <w:jc w:val="left"/>
              <w:rPr>
                <w:rFonts w:ascii="宋体" w:hAnsi="宋体"/>
                <w:color w:val="auto"/>
                <w:kern w:val="0"/>
                <w:szCs w:val="21"/>
                <w:highlight w:val="none"/>
              </w:rPr>
            </w:pPr>
          </w:p>
        </w:tc>
      </w:tr>
      <w:tr w14:paraId="4098FDD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11D7DB58">
            <w:pPr>
              <w:autoSpaceDE w:val="0"/>
              <w:autoSpaceDN w:val="0"/>
              <w:adjustRightInd w:val="0"/>
              <w:snapToGrid w:val="0"/>
              <w:jc w:val="left"/>
              <w:rPr>
                <w:rFonts w:ascii="宋体" w:hAnsi="宋体"/>
                <w:color w:val="auto"/>
                <w:kern w:val="0"/>
                <w:szCs w:val="21"/>
                <w:highlight w:val="none"/>
              </w:rPr>
            </w:pPr>
          </w:p>
        </w:tc>
        <w:tc>
          <w:tcPr>
            <w:tcW w:w="734" w:type="dxa"/>
          </w:tcPr>
          <w:p w14:paraId="352C2B14">
            <w:pPr>
              <w:autoSpaceDE w:val="0"/>
              <w:autoSpaceDN w:val="0"/>
              <w:adjustRightInd w:val="0"/>
              <w:snapToGrid w:val="0"/>
              <w:jc w:val="left"/>
              <w:rPr>
                <w:rFonts w:ascii="宋体" w:hAnsi="宋体"/>
                <w:color w:val="auto"/>
                <w:kern w:val="0"/>
                <w:szCs w:val="21"/>
                <w:highlight w:val="none"/>
              </w:rPr>
            </w:pPr>
          </w:p>
        </w:tc>
        <w:tc>
          <w:tcPr>
            <w:tcW w:w="776" w:type="dxa"/>
          </w:tcPr>
          <w:p w14:paraId="4D782EF5">
            <w:pPr>
              <w:autoSpaceDE w:val="0"/>
              <w:autoSpaceDN w:val="0"/>
              <w:adjustRightInd w:val="0"/>
              <w:snapToGrid w:val="0"/>
              <w:jc w:val="left"/>
              <w:rPr>
                <w:rFonts w:ascii="宋体" w:hAnsi="宋体"/>
                <w:color w:val="auto"/>
                <w:kern w:val="0"/>
                <w:szCs w:val="21"/>
                <w:highlight w:val="none"/>
              </w:rPr>
            </w:pPr>
          </w:p>
        </w:tc>
        <w:tc>
          <w:tcPr>
            <w:tcW w:w="1167" w:type="dxa"/>
          </w:tcPr>
          <w:p w14:paraId="56DB7052">
            <w:pPr>
              <w:autoSpaceDE w:val="0"/>
              <w:autoSpaceDN w:val="0"/>
              <w:adjustRightInd w:val="0"/>
              <w:snapToGrid w:val="0"/>
              <w:jc w:val="left"/>
              <w:rPr>
                <w:rFonts w:ascii="宋体" w:hAnsi="宋体"/>
                <w:color w:val="auto"/>
                <w:kern w:val="0"/>
                <w:szCs w:val="21"/>
                <w:highlight w:val="none"/>
              </w:rPr>
            </w:pPr>
          </w:p>
        </w:tc>
        <w:tc>
          <w:tcPr>
            <w:tcW w:w="776" w:type="dxa"/>
          </w:tcPr>
          <w:p w14:paraId="73C3776B">
            <w:pPr>
              <w:autoSpaceDE w:val="0"/>
              <w:autoSpaceDN w:val="0"/>
              <w:adjustRightInd w:val="0"/>
              <w:snapToGrid w:val="0"/>
              <w:jc w:val="left"/>
              <w:rPr>
                <w:rFonts w:ascii="宋体" w:hAnsi="宋体"/>
                <w:color w:val="auto"/>
                <w:kern w:val="0"/>
                <w:szCs w:val="21"/>
                <w:highlight w:val="none"/>
              </w:rPr>
            </w:pPr>
          </w:p>
        </w:tc>
        <w:tc>
          <w:tcPr>
            <w:tcW w:w="778" w:type="dxa"/>
          </w:tcPr>
          <w:p w14:paraId="48F7E869">
            <w:pPr>
              <w:autoSpaceDE w:val="0"/>
              <w:autoSpaceDN w:val="0"/>
              <w:adjustRightInd w:val="0"/>
              <w:snapToGrid w:val="0"/>
              <w:jc w:val="left"/>
              <w:rPr>
                <w:rFonts w:ascii="宋体" w:hAnsi="宋体"/>
                <w:color w:val="auto"/>
                <w:kern w:val="0"/>
                <w:szCs w:val="21"/>
                <w:highlight w:val="none"/>
              </w:rPr>
            </w:pPr>
          </w:p>
        </w:tc>
        <w:tc>
          <w:tcPr>
            <w:tcW w:w="776" w:type="dxa"/>
          </w:tcPr>
          <w:p w14:paraId="52E52981">
            <w:pPr>
              <w:autoSpaceDE w:val="0"/>
              <w:autoSpaceDN w:val="0"/>
              <w:adjustRightInd w:val="0"/>
              <w:snapToGrid w:val="0"/>
              <w:jc w:val="left"/>
              <w:rPr>
                <w:rFonts w:ascii="宋体" w:hAnsi="宋体"/>
                <w:color w:val="auto"/>
                <w:kern w:val="0"/>
                <w:szCs w:val="21"/>
                <w:highlight w:val="none"/>
              </w:rPr>
            </w:pPr>
          </w:p>
        </w:tc>
        <w:tc>
          <w:tcPr>
            <w:tcW w:w="2723" w:type="dxa"/>
          </w:tcPr>
          <w:p w14:paraId="348A9902">
            <w:pPr>
              <w:autoSpaceDE w:val="0"/>
              <w:autoSpaceDN w:val="0"/>
              <w:adjustRightInd w:val="0"/>
              <w:snapToGrid w:val="0"/>
              <w:jc w:val="left"/>
              <w:rPr>
                <w:rFonts w:ascii="宋体" w:hAnsi="宋体"/>
                <w:color w:val="auto"/>
                <w:kern w:val="0"/>
                <w:szCs w:val="21"/>
                <w:highlight w:val="none"/>
              </w:rPr>
            </w:pPr>
          </w:p>
        </w:tc>
        <w:tc>
          <w:tcPr>
            <w:tcW w:w="896" w:type="dxa"/>
          </w:tcPr>
          <w:p w14:paraId="352F0C59">
            <w:pPr>
              <w:autoSpaceDE w:val="0"/>
              <w:autoSpaceDN w:val="0"/>
              <w:adjustRightInd w:val="0"/>
              <w:snapToGrid w:val="0"/>
              <w:jc w:val="left"/>
              <w:rPr>
                <w:rFonts w:ascii="宋体" w:hAnsi="宋体"/>
                <w:color w:val="auto"/>
                <w:kern w:val="0"/>
                <w:szCs w:val="21"/>
                <w:highlight w:val="none"/>
              </w:rPr>
            </w:pPr>
          </w:p>
        </w:tc>
      </w:tr>
      <w:tr w14:paraId="769B3D4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146E39FC">
            <w:pPr>
              <w:autoSpaceDE w:val="0"/>
              <w:autoSpaceDN w:val="0"/>
              <w:adjustRightInd w:val="0"/>
              <w:snapToGrid w:val="0"/>
              <w:jc w:val="left"/>
              <w:rPr>
                <w:rFonts w:ascii="宋体" w:hAnsi="宋体"/>
                <w:color w:val="auto"/>
                <w:kern w:val="0"/>
                <w:szCs w:val="21"/>
                <w:highlight w:val="none"/>
              </w:rPr>
            </w:pPr>
          </w:p>
        </w:tc>
        <w:tc>
          <w:tcPr>
            <w:tcW w:w="734" w:type="dxa"/>
          </w:tcPr>
          <w:p w14:paraId="380A6E95">
            <w:pPr>
              <w:autoSpaceDE w:val="0"/>
              <w:autoSpaceDN w:val="0"/>
              <w:adjustRightInd w:val="0"/>
              <w:snapToGrid w:val="0"/>
              <w:jc w:val="left"/>
              <w:rPr>
                <w:rFonts w:ascii="宋体" w:hAnsi="宋体"/>
                <w:color w:val="auto"/>
                <w:kern w:val="0"/>
                <w:szCs w:val="21"/>
                <w:highlight w:val="none"/>
              </w:rPr>
            </w:pPr>
          </w:p>
        </w:tc>
        <w:tc>
          <w:tcPr>
            <w:tcW w:w="776" w:type="dxa"/>
          </w:tcPr>
          <w:p w14:paraId="5C781150">
            <w:pPr>
              <w:autoSpaceDE w:val="0"/>
              <w:autoSpaceDN w:val="0"/>
              <w:adjustRightInd w:val="0"/>
              <w:snapToGrid w:val="0"/>
              <w:jc w:val="left"/>
              <w:rPr>
                <w:rFonts w:ascii="宋体" w:hAnsi="宋体"/>
                <w:color w:val="auto"/>
                <w:kern w:val="0"/>
                <w:szCs w:val="21"/>
                <w:highlight w:val="none"/>
              </w:rPr>
            </w:pPr>
          </w:p>
        </w:tc>
        <w:tc>
          <w:tcPr>
            <w:tcW w:w="1167" w:type="dxa"/>
          </w:tcPr>
          <w:p w14:paraId="1081C3E2">
            <w:pPr>
              <w:autoSpaceDE w:val="0"/>
              <w:autoSpaceDN w:val="0"/>
              <w:adjustRightInd w:val="0"/>
              <w:snapToGrid w:val="0"/>
              <w:jc w:val="left"/>
              <w:rPr>
                <w:rFonts w:ascii="宋体" w:hAnsi="宋体"/>
                <w:color w:val="auto"/>
                <w:kern w:val="0"/>
                <w:szCs w:val="21"/>
                <w:highlight w:val="none"/>
              </w:rPr>
            </w:pPr>
          </w:p>
        </w:tc>
        <w:tc>
          <w:tcPr>
            <w:tcW w:w="776" w:type="dxa"/>
          </w:tcPr>
          <w:p w14:paraId="3CB7A9D4">
            <w:pPr>
              <w:autoSpaceDE w:val="0"/>
              <w:autoSpaceDN w:val="0"/>
              <w:adjustRightInd w:val="0"/>
              <w:snapToGrid w:val="0"/>
              <w:jc w:val="left"/>
              <w:rPr>
                <w:rFonts w:ascii="宋体" w:hAnsi="宋体"/>
                <w:color w:val="auto"/>
                <w:kern w:val="0"/>
                <w:szCs w:val="21"/>
                <w:highlight w:val="none"/>
              </w:rPr>
            </w:pPr>
          </w:p>
        </w:tc>
        <w:tc>
          <w:tcPr>
            <w:tcW w:w="778" w:type="dxa"/>
          </w:tcPr>
          <w:p w14:paraId="712DC42F">
            <w:pPr>
              <w:autoSpaceDE w:val="0"/>
              <w:autoSpaceDN w:val="0"/>
              <w:adjustRightInd w:val="0"/>
              <w:snapToGrid w:val="0"/>
              <w:jc w:val="left"/>
              <w:rPr>
                <w:rFonts w:ascii="宋体" w:hAnsi="宋体"/>
                <w:color w:val="auto"/>
                <w:kern w:val="0"/>
                <w:szCs w:val="21"/>
                <w:highlight w:val="none"/>
              </w:rPr>
            </w:pPr>
          </w:p>
        </w:tc>
        <w:tc>
          <w:tcPr>
            <w:tcW w:w="776" w:type="dxa"/>
          </w:tcPr>
          <w:p w14:paraId="3FB52924">
            <w:pPr>
              <w:autoSpaceDE w:val="0"/>
              <w:autoSpaceDN w:val="0"/>
              <w:adjustRightInd w:val="0"/>
              <w:snapToGrid w:val="0"/>
              <w:jc w:val="left"/>
              <w:rPr>
                <w:rFonts w:ascii="宋体" w:hAnsi="宋体"/>
                <w:color w:val="auto"/>
                <w:kern w:val="0"/>
                <w:szCs w:val="21"/>
                <w:highlight w:val="none"/>
              </w:rPr>
            </w:pPr>
          </w:p>
        </w:tc>
        <w:tc>
          <w:tcPr>
            <w:tcW w:w="2723" w:type="dxa"/>
          </w:tcPr>
          <w:p w14:paraId="25DA4BF4">
            <w:pPr>
              <w:autoSpaceDE w:val="0"/>
              <w:autoSpaceDN w:val="0"/>
              <w:adjustRightInd w:val="0"/>
              <w:snapToGrid w:val="0"/>
              <w:jc w:val="left"/>
              <w:rPr>
                <w:rFonts w:ascii="宋体" w:hAnsi="宋体"/>
                <w:color w:val="auto"/>
                <w:kern w:val="0"/>
                <w:szCs w:val="21"/>
                <w:highlight w:val="none"/>
              </w:rPr>
            </w:pPr>
          </w:p>
        </w:tc>
        <w:tc>
          <w:tcPr>
            <w:tcW w:w="896" w:type="dxa"/>
          </w:tcPr>
          <w:p w14:paraId="09C794F2">
            <w:pPr>
              <w:autoSpaceDE w:val="0"/>
              <w:autoSpaceDN w:val="0"/>
              <w:adjustRightInd w:val="0"/>
              <w:snapToGrid w:val="0"/>
              <w:jc w:val="left"/>
              <w:rPr>
                <w:rFonts w:ascii="宋体" w:hAnsi="宋体"/>
                <w:color w:val="auto"/>
                <w:kern w:val="0"/>
                <w:szCs w:val="21"/>
                <w:highlight w:val="none"/>
              </w:rPr>
            </w:pPr>
          </w:p>
        </w:tc>
      </w:tr>
      <w:tr w14:paraId="1AD888F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3E0B59D0">
            <w:pPr>
              <w:autoSpaceDE w:val="0"/>
              <w:autoSpaceDN w:val="0"/>
              <w:adjustRightInd w:val="0"/>
              <w:snapToGrid w:val="0"/>
              <w:jc w:val="left"/>
              <w:rPr>
                <w:rFonts w:ascii="宋体" w:hAnsi="宋体"/>
                <w:color w:val="auto"/>
                <w:kern w:val="0"/>
                <w:szCs w:val="21"/>
                <w:highlight w:val="none"/>
              </w:rPr>
            </w:pPr>
          </w:p>
        </w:tc>
        <w:tc>
          <w:tcPr>
            <w:tcW w:w="734" w:type="dxa"/>
          </w:tcPr>
          <w:p w14:paraId="30A5BFDE">
            <w:pPr>
              <w:autoSpaceDE w:val="0"/>
              <w:autoSpaceDN w:val="0"/>
              <w:adjustRightInd w:val="0"/>
              <w:snapToGrid w:val="0"/>
              <w:jc w:val="left"/>
              <w:rPr>
                <w:rFonts w:ascii="宋体" w:hAnsi="宋体"/>
                <w:color w:val="auto"/>
                <w:kern w:val="0"/>
                <w:szCs w:val="21"/>
                <w:highlight w:val="none"/>
              </w:rPr>
            </w:pPr>
          </w:p>
        </w:tc>
        <w:tc>
          <w:tcPr>
            <w:tcW w:w="776" w:type="dxa"/>
          </w:tcPr>
          <w:p w14:paraId="3739983A">
            <w:pPr>
              <w:autoSpaceDE w:val="0"/>
              <w:autoSpaceDN w:val="0"/>
              <w:adjustRightInd w:val="0"/>
              <w:snapToGrid w:val="0"/>
              <w:jc w:val="left"/>
              <w:rPr>
                <w:rFonts w:ascii="宋体" w:hAnsi="宋体"/>
                <w:color w:val="auto"/>
                <w:kern w:val="0"/>
                <w:szCs w:val="21"/>
                <w:highlight w:val="none"/>
              </w:rPr>
            </w:pPr>
          </w:p>
        </w:tc>
        <w:tc>
          <w:tcPr>
            <w:tcW w:w="1167" w:type="dxa"/>
          </w:tcPr>
          <w:p w14:paraId="52EB8A9C">
            <w:pPr>
              <w:autoSpaceDE w:val="0"/>
              <w:autoSpaceDN w:val="0"/>
              <w:adjustRightInd w:val="0"/>
              <w:snapToGrid w:val="0"/>
              <w:jc w:val="left"/>
              <w:rPr>
                <w:rFonts w:ascii="宋体" w:hAnsi="宋体"/>
                <w:color w:val="auto"/>
                <w:kern w:val="0"/>
                <w:szCs w:val="21"/>
                <w:highlight w:val="none"/>
              </w:rPr>
            </w:pPr>
          </w:p>
        </w:tc>
        <w:tc>
          <w:tcPr>
            <w:tcW w:w="776" w:type="dxa"/>
          </w:tcPr>
          <w:p w14:paraId="01E0F240">
            <w:pPr>
              <w:autoSpaceDE w:val="0"/>
              <w:autoSpaceDN w:val="0"/>
              <w:adjustRightInd w:val="0"/>
              <w:snapToGrid w:val="0"/>
              <w:jc w:val="left"/>
              <w:rPr>
                <w:rFonts w:ascii="宋体" w:hAnsi="宋体"/>
                <w:color w:val="auto"/>
                <w:kern w:val="0"/>
                <w:szCs w:val="21"/>
                <w:highlight w:val="none"/>
              </w:rPr>
            </w:pPr>
          </w:p>
        </w:tc>
        <w:tc>
          <w:tcPr>
            <w:tcW w:w="778" w:type="dxa"/>
          </w:tcPr>
          <w:p w14:paraId="77A6D33C">
            <w:pPr>
              <w:autoSpaceDE w:val="0"/>
              <w:autoSpaceDN w:val="0"/>
              <w:adjustRightInd w:val="0"/>
              <w:snapToGrid w:val="0"/>
              <w:jc w:val="left"/>
              <w:rPr>
                <w:rFonts w:ascii="宋体" w:hAnsi="宋体"/>
                <w:color w:val="auto"/>
                <w:kern w:val="0"/>
                <w:szCs w:val="21"/>
                <w:highlight w:val="none"/>
              </w:rPr>
            </w:pPr>
          </w:p>
        </w:tc>
        <w:tc>
          <w:tcPr>
            <w:tcW w:w="776" w:type="dxa"/>
          </w:tcPr>
          <w:p w14:paraId="03534E38">
            <w:pPr>
              <w:autoSpaceDE w:val="0"/>
              <w:autoSpaceDN w:val="0"/>
              <w:adjustRightInd w:val="0"/>
              <w:snapToGrid w:val="0"/>
              <w:jc w:val="left"/>
              <w:rPr>
                <w:rFonts w:ascii="宋体" w:hAnsi="宋体"/>
                <w:color w:val="auto"/>
                <w:kern w:val="0"/>
                <w:szCs w:val="21"/>
                <w:highlight w:val="none"/>
              </w:rPr>
            </w:pPr>
          </w:p>
        </w:tc>
        <w:tc>
          <w:tcPr>
            <w:tcW w:w="2723" w:type="dxa"/>
          </w:tcPr>
          <w:p w14:paraId="3882E964">
            <w:pPr>
              <w:autoSpaceDE w:val="0"/>
              <w:autoSpaceDN w:val="0"/>
              <w:adjustRightInd w:val="0"/>
              <w:snapToGrid w:val="0"/>
              <w:jc w:val="left"/>
              <w:rPr>
                <w:rFonts w:ascii="宋体" w:hAnsi="宋体"/>
                <w:color w:val="auto"/>
                <w:kern w:val="0"/>
                <w:szCs w:val="21"/>
                <w:highlight w:val="none"/>
              </w:rPr>
            </w:pPr>
          </w:p>
        </w:tc>
        <w:tc>
          <w:tcPr>
            <w:tcW w:w="896" w:type="dxa"/>
          </w:tcPr>
          <w:p w14:paraId="4300E72F">
            <w:pPr>
              <w:autoSpaceDE w:val="0"/>
              <w:autoSpaceDN w:val="0"/>
              <w:adjustRightInd w:val="0"/>
              <w:snapToGrid w:val="0"/>
              <w:jc w:val="left"/>
              <w:rPr>
                <w:rFonts w:ascii="宋体" w:hAnsi="宋体"/>
                <w:color w:val="auto"/>
                <w:kern w:val="0"/>
                <w:szCs w:val="21"/>
                <w:highlight w:val="none"/>
              </w:rPr>
            </w:pPr>
          </w:p>
        </w:tc>
      </w:tr>
      <w:tr w14:paraId="482591E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64FB0A9C">
            <w:pPr>
              <w:autoSpaceDE w:val="0"/>
              <w:autoSpaceDN w:val="0"/>
              <w:adjustRightInd w:val="0"/>
              <w:snapToGrid w:val="0"/>
              <w:jc w:val="left"/>
              <w:rPr>
                <w:rFonts w:ascii="宋体" w:hAnsi="宋体"/>
                <w:color w:val="auto"/>
                <w:kern w:val="0"/>
                <w:szCs w:val="21"/>
                <w:highlight w:val="none"/>
              </w:rPr>
            </w:pPr>
          </w:p>
        </w:tc>
        <w:tc>
          <w:tcPr>
            <w:tcW w:w="734" w:type="dxa"/>
          </w:tcPr>
          <w:p w14:paraId="38CCE67C">
            <w:pPr>
              <w:autoSpaceDE w:val="0"/>
              <w:autoSpaceDN w:val="0"/>
              <w:adjustRightInd w:val="0"/>
              <w:snapToGrid w:val="0"/>
              <w:jc w:val="left"/>
              <w:rPr>
                <w:rFonts w:ascii="宋体" w:hAnsi="宋体"/>
                <w:color w:val="auto"/>
                <w:kern w:val="0"/>
                <w:szCs w:val="21"/>
                <w:highlight w:val="none"/>
              </w:rPr>
            </w:pPr>
          </w:p>
        </w:tc>
        <w:tc>
          <w:tcPr>
            <w:tcW w:w="776" w:type="dxa"/>
          </w:tcPr>
          <w:p w14:paraId="7CA98065">
            <w:pPr>
              <w:autoSpaceDE w:val="0"/>
              <w:autoSpaceDN w:val="0"/>
              <w:adjustRightInd w:val="0"/>
              <w:snapToGrid w:val="0"/>
              <w:jc w:val="left"/>
              <w:rPr>
                <w:rFonts w:ascii="宋体" w:hAnsi="宋体"/>
                <w:color w:val="auto"/>
                <w:kern w:val="0"/>
                <w:szCs w:val="21"/>
                <w:highlight w:val="none"/>
              </w:rPr>
            </w:pPr>
          </w:p>
        </w:tc>
        <w:tc>
          <w:tcPr>
            <w:tcW w:w="1167" w:type="dxa"/>
          </w:tcPr>
          <w:p w14:paraId="46423968">
            <w:pPr>
              <w:autoSpaceDE w:val="0"/>
              <w:autoSpaceDN w:val="0"/>
              <w:adjustRightInd w:val="0"/>
              <w:snapToGrid w:val="0"/>
              <w:jc w:val="left"/>
              <w:rPr>
                <w:rFonts w:ascii="宋体" w:hAnsi="宋体"/>
                <w:color w:val="auto"/>
                <w:kern w:val="0"/>
                <w:szCs w:val="21"/>
                <w:highlight w:val="none"/>
              </w:rPr>
            </w:pPr>
          </w:p>
        </w:tc>
        <w:tc>
          <w:tcPr>
            <w:tcW w:w="776" w:type="dxa"/>
          </w:tcPr>
          <w:p w14:paraId="34D19AF9">
            <w:pPr>
              <w:autoSpaceDE w:val="0"/>
              <w:autoSpaceDN w:val="0"/>
              <w:adjustRightInd w:val="0"/>
              <w:snapToGrid w:val="0"/>
              <w:jc w:val="left"/>
              <w:rPr>
                <w:rFonts w:ascii="宋体" w:hAnsi="宋体"/>
                <w:color w:val="auto"/>
                <w:kern w:val="0"/>
                <w:szCs w:val="21"/>
                <w:highlight w:val="none"/>
              </w:rPr>
            </w:pPr>
          </w:p>
        </w:tc>
        <w:tc>
          <w:tcPr>
            <w:tcW w:w="778" w:type="dxa"/>
          </w:tcPr>
          <w:p w14:paraId="1B91D210">
            <w:pPr>
              <w:autoSpaceDE w:val="0"/>
              <w:autoSpaceDN w:val="0"/>
              <w:adjustRightInd w:val="0"/>
              <w:snapToGrid w:val="0"/>
              <w:jc w:val="left"/>
              <w:rPr>
                <w:rFonts w:ascii="宋体" w:hAnsi="宋体"/>
                <w:color w:val="auto"/>
                <w:kern w:val="0"/>
                <w:szCs w:val="21"/>
                <w:highlight w:val="none"/>
              </w:rPr>
            </w:pPr>
          </w:p>
        </w:tc>
        <w:tc>
          <w:tcPr>
            <w:tcW w:w="776" w:type="dxa"/>
          </w:tcPr>
          <w:p w14:paraId="643134A6">
            <w:pPr>
              <w:autoSpaceDE w:val="0"/>
              <w:autoSpaceDN w:val="0"/>
              <w:adjustRightInd w:val="0"/>
              <w:snapToGrid w:val="0"/>
              <w:jc w:val="left"/>
              <w:rPr>
                <w:rFonts w:ascii="宋体" w:hAnsi="宋体"/>
                <w:color w:val="auto"/>
                <w:kern w:val="0"/>
                <w:szCs w:val="21"/>
                <w:highlight w:val="none"/>
              </w:rPr>
            </w:pPr>
          </w:p>
        </w:tc>
        <w:tc>
          <w:tcPr>
            <w:tcW w:w="2723" w:type="dxa"/>
          </w:tcPr>
          <w:p w14:paraId="240B1B56">
            <w:pPr>
              <w:autoSpaceDE w:val="0"/>
              <w:autoSpaceDN w:val="0"/>
              <w:adjustRightInd w:val="0"/>
              <w:snapToGrid w:val="0"/>
              <w:jc w:val="left"/>
              <w:rPr>
                <w:rFonts w:ascii="宋体" w:hAnsi="宋体"/>
                <w:color w:val="auto"/>
                <w:kern w:val="0"/>
                <w:szCs w:val="21"/>
                <w:highlight w:val="none"/>
              </w:rPr>
            </w:pPr>
          </w:p>
        </w:tc>
        <w:tc>
          <w:tcPr>
            <w:tcW w:w="896" w:type="dxa"/>
          </w:tcPr>
          <w:p w14:paraId="5DDB8141">
            <w:pPr>
              <w:autoSpaceDE w:val="0"/>
              <w:autoSpaceDN w:val="0"/>
              <w:adjustRightInd w:val="0"/>
              <w:snapToGrid w:val="0"/>
              <w:jc w:val="left"/>
              <w:rPr>
                <w:rFonts w:ascii="宋体" w:hAnsi="宋体"/>
                <w:color w:val="auto"/>
                <w:kern w:val="0"/>
                <w:szCs w:val="21"/>
                <w:highlight w:val="none"/>
              </w:rPr>
            </w:pPr>
          </w:p>
        </w:tc>
      </w:tr>
      <w:tr w14:paraId="706E3B3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7AB4FE08">
            <w:pPr>
              <w:autoSpaceDE w:val="0"/>
              <w:autoSpaceDN w:val="0"/>
              <w:adjustRightInd w:val="0"/>
              <w:snapToGrid w:val="0"/>
              <w:jc w:val="left"/>
              <w:rPr>
                <w:rFonts w:ascii="宋体" w:hAnsi="宋体"/>
                <w:color w:val="auto"/>
                <w:kern w:val="0"/>
                <w:szCs w:val="21"/>
                <w:highlight w:val="none"/>
              </w:rPr>
            </w:pPr>
          </w:p>
        </w:tc>
        <w:tc>
          <w:tcPr>
            <w:tcW w:w="734" w:type="dxa"/>
          </w:tcPr>
          <w:p w14:paraId="0EB3F712">
            <w:pPr>
              <w:autoSpaceDE w:val="0"/>
              <w:autoSpaceDN w:val="0"/>
              <w:adjustRightInd w:val="0"/>
              <w:snapToGrid w:val="0"/>
              <w:jc w:val="left"/>
              <w:rPr>
                <w:rFonts w:ascii="宋体" w:hAnsi="宋体"/>
                <w:color w:val="auto"/>
                <w:kern w:val="0"/>
                <w:szCs w:val="21"/>
                <w:highlight w:val="none"/>
              </w:rPr>
            </w:pPr>
          </w:p>
        </w:tc>
        <w:tc>
          <w:tcPr>
            <w:tcW w:w="776" w:type="dxa"/>
          </w:tcPr>
          <w:p w14:paraId="74E02BC6">
            <w:pPr>
              <w:autoSpaceDE w:val="0"/>
              <w:autoSpaceDN w:val="0"/>
              <w:adjustRightInd w:val="0"/>
              <w:snapToGrid w:val="0"/>
              <w:jc w:val="left"/>
              <w:rPr>
                <w:rFonts w:ascii="宋体" w:hAnsi="宋体"/>
                <w:color w:val="auto"/>
                <w:kern w:val="0"/>
                <w:szCs w:val="21"/>
                <w:highlight w:val="none"/>
              </w:rPr>
            </w:pPr>
          </w:p>
        </w:tc>
        <w:tc>
          <w:tcPr>
            <w:tcW w:w="1167" w:type="dxa"/>
          </w:tcPr>
          <w:p w14:paraId="016A5A4C">
            <w:pPr>
              <w:autoSpaceDE w:val="0"/>
              <w:autoSpaceDN w:val="0"/>
              <w:adjustRightInd w:val="0"/>
              <w:snapToGrid w:val="0"/>
              <w:jc w:val="left"/>
              <w:rPr>
                <w:rFonts w:ascii="宋体" w:hAnsi="宋体"/>
                <w:color w:val="auto"/>
                <w:kern w:val="0"/>
                <w:szCs w:val="21"/>
                <w:highlight w:val="none"/>
              </w:rPr>
            </w:pPr>
          </w:p>
        </w:tc>
        <w:tc>
          <w:tcPr>
            <w:tcW w:w="776" w:type="dxa"/>
          </w:tcPr>
          <w:p w14:paraId="2DD802E8">
            <w:pPr>
              <w:autoSpaceDE w:val="0"/>
              <w:autoSpaceDN w:val="0"/>
              <w:adjustRightInd w:val="0"/>
              <w:snapToGrid w:val="0"/>
              <w:jc w:val="left"/>
              <w:rPr>
                <w:rFonts w:ascii="宋体" w:hAnsi="宋体"/>
                <w:color w:val="auto"/>
                <w:kern w:val="0"/>
                <w:szCs w:val="21"/>
                <w:highlight w:val="none"/>
              </w:rPr>
            </w:pPr>
          </w:p>
        </w:tc>
        <w:tc>
          <w:tcPr>
            <w:tcW w:w="778" w:type="dxa"/>
          </w:tcPr>
          <w:p w14:paraId="1144C910">
            <w:pPr>
              <w:autoSpaceDE w:val="0"/>
              <w:autoSpaceDN w:val="0"/>
              <w:adjustRightInd w:val="0"/>
              <w:snapToGrid w:val="0"/>
              <w:jc w:val="left"/>
              <w:rPr>
                <w:rFonts w:ascii="宋体" w:hAnsi="宋体"/>
                <w:color w:val="auto"/>
                <w:kern w:val="0"/>
                <w:szCs w:val="21"/>
                <w:highlight w:val="none"/>
              </w:rPr>
            </w:pPr>
          </w:p>
        </w:tc>
        <w:tc>
          <w:tcPr>
            <w:tcW w:w="776" w:type="dxa"/>
          </w:tcPr>
          <w:p w14:paraId="51798A95">
            <w:pPr>
              <w:autoSpaceDE w:val="0"/>
              <w:autoSpaceDN w:val="0"/>
              <w:adjustRightInd w:val="0"/>
              <w:snapToGrid w:val="0"/>
              <w:jc w:val="left"/>
              <w:rPr>
                <w:rFonts w:ascii="宋体" w:hAnsi="宋体"/>
                <w:color w:val="auto"/>
                <w:kern w:val="0"/>
                <w:szCs w:val="21"/>
                <w:highlight w:val="none"/>
              </w:rPr>
            </w:pPr>
          </w:p>
        </w:tc>
        <w:tc>
          <w:tcPr>
            <w:tcW w:w="2723" w:type="dxa"/>
          </w:tcPr>
          <w:p w14:paraId="5C665F97">
            <w:pPr>
              <w:autoSpaceDE w:val="0"/>
              <w:autoSpaceDN w:val="0"/>
              <w:adjustRightInd w:val="0"/>
              <w:snapToGrid w:val="0"/>
              <w:jc w:val="left"/>
              <w:rPr>
                <w:rFonts w:ascii="宋体" w:hAnsi="宋体"/>
                <w:color w:val="auto"/>
                <w:kern w:val="0"/>
                <w:szCs w:val="21"/>
                <w:highlight w:val="none"/>
              </w:rPr>
            </w:pPr>
          </w:p>
        </w:tc>
        <w:tc>
          <w:tcPr>
            <w:tcW w:w="896" w:type="dxa"/>
          </w:tcPr>
          <w:p w14:paraId="1A4D7B0D">
            <w:pPr>
              <w:autoSpaceDE w:val="0"/>
              <w:autoSpaceDN w:val="0"/>
              <w:adjustRightInd w:val="0"/>
              <w:snapToGrid w:val="0"/>
              <w:jc w:val="left"/>
              <w:rPr>
                <w:rFonts w:ascii="宋体" w:hAnsi="宋体"/>
                <w:color w:val="auto"/>
                <w:kern w:val="0"/>
                <w:szCs w:val="21"/>
                <w:highlight w:val="none"/>
              </w:rPr>
            </w:pPr>
          </w:p>
        </w:tc>
      </w:tr>
      <w:tr w14:paraId="1CFC88F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7EDF9FB4">
            <w:pPr>
              <w:autoSpaceDE w:val="0"/>
              <w:autoSpaceDN w:val="0"/>
              <w:adjustRightInd w:val="0"/>
              <w:snapToGrid w:val="0"/>
              <w:jc w:val="left"/>
              <w:rPr>
                <w:rFonts w:ascii="宋体" w:hAnsi="宋体"/>
                <w:color w:val="auto"/>
                <w:kern w:val="0"/>
                <w:szCs w:val="21"/>
                <w:highlight w:val="none"/>
              </w:rPr>
            </w:pPr>
          </w:p>
        </w:tc>
        <w:tc>
          <w:tcPr>
            <w:tcW w:w="734" w:type="dxa"/>
          </w:tcPr>
          <w:p w14:paraId="5AF17710">
            <w:pPr>
              <w:autoSpaceDE w:val="0"/>
              <w:autoSpaceDN w:val="0"/>
              <w:adjustRightInd w:val="0"/>
              <w:snapToGrid w:val="0"/>
              <w:jc w:val="left"/>
              <w:rPr>
                <w:rFonts w:ascii="宋体" w:hAnsi="宋体"/>
                <w:color w:val="auto"/>
                <w:kern w:val="0"/>
                <w:szCs w:val="21"/>
                <w:highlight w:val="none"/>
              </w:rPr>
            </w:pPr>
          </w:p>
        </w:tc>
        <w:tc>
          <w:tcPr>
            <w:tcW w:w="776" w:type="dxa"/>
          </w:tcPr>
          <w:p w14:paraId="140D06E0">
            <w:pPr>
              <w:autoSpaceDE w:val="0"/>
              <w:autoSpaceDN w:val="0"/>
              <w:adjustRightInd w:val="0"/>
              <w:snapToGrid w:val="0"/>
              <w:jc w:val="left"/>
              <w:rPr>
                <w:rFonts w:ascii="宋体" w:hAnsi="宋体"/>
                <w:color w:val="auto"/>
                <w:kern w:val="0"/>
                <w:szCs w:val="21"/>
                <w:highlight w:val="none"/>
              </w:rPr>
            </w:pPr>
          </w:p>
        </w:tc>
        <w:tc>
          <w:tcPr>
            <w:tcW w:w="1167" w:type="dxa"/>
          </w:tcPr>
          <w:p w14:paraId="4289B0B9">
            <w:pPr>
              <w:autoSpaceDE w:val="0"/>
              <w:autoSpaceDN w:val="0"/>
              <w:adjustRightInd w:val="0"/>
              <w:snapToGrid w:val="0"/>
              <w:jc w:val="left"/>
              <w:rPr>
                <w:rFonts w:ascii="宋体" w:hAnsi="宋体"/>
                <w:color w:val="auto"/>
                <w:kern w:val="0"/>
                <w:szCs w:val="21"/>
                <w:highlight w:val="none"/>
              </w:rPr>
            </w:pPr>
          </w:p>
        </w:tc>
        <w:tc>
          <w:tcPr>
            <w:tcW w:w="776" w:type="dxa"/>
          </w:tcPr>
          <w:p w14:paraId="68AA13A9">
            <w:pPr>
              <w:autoSpaceDE w:val="0"/>
              <w:autoSpaceDN w:val="0"/>
              <w:adjustRightInd w:val="0"/>
              <w:snapToGrid w:val="0"/>
              <w:jc w:val="left"/>
              <w:rPr>
                <w:rFonts w:ascii="宋体" w:hAnsi="宋体"/>
                <w:color w:val="auto"/>
                <w:kern w:val="0"/>
                <w:szCs w:val="21"/>
                <w:highlight w:val="none"/>
              </w:rPr>
            </w:pPr>
          </w:p>
        </w:tc>
        <w:tc>
          <w:tcPr>
            <w:tcW w:w="778" w:type="dxa"/>
          </w:tcPr>
          <w:p w14:paraId="46A5D071">
            <w:pPr>
              <w:autoSpaceDE w:val="0"/>
              <w:autoSpaceDN w:val="0"/>
              <w:adjustRightInd w:val="0"/>
              <w:snapToGrid w:val="0"/>
              <w:jc w:val="left"/>
              <w:rPr>
                <w:rFonts w:ascii="宋体" w:hAnsi="宋体"/>
                <w:color w:val="auto"/>
                <w:kern w:val="0"/>
                <w:szCs w:val="21"/>
                <w:highlight w:val="none"/>
              </w:rPr>
            </w:pPr>
          </w:p>
        </w:tc>
        <w:tc>
          <w:tcPr>
            <w:tcW w:w="776" w:type="dxa"/>
          </w:tcPr>
          <w:p w14:paraId="7B22C067">
            <w:pPr>
              <w:autoSpaceDE w:val="0"/>
              <w:autoSpaceDN w:val="0"/>
              <w:adjustRightInd w:val="0"/>
              <w:snapToGrid w:val="0"/>
              <w:jc w:val="left"/>
              <w:rPr>
                <w:rFonts w:ascii="宋体" w:hAnsi="宋体"/>
                <w:color w:val="auto"/>
                <w:kern w:val="0"/>
                <w:szCs w:val="21"/>
                <w:highlight w:val="none"/>
              </w:rPr>
            </w:pPr>
          </w:p>
        </w:tc>
        <w:tc>
          <w:tcPr>
            <w:tcW w:w="2723" w:type="dxa"/>
          </w:tcPr>
          <w:p w14:paraId="01850FE8">
            <w:pPr>
              <w:autoSpaceDE w:val="0"/>
              <w:autoSpaceDN w:val="0"/>
              <w:adjustRightInd w:val="0"/>
              <w:snapToGrid w:val="0"/>
              <w:jc w:val="left"/>
              <w:rPr>
                <w:rFonts w:ascii="宋体" w:hAnsi="宋体"/>
                <w:color w:val="auto"/>
                <w:kern w:val="0"/>
                <w:szCs w:val="21"/>
                <w:highlight w:val="none"/>
              </w:rPr>
            </w:pPr>
          </w:p>
        </w:tc>
        <w:tc>
          <w:tcPr>
            <w:tcW w:w="896" w:type="dxa"/>
          </w:tcPr>
          <w:p w14:paraId="343BBF31">
            <w:pPr>
              <w:autoSpaceDE w:val="0"/>
              <w:autoSpaceDN w:val="0"/>
              <w:adjustRightInd w:val="0"/>
              <w:snapToGrid w:val="0"/>
              <w:jc w:val="left"/>
              <w:rPr>
                <w:rFonts w:ascii="宋体" w:hAnsi="宋体"/>
                <w:color w:val="auto"/>
                <w:kern w:val="0"/>
                <w:szCs w:val="21"/>
                <w:highlight w:val="none"/>
              </w:rPr>
            </w:pPr>
          </w:p>
        </w:tc>
      </w:tr>
      <w:tr w14:paraId="167B909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539DD3A7">
            <w:pPr>
              <w:autoSpaceDE w:val="0"/>
              <w:autoSpaceDN w:val="0"/>
              <w:adjustRightInd w:val="0"/>
              <w:snapToGrid w:val="0"/>
              <w:jc w:val="left"/>
              <w:rPr>
                <w:rFonts w:ascii="宋体" w:hAnsi="宋体"/>
                <w:color w:val="auto"/>
                <w:kern w:val="0"/>
                <w:szCs w:val="21"/>
                <w:highlight w:val="none"/>
              </w:rPr>
            </w:pPr>
          </w:p>
        </w:tc>
        <w:tc>
          <w:tcPr>
            <w:tcW w:w="734" w:type="dxa"/>
          </w:tcPr>
          <w:p w14:paraId="6991F046">
            <w:pPr>
              <w:autoSpaceDE w:val="0"/>
              <w:autoSpaceDN w:val="0"/>
              <w:adjustRightInd w:val="0"/>
              <w:snapToGrid w:val="0"/>
              <w:jc w:val="left"/>
              <w:rPr>
                <w:rFonts w:ascii="宋体" w:hAnsi="宋体"/>
                <w:color w:val="auto"/>
                <w:kern w:val="0"/>
                <w:szCs w:val="21"/>
                <w:highlight w:val="none"/>
              </w:rPr>
            </w:pPr>
          </w:p>
        </w:tc>
        <w:tc>
          <w:tcPr>
            <w:tcW w:w="776" w:type="dxa"/>
          </w:tcPr>
          <w:p w14:paraId="6B243977">
            <w:pPr>
              <w:autoSpaceDE w:val="0"/>
              <w:autoSpaceDN w:val="0"/>
              <w:adjustRightInd w:val="0"/>
              <w:snapToGrid w:val="0"/>
              <w:jc w:val="left"/>
              <w:rPr>
                <w:rFonts w:ascii="宋体" w:hAnsi="宋体"/>
                <w:color w:val="auto"/>
                <w:kern w:val="0"/>
                <w:szCs w:val="21"/>
                <w:highlight w:val="none"/>
              </w:rPr>
            </w:pPr>
          </w:p>
        </w:tc>
        <w:tc>
          <w:tcPr>
            <w:tcW w:w="1167" w:type="dxa"/>
          </w:tcPr>
          <w:p w14:paraId="41562900">
            <w:pPr>
              <w:autoSpaceDE w:val="0"/>
              <w:autoSpaceDN w:val="0"/>
              <w:adjustRightInd w:val="0"/>
              <w:snapToGrid w:val="0"/>
              <w:jc w:val="left"/>
              <w:rPr>
                <w:rFonts w:ascii="宋体" w:hAnsi="宋体"/>
                <w:color w:val="auto"/>
                <w:kern w:val="0"/>
                <w:szCs w:val="21"/>
                <w:highlight w:val="none"/>
              </w:rPr>
            </w:pPr>
          </w:p>
        </w:tc>
        <w:tc>
          <w:tcPr>
            <w:tcW w:w="776" w:type="dxa"/>
          </w:tcPr>
          <w:p w14:paraId="0B3C17E9">
            <w:pPr>
              <w:autoSpaceDE w:val="0"/>
              <w:autoSpaceDN w:val="0"/>
              <w:adjustRightInd w:val="0"/>
              <w:snapToGrid w:val="0"/>
              <w:jc w:val="left"/>
              <w:rPr>
                <w:rFonts w:ascii="宋体" w:hAnsi="宋体"/>
                <w:color w:val="auto"/>
                <w:kern w:val="0"/>
                <w:szCs w:val="21"/>
                <w:highlight w:val="none"/>
              </w:rPr>
            </w:pPr>
          </w:p>
        </w:tc>
        <w:tc>
          <w:tcPr>
            <w:tcW w:w="778" w:type="dxa"/>
          </w:tcPr>
          <w:p w14:paraId="3AB6BD7C">
            <w:pPr>
              <w:autoSpaceDE w:val="0"/>
              <w:autoSpaceDN w:val="0"/>
              <w:adjustRightInd w:val="0"/>
              <w:snapToGrid w:val="0"/>
              <w:jc w:val="left"/>
              <w:rPr>
                <w:rFonts w:ascii="宋体" w:hAnsi="宋体"/>
                <w:color w:val="auto"/>
                <w:kern w:val="0"/>
                <w:szCs w:val="21"/>
                <w:highlight w:val="none"/>
              </w:rPr>
            </w:pPr>
          </w:p>
        </w:tc>
        <w:tc>
          <w:tcPr>
            <w:tcW w:w="776" w:type="dxa"/>
          </w:tcPr>
          <w:p w14:paraId="045D9170">
            <w:pPr>
              <w:autoSpaceDE w:val="0"/>
              <w:autoSpaceDN w:val="0"/>
              <w:adjustRightInd w:val="0"/>
              <w:snapToGrid w:val="0"/>
              <w:jc w:val="left"/>
              <w:rPr>
                <w:rFonts w:ascii="宋体" w:hAnsi="宋体"/>
                <w:color w:val="auto"/>
                <w:kern w:val="0"/>
                <w:szCs w:val="21"/>
                <w:highlight w:val="none"/>
              </w:rPr>
            </w:pPr>
          </w:p>
        </w:tc>
        <w:tc>
          <w:tcPr>
            <w:tcW w:w="2723" w:type="dxa"/>
          </w:tcPr>
          <w:p w14:paraId="3FE5E9B3">
            <w:pPr>
              <w:autoSpaceDE w:val="0"/>
              <w:autoSpaceDN w:val="0"/>
              <w:adjustRightInd w:val="0"/>
              <w:snapToGrid w:val="0"/>
              <w:jc w:val="left"/>
              <w:rPr>
                <w:rFonts w:ascii="宋体" w:hAnsi="宋体"/>
                <w:color w:val="auto"/>
                <w:kern w:val="0"/>
                <w:szCs w:val="21"/>
                <w:highlight w:val="none"/>
              </w:rPr>
            </w:pPr>
          </w:p>
        </w:tc>
        <w:tc>
          <w:tcPr>
            <w:tcW w:w="896" w:type="dxa"/>
          </w:tcPr>
          <w:p w14:paraId="3662D43D">
            <w:pPr>
              <w:autoSpaceDE w:val="0"/>
              <w:autoSpaceDN w:val="0"/>
              <w:adjustRightInd w:val="0"/>
              <w:snapToGrid w:val="0"/>
              <w:jc w:val="left"/>
              <w:rPr>
                <w:rFonts w:ascii="宋体" w:hAnsi="宋体"/>
                <w:color w:val="auto"/>
                <w:kern w:val="0"/>
                <w:szCs w:val="21"/>
                <w:highlight w:val="none"/>
              </w:rPr>
            </w:pPr>
          </w:p>
        </w:tc>
      </w:tr>
      <w:tr w14:paraId="0F0C00F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78543EAA">
            <w:pPr>
              <w:autoSpaceDE w:val="0"/>
              <w:autoSpaceDN w:val="0"/>
              <w:adjustRightInd w:val="0"/>
              <w:snapToGrid w:val="0"/>
              <w:jc w:val="left"/>
              <w:rPr>
                <w:rFonts w:ascii="宋体" w:hAnsi="宋体"/>
                <w:color w:val="auto"/>
                <w:kern w:val="0"/>
                <w:szCs w:val="21"/>
                <w:highlight w:val="none"/>
              </w:rPr>
            </w:pPr>
          </w:p>
        </w:tc>
        <w:tc>
          <w:tcPr>
            <w:tcW w:w="734" w:type="dxa"/>
          </w:tcPr>
          <w:p w14:paraId="16956B9E">
            <w:pPr>
              <w:autoSpaceDE w:val="0"/>
              <w:autoSpaceDN w:val="0"/>
              <w:adjustRightInd w:val="0"/>
              <w:snapToGrid w:val="0"/>
              <w:jc w:val="left"/>
              <w:rPr>
                <w:rFonts w:ascii="宋体" w:hAnsi="宋体"/>
                <w:color w:val="auto"/>
                <w:kern w:val="0"/>
                <w:szCs w:val="21"/>
                <w:highlight w:val="none"/>
              </w:rPr>
            </w:pPr>
          </w:p>
        </w:tc>
        <w:tc>
          <w:tcPr>
            <w:tcW w:w="776" w:type="dxa"/>
          </w:tcPr>
          <w:p w14:paraId="4EF17F36">
            <w:pPr>
              <w:autoSpaceDE w:val="0"/>
              <w:autoSpaceDN w:val="0"/>
              <w:adjustRightInd w:val="0"/>
              <w:snapToGrid w:val="0"/>
              <w:jc w:val="left"/>
              <w:rPr>
                <w:rFonts w:ascii="宋体" w:hAnsi="宋体"/>
                <w:color w:val="auto"/>
                <w:kern w:val="0"/>
                <w:szCs w:val="21"/>
                <w:highlight w:val="none"/>
              </w:rPr>
            </w:pPr>
          </w:p>
        </w:tc>
        <w:tc>
          <w:tcPr>
            <w:tcW w:w="1167" w:type="dxa"/>
          </w:tcPr>
          <w:p w14:paraId="753E0E8E">
            <w:pPr>
              <w:autoSpaceDE w:val="0"/>
              <w:autoSpaceDN w:val="0"/>
              <w:adjustRightInd w:val="0"/>
              <w:snapToGrid w:val="0"/>
              <w:jc w:val="left"/>
              <w:rPr>
                <w:rFonts w:ascii="宋体" w:hAnsi="宋体"/>
                <w:color w:val="auto"/>
                <w:kern w:val="0"/>
                <w:szCs w:val="21"/>
                <w:highlight w:val="none"/>
              </w:rPr>
            </w:pPr>
          </w:p>
        </w:tc>
        <w:tc>
          <w:tcPr>
            <w:tcW w:w="776" w:type="dxa"/>
          </w:tcPr>
          <w:p w14:paraId="02251F86">
            <w:pPr>
              <w:autoSpaceDE w:val="0"/>
              <w:autoSpaceDN w:val="0"/>
              <w:adjustRightInd w:val="0"/>
              <w:snapToGrid w:val="0"/>
              <w:jc w:val="left"/>
              <w:rPr>
                <w:rFonts w:ascii="宋体" w:hAnsi="宋体"/>
                <w:color w:val="auto"/>
                <w:kern w:val="0"/>
                <w:szCs w:val="21"/>
                <w:highlight w:val="none"/>
              </w:rPr>
            </w:pPr>
          </w:p>
        </w:tc>
        <w:tc>
          <w:tcPr>
            <w:tcW w:w="778" w:type="dxa"/>
          </w:tcPr>
          <w:p w14:paraId="3C526413">
            <w:pPr>
              <w:autoSpaceDE w:val="0"/>
              <w:autoSpaceDN w:val="0"/>
              <w:adjustRightInd w:val="0"/>
              <w:snapToGrid w:val="0"/>
              <w:jc w:val="left"/>
              <w:rPr>
                <w:rFonts w:ascii="宋体" w:hAnsi="宋体"/>
                <w:color w:val="auto"/>
                <w:kern w:val="0"/>
                <w:szCs w:val="21"/>
                <w:highlight w:val="none"/>
              </w:rPr>
            </w:pPr>
          </w:p>
        </w:tc>
        <w:tc>
          <w:tcPr>
            <w:tcW w:w="776" w:type="dxa"/>
          </w:tcPr>
          <w:p w14:paraId="7A5BCE18">
            <w:pPr>
              <w:autoSpaceDE w:val="0"/>
              <w:autoSpaceDN w:val="0"/>
              <w:adjustRightInd w:val="0"/>
              <w:snapToGrid w:val="0"/>
              <w:jc w:val="left"/>
              <w:rPr>
                <w:rFonts w:ascii="宋体" w:hAnsi="宋体"/>
                <w:color w:val="auto"/>
                <w:kern w:val="0"/>
                <w:szCs w:val="21"/>
                <w:highlight w:val="none"/>
              </w:rPr>
            </w:pPr>
          </w:p>
        </w:tc>
        <w:tc>
          <w:tcPr>
            <w:tcW w:w="2723" w:type="dxa"/>
          </w:tcPr>
          <w:p w14:paraId="40235D70">
            <w:pPr>
              <w:autoSpaceDE w:val="0"/>
              <w:autoSpaceDN w:val="0"/>
              <w:adjustRightInd w:val="0"/>
              <w:snapToGrid w:val="0"/>
              <w:jc w:val="left"/>
              <w:rPr>
                <w:rFonts w:ascii="宋体" w:hAnsi="宋体"/>
                <w:color w:val="auto"/>
                <w:kern w:val="0"/>
                <w:szCs w:val="21"/>
                <w:highlight w:val="none"/>
              </w:rPr>
            </w:pPr>
          </w:p>
        </w:tc>
        <w:tc>
          <w:tcPr>
            <w:tcW w:w="896" w:type="dxa"/>
          </w:tcPr>
          <w:p w14:paraId="558626BE">
            <w:pPr>
              <w:autoSpaceDE w:val="0"/>
              <w:autoSpaceDN w:val="0"/>
              <w:adjustRightInd w:val="0"/>
              <w:snapToGrid w:val="0"/>
              <w:jc w:val="left"/>
              <w:rPr>
                <w:rFonts w:ascii="宋体" w:hAnsi="宋体"/>
                <w:color w:val="auto"/>
                <w:kern w:val="0"/>
                <w:szCs w:val="21"/>
                <w:highlight w:val="none"/>
              </w:rPr>
            </w:pPr>
          </w:p>
        </w:tc>
      </w:tr>
      <w:tr w14:paraId="7F94FB1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4D35998C">
            <w:pPr>
              <w:autoSpaceDE w:val="0"/>
              <w:autoSpaceDN w:val="0"/>
              <w:adjustRightInd w:val="0"/>
              <w:snapToGrid w:val="0"/>
              <w:jc w:val="left"/>
              <w:rPr>
                <w:rFonts w:ascii="宋体" w:hAnsi="宋体"/>
                <w:color w:val="auto"/>
                <w:kern w:val="0"/>
                <w:szCs w:val="21"/>
                <w:highlight w:val="none"/>
              </w:rPr>
            </w:pPr>
          </w:p>
        </w:tc>
        <w:tc>
          <w:tcPr>
            <w:tcW w:w="734" w:type="dxa"/>
          </w:tcPr>
          <w:p w14:paraId="4C4ABE7C">
            <w:pPr>
              <w:autoSpaceDE w:val="0"/>
              <w:autoSpaceDN w:val="0"/>
              <w:adjustRightInd w:val="0"/>
              <w:snapToGrid w:val="0"/>
              <w:jc w:val="left"/>
              <w:rPr>
                <w:rFonts w:ascii="宋体" w:hAnsi="宋体"/>
                <w:color w:val="auto"/>
                <w:kern w:val="0"/>
                <w:szCs w:val="21"/>
                <w:highlight w:val="none"/>
              </w:rPr>
            </w:pPr>
          </w:p>
        </w:tc>
        <w:tc>
          <w:tcPr>
            <w:tcW w:w="776" w:type="dxa"/>
          </w:tcPr>
          <w:p w14:paraId="17EB7C3A">
            <w:pPr>
              <w:autoSpaceDE w:val="0"/>
              <w:autoSpaceDN w:val="0"/>
              <w:adjustRightInd w:val="0"/>
              <w:snapToGrid w:val="0"/>
              <w:jc w:val="left"/>
              <w:rPr>
                <w:rFonts w:ascii="宋体" w:hAnsi="宋体"/>
                <w:color w:val="auto"/>
                <w:kern w:val="0"/>
                <w:szCs w:val="21"/>
                <w:highlight w:val="none"/>
              </w:rPr>
            </w:pPr>
          </w:p>
        </w:tc>
        <w:tc>
          <w:tcPr>
            <w:tcW w:w="1167" w:type="dxa"/>
          </w:tcPr>
          <w:p w14:paraId="3A1165CC">
            <w:pPr>
              <w:autoSpaceDE w:val="0"/>
              <w:autoSpaceDN w:val="0"/>
              <w:adjustRightInd w:val="0"/>
              <w:snapToGrid w:val="0"/>
              <w:jc w:val="left"/>
              <w:rPr>
                <w:rFonts w:ascii="宋体" w:hAnsi="宋体"/>
                <w:color w:val="auto"/>
                <w:kern w:val="0"/>
                <w:szCs w:val="21"/>
                <w:highlight w:val="none"/>
              </w:rPr>
            </w:pPr>
          </w:p>
        </w:tc>
        <w:tc>
          <w:tcPr>
            <w:tcW w:w="776" w:type="dxa"/>
          </w:tcPr>
          <w:p w14:paraId="50B24122">
            <w:pPr>
              <w:autoSpaceDE w:val="0"/>
              <w:autoSpaceDN w:val="0"/>
              <w:adjustRightInd w:val="0"/>
              <w:snapToGrid w:val="0"/>
              <w:jc w:val="left"/>
              <w:rPr>
                <w:rFonts w:ascii="宋体" w:hAnsi="宋体"/>
                <w:color w:val="auto"/>
                <w:kern w:val="0"/>
                <w:szCs w:val="21"/>
                <w:highlight w:val="none"/>
              </w:rPr>
            </w:pPr>
          </w:p>
        </w:tc>
        <w:tc>
          <w:tcPr>
            <w:tcW w:w="778" w:type="dxa"/>
          </w:tcPr>
          <w:p w14:paraId="7D7BB8B1">
            <w:pPr>
              <w:autoSpaceDE w:val="0"/>
              <w:autoSpaceDN w:val="0"/>
              <w:adjustRightInd w:val="0"/>
              <w:snapToGrid w:val="0"/>
              <w:jc w:val="left"/>
              <w:rPr>
                <w:rFonts w:ascii="宋体" w:hAnsi="宋体"/>
                <w:color w:val="auto"/>
                <w:kern w:val="0"/>
                <w:szCs w:val="21"/>
                <w:highlight w:val="none"/>
              </w:rPr>
            </w:pPr>
          </w:p>
        </w:tc>
        <w:tc>
          <w:tcPr>
            <w:tcW w:w="776" w:type="dxa"/>
          </w:tcPr>
          <w:p w14:paraId="3E202D1A">
            <w:pPr>
              <w:autoSpaceDE w:val="0"/>
              <w:autoSpaceDN w:val="0"/>
              <w:adjustRightInd w:val="0"/>
              <w:snapToGrid w:val="0"/>
              <w:jc w:val="left"/>
              <w:rPr>
                <w:rFonts w:ascii="宋体" w:hAnsi="宋体"/>
                <w:color w:val="auto"/>
                <w:kern w:val="0"/>
                <w:szCs w:val="21"/>
                <w:highlight w:val="none"/>
              </w:rPr>
            </w:pPr>
          </w:p>
        </w:tc>
        <w:tc>
          <w:tcPr>
            <w:tcW w:w="2723" w:type="dxa"/>
          </w:tcPr>
          <w:p w14:paraId="3E65A099">
            <w:pPr>
              <w:autoSpaceDE w:val="0"/>
              <w:autoSpaceDN w:val="0"/>
              <w:adjustRightInd w:val="0"/>
              <w:snapToGrid w:val="0"/>
              <w:jc w:val="left"/>
              <w:rPr>
                <w:rFonts w:ascii="宋体" w:hAnsi="宋体"/>
                <w:color w:val="auto"/>
                <w:kern w:val="0"/>
                <w:szCs w:val="21"/>
                <w:highlight w:val="none"/>
              </w:rPr>
            </w:pPr>
          </w:p>
        </w:tc>
        <w:tc>
          <w:tcPr>
            <w:tcW w:w="896" w:type="dxa"/>
          </w:tcPr>
          <w:p w14:paraId="543D568E">
            <w:pPr>
              <w:autoSpaceDE w:val="0"/>
              <w:autoSpaceDN w:val="0"/>
              <w:adjustRightInd w:val="0"/>
              <w:snapToGrid w:val="0"/>
              <w:jc w:val="left"/>
              <w:rPr>
                <w:rFonts w:ascii="宋体" w:hAnsi="宋体"/>
                <w:color w:val="auto"/>
                <w:kern w:val="0"/>
                <w:szCs w:val="21"/>
                <w:highlight w:val="none"/>
              </w:rPr>
            </w:pPr>
          </w:p>
        </w:tc>
      </w:tr>
      <w:tr w14:paraId="49120EE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40BFF783">
            <w:pPr>
              <w:autoSpaceDE w:val="0"/>
              <w:autoSpaceDN w:val="0"/>
              <w:adjustRightInd w:val="0"/>
              <w:snapToGrid w:val="0"/>
              <w:jc w:val="left"/>
              <w:rPr>
                <w:rFonts w:ascii="宋体" w:hAnsi="宋体"/>
                <w:color w:val="auto"/>
                <w:kern w:val="0"/>
                <w:szCs w:val="21"/>
                <w:highlight w:val="none"/>
              </w:rPr>
            </w:pPr>
          </w:p>
        </w:tc>
        <w:tc>
          <w:tcPr>
            <w:tcW w:w="734" w:type="dxa"/>
          </w:tcPr>
          <w:p w14:paraId="2D1C584D">
            <w:pPr>
              <w:autoSpaceDE w:val="0"/>
              <w:autoSpaceDN w:val="0"/>
              <w:adjustRightInd w:val="0"/>
              <w:snapToGrid w:val="0"/>
              <w:jc w:val="left"/>
              <w:rPr>
                <w:rFonts w:ascii="宋体" w:hAnsi="宋体"/>
                <w:color w:val="auto"/>
                <w:kern w:val="0"/>
                <w:szCs w:val="21"/>
                <w:highlight w:val="none"/>
              </w:rPr>
            </w:pPr>
          </w:p>
        </w:tc>
        <w:tc>
          <w:tcPr>
            <w:tcW w:w="776" w:type="dxa"/>
          </w:tcPr>
          <w:p w14:paraId="38BD00AF">
            <w:pPr>
              <w:autoSpaceDE w:val="0"/>
              <w:autoSpaceDN w:val="0"/>
              <w:adjustRightInd w:val="0"/>
              <w:snapToGrid w:val="0"/>
              <w:jc w:val="left"/>
              <w:rPr>
                <w:rFonts w:ascii="宋体" w:hAnsi="宋体"/>
                <w:color w:val="auto"/>
                <w:kern w:val="0"/>
                <w:szCs w:val="21"/>
                <w:highlight w:val="none"/>
              </w:rPr>
            </w:pPr>
          </w:p>
        </w:tc>
        <w:tc>
          <w:tcPr>
            <w:tcW w:w="1167" w:type="dxa"/>
          </w:tcPr>
          <w:p w14:paraId="60A05207">
            <w:pPr>
              <w:autoSpaceDE w:val="0"/>
              <w:autoSpaceDN w:val="0"/>
              <w:adjustRightInd w:val="0"/>
              <w:snapToGrid w:val="0"/>
              <w:jc w:val="left"/>
              <w:rPr>
                <w:rFonts w:ascii="宋体" w:hAnsi="宋体"/>
                <w:color w:val="auto"/>
                <w:kern w:val="0"/>
                <w:szCs w:val="21"/>
                <w:highlight w:val="none"/>
              </w:rPr>
            </w:pPr>
          </w:p>
        </w:tc>
        <w:tc>
          <w:tcPr>
            <w:tcW w:w="776" w:type="dxa"/>
          </w:tcPr>
          <w:p w14:paraId="62EBCAF6">
            <w:pPr>
              <w:autoSpaceDE w:val="0"/>
              <w:autoSpaceDN w:val="0"/>
              <w:adjustRightInd w:val="0"/>
              <w:snapToGrid w:val="0"/>
              <w:jc w:val="left"/>
              <w:rPr>
                <w:rFonts w:ascii="宋体" w:hAnsi="宋体"/>
                <w:color w:val="auto"/>
                <w:kern w:val="0"/>
                <w:szCs w:val="21"/>
                <w:highlight w:val="none"/>
              </w:rPr>
            </w:pPr>
          </w:p>
        </w:tc>
        <w:tc>
          <w:tcPr>
            <w:tcW w:w="778" w:type="dxa"/>
          </w:tcPr>
          <w:p w14:paraId="2E73B463">
            <w:pPr>
              <w:autoSpaceDE w:val="0"/>
              <w:autoSpaceDN w:val="0"/>
              <w:adjustRightInd w:val="0"/>
              <w:snapToGrid w:val="0"/>
              <w:jc w:val="left"/>
              <w:rPr>
                <w:rFonts w:ascii="宋体" w:hAnsi="宋体"/>
                <w:color w:val="auto"/>
                <w:kern w:val="0"/>
                <w:szCs w:val="21"/>
                <w:highlight w:val="none"/>
              </w:rPr>
            </w:pPr>
          </w:p>
        </w:tc>
        <w:tc>
          <w:tcPr>
            <w:tcW w:w="776" w:type="dxa"/>
          </w:tcPr>
          <w:p w14:paraId="06680390">
            <w:pPr>
              <w:autoSpaceDE w:val="0"/>
              <w:autoSpaceDN w:val="0"/>
              <w:adjustRightInd w:val="0"/>
              <w:snapToGrid w:val="0"/>
              <w:jc w:val="left"/>
              <w:rPr>
                <w:rFonts w:ascii="宋体" w:hAnsi="宋体"/>
                <w:color w:val="auto"/>
                <w:kern w:val="0"/>
                <w:szCs w:val="21"/>
                <w:highlight w:val="none"/>
              </w:rPr>
            </w:pPr>
          </w:p>
        </w:tc>
        <w:tc>
          <w:tcPr>
            <w:tcW w:w="2723" w:type="dxa"/>
          </w:tcPr>
          <w:p w14:paraId="70C76394">
            <w:pPr>
              <w:autoSpaceDE w:val="0"/>
              <w:autoSpaceDN w:val="0"/>
              <w:adjustRightInd w:val="0"/>
              <w:snapToGrid w:val="0"/>
              <w:jc w:val="left"/>
              <w:rPr>
                <w:rFonts w:ascii="宋体" w:hAnsi="宋体"/>
                <w:color w:val="auto"/>
                <w:kern w:val="0"/>
                <w:szCs w:val="21"/>
                <w:highlight w:val="none"/>
              </w:rPr>
            </w:pPr>
          </w:p>
        </w:tc>
        <w:tc>
          <w:tcPr>
            <w:tcW w:w="896" w:type="dxa"/>
          </w:tcPr>
          <w:p w14:paraId="1C6A745C">
            <w:pPr>
              <w:autoSpaceDE w:val="0"/>
              <w:autoSpaceDN w:val="0"/>
              <w:adjustRightInd w:val="0"/>
              <w:snapToGrid w:val="0"/>
              <w:jc w:val="left"/>
              <w:rPr>
                <w:rFonts w:ascii="宋体" w:hAnsi="宋体"/>
                <w:color w:val="auto"/>
                <w:kern w:val="0"/>
                <w:szCs w:val="21"/>
                <w:highlight w:val="none"/>
              </w:rPr>
            </w:pPr>
          </w:p>
        </w:tc>
      </w:tr>
      <w:tr w14:paraId="01111FA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3CDBFCF6">
            <w:pPr>
              <w:autoSpaceDE w:val="0"/>
              <w:autoSpaceDN w:val="0"/>
              <w:adjustRightInd w:val="0"/>
              <w:snapToGrid w:val="0"/>
              <w:jc w:val="left"/>
              <w:rPr>
                <w:rFonts w:ascii="宋体" w:hAnsi="宋体"/>
                <w:color w:val="auto"/>
                <w:kern w:val="0"/>
                <w:szCs w:val="21"/>
                <w:highlight w:val="none"/>
              </w:rPr>
            </w:pPr>
          </w:p>
        </w:tc>
        <w:tc>
          <w:tcPr>
            <w:tcW w:w="734" w:type="dxa"/>
          </w:tcPr>
          <w:p w14:paraId="6D7088CF">
            <w:pPr>
              <w:autoSpaceDE w:val="0"/>
              <w:autoSpaceDN w:val="0"/>
              <w:adjustRightInd w:val="0"/>
              <w:snapToGrid w:val="0"/>
              <w:jc w:val="left"/>
              <w:rPr>
                <w:rFonts w:ascii="宋体" w:hAnsi="宋体"/>
                <w:color w:val="auto"/>
                <w:kern w:val="0"/>
                <w:szCs w:val="21"/>
                <w:highlight w:val="none"/>
              </w:rPr>
            </w:pPr>
          </w:p>
        </w:tc>
        <w:tc>
          <w:tcPr>
            <w:tcW w:w="776" w:type="dxa"/>
          </w:tcPr>
          <w:p w14:paraId="3B9FFEFB">
            <w:pPr>
              <w:autoSpaceDE w:val="0"/>
              <w:autoSpaceDN w:val="0"/>
              <w:adjustRightInd w:val="0"/>
              <w:snapToGrid w:val="0"/>
              <w:jc w:val="left"/>
              <w:rPr>
                <w:rFonts w:ascii="宋体" w:hAnsi="宋体"/>
                <w:color w:val="auto"/>
                <w:kern w:val="0"/>
                <w:szCs w:val="21"/>
                <w:highlight w:val="none"/>
              </w:rPr>
            </w:pPr>
          </w:p>
        </w:tc>
        <w:tc>
          <w:tcPr>
            <w:tcW w:w="1167" w:type="dxa"/>
          </w:tcPr>
          <w:p w14:paraId="0804A230">
            <w:pPr>
              <w:autoSpaceDE w:val="0"/>
              <w:autoSpaceDN w:val="0"/>
              <w:adjustRightInd w:val="0"/>
              <w:snapToGrid w:val="0"/>
              <w:jc w:val="left"/>
              <w:rPr>
                <w:rFonts w:ascii="宋体" w:hAnsi="宋体"/>
                <w:color w:val="auto"/>
                <w:kern w:val="0"/>
                <w:szCs w:val="21"/>
                <w:highlight w:val="none"/>
              </w:rPr>
            </w:pPr>
          </w:p>
        </w:tc>
        <w:tc>
          <w:tcPr>
            <w:tcW w:w="776" w:type="dxa"/>
          </w:tcPr>
          <w:p w14:paraId="5964855F">
            <w:pPr>
              <w:autoSpaceDE w:val="0"/>
              <w:autoSpaceDN w:val="0"/>
              <w:adjustRightInd w:val="0"/>
              <w:snapToGrid w:val="0"/>
              <w:jc w:val="left"/>
              <w:rPr>
                <w:rFonts w:ascii="宋体" w:hAnsi="宋体"/>
                <w:color w:val="auto"/>
                <w:kern w:val="0"/>
                <w:szCs w:val="21"/>
                <w:highlight w:val="none"/>
              </w:rPr>
            </w:pPr>
          </w:p>
        </w:tc>
        <w:tc>
          <w:tcPr>
            <w:tcW w:w="778" w:type="dxa"/>
          </w:tcPr>
          <w:p w14:paraId="6B74F011">
            <w:pPr>
              <w:autoSpaceDE w:val="0"/>
              <w:autoSpaceDN w:val="0"/>
              <w:adjustRightInd w:val="0"/>
              <w:snapToGrid w:val="0"/>
              <w:jc w:val="left"/>
              <w:rPr>
                <w:rFonts w:ascii="宋体" w:hAnsi="宋体"/>
                <w:color w:val="auto"/>
                <w:kern w:val="0"/>
                <w:szCs w:val="21"/>
                <w:highlight w:val="none"/>
              </w:rPr>
            </w:pPr>
          </w:p>
        </w:tc>
        <w:tc>
          <w:tcPr>
            <w:tcW w:w="776" w:type="dxa"/>
          </w:tcPr>
          <w:p w14:paraId="0D576252">
            <w:pPr>
              <w:autoSpaceDE w:val="0"/>
              <w:autoSpaceDN w:val="0"/>
              <w:adjustRightInd w:val="0"/>
              <w:snapToGrid w:val="0"/>
              <w:jc w:val="left"/>
              <w:rPr>
                <w:rFonts w:ascii="宋体" w:hAnsi="宋体"/>
                <w:color w:val="auto"/>
                <w:kern w:val="0"/>
                <w:szCs w:val="21"/>
                <w:highlight w:val="none"/>
              </w:rPr>
            </w:pPr>
          </w:p>
        </w:tc>
        <w:tc>
          <w:tcPr>
            <w:tcW w:w="2723" w:type="dxa"/>
          </w:tcPr>
          <w:p w14:paraId="5CC6EFF5">
            <w:pPr>
              <w:autoSpaceDE w:val="0"/>
              <w:autoSpaceDN w:val="0"/>
              <w:adjustRightInd w:val="0"/>
              <w:snapToGrid w:val="0"/>
              <w:jc w:val="left"/>
              <w:rPr>
                <w:rFonts w:ascii="宋体" w:hAnsi="宋体"/>
                <w:color w:val="auto"/>
                <w:kern w:val="0"/>
                <w:szCs w:val="21"/>
                <w:highlight w:val="none"/>
              </w:rPr>
            </w:pPr>
          </w:p>
        </w:tc>
        <w:tc>
          <w:tcPr>
            <w:tcW w:w="896" w:type="dxa"/>
          </w:tcPr>
          <w:p w14:paraId="3F0DB9F1">
            <w:pPr>
              <w:autoSpaceDE w:val="0"/>
              <w:autoSpaceDN w:val="0"/>
              <w:adjustRightInd w:val="0"/>
              <w:snapToGrid w:val="0"/>
              <w:jc w:val="left"/>
              <w:rPr>
                <w:rFonts w:ascii="宋体" w:hAnsi="宋体"/>
                <w:color w:val="auto"/>
                <w:kern w:val="0"/>
                <w:szCs w:val="21"/>
                <w:highlight w:val="none"/>
              </w:rPr>
            </w:pPr>
          </w:p>
        </w:tc>
      </w:tr>
    </w:tbl>
    <w:p w14:paraId="2E488C27">
      <w:pPr>
        <w:spacing w:line="20" w:lineRule="exact"/>
        <w:jc w:val="center"/>
        <w:rPr>
          <w:rFonts w:ascii="宋体" w:hAnsi="宋体"/>
          <w:color w:val="auto"/>
          <w:szCs w:val="21"/>
          <w:highlight w:val="none"/>
        </w:rPr>
      </w:pPr>
    </w:p>
    <w:p w14:paraId="67C8C0FA">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备注：本表仅填项目经理、项目技术负责人相关信息</w:t>
      </w:r>
    </w:p>
    <w:p w14:paraId="18E514FB">
      <w:pPr>
        <w:spacing w:line="360" w:lineRule="auto"/>
        <w:ind w:firstLine="640"/>
        <w:jc w:val="center"/>
        <w:rPr>
          <w:rFonts w:ascii="宋体" w:hAnsi="宋体"/>
          <w:color w:val="auto"/>
          <w:sz w:val="32"/>
          <w:szCs w:val="32"/>
          <w:highlight w:val="none"/>
        </w:rPr>
      </w:pPr>
    </w:p>
    <w:p w14:paraId="1F10F95E">
      <w:pPr>
        <w:spacing w:line="360" w:lineRule="auto"/>
        <w:ind w:firstLine="640"/>
        <w:jc w:val="center"/>
        <w:rPr>
          <w:rFonts w:ascii="宋体" w:hAnsi="宋体"/>
          <w:color w:val="auto"/>
          <w:sz w:val="32"/>
          <w:szCs w:val="32"/>
          <w:highlight w:val="none"/>
        </w:rPr>
      </w:pPr>
      <w:r>
        <w:rPr>
          <w:rFonts w:ascii="宋体" w:hAnsi="宋体"/>
          <w:color w:val="auto"/>
          <w:sz w:val="32"/>
          <w:szCs w:val="32"/>
          <w:highlight w:val="none"/>
        </w:rPr>
        <w:br w:type="page"/>
      </w:r>
      <w:r>
        <w:rPr>
          <w:rFonts w:hint="eastAsia" w:ascii="宋体" w:hAnsi="宋体"/>
          <w:color w:val="auto"/>
          <w:sz w:val="32"/>
          <w:szCs w:val="32"/>
          <w:highlight w:val="none"/>
        </w:rPr>
        <w:t>项目经理及项目技术负责人简历表</w:t>
      </w:r>
      <w:bookmarkEnd w:id="2167"/>
      <w:bookmarkEnd w:id="2168"/>
    </w:p>
    <w:tbl>
      <w:tblPr>
        <w:tblStyle w:val="46"/>
        <w:tblW w:w="9565"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306"/>
        <w:gridCol w:w="397"/>
        <w:gridCol w:w="793"/>
        <w:gridCol w:w="1020"/>
        <w:gridCol w:w="1175"/>
        <w:gridCol w:w="780"/>
        <w:gridCol w:w="1388"/>
        <w:gridCol w:w="178"/>
        <w:gridCol w:w="2528"/>
      </w:tblGrid>
      <w:tr w14:paraId="6D40C26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14:paraId="47A97292">
            <w:pPr>
              <w:tabs>
                <w:tab w:val="left" w:pos="520"/>
              </w:tabs>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姓名</w:t>
            </w:r>
          </w:p>
        </w:tc>
        <w:tc>
          <w:tcPr>
            <w:tcW w:w="1190" w:type="dxa"/>
            <w:gridSpan w:val="2"/>
            <w:vAlign w:val="center"/>
          </w:tcPr>
          <w:p w14:paraId="4BA0EAA7">
            <w:pPr>
              <w:autoSpaceDE w:val="0"/>
              <w:autoSpaceDN w:val="0"/>
              <w:adjustRightInd w:val="0"/>
              <w:snapToGrid w:val="0"/>
              <w:jc w:val="center"/>
              <w:rPr>
                <w:rFonts w:ascii="宋体" w:hAnsi="宋体"/>
                <w:color w:val="auto"/>
                <w:kern w:val="0"/>
                <w:szCs w:val="21"/>
                <w:highlight w:val="none"/>
              </w:rPr>
            </w:pPr>
          </w:p>
        </w:tc>
        <w:tc>
          <w:tcPr>
            <w:tcW w:w="1020" w:type="dxa"/>
            <w:vAlign w:val="center"/>
          </w:tcPr>
          <w:p w14:paraId="498D3C43">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年龄</w:t>
            </w:r>
          </w:p>
        </w:tc>
        <w:tc>
          <w:tcPr>
            <w:tcW w:w="1175" w:type="dxa"/>
            <w:vAlign w:val="center"/>
          </w:tcPr>
          <w:p w14:paraId="7B5FB35C">
            <w:pPr>
              <w:autoSpaceDE w:val="0"/>
              <w:autoSpaceDN w:val="0"/>
              <w:adjustRightInd w:val="0"/>
              <w:snapToGrid w:val="0"/>
              <w:jc w:val="center"/>
              <w:rPr>
                <w:rFonts w:ascii="宋体" w:hAnsi="宋体"/>
                <w:color w:val="auto"/>
                <w:kern w:val="0"/>
                <w:szCs w:val="21"/>
                <w:highlight w:val="none"/>
              </w:rPr>
            </w:pPr>
          </w:p>
        </w:tc>
        <w:tc>
          <w:tcPr>
            <w:tcW w:w="2346" w:type="dxa"/>
            <w:gridSpan w:val="3"/>
            <w:vAlign w:val="center"/>
          </w:tcPr>
          <w:p w14:paraId="262BD2D0">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学历</w:t>
            </w:r>
          </w:p>
        </w:tc>
        <w:tc>
          <w:tcPr>
            <w:tcW w:w="2528" w:type="dxa"/>
            <w:vAlign w:val="center"/>
          </w:tcPr>
          <w:p w14:paraId="68927EBB">
            <w:pPr>
              <w:autoSpaceDE w:val="0"/>
              <w:autoSpaceDN w:val="0"/>
              <w:adjustRightInd w:val="0"/>
              <w:snapToGrid w:val="0"/>
              <w:jc w:val="center"/>
              <w:rPr>
                <w:rFonts w:ascii="宋体" w:hAnsi="宋体"/>
                <w:color w:val="auto"/>
                <w:kern w:val="0"/>
                <w:szCs w:val="21"/>
                <w:highlight w:val="none"/>
              </w:rPr>
            </w:pPr>
          </w:p>
        </w:tc>
      </w:tr>
      <w:tr w14:paraId="198CDF1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14:paraId="0BE8299A">
            <w:pPr>
              <w:tabs>
                <w:tab w:val="left" w:pos="520"/>
              </w:tabs>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职称</w:t>
            </w:r>
          </w:p>
        </w:tc>
        <w:tc>
          <w:tcPr>
            <w:tcW w:w="1190" w:type="dxa"/>
            <w:gridSpan w:val="2"/>
            <w:vAlign w:val="center"/>
          </w:tcPr>
          <w:p w14:paraId="1763D0DE">
            <w:pPr>
              <w:autoSpaceDE w:val="0"/>
              <w:autoSpaceDN w:val="0"/>
              <w:adjustRightInd w:val="0"/>
              <w:snapToGrid w:val="0"/>
              <w:jc w:val="center"/>
              <w:rPr>
                <w:rFonts w:ascii="宋体" w:hAnsi="宋体"/>
                <w:color w:val="auto"/>
                <w:kern w:val="0"/>
                <w:szCs w:val="21"/>
                <w:highlight w:val="none"/>
              </w:rPr>
            </w:pPr>
          </w:p>
        </w:tc>
        <w:tc>
          <w:tcPr>
            <w:tcW w:w="1020" w:type="dxa"/>
            <w:vAlign w:val="center"/>
          </w:tcPr>
          <w:p w14:paraId="751EC02D">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职务</w:t>
            </w:r>
          </w:p>
        </w:tc>
        <w:tc>
          <w:tcPr>
            <w:tcW w:w="1175" w:type="dxa"/>
            <w:vAlign w:val="center"/>
          </w:tcPr>
          <w:p w14:paraId="6B13738A">
            <w:pPr>
              <w:autoSpaceDE w:val="0"/>
              <w:autoSpaceDN w:val="0"/>
              <w:adjustRightInd w:val="0"/>
              <w:snapToGrid w:val="0"/>
              <w:jc w:val="center"/>
              <w:rPr>
                <w:rFonts w:ascii="宋体" w:hAnsi="宋体"/>
                <w:color w:val="auto"/>
                <w:kern w:val="0"/>
                <w:szCs w:val="21"/>
                <w:highlight w:val="none"/>
              </w:rPr>
            </w:pPr>
          </w:p>
        </w:tc>
        <w:tc>
          <w:tcPr>
            <w:tcW w:w="2346" w:type="dxa"/>
            <w:gridSpan w:val="3"/>
            <w:vAlign w:val="center"/>
          </w:tcPr>
          <w:p w14:paraId="0FAE58B4">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拟在本合同任职</w:t>
            </w:r>
          </w:p>
        </w:tc>
        <w:tc>
          <w:tcPr>
            <w:tcW w:w="2528" w:type="dxa"/>
            <w:vAlign w:val="center"/>
          </w:tcPr>
          <w:p w14:paraId="0D612DD7">
            <w:pPr>
              <w:autoSpaceDE w:val="0"/>
              <w:autoSpaceDN w:val="0"/>
              <w:adjustRightInd w:val="0"/>
              <w:snapToGrid w:val="0"/>
              <w:jc w:val="center"/>
              <w:rPr>
                <w:rFonts w:ascii="宋体" w:hAnsi="宋体"/>
                <w:color w:val="auto"/>
                <w:kern w:val="0"/>
                <w:szCs w:val="21"/>
                <w:highlight w:val="none"/>
              </w:rPr>
            </w:pPr>
          </w:p>
        </w:tc>
      </w:tr>
      <w:tr w14:paraId="79196E5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14:paraId="5E54615D">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毕业学校</w:t>
            </w:r>
          </w:p>
        </w:tc>
        <w:tc>
          <w:tcPr>
            <w:tcW w:w="8259" w:type="dxa"/>
            <w:gridSpan w:val="8"/>
            <w:vAlign w:val="center"/>
          </w:tcPr>
          <w:p w14:paraId="017C3F8B">
            <w:pPr>
              <w:tabs>
                <w:tab w:val="left" w:pos="2820"/>
                <w:tab w:val="left" w:pos="4080"/>
              </w:tabs>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年</w:t>
            </w:r>
            <w:r>
              <w:rPr>
                <w:rFonts w:ascii="宋体" w:hAnsi="宋体"/>
                <w:color w:val="auto"/>
                <w:spacing w:val="-1"/>
                <w:kern w:val="0"/>
                <w:szCs w:val="21"/>
                <w:highlight w:val="none"/>
              </w:rPr>
              <w:t>毕</w:t>
            </w:r>
            <w:r>
              <w:rPr>
                <w:rFonts w:ascii="宋体" w:hAnsi="宋体"/>
                <w:color w:val="auto"/>
                <w:kern w:val="0"/>
                <w:szCs w:val="21"/>
                <w:highlight w:val="none"/>
              </w:rPr>
              <w:t>业于</w:t>
            </w:r>
            <w:r>
              <w:rPr>
                <w:rFonts w:ascii="宋体" w:hAnsi="宋体"/>
                <w:color w:val="auto"/>
                <w:kern w:val="0"/>
                <w:szCs w:val="21"/>
                <w:highlight w:val="none"/>
              </w:rPr>
              <w:tab/>
            </w:r>
            <w:r>
              <w:rPr>
                <w:rFonts w:ascii="宋体" w:hAnsi="宋体"/>
                <w:color w:val="auto"/>
                <w:kern w:val="0"/>
                <w:szCs w:val="21"/>
                <w:highlight w:val="none"/>
              </w:rPr>
              <w:t>学校</w:t>
            </w:r>
            <w:r>
              <w:rPr>
                <w:rFonts w:ascii="宋体" w:hAnsi="宋体"/>
                <w:color w:val="auto"/>
                <w:kern w:val="0"/>
                <w:szCs w:val="21"/>
                <w:highlight w:val="none"/>
              </w:rPr>
              <w:tab/>
            </w:r>
            <w:r>
              <w:rPr>
                <w:rFonts w:ascii="宋体" w:hAnsi="宋体"/>
                <w:color w:val="auto"/>
                <w:kern w:val="0"/>
                <w:szCs w:val="21"/>
                <w:highlight w:val="none"/>
              </w:rPr>
              <w:t>专业</w:t>
            </w:r>
          </w:p>
        </w:tc>
      </w:tr>
      <w:tr w14:paraId="1433A05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9565" w:type="dxa"/>
            <w:gridSpan w:val="9"/>
            <w:vAlign w:val="center"/>
          </w:tcPr>
          <w:p w14:paraId="574F4A87">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主要工作经历</w:t>
            </w:r>
          </w:p>
        </w:tc>
      </w:tr>
      <w:tr w14:paraId="15E91AB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328A05EC">
            <w:pPr>
              <w:tabs>
                <w:tab w:val="left" w:pos="520"/>
              </w:tabs>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时间</w:t>
            </w:r>
          </w:p>
        </w:tc>
        <w:tc>
          <w:tcPr>
            <w:tcW w:w="3768" w:type="dxa"/>
            <w:gridSpan w:val="4"/>
            <w:vAlign w:val="center"/>
          </w:tcPr>
          <w:p w14:paraId="6D18300F">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参加过的类似项目</w:t>
            </w:r>
          </w:p>
        </w:tc>
        <w:tc>
          <w:tcPr>
            <w:tcW w:w="1388" w:type="dxa"/>
            <w:vAlign w:val="center"/>
          </w:tcPr>
          <w:p w14:paraId="75408984">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担任职务</w:t>
            </w:r>
          </w:p>
        </w:tc>
        <w:tc>
          <w:tcPr>
            <w:tcW w:w="2706" w:type="dxa"/>
            <w:gridSpan w:val="2"/>
            <w:vAlign w:val="center"/>
          </w:tcPr>
          <w:p w14:paraId="0F69D819">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发包人及联系电话</w:t>
            </w:r>
          </w:p>
        </w:tc>
      </w:tr>
      <w:tr w14:paraId="7293E18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202A6B76">
            <w:pPr>
              <w:autoSpaceDE w:val="0"/>
              <w:autoSpaceDN w:val="0"/>
              <w:adjustRightInd w:val="0"/>
              <w:snapToGrid w:val="0"/>
              <w:jc w:val="center"/>
              <w:rPr>
                <w:rFonts w:ascii="宋体" w:hAnsi="宋体"/>
                <w:color w:val="auto"/>
                <w:kern w:val="0"/>
                <w:szCs w:val="21"/>
                <w:highlight w:val="none"/>
              </w:rPr>
            </w:pPr>
          </w:p>
        </w:tc>
        <w:tc>
          <w:tcPr>
            <w:tcW w:w="3768" w:type="dxa"/>
            <w:gridSpan w:val="4"/>
            <w:vAlign w:val="center"/>
          </w:tcPr>
          <w:p w14:paraId="3D04C355">
            <w:pPr>
              <w:autoSpaceDE w:val="0"/>
              <w:autoSpaceDN w:val="0"/>
              <w:adjustRightInd w:val="0"/>
              <w:snapToGrid w:val="0"/>
              <w:jc w:val="center"/>
              <w:rPr>
                <w:rFonts w:ascii="宋体" w:hAnsi="宋体"/>
                <w:color w:val="auto"/>
                <w:kern w:val="0"/>
                <w:szCs w:val="21"/>
                <w:highlight w:val="none"/>
              </w:rPr>
            </w:pPr>
          </w:p>
        </w:tc>
        <w:tc>
          <w:tcPr>
            <w:tcW w:w="1388" w:type="dxa"/>
            <w:vAlign w:val="center"/>
          </w:tcPr>
          <w:p w14:paraId="5023DA0C">
            <w:pPr>
              <w:autoSpaceDE w:val="0"/>
              <w:autoSpaceDN w:val="0"/>
              <w:adjustRightInd w:val="0"/>
              <w:snapToGrid w:val="0"/>
              <w:jc w:val="center"/>
              <w:rPr>
                <w:rFonts w:ascii="宋体" w:hAnsi="宋体"/>
                <w:color w:val="auto"/>
                <w:kern w:val="0"/>
                <w:szCs w:val="21"/>
                <w:highlight w:val="none"/>
              </w:rPr>
            </w:pPr>
          </w:p>
        </w:tc>
        <w:tc>
          <w:tcPr>
            <w:tcW w:w="2706" w:type="dxa"/>
            <w:gridSpan w:val="2"/>
            <w:vAlign w:val="center"/>
          </w:tcPr>
          <w:p w14:paraId="6BF22404">
            <w:pPr>
              <w:autoSpaceDE w:val="0"/>
              <w:autoSpaceDN w:val="0"/>
              <w:adjustRightInd w:val="0"/>
              <w:snapToGrid w:val="0"/>
              <w:jc w:val="center"/>
              <w:rPr>
                <w:rFonts w:ascii="宋体" w:hAnsi="宋体"/>
                <w:color w:val="auto"/>
                <w:kern w:val="0"/>
                <w:szCs w:val="21"/>
                <w:highlight w:val="none"/>
              </w:rPr>
            </w:pPr>
          </w:p>
        </w:tc>
      </w:tr>
      <w:tr w14:paraId="72B1D57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6BE0EB67">
            <w:pPr>
              <w:autoSpaceDE w:val="0"/>
              <w:autoSpaceDN w:val="0"/>
              <w:adjustRightInd w:val="0"/>
              <w:snapToGrid w:val="0"/>
              <w:jc w:val="center"/>
              <w:rPr>
                <w:rFonts w:ascii="宋体" w:hAnsi="宋体"/>
                <w:color w:val="auto"/>
                <w:kern w:val="0"/>
                <w:szCs w:val="21"/>
                <w:highlight w:val="none"/>
              </w:rPr>
            </w:pPr>
          </w:p>
        </w:tc>
        <w:tc>
          <w:tcPr>
            <w:tcW w:w="3768" w:type="dxa"/>
            <w:gridSpan w:val="4"/>
            <w:vAlign w:val="center"/>
          </w:tcPr>
          <w:p w14:paraId="365E424A">
            <w:pPr>
              <w:autoSpaceDE w:val="0"/>
              <w:autoSpaceDN w:val="0"/>
              <w:adjustRightInd w:val="0"/>
              <w:snapToGrid w:val="0"/>
              <w:jc w:val="center"/>
              <w:rPr>
                <w:rFonts w:ascii="宋体" w:hAnsi="宋体"/>
                <w:color w:val="auto"/>
                <w:kern w:val="0"/>
                <w:szCs w:val="21"/>
                <w:highlight w:val="none"/>
              </w:rPr>
            </w:pPr>
          </w:p>
        </w:tc>
        <w:tc>
          <w:tcPr>
            <w:tcW w:w="1388" w:type="dxa"/>
            <w:vAlign w:val="center"/>
          </w:tcPr>
          <w:p w14:paraId="034610D6">
            <w:pPr>
              <w:autoSpaceDE w:val="0"/>
              <w:autoSpaceDN w:val="0"/>
              <w:adjustRightInd w:val="0"/>
              <w:snapToGrid w:val="0"/>
              <w:jc w:val="center"/>
              <w:rPr>
                <w:rFonts w:ascii="宋体" w:hAnsi="宋体"/>
                <w:color w:val="auto"/>
                <w:kern w:val="0"/>
                <w:szCs w:val="21"/>
                <w:highlight w:val="none"/>
              </w:rPr>
            </w:pPr>
          </w:p>
        </w:tc>
        <w:tc>
          <w:tcPr>
            <w:tcW w:w="2706" w:type="dxa"/>
            <w:gridSpan w:val="2"/>
            <w:vAlign w:val="center"/>
          </w:tcPr>
          <w:p w14:paraId="5B9DB0A6">
            <w:pPr>
              <w:autoSpaceDE w:val="0"/>
              <w:autoSpaceDN w:val="0"/>
              <w:adjustRightInd w:val="0"/>
              <w:snapToGrid w:val="0"/>
              <w:jc w:val="center"/>
              <w:rPr>
                <w:rFonts w:ascii="宋体" w:hAnsi="宋体"/>
                <w:color w:val="auto"/>
                <w:kern w:val="0"/>
                <w:szCs w:val="21"/>
                <w:highlight w:val="none"/>
              </w:rPr>
            </w:pPr>
          </w:p>
        </w:tc>
      </w:tr>
      <w:tr w14:paraId="66F44E4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29185DC5">
            <w:pPr>
              <w:autoSpaceDE w:val="0"/>
              <w:autoSpaceDN w:val="0"/>
              <w:adjustRightInd w:val="0"/>
              <w:snapToGrid w:val="0"/>
              <w:jc w:val="center"/>
              <w:rPr>
                <w:rFonts w:ascii="宋体" w:hAnsi="宋体"/>
                <w:color w:val="auto"/>
                <w:kern w:val="0"/>
                <w:szCs w:val="21"/>
                <w:highlight w:val="none"/>
              </w:rPr>
            </w:pPr>
          </w:p>
        </w:tc>
        <w:tc>
          <w:tcPr>
            <w:tcW w:w="3768" w:type="dxa"/>
            <w:gridSpan w:val="4"/>
            <w:vAlign w:val="center"/>
          </w:tcPr>
          <w:p w14:paraId="66052639">
            <w:pPr>
              <w:autoSpaceDE w:val="0"/>
              <w:autoSpaceDN w:val="0"/>
              <w:adjustRightInd w:val="0"/>
              <w:snapToGrid w:val="0"/>
              <w:jc w:val="center"/>
              <w:rPr>
                <w:rFonts w:ascii="宋体" w:hAnsi="宋体"/>
                <w:color w:val="auto"/>
                <w:kern w:val="0"/>
                <w:szCs w:val="21"/>
                <w:highlight w:val="none"/>
              </w:rPr>
            </w:pPr>
          </w:p>
        </w:tc>
        <w:tc>
          <w:tcPr>
            <w:tcW w:w="1388" w:type="dxa"/>
            <w:vAlign w:val="center"/>
          </w:tcPr>
          <w:p w14:paraId="402A1DE2">
            <w:pPr>
              <w:autoSpaceDE w:val="0"/>
              <w:autoSpaceDN w:val="0"/>
              <w:adjustRightInd w:val="0"/>
              <w:snapToGrid w:val="0"/>
              <w:jc w:val="center"/>
              <w:rPr>
                <w:rFonts w:ascii="宋体" w:hAnsi="宋体"/>
                <w:color w:val="auto"/>
                <w:kern w:val="0"/>
                <w:szCs w:val="21"/>
                <w:highlight w:val="none"/>
              </w:rPr>
            </w:pPr>
          </w:p>
        </w:tc>
        <w:tc>
          <w:tcPr>
            <w:tcW w:w="2706" w:type="dxa"/>
            <w:gridSpan w:val="2"/>
            <w:vAlign w:val="center"/>
          </w:tcPr>
          <w:p w14:paraId="6CEED565">
            <w:pPr>
              <w:autoSpaceDE w:val="0"/>
              <w:autoSpaceDN w:val="0"/>
              <w:adjustRightInd w:val="0"/>
              <w:snapToGrid w:val="0"/>
              <w:jc w:val="center"/>
              <w:rPr>
                <w:rFonts w:ascii="宋体" w:hAnsi="宋体"/>
                <w:color w:val="auto"/>
                <w:kern w:val="0"/>
                <w:szCs w:val="21"/>
                <w:highlight w:val="none"/>
              </w:rPr>
            </w:pPr>
          </w:p>
        </w:tc>
      </w:tr>
      <w:tr w14:paraId="40DE6EE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3072551F">
            <w:pPr>
              <w:autoSpaceDE w:val="0"/>
              <w:autoSpaceDN w:val="0"/>
              <w:adjustRightInd w:val="0"/>
              <w:snapToGrid w:val="0"/>
              <w:jc w:val="center"/>
              <w:rPr>
                <w:rFonts w:ascii="宋体" w:hAnsi="宋体"/>
                <w:color w:val="auto"/>
                <w:kern w:val="0"/>
                <w:szCs w:val="21"/>
                <w:highlight w:val="none"/>
              </w:rPr>
            </w:pPr>
          </w:p>
        </w:tc>
        <w:tc>
          <w:tcPr>
            <w:tcW w:w="3768" w:type="dxa"/>
            <w:gridSpan w:val="4"/>
            <w:vAlign w:val="center"/>
          </w:tcPr>
          <w:p w14:paraId="606AAC2B">
            <w:pPr>
              <w:autoSpaceDE w:val="0"/>
              <w:autoSpaceDN w:val="0"/>
              <w:adjustRightInd w:val="0"/>
              <w:snapToGrid w:val="0"/>
              <w:jc w:val="center"/>
              <w:rPr>
                <w:rFonts w:ascii="宋体" w:hAnsi="宋体"/>
                <w:color w:val="auto"/>
                <w:kern w:val="0"/>
                <w:szCs w:val="21"/>
                <w:highlight w:val="none"/>
              </w:rPr>
            </w:pPr>
          </w:p>
        </w:tc>
        <w:tc>
          <w:tcPr>
            <w:tcW w:w="1388" w:type="dxa"/>
            <w:vAlign w:val="center"/>
          </w:tcPr>
          <w:p w14:paraId="6875213F">
            <w:pPr>
              <w:autoSpaceDE w:val="0"/>
              <w:autoSpaceDN w:val="0"/>
              <w:adjustRightInd w:val="0"/>
              <w:snapToGrid w:val="0"/>
              <w:jc w:val="center"/>
              <w:rPr>
                <w:rFonts w:ascii="宋体" w:hAnsi="宋体"/>
                <w:color w:val="auto"/>
                <w:kern w:val="0"/>
                <w:szCs w:val="21"/>
                <w:highlight w:val="none"/>
              </w:rPr>
            </w:pPr>
          </w:p>
        </w:tc>
        <w:tc>
          <w:tcPr>
            <w:tcW w:w="2706" w:type="dxa"/>
            <w:gridSpan w:val="2"/>
            <w:vAlign w:val="center"/>
          </w:tcPr>
          <w:p w14:paraId="3C17998D">
            <w:pPr>
              <w:autoSpaceDE w:val="0"/>
              <w:autoSpaceDN w:val="0"/>
              <w:adjustRightInd w:val="0"/>
              <w:snapToGrid w:val="0"/>
              <w:jc w:val="center"/>
              <w:rPr>
                <w:rFonts w:ascii="宋体" w:hAnsi="宋体"/>
                <w:color w:val="auto"/>
                <w:kern w:val="0"/>
                <w:szCs w:val="21"/>
                <w:highlight w:val="none"/>
              </w:rPr>
            </w:pPr>
          </w:p>
        </w:tc>
      </w:tr>
      <w:tr w14:paraId="7AA99D5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33231CE6">
            <w:pPr>
              <w:autoSpaceDE w:val="0"/>
              <w:autoSpaceDN w:val="0"/>
              <w:adjustRightInd w:val="0"/>
              <w:snapToGrid w:val="0"/>
              <w:jc w:val="center"/>
              <w:rPr>
                <w:rFonts w:ascii="宋体" w:hAnsi="宋体"/>
                <w:color w:val="auto"/>
                <w:kern w:val="0"/>
                <w:szCs w:val="21"/>
                <w:highlight w:val="none"/>
              </w:rPr>
            </w:pPr>
          </w:p>
        </w:tc>
        <w:tc>
          <w:tcPr>
            <w:tcW w:w="3768" w:type="dxa"/>
            <w:gridSpan w:val="4"/>
            <w:vAlign w:val="center"/>
          </w:tcPr>
          <w:p w14:paraId="14139980">
            <w:pPr>
              <w:autoSpaceDE w:val="0"/>
              <w:autoSpaceDN w:val="0"/>
              <w:adjustRightInd w:val="0"/>
              <w:snapToGrid w:val="0"/>
              <w:jc w:val="center"/>
              <w:rPr>
                <w:rFonts w:ascii="宋体" w:hAnsi="宋体"/>
                <w:color w:val="auto"/>
                <w:kern w:val="0"/>
                <w:szCs w:val="21"/>
                <w:highlight w:val="none"/>
              </w:rPr>
            </w:pPr>
          </w:p>
        </w:tc>
        <w:tc>
          <w:tcPr>
            <w:tcW w:w="1388" w:type="dxa"/>
            <w:vAlign w:val="center"/>
          </w:tcPr>
          <w:p w14:paraId="5C512800">
            <w:pPr>
              <w:autoSpaceDE w:val="0"/>
              <w:autoSpaceDN w:val="0"/>
              <w:adjustRightInd w:val="0"/>
              <w:snapToGrid w:val="0"/>
              <w:jc w:val="center"/>
              <w:rPr>
                <w:rFonts w:ascii="宋体" w:hAnsi="宋体"/>
                <w:color w:val="auto"/>
                <w:kern w:val="0"/>
                <w:szCs w:val="21"/>
                <w:highlight w:val="none"/>
              </w:rPr>
            </w:pPr>
          </w:p>
        </w:tc>
        <w:tc>
          <w:tcPr>
            <w:tcW w:w="2706" w:type="dxa"/>
            <w:gridSpan w:val="2"/>
            <w:vAlign w:val="center"/>
          </w:tcPr>
          <w:p w14:paraId="6B9F8F3F">
            <w:pPr>
              <w:autoSpaceDE w:val="0"/>
              <w:autoSpaceDN w:val="0"/>
              <w:adjustRightInd w:val="0"/>
              <w:snapToGrid w:val="0"/>
              <w:jc w:val="center"/>
              <w:rPr>
                <w:rFonts w:ascii="宋体" w:hAnsi="宋体"/>
                <w:color w:val="auto"/>
                <w:kern w:val="0"/>
                <w:szCs w:val="21"/>
                <w:highlight w:val="none"/>
              </w:rPr>
            </w:pPr>
          </w:p>
        </w:tc>
      </w:tr>
      <w:tr w14:paraId="2632DEA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367B6DC3">
            <w:pPr>
              <w:autoSpaceDE w:val="0"/>
              <w:autoSpaceDN w:val="0"/>
              <w:adjustRightInd w:val="0"/>
              <w:snapToGrid w:val="0"/>
              <w:jc w:val="center"/>
              <w:rPr>
                <w:rFonts w:ascii="宋体" w:hAnsi="宋体"/>
                <w:color w:val="auto"/>
                <w:kern w:val="0"/>
                <w:szCs w:val="21"/>
                <w:highlight w:val="none"/>
              </w:rPr>
            </w:pPr>
          </w:p>
        </w:tc>
        <w:tc>
          <w:tcPr>
            <w:tcW w:w="3768" w:type="dxa"/>
            <w:gridSpan w:val="4"/>
            <w:vAlign w:val="center"/>
          </w:tcPr>
          <w:p w14:paraId="5C2F4511">
            <w:pPr>
              <w:autoSpaceDE w:val="0"/>
              <w:autoSpaceDN w:val="0"/>
              <w:adjustRightInd w:val="0"/>
              <w:snapToGrid w:val="0"/>
              <w:jc w:val="center"/>
              <w:rPr>
                <w:rFonts w:ascii="宋体" w:hAnsi="宋体"/>
                <w:color w:val="auto"/>
                <w:kern w:val="0"/>
                <w:szCs w:val="21"/>
                <w:highlight w:val="none"/>
              </w:rPr>
            </w:pPr>
          </w:p>
        </w:tc>
        <w:tc>
          <w:tcPr>
            <w:tcW w:w="1388" w:type="dxa"/>
            <w:vAlign w:val="center"/>
          </w:tcPr>
          <w:p w14:paraId="0BDBF207">
            <w:pPr>
              <w:autoSpaceDE w:val="0"/>
              <w:autoSpaceDN w:val="0"/>
              <w:adjustRightInd w:val="0"/>
              <w:snapToGrid w:val="0"/>
              <w:jc w:val="center"/>
              <w:rPr>
                <w:rFonts w:ascii="宋体" w:hAnsi="宋体"/>
                <w:color w:val="auto"/>
                <w:kern w:val="0"/>
                <w:szCs w:val="21"/>
                <w:highlight w:val="none"/>
              </w:rPr>
            </w:pPr>
          </w:p>
        </w:tc>
        <w:tc>
          <w:tcPr>
            <w:tcW w:w="2706" w:type="dxa"/>
            <w:gridSpan w:val="2"/>
            <w:vAlign w:val="center"/>
          </w:tcPr>
          <w:p w14:paraId="695D50C7">
            <w:pPr>
              <w:autoSpaceDE w:val="0"/>
              <w:autoSpaceDN w:val="0"/>
              <w:adjustRightInd w:val="0"/>
              <w:snapToGrid w:val="0"/>
              <w:jc w:val="center"/>
              <w:rPr>
                <w:rFonts w:ascii="宋体" w:hAnsi="宋体"/>
                <w:color w:val="auto"/>
                <w:kern w:val="0"/>
                <w:szCs w:val="21"/>
                <w:highlight w:val="none"/>
              </w:rPr>
            </w:pPr>
          </w:p>
        </w:tc>
      </w:tr>
      <w:tr w14:paraId="20B1E05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6FF7DEE5">
            <w:pPr>
              <w:autoSpaceDE w:val="0"/>
              <w:autoSpaceDN w:val="0"/>
              <w:adjustRightInd w:val="0"/>
              <w:snapToGrid w:val="0"/>
              <w:jc w:val="center"/>
              <w:rPr>
                <w:rFonts w:ascii="宋体" w:hAnsi="宋体"/>
                <w:color w:val="auto"/>
                <w:kern w:val="0"/>
                <w:szCs w:val="21"/>
                <w:highlight w:val="none"/>
              </w:rPr>
            </w:pPr>
          </w:p>
        </w:tc>
        <w:tc>
          <w:tcPr>
            <w:tcW w:w="3768" w:type="dxa"/>
            <w:gridSpan w:val="4"/>
            <w:vAlign w:val="center"/>
          </w:tcPr>
          <w:p w14:paraId="4285AF94">
            <w:pPr>
              <w:autoSpaceDE w:val="0"/>
              <w:autoSpaceDN w:val="0"/>
              <w:adjustRightInd w:val="0"/>
              <w:snapToGrid w:val="0"/>
              <w:jc w:val="center"/>
              <w:rPr>
                <w:rFonts w:ascii="宋体" w:hAnsi="宋体"/>
                <w:color w:val="auto"/>
                <w:kern w:val="0"/>
                <w:szCs w:val="21"/>
                <w:highlight w:val="none"/>
              </w:rPr>
            </w:pPr>
          </w:p>
        </w:tc>
        <w:tc>
          <w:tcPr>
            <w:tcW w:w="1388" w:type="dxa"/>
            <w:vAlign w:val="center"/>
          </w:tcPr>
          <w:p w14:paraId="7E87DEBC">
            <w:pPr>
              <w:autoSpaceDE w:val="0"/>
              <w:autoSpaceDN w:val="0"/>
              <w:adjustRightInd w:val="0"/>
              <w:snapToGrid w:val="0"/>
              <w:jc w:val="center"/>
              <w:rPr>
                <w:rFonts w:ascii="宋体" w:hAnsi="宋体"/>
                <w:color w:val="auto"/>
                <w:kern w:val="0"/>
                <w:szCs w:val="21"/>
                <w:highlight w:val="none"/>
              </w:rPr>
            </w:pPr>
          </w:p>
        </w:tc>
        <w:tc>
          <w:tcPr>
            <w:tcW w:w="2706" w:type="dxa"/>
            <w:gridSpan w:val="2"/>
            <w:vAlign w:val="center"/>
          </w:tcPr>
          <w:p w14:paraId="23B3643F">
            <w:pPr>
              <w:autoSpaceDE w:val="0"/>
              <w:autoSpaceDN w:val="0"/>
              <w:adjustRightInd w:val="0"/>
              <w:snapToGrid w:val="0"/>
              <w:jc w:val="center"/>
              <w:rPr>
                <w:rFonts w:ascii="宋体" w:hAnsi="宋体"/>
                <w:color w:val="auto"/>
                <w:kern w:val="0"/>
                <w:szCs w:val="21"/>
                <w:highlight w:val="none"/>
              </w:rPr>
            </w:pPr>
          </w:p>
        </w:tc>
      </w:tr>
      <w:tr w14:paraId="4BBC434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4E8E348B">
            <w:pPr>
              <w:autoSpaceDE w:val="0"/>
              <w:autoSpaceDN w:val="0"/>
              <w:adjustRightInd w:val="0"/>
              <w:snapToGrid w:val="0"/>
              <w:jc w:val="center"/>
              <w:rPr>
                <w:rFonts w:ascii="宋体" w:hAnsi="宋体"/>
                <w:color w:val="auto"/>
                <w:kern w:val="0"/>
                <w:szCs w:val="21"/>
                <w:highlight w:val="none"/>
              </w:rPr>
            </w:pPr>
          </w:p>
        </w:tc>
        <w:tc>
          <w:tcPr>
            <w:tcW w:w="3768" w:type="dxa"/>
            <w:gridSpan w:val="4"/>
            <w:vAlign w:val="center"/>
          </w:tcPr>
          <w:p w14:paraId="04CDCB81">
            <w:pPr>
              <w:autoSpaceDE w:val="0"/>
              <w:autoSpaceDN w:val="0"/>
              <w:adjustRightInd w:val="0"/>
              <w:snapToGrid w:val="0"/>
              <w:jc w:val="center"/>
              <w:rPr>
                <w:rFonts w:ascii="宋体" w:hAnsi="宋体"/>
                <w:color w:val="auto"/>
                <w:kern w:val="0"/>
                <w:szCs w:val="21"/>
                <w:highlight w:val="none"/>
              </w:rPr>
            </w:pPr>
          </w:p>
        </w:tc>
        <w:tc>
          <w:tcPr>
            <w:tcW w:w="1388" w:type="dxa"/>
            <w:vAlign w:val="center"/>
          </w:tcPr>
          <w:p w14:paraId="2FBD377C">
            <w:pPr>
              <w:autoSpaceDE w:val="0"/>
              <w:autoSpaceDN w:val="0"/>
              <w:adjustRightInd w:val="0"/>
              <w:snapToGrid w:val="0"/>
              <w:jc w:val="center"/>
              <w:rPr>
                <w:rFonts w:ascii="宋体" w:hAnsi="宋体"/>
                <w:color w:val="auto"/>
                <w:kern w:val="0"/>
                <w:szCs w:val="21"/>
                <w:highlight w:val="none"/>
              </w:rPr>
            </w:pPr>
          </w:p>
        </w:tc>
        <w:tc>
          <w:tcPr>
            <w:tcW w:w="2706" w:type="dxa"/>
            <w:gridSpan w:val="2"/>
            <w:vAlign w:val="center"/>
          </w:tcPr>
          <w:p w14:paraId="3A254F59">
            <w:pPr>
              <w:autoSpaceDE w:val="0"/>
              <w:autoSpaceDN w:val="0"/>
              <w:adjustRightInd w:val="0"/>
              <w:snapToGrid w:val="0"/>
              <w:jc w:val="center"/>
              <w:rPr>
                <w:rFonts w:ascii="宋体" w:hAnsi="宋体"/>
                <w:color w:val="auto"/>
                <w:kern w:val="0"/>
                <w:szCs w:val="21"/>
                <w:highlight w:val="none"/>
              </w:rPr>
            </w:pPr>
          </w:p>
        </w:tc>
      </w:tr>
      <w:tr w14:paraId="354AEA8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4CF01CBC">
            <w:pPr>
              <w:autoSpaceDE w:val="0"/>
              <w:autoSpaceDN w:val="0"/>
              <w:adjustRightInd w:val="0"/>
              <w:snapToGrid w:val="0"/>
              <w:jc w:val="center"/>
              <w:rPr>
                <w:rFonts w:ascii="宋体" w:hAnsi="宋体"/>
                <w:color w:val="auto"/>
                <w:kern w:val="0"/>
                <w:szCs w:val="21"/>
                <w:highlight w:val="none"/>
              </w:rPr>
            </w:pPr>
          </w:p>
        </w:tc>
        <w:tc>
          <w:tcPr>
            <w:tcW w:w="3768" w:type="dxa"/>
            <w:gridSpan w:val="4"/>
            <w:vAlign w:val="center"/>
          </w:tcPr>
          <w:p w14:paraId="733E5029">
            <w:pPr>
              <w:autoSpaceDE w:val="0"/>
              <w:autoSpaceDN w:val="0"/>
              <w:adjustRightInd w:val="0"/>
              <w:snapToGrid w:val="0"/>
              <w:jc w:val="center"/>
              <w:rPr>
                <w:rFonts w:ascii="宋体" w:hAnsi="宋体"/>
                <w:color w:val="auto"/>
                <w:kern w:val="0"/>
                <w:szCs w:val="21"/>
                <w:highlight w:val="none"/>
              </w:rPr>
            </w:pPr>
          </w:p>
        </w:tc>
        <w:tc>
          <w:tcPr>
            <w:tcW w:w="1388" w:type="dxa"/>
            <w:vAlign w:val="center"/>
          </w:tcPr>
          <w:p w14:paraId="0D175F67">
            <w:pPr>
              <w:autoSpaceDE w:val="0"/>
              <w:autoSpaceDN w:val="0"/>
              <w:adjustRightInd w:val="0"/>
              <w:snapToGrid w:val="0"/>
              <w:jc w:val="center"/>
              <w:rPr>
                <w:rFonts w:ascii="宋体" w:hAnsi="宋体"/>
                <w:color w:val="auto"/>
                <w:kern w:val="0"/>
                <w:szCs w:val="21"/>
                <w:highlight w:val="none"/>
              </w:rPr>
            </w:pPr>
          </w:p>
        </w:tc>
        <w:tc>
          <w:tcPr>
            <w:tcW w:w="2706" w:type="dxa"/>
            <w:gridSpan w:val="2"/>
            <w:vAlign w:val="center"/>
          </w:tcPr>
          <w:p w14:paraId="798A21B7">
            <w:pPr>
              <w:autoSpaceDE w:val="0"/>
              <w:autoSpaceDN w:val="0"/>
              <w:adjustRightInd w:val="0"/>
              <w:snapToGrid w:val="0"/>
              <w:jc w:val="center"/>
              <w:rPr>
                <w:rFonts w:ascii="宋体" w:hAnsi="宋体"/>
                <w:color w:val="auto"/>
                <w:kern w:val="0"/>
                <w:szCs w:val="21"/>
                <w:highlight w:val="none"/>
              </w:rPr>
            </w:pPr>
          </w:p>
        </w:tc>
      </w:tr>
      <w:tr w14:paraId="676E0C9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6D6A572E">
            <w:pPr>
              <w:autoSpaceDE w:val="0"/>
              <w:autoSpaceDN w:val="0"/>
              <w:adjustRightInd w:val="0"/>
              <w:snapToGrid w:val="0"/>
              <w:jc w:val="center"/>
              <w:rPr>
                <w:rFonts w:ascii="宋体" w:hAnsi="宋体"/>
                <w:color w:val="auto"/>
                <w:kern w:val="0"/>
                <w:szCs w:val="21"/>
                <w:highlight w:val="none"/>
              </w:rPr>
            </w:pPr>
          </w:p>
        </w:tc>
        <w:tc>
          <w:tcPr>
            <w:tcW w:w="3768" w:type="dxa"/>
            <w:gridSpan w:val="4"/>
            <w:vAlign w:val="center"/>
          </w:tcPr>
          <w:p w14:paraId="14D49440">
            <w:pPr>
              <w:autoSpaceDE w:val="0"/>
              <w:autoSpaceDN w:val="0"/>
              <w:adjustRightInd w:val="0"/>
              <w:snapToGrid w:val="0"/>
              <w:jc w:val="center"/>
              <w:rPr>
                <w:rFonts w:ascii="宋体" w:hAnsi="宋体"/>
                <w:color w:val="auto"/>
                <w:kern w:val="0"/>
                <w:szCs w:val="21"/>
                <w:highlight w:val="none"/>
              </w:rPr>
            </w:pPr>
          </w:p>
        </w:tc>
        <w:tc>
          <w:tcPr>
            <w:tcW w:w="1388" w:type="dxa"/>
            <w:vAlign w:val="center"/>
          </w:tcPr>
          <w:p w14:paraId="094739B1">
            <w:pPr>
              <w:autoSpaceDE w:val="0"/>
              <w:autoSpaceDN w:val="0"/>
              <w:adjustRightInd w:val="0"/>
              <w:snapToGrid w:val="0"/>
              <w:jc w:val="center"/>
              <w:rPr>
                <w:rFonts w:ascii="宋体" w:hAnsi="宋体"/>
                <w:color w:val="auto"/>
                <w:kern w:val="0"/>
                <w:szCs w:val="21"/>
                <w:highlight w:val="none"/>
              </w:rPr>
            </w:pPr>
          </w:p>
        </w:tc>
        <w:tc>
          <w:tcPr>
            <w:tcW w:w="2706" w:type="dxa"/>
            <w:gridSpan w:val="2"/>
            <w:vAlign w:val="center"/>
          </w:tcPr>
          <w:p w14:paraId="7178F679">
            <w:pPr>
              <w:autoSpaceDE w:val="0"/>
              <w:autoSpaceDN w:val="0"/>
              <w:adjustRightInd w:val="0"/>
              <w:snapToGrid w:val="0"/>
              <w:jc w:val="center"/>
              <w:rPr>
                <w:rFonts w:ascii="宋体" w:hAnsi="宋体"/>
                <w:color w:val="auto"/>
                <w:kern w:val="0"/>
                <w:szCs w:val="21"/>
                <w:highlight w:val="none"/>
              </w:rPr>
            </w:pPr>
          </w:p>
        </w:tc>
      </w:tr>
      <w:tr w14:paraId="3BF1295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5E369D11">
            <w:pPr>
              <w:autoSpaceDE w:val="0"/>
              <w:autoSpaceDN w:val="0"/>
              <w:adjustRightInd w:val="0"/>
              <w:snapToGrid w:val="0"/>
              <w:jc w:val="center"/>
              <w:rPr>
                <w:rFonts w:ascii="宋体" w:hAnsi="宋体"/>
                <w:color w:val="auto"/>
                <w:kern w:val="0"/>
                <w:szCs w:val="21"/>
                <w:highlight w:val="none"/>
              </w:rPr>
            </w:pPr>
          </w:p>
        </w:tc>
        <w:tc>
          <w:tcPr>
            <w:tcW w:w="3768" w:type="dxa"/>
            <w:gridSpan w:val="4"/>
            <w:vAlign w:val="center"/>
          </w:tcPr>
          <w:p w14:paraId="13E88636">
            <w:pPr>
              <w:autoSpaceDE w:val="0"/>
              <w:autoSpaceDN w:val="0"/>
              <w:adjustRightInd w:val="0"/>
              <w:snapToGrid w:val="0"/>
              <w:jc w:val="center"/>
              <w:rPr>
                <w:rFonts w:ascii="宋体" w:hAnsi="宋体"/>
                <w:color w:val="auto"/>
                <w:kern w:val="0"/>
                <w:szCs w:val="21"/>
                <w:highlight w:val="none"/>
              </w:rPr>
            </w:pPr>
          </w:p>
        </w:tc>
        <w:tc>
          <w:tcPr>
            <w:tcW w:w="1388" w:type="dxa"/>
            <w:vAlign w:val="center"/>
          </w:tcPr>
          <w:p w14:paraId="537DDE87">
            <w:pPr>
              <w:autoSpaceDE w:val="0"/>
              <w:autoSpaceDN w:val="0"/>
              <w:adjustRightInd w:val="0"/>
              <w:snapToGrid w:val="0"/>
              <w:jc w:val="center"/>
              <w:rPr>
                <w:rFonts w:ascii="宋体" w:hAnsi="宋体"/>
                <w:color w:val="auto"/>
                <w:kern w:val="0"/>
                <w:szCs w:val="21"/>
                <w:highlight w:val="none"/>
              </w:rPr>
            </w:pPr>
          </w:p>
        </w:tc>
        <w:tc>
          <w:tcPr>
            <w:tcW w:w="2706" w:type="dxa"/>
            <w:gridSpan w:val="2"/>
            <w:vAlign w:val="center"/>
          </w:tcPr>
          <w:p w14:paraId="033863DB">
            <w:pPr>
              <w:autoSpaceDE w:val="0"/>
              <w:autoSpaceDN w:val="0"/>
              <w:adjustRightInd w:val="0"/>
              <w:snapToGrid w:val="0"/>
              <w:jc w:val="center"/>
              <w:rPr>
                <w:rFonts w:ascii="宋体" w:hAnsi="宋体"/>
                <w:color w:val="auto"/>
                <w:kern w:val="0"/>
                <w:szCs w:val="21"/>
                <w:highlight w:val="none"/>
              </w:rPr>
            </w:pPr>
          </w:p>
        </w:tc>
      </w:tr>
      <w:tr w14:paraId="08B4CCB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2054BEE2">
            <w:pPr>
              <w:autoSpaceDE w:val="0"/>
              <w:autoSpaceDN w:val="0"/>
              <w:adjustRightInd w:val="0"/>
              <w:snapToGrid w:val="0"/>
              <w:jc w:val="center"/>
              <w:rPr>
                <w:rFonts w:ascii="宋体" w:hAnsi="宋体"/>
                <w:color w:val="auto"/>
                <w:kern w:val="0"/>
                <w:szCs w:val="21"/>
                <w:highlight w:val="none"/>
              </w:rPr>
            </w:pPr>
          </w:p>
        </w:tc>
        <w:tc>
          <w:tcPr>
            <w:tcW w:w="3768" w:type="dxa"/>
            <w:gridSpan w:val="4"/>
            <w:vAlign w:val="center"/>
          </w:tcPr>
          <w:p w14:paraId="7CEF4F4C">
            <w:pPr>
              <w:autoSpaceDE w:val="0"/>
              <w:autoSpaceDN w:val="0"/>
              <w:adjustRightInd w:val="0"/>
              <w:snapToGrid w:val="0"/>
              <w:jc w:val="center"/>
              <w:rPr>
                <w:rFonts w:ascii="宋体" w:hAnsi="宋体"/>
                <w:color w:val="auto"/>
                <w:kern w:val="0"/>
                <w:szCs w:val="21"/>
                <w:highlight w:val="none"/>
              </w:rPr>
            </w:pPr>
          </w:p>
        </w:tc>
        <w:tc>
          <w:tcPr>
            <w:tcW w:w="1388" w:type="dxa"/>
            <w:vAlign w:val="center"/>
          </w:tcPr>
          <w:p w14:paraId="5A984867">
            <w:pPr>
              <w:autoSpaceDE w:val="0"/>
              <w:autoSpaceDN w:val="0"/>
              <w:adjustRightInd w:val="0"/>
              <w:snapToGrid w:val="0"/>
              <w:jc w:val="center"/>
              <w:rPr>
                <w:rFonts w:ascii="宋体" w:hAnsi="宋体"/>
                <w:color w:val="auto"/>
                <w:kern w:val="0"/>
                <w:szCs w:val="21"/>
                <w:highlight w:val="none"/>
              </w:rPr>
            </w:pPr>
          </w:p>
        </w:tc>
        <w:tc>
          <w:tcPr>
            <w:tcW w:w="2706" w:type="dxa"/>
            <w:gridSpan w:val="2"/>
            <w:vAlign w:val="center"/>
          </w:tcPr>
          <w:p w14:paraId="33040342">
            <w:pPr>
              <w:autoSpaceDE w:val="0"/>
              <w:autoSpaceDN w:val="0"/>
              <w:adjustRightInd w:val="0"/>
              <w:snapToGrid w:val="0"/>
              <w:jc w:val="center"/>
              <w:rPr>
                <w:rFonts w:ascii="宋体" w:hAnsi="宋体"/>
                <w:color w:val="auto"/>
                <w:kern w:val="0"/>
                <w:szCs w:val="21"/>
                <w:highlight w:val="none"/>
              </w:rPr>
            </w:pPr>
          </w:p>
        </w:tc>
      </w:tr>
      <w:tr w14:paraId="79201F9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310899C9">
            <w:pPr>
              <w:autoSpaceDE w:val="0"/>
              <w:autoSpaceDN w:val="0"/>
              <w:adjustRightInd w:val="0"/>
              <w:snapToGrid w:val="0"/>
              <w:jc w:val="center"/>
              <w:rPr>
                <w:rFonts w:ascii="宋体" w:hAnsi="宋体"/>
                <w:color w:val="auto"/>
                <w:kern w:val="0"/>
                <w:szCs w:val="21"/>
                <w:highlight w:val="none"/>
              </w:rPr>
            </w:pPr>
          </w:p>
        </w:tc>
        <w:tc>
          <w:tcPr>
            <w:tcW w:w="3768" w:type="dxa"/>
            <w:gridSpan w:val="4"/>
            <w:vAlign w:val="center"/>
          </w:tcPr>
          <w:p w14:paraId="5FE1E7F0">
            <w:pPr>
              <w:autoSpaceDE w:val="0"/>
              <w:autoSpaceDN w:val="0"/>
              <w:adjustRightInd w:val="0"/>
              <w:snapToGrid w:val="0"/>
              <w:jc w:val="center"/>
              <w:rPr>
                <w:rFonts w:ascii="宋体" w:hAnsi="宋体"/>
                <w:color w:val="auto"/>
                <w:kern w:val="0"/>
                <w:szCs w:val="21"/>
                <w:highlight w:val="none"/>
              </w:rPr>
            </w:pPr>
          </w:p>
        </w:tc>
        <w:tc>
          <w:tcPr>
            <w:tcW w:w="1388" w:type="dxa"/>
            <w:vAlign w:val="center"/>
          </w:tcPr>
          <w:p w14:paraId="13FE1E0B">
            <w:pPr>
              <w:autoSpaceDE w:val="0"/>
              <w:autoSpaceDN w:val="0"/>
              <w:adjustRightInd w:val="0"/>
              <w:snapToGrid w:val="0"/>
              <w:jc w:val="center"/>
              <w:rPr>
                <w:rFonts w:ascii="宋体" w:hAnsi="宋体"/>
                <w:color w:val="auto"/>
                <w:kern w:val="0"/>
                <w:szCs w:val="21"/>
                <w:highlight w:val="none"/>
              </w:rPr>
            </w:pPr>
          </w:p>
        </w:tc>
        <w:tc>
          <w:tcPr>
            <w:tcW w:w="2706" w:type="dxa"/>
            <w:gridSpan w:val="2"/>
            <w:vAlign w:val="center"/>
          </w:tcPr>
          <w:p w14:paraId="12A2FC2C">
            <w:pPr>
              <w:autoSpaceDE w:val="0"/>
              <w:autoSpaceDN w:val="0"/>
              <w:adjustRightInd w:val="0"/>
              <w:snapToGrid w:val="0"/>
              <w:jc w:val="center"/>
              <w:rPr>
                <w:rFonts w:ascii="宋体" w:hAnsi="宋体"/>
                <w:color w:val="auto"/>
                <w:kern w:val="0"/>
                <w:szCs w:val="21"/>
                <w:highlight w:val="none"/>
              </w:rPr>
            </w:pPr>
          </w:p>
        </w:tc>
      </w:tr>
    </w:tbl>
    <w:p w14:paraId="7414F12B">
      <w:pPr>
        <w:spacing w:line="360" w:lineRule="auto"/>
        <w:rPr>
          <w:rFonts w:ascii="宋体" w:hAnsi="宋体"/>
          <w:color w:val="auto"/>
          <w:highlight w:val="none"/>
        </w:rPr>
      </w:pPr>
      <w:bookmarkStart w:id="2172" w:name="_Toc224103515"/>
    </w:p>
    <w:p w14:paraId="68F9B12B">
      <w:pPr>
        <w:pStyle w:val="2"/>
        <w:rPr>
          <w:color w:val="auto"/>
          <w:highlight w:val="none"/>
        </w:rPr>
      </w:pPr>
      <w:r>
        <w:rPr>
          <w:color w:val="auto"/>
          <w:highlight w:val="none"/>
        </w:rPr>
        <w:br w:type="page"/>
      </w:r>
    </w:p>
    <w:p w14:paraId="14B0E438">
      <w:pPr>
        <w:pStyle w:val="2"/>
        <w:rPr>
          <w:color w:val="auto"/>
          <w:highlight w:val="none"/>
        </w:rPr>
      </w:pPr>
    </w:p>
    <w:p w14:paraId="3FB22FCA">
      <w:pPr>
        <w:pStyle w:val="5"/>
        <w:spacing w:before="0" w:line="240" w:lineRule="auto"/>
        <w:jc w:val="center"/>
        <w:rPr>
          <w:rFonts w:ascii="宋体" w:hAnsi="宋体"/>
          <w:b w:val="0"/>
          <w:color w:val="auto"/>
          <w:highlight w:val="none"/>
        </w:rPr>
      </w:pPr>
      <w:bookmarkStart w:id="2173" w:name="_Toc430530550"/>
      <w:bookmarkStart w:id="2174" w:name="_Toc287620834"/>
      <w:bookmarkStart w:id="2175" w:name="_Toc277082660"/>
      <w:bookmarkStart w:id="2176" w:name="_Toc509218864"/>
      <w:bookmarkStart w:id="2177" w:name="_Toc534185841"/>
      <w:bookmarkStart w:id="2178" w:name="_Toc117005267"/>
      <w:bookmarkStart w:id="2179" w:name="_Toc287607888"/>
      <w:r>
        <w:rPr>
          <w:rFonts w:hint="eastAsia" w:ascii="宋体" w:hAnsi="宋体"/>
          <w:b w:val="0"/>
          <w:color w:val="auto"/>
          <w:highlight w:val="none"/>
        </w:rPr>
        <w:t>（四）近年财务状况表</w:t>
      </w:r>
      <w:bookmarkEnd w:id="2172"/>
      <w:bookmarkEnd w:id="2173"/>
      <w:bookmarkEnd w:id="2174"/>
      <w:bookmarkEnd w:id="2175"/>
      <w:bookmarkEnd w:id="2176"/>
      <w:bookmarkEnd w:id="2177"/>
      <w:bookmarkEnd w:id="2178"/>
      <w:bookmarkEnd w:id="2179"/>
    </w:p>
    <w:p w14:paraId="09520CA5">
      <w:pPr>
        <w:adjustRightInd w:val="0"/>
        <w:snapToGrid w:val="0"/>
        <w:spacing w:line="360" w:lineRule="auto"/>
        <w:rPr>
          <w:rFonts w:ascii="宋体" w:hAnsi="宋体"/>
          <w:color w:val="auto"/>
          <w:highlight w:val="none"/>
        </w:rPr>
      </w:pPr>
      <w:r>
        <w:rPr>
          <w:rFonts w:ascii="宋体" w:hAnsi="宋体"/>
          <w:color w:val="auto"/>
          <w:highlight w:val="none"/>
        </w:rPr>
        <w:br w:type="page"/>
      </w:r>
    </w:p>
    <w:p w14:paraId="5B79CFF0">
      <w:pPr>
        <w:pStyle w:val="5"/>
        <w:spacing w:before="0" w:line="240" w:lineRule="auto"/>
        <w:jc w:val="center"/>
        <w:rPr>
          <w:rFonts w:ascii="宋体" w:hAnsi="宋体"/>
          <w:b w:val="0"/>
          <w:color w:val="auto"/>
          <w:highlight w:val="none"/>
        </w:rPr>
      </w:pPr>
      <w:bookmarkStart w:id="2180" w:name="_Toc287607889"/>
      <w:bookmarkStart w:id="2181" w:name="_Toc277082661"/>
      <w:bookmarkStart w:id="2182" w:name="_Toc224103516"/>
      <w:bookmarkStart w:id="2183" w:name="_Toc509218865"/>
      <w:bookmarkStart w:id="2184" w:name="_Toc430530551"/>
      <w:bookmarkStart w:id="2185" w:name="_Toc287620835"/>
      <w:bookmarkStart w:id="2186" w:name="_Toc534185842"/>
      <w:bookmarkStart w:id="2187" w:name="_Toc117005268"/>
      <w:r>
        <w:rPr>
          <w:rFonts w:ascii="宋体" w:hAnsi="宋体"/>
          <w:b w:val="0"/>
          <w:color w:val="auto"/>
          <w:highlight w:val="none"/>
        </w:rPr>
        <w:t>（</w:t>
      </w:r>
      <w:r>
        <w:rPr>
          <w:rFonts w:hint="eastAsia" w:ascii="宋体" w:hAnsi="宋体"/>
          <w:b w:val="0"/>
          <w:color w:val="auto"/>
          <w:highlight w:val="none"/>
        </w:rPr>
        <w:t>五</w:t>
      </w:r>
      <w:r>
        <w:rPr>
          <w:rFonts w:ascii="宋体" w:hAnsi="宋体"/>
          <w:b w:val="0"/>
          <w:color w:val="auto"/>
          <w:highlight w:val="none"/>
        </w:rPr>
        <w:t>）类似项目情况表</w:t>
      </w:r>
      <w:bookmarkEnd w:id="2180"/>
      <w:bookmarkEnd w:id="2181"/>
      <w:bookmarkEnd w:id="2182"/>
      <w:bookmarkEnd w:id="2183"/>
      <w:bookmarkEnd w:id="2184"/>
      <w:bookmarkEnd w:id="2185"/>
      <w:bookmarkEnd w:id="2186"/>
      <w:bookmarkEnd w:id="2187"/>
    </w:p>
    <w:tbl>
      <w:tblPr>
        <w:tblStyle w:val="46"/>
        <w:tblW w:w="948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456"/>
        <w:gridCol w:w="8027"/>
      </w:tblGrid>
      <w:tr w14:paraId="0ECFD4C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43" w:hRule="exact"/>
          <w:jc w:val="center"/>
        </w:trPr>
        <w:tc>
          <w:tcPr>
            <w:tcW w:w="1456" w:type="dxa"/>
            <w:vAlign w:val="center"/>
          </w:tcPr>
          <w:p w14:paraId="50487A8A">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项目名称</w:t>
            </w:r>
          </w:p>
        </w:tc>
        <w:tc>
          <w:tcPr>
            <w:tcW w:w="8027" w:type="dxa"/>
            <w:vAlign w:val="center"/>
          </w:tcPr>
          <w:p w14:paraId="355FC17B">
            <w:pPr>
              <w:autoSpaceDE w:val="0"/>
              <w:autoSpaceDN w:val="0"/>
              <w:adjustRightInd w:val="0"/>
              <w:snapToGrid w:val="0"/>
              <w:jc w:val="center"/>
              <w:rPr>
                <w:rFonts w:ascii="宋体" w:hAnsi="宋体"/>
                <w:color w:val="auto"/>
                <w:kern w:val="0"/>
                <w:szCs w:val="21"/>
                <w:highlight w:val="none"/>
              </w:rPr>
            </w:pPr>
          </w:p>
        </w:tc>
      </w:tr>
      <w:tr w14:paraId="139566B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14:paraId="4A4CB4BF">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项目所在地</w:t>
            </w:r>
          </w:p>
        </w:tc>
        <w:tc>
          <w:tcPr>
            <w:tcW w:w="8027" w:type="dxa"/>
            <w:vAlign w:val="center"/>
          </w:tcPr>
          <w:p w14:paraId="387BCD71">
            <w:pPr>
              <w:autoSpaceDE w:val="0"/>
              <w:autoSpaceDN w:val="0"/>
              <w:adjustRightInd w:val="0"/>
              <w:snapToGrid w:val="0"/>
              <w:jc w:val="center"/>
              <w:rPr>
                <w:rFonts w:ascii="宋体" w:hAnsi="宋体"/>
                <w:color w:val="auto"/>
                <w:kern w:val="0"/>
                <w:szCs w:val="21"/>
                <w:highlight w:val="none"/>
              </w:rPr>
            </w:pPr>
          </w:p>
        </w:tc>
      </w:tr>
      <w:tr w14:paraId="1D54926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6" w:hRule="exact"/>
          <w:jc w:val="center"/>
        </w:trPr>
        <w:tc>
          <w:tcPr>
            <w:tcW w:w="1456" w:type="dxa"/>
            <w:vAlign w:val="center"/>
          </w:tcPr>
          <w:p w14:paraId="2AED26F8">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发包人名称</w:t>
            </w:r>
          </w:p>
        </w:tc>
        <w:tc>
          <w:tcPr>
            <w:tcW w:w="8027" w:type="dxa"/>
            <w:vAlign w:val="center"/>
          </w:tcPr>
          <w:p w14:paraId="27721264">
            <w:pPr>
              <w:autoSpaceDE w:val="0"/>
              <w:autoSpaceDN w:val="0"/>
              <w:adjustRightInd w:val="0"/>
              <w:snapToGrid w:val="0"/>
              <w:jc w:val="center"/>
              <w:rPr>
                <w:rFonts w:ascii="宋体" w:hAnsi="宋体"/>
                <w:color w:val="auto"/>
                <w:kern w:val="0"/>
                <w:szCs w:val="21"/>
                <w:highlight w:val="none"/>
              </w:rPr>
            </w:pPr>
          </w:p>
        </w:tc>
      </w:tr>
      <w:tr w14:paraId="2CE6613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14:paraId="17F20075">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发包人地址</w:t>
            </w:r>
          </w:p>
        </w:tc>
        <w:tc>
          <w:tcPr>
            <w:tcW w:w="8027" w:type="dxa"/>
            <w:vAlign w:val="center"/>
          </w:tcPr>
          <w:p w14:paraId="7D24504F">
            <w:pPr>
              <w:autoSpaceDE w:val="0"/>
              <w:autoSpaceDN w:val="0"/>
              <w:adjustRightInd w:val="0"/>
              <w:snapToGrid w:val="0"/>
              <w:jc w:val="center"/>
              <w:rPr>
                <w:rFonts w:ascii="宋体" w:hAnsi="宋体"/>
                <w:color w:val="auto"/>
                <w:kern w:val="0"/>
                <w:szCs w:val="21"/>
                <w:highlight w:val="none"/>
              </w:rPr>
            </w:pPr>
          </w:p>
        </w:tc>
      </w:tr>
      <w:tr w14:paraId="2E04D44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14:paraId="3480F40F">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发包人电话</w:t>
            </w:r>
          </w:p>
        </w:tc>
        <w:tc>
          <w:tcPr>
            <w:tcW w:w="8027" w:type="dxa"/>
            <w:vAlign w:val="center"/>
          </w:tcPr>
          <w:p w14:paraId="07BF4991">
            <w:pPr>
              <w:autoSpaceDE w:val="0"/>
              <w:autoSpaceDN w:val="0"/>
              <w:adjustRightInd w:val="0"/>
              <w:snapToGrid w:val="0"/>
              <w:jc w:val="center"/>
              <w:rPr>
                <w:rFonts w:ascii="宋体" w:hAnsi="宋体"/>
                <w:color w:val="auto"/>
                <w:kern w:val="0"/>
                <w:szCs w:val="21"/>
                <w:highlight w:val="none"/>
              </w:rPr>
            </w:pPr>
          </w:p>
        </w:tc>
      </w:tr>
      <w:tr w14:paraId="113DE7E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1" w:hRule="exact"/>
          <w:jc w:val="center"/>
        </w:trPr>
        <w:tc>
          <w:tcPr>
            <w:tcW w:w="1456" w:type="dxa"/>
            <w:vAlign w:val="center"/>
          </w:tcPr>
          <w:p w14:paraId="658A61FE">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合同价格</w:t>
            </w:r>
          </w:p>
        </w:tc>
        <w:tc>
          <w:tcPr>
            <w:tcW w:w="8027" w:type="dxa"/>
            <w:vAlign w:val="center"/>
          </w:tcPr>
          <w:p w14:paraId="3CC0BCDF">
            <w:pPr>
              <w:autoSpaceDE w:val="0"/>
              <w:autoSpaceDN w:val="0"/>
              <w:adjustRightInd w:val="0"/>
              <w:snapToGrid w:val="0"/>
              <w:jc w:val="center"/>
              <w:rPr>
                <w:rFonts w:ascii="宋体" w:hAnsi="宋体"/>
                <w:color w:val="auto"/>
                <w:kern w:val="0"/>
                <w:szCs w:val="21"/>
                <w:highlight w:val="none"/>
              </w:rPr>
            </w:pPr>
          </w:p>
        </w:tc>
      </w:tr>
      <w:tr w14:paraId="7CE7E6F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5" w:hRule="exact"/>
          <w:jc w:val="center"/>
        </w:trPr>
        <w:tc>
          <w:tcPr>
            <w:tcW w:w="1456" w:type="dxa"/>
            <w:vAlign w:val="center"/>
          </w:tcPr>
          <w:p w14:paraId="5EC06C52">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开工日期</w:t>
            </w:r>
          </w:p>
        </w:tc>
        <w:tc>
          <w:tcPr>
            <w:tcW w:w="8027" w:type="dxa"/>
            <w:vAlign w:val="center"/>
          </w:tcPr>
          <w:p w14:paraId="65FE87DC">
            <w:pPr>
              <w:autoSpaceDE w:val="0"/>
              <w:autoSpaceDN w:val="0"/>
              <w:adjustRightInd w:val="0"/>
              <w:snapToGrid w:val="0"/>
              <w:jc w:val="center"/>
              <w:rPr>
                <w:rFonts w:ascii="宋体" w:hAnsi="宋体"/>
                <w:color w:val="auto"/>
                <w:kern w:val="0"/>
                <w:szCs w:val="21"/>
                <w:highlight w:val="none"/>
              </w:rPr>
            </w:pPr>
          </w:p>
        </w:tc>
      </w:tr>
      <w:tr w14:paraId="2B9AADF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9" w:hRule="exact"/>
          <w:jc w:val="center"/>
        </w:trPr>
        <w:tc>
          <w:tcPr>
            <w:tcW w:w="1456" w:type="dxa"/>
            <w:vAlign w:val="center"/>
          </w:tcPr>
          <w:p w14:paraId="3FBD9E3F">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竣工日期</w:t>
            </w:r>
          </w:p>
        </w:tc>
        <w:tc>
          <w:tcPr>
            <w:tcW w:w="8027" w:type="dxa"/>
            <w:vAlign w:val="center"/>
          </w:tcPr>
          <w:p w14:paraId="685AE179">
            <w:pPr>
              <w:autoSpaceDE w:val="0"/>
              <w:autoSpaceDN w:val="0"/>
              <w:adjustRightInd w:val="0"/>
              <w:snapToGrid w:val="0"/>
              <w:jc w:val="center"/>
              <w:rPr>
                <w:rFonts w:ascii="宋体" w:hAnsi="宋体"/>
                <w:color w:val="auto"/>
                <w:kern w:val="0"/>
                <w:szCs w:val="21"/>
                <w:highlight w:val="none"/>
              </w:rPr>
            </w:pPr>
          </w:p>
        </w:tc>
      </w:tr>
      <w:tr w14:paraId="3481D54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14:paraId="64C95740">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承担的工作</w:t>
            </w:r>
          </w:p>
        </w:tc>
        <w:tc>
          <w:tcPr>
            <w:tcW w:w="8027" w:type="dxa"/>
            <w:vAlign w:val="center"/>
          </w:tcPr>
          <w:p w14:paraId="4ABD9326">
            <w:pPr>
              <w:autoSpaceDE w:val="0"/>
              <w:autoSpaceDN w:val="0"/>
              <w:adjustRightInd w:val="0"/>
              <w:snapToGrid w:val="0"/>
              <w:jc w:val="center"/>
              <w:rPr>
                <w:rFonts w:ascii="宋体" w:hAnsi="宋体"/>
                <w:color w:val="auto"/>
                <w:kern w:val="0"/>
                <w:szCs w:val="21"/>
                <w:highlight w:val="none"/>
              </w:rPr>
            </w:pPr>
          </w:p>
        </w:tc>
      </w:tr>
      <w:tr w14:paraId="03916EA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14:paraId="2D917E81">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工程质量</w:t>
            </w:r>
          </w:p>
        </w:tc>
        <w:tc>
          <w:tcPr>
            <w:tcW w:w="8027" w:type="dxa"/>
            <w:vAlign w:val="center"/>
          </w:tcPr>
          <w:p w14:paraId="21AF5FD1">
            <w:pPr>
              <w:autoSpaceDE w:val="0"/>
              <w:autoSpaceDN w:val="0"/>
              <w:adjustRightInd w:val="0"/>
              <w:snapToGrid w:val="0"/>
              <w:jc w:val="center"/>
              <w:rPr>
                <w:rFonts w:ascii="宋体" w:hAnsi="宋体"/>
                <w:color w:val="auto"/>
                <w:kern w:val="0"/>
                <w:szCs w:val="21"/>
                <w:highlight w:val="none"/>
              </w:rPr>
            </w:pPr>
          </w:p>
        </w:tc>
      </w:tr>
      <w:tr w14:paraId="22D9DD8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14:paraId="03262AC8">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项目经理</w:t>
            </w:r>
          </w:p>
        </w:tc>
        <w:tc>
          <w:tcPr>
            <w:tcW w:w="8027" w:type="dxa"/>
            <w:vAlign w:val="center"/>
          </w:tcPr>
          <w:p w14:paraId="435BC89A">
            <w:pPr>
              <w:autoSpaceDE w:val="0"/>
              <w:autoSpaceDN w:val="0"/>
              <w:adjustRightInd w:val="0"/>
              <w:snapToGrid w:val="0"/>
              <w:jc w:val="center"/>
              <w:rPr>
                <w:rFonts w:ascii="宋体" w:hAnsi="宋体"/>
                <w:color w:val="auto"/>
                <w:kern w:val="0"/>
                <w:szCs w:val="21"/>
                <w:highlight w:val="none"/>
              </w:rPr>
            </w:pPr>
          </w:p>
        </w:tc>
      </w:tr>
      <w:tr w14:paraId="7FECC69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0" w:hRule="exact"/>
          <w:jc w:val="center"/>
        </w:trPr>
        <w:tc>
          <w:tcPr>
            <w:tcW w:w="1456" w:type="dxa"/>
            <w:vAlign w:val="center"/>
          </w:tcPr>
          <w:p w14:paraId="2972ADBE">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技术负责人</w:t>
            </w:r>
          </w:p>
        </w:tc>
        <w:tc>
          <w:tcPr>
            <w:tcW w:w="8027" w:type="dxa"/>
            <w:vAlign w:val="center"/>
          </w:tcPr>
          <w:p w14:paraId="71886768">
            <w:pPr>
              <w:autoSpaceDE w:val="0"/>
              <w:autoSpaceDN w:val="0"/>
              <w:adjustRightInd w:val="0"/>
              <w:snapToGrid w:val="0"/>
              <w:jc w:val="center"/>
              <w:rPr>
                <w:rFonts w:ascii="宋体" w:hAnsi="宋体"/>
                <w:color w:val="auto"/>
                <w:kern w:val="0"/>
                <w:szCs w:val="21"/>
                <w:highlight w:val="none"/>
              </w:rPr>
            </w:pPr>
          </w:p>
        </w:tc>
      </w:tr>
      <w:tr w14:paraId="68CFCB7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63" w:hRule="exact"/>
          <w:jc w:val="center"/>
        </w:trPr>
        <w:tc>
          <w:tcPr>
            <w:tcW w:w="1456" w:type="dxa"/>
            <w:vAlign w:val="center"/>
          </w:tcPr>
          <w:p w14:paraId="4A8AB216">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总监理工程师及电话</w:t>
            </w:r>
          </w:p>
        </w:tc>
        <w:tc>
          <w:tcPr>
            <w:tcW w:w="8027" w:type="dxa"/>
            <w:vAlign w:val="center"/>
          </w:tcPr>
          <w:p w14:paraId="77133588">
            <w:pPr>
              <w:autoSpaceDE w:val="0"/>
              <w:autoSpaceDN w:val="0"/>
              <w:adjustRightInd w:val="0"/>
              <w:snapToGrid w:val="0"/>
              <w:jc w:val="center"/>
              <w:rPr>
                <w:rFonts w:ascii="宋体" w:hAnsi="宋体"/>
                <w:color w:val="auto"/>
                <w:kern w:val="0"/>
                <w:szCs w:val="21"/>
                <w:highlight w:val="none"/>
              </w:rPr>
            </w:pPr>
          </w:p>
        </w:tc>
      </w:tr>
      <w:tr w14:paraId="2E48601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367" w:hRule="exact"/>
          <w:jc w:val="center"/>
        </w:trPr>
        <w:tc>
          <w:tcPr>
            <w:tcW w:w="1456" w:type="dxa"/>
            <w:vAlign w:val="center"/>
          </w:tcPr>
          <w:p w14:paraId="6688BE9F">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项目描述</w:t>
            </w:r>
          </w:p>
        </w:tc>
        <w:tc>
          <w:tcPr>
            <w:tcW w:w="8027" w:type="dxa"/>
            <w:vAlign w:val="center"/>
          </w:tcPr>
          <w:p w14:paraId="65C9DFA1">
            <w:pPr>
              <w:autoSpaceDE w:val="0"/>
              <w:autoSpaceDN w:val="0"/>
              <w:adjustRightInd w:val="0"/>
              <w:snapToGrid w:val="0"/>
              <w:jc w:val="center"/>
              <w:rPr>
                <w:rFonts w:ascii="宋体" w:hAnsi="宋体"/>
                <w:color w:val="auto"/>
                <w:kern w:val="0"/>
                <w:szCs w:val="21"/>
                <w:highlight w:val="none"/>
              </w:rPr>
            </w:pPr>
          </w:p>
        </w:tc>
      </w:tr>
      <w:tr w14:paraId="73E54B9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48" w:hRule="exact"/>
          <w:jc w:val="center"/>
        </w:trPr>
        <w:tc>
          <w:tcPr>
            <w:tcW w:w="1456" w:type="dxa"/>
            <w:vAlign w:val="center"/>
          </w:tcPr>
          <w:p w14:paraId="74C728FA">
            <w:pPr>
              <w:autoSpaceDE w:val="0"/>
              <w:autoSpaceDN w:val="0"/>
              <w:adjustRightInd w:val="0"/>
              <w:snapToGrid w:val="0"/>
              <w:jc w:val="center"/>
              <w:rPr>
                <w:rFonts w:ascii="宋体" w:hAnsi="宋体"/>
                <w:color w:val="auto"/>
                <w:kern w:val="0"/>
                <w:szCs w:val="21"/>
                <w:highlight w:val="none"/>
              </w:rPr>
            </w:pPr>
            <w:r>
              <w:rPr>
                <w:rFonts w:ascii="宋体" w:hAnsi="宋体"/>
                <w:color w:val="auto"/>
                <w:kern w:val="0"/>
                <w:szCs w:val="21"/>
                <w:highlight w:val="none"/>
              </w:rPr>
              <w:t>备注</w:t>
            </w:r>
          </w:p>
        </w:tc>
        <w:tc>
          <w:tcPr>
            <w:tcW w:w="8027" w:type="dxa"/>
            <w:vAlign w:val="center"/>
          </w:tcPr>
          <w:p w14:paraId="1C3040D5">
            <w:pPr>
              <w:autoSpaceDE w:val="0"/>
              <w:autoSpaceDN w:val="0"/>
              <w:adjustRightInd w:val="0"/>
              <w:snapToGrid w:val="0"/>
              <w:jc w:val="center"/>
              <w:rPr>
                <w:rFonts w:ascii="宋体" w:hAnsi="宋体"/>
                <w:color w:val="auto"/>
                <w:kern w:val="0"/>
                <w:szCs w:val="21"/>
                <w:highlight w:val="none"/>
              </w:rPr>
            </w:pPr>
          </w:p>
        </w:tc>
      </w:tr>
    </w:tbl>
    <w:p w14:paraId="468D529C">
      <w:pPr>
        <w:pStyle w:val="5"/>
        <w:spacing w:before="0" w:line="360" w:lineRule="auto"/>
        <w:jc w:val="center"/>
        <w:rPr>
          <w:rFonts w:ascii="宋体" w:hAnsi="宋体"/>
          <w:b w:val="0"/>
          <w:color w:val="auto"/>
          <w:highlight w:val="none"/>
        </w:rPr>
      </w:pPr>
      <w:bookmarkStart w:id="2188" w:name="_Toc287620839"/>
      <w:bookmarkStart w:id="2189" w:name="_Toc277082663"/>
      <w:bookmarkStart w:id="2190" w:name="_Toc534185843"/>
      <w:bookmarkStart w:id="2191" w:name="_Toc287607893"/>
      <w:bookmarkStart w:id="2192" w:name="_Toc509218866"/>
      <w:bookmarkStart w:id="2193" w:name="_Toc430530552"/>
      <w:bookmarkStart w:id="2194" w:name="_Toc224103520"/>
      <w:bookmarkStart w:id="2195" w:name="_Toc117005269"/>
      <w:r>
        <w:rPr>
          <w:rFonts w:ascii="宋体" w:hAnsi="宋体"/>
          <w:b w:val="0"/>
          <w:color w:val="auto"/>
          <w:highlight w:val="none"/>
        </w:rPr>
        <w:t>（</w:t>
      </w:r>
      <w:r>
        <w:rPr>
          <w:rFonts w:hint="eastAsia" w:ascii="宋体" w:hAnsi="宋体"/>
          <w:b w:val="0"/>
          <w:color w:val="auto"/>
          <w:highlight w:val="none"/>
        </w:rPr>
        <w:t>六</w:t>
      </w:r>
      <w:r>
        <w:rPr>
          <w:rFonts w:ascii="宋体" w:hAnsi="宋体"/>
          <w:b w:val="0"/>
          <w:color w:val="auto"/>
          <w:highlight w:val="none"/>
        </w:rPr>
        <w:t>）</w:t>
      </w:r>
      <w:bookmarkEnd w:id="2188"/>
      <w:bookmarkEnd w:id="2189"/>
      <w:bookmarkEnd w:id="2190"/>
      <w:bookmarkEnd w:id="2191"/>
      <w:bookmarkEnd w:id="2192"/>
      <w:bookmarkEnd w:id="2193"/>
      <w:bookmarkEnd w:id="2194"/>
      <w:r>
        <w:rPr>
          <w:rFonts w:hint="eastAsia" w:ascii="宋体" w:hAnsi="宋体"/>
          <w:b w:val="0"/>
          <w:color w:val="auto"/>
          <w:highlight w:val="none"/>
        </w:rPr>
        <w:t>承诺</w:t>
      </w:r>
      <w:bookmarkEnd w:id="2195"/>
    </w:p>
    <w:p w14:paraId="7F644752">
      <w:pPr>
        <w:snapToGrid w:val="0"/>
        <w:spacing w:line="380" w:lineRule="exact"/>
        <w:rPr>
          <w:rFonts w:ascii="宋体" w:hAnsi="宋体"/>
          <w:color w:val="auto"/>
          <w:szCs w:val="21"/>
          <w:highlight w:val="none"/>
          <w:u w:val="single"/>
        </w:rPr>
      </w:pPr>
      <w:r>
        <w:rPr>
          <w:rFonts w:hint="eastAsia" w:ascii="宋体" w:hAnsi="宋体"/>
          <w:color w:val="auto"/>
          <w:szCs w:val="21"/>
          <w:highlight w:val="none"/>
          <w:u w:val="single"/>
        </w:rPr>
        <w:t xml:space="preserve">        （招标人名称）</w:t>
      </w:r>
      <w:r>
        <w:rPr>
          <w:rFonts w:hint="eastAsia" w:ascii="宋体" w:hAnsi="宋体"/>
          <w:color w:val="auto"/>
          <w:szCs w:val="21"/>
          <w:highlight w:val="none"/>
        </w:rPr>
        <w:t>：</w:t>
      </w:r>
    </w:p>
    <w:p w14:paraId="6FF727B8">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我公司</w:t>
      </w:r>
      <w:r>
        <w:rPr>
          <w:rFonts w:hint="eastAsia" w:ascii="宋体" w:hAnsi="宋体"/>
          <w:color w:val="auto"/>
          <w:szCs w:val="21"/>
          <w:highlight w:val="none"/>
          <w:u w:val="single"/>
        </w:rPr>
        <w:t xml:space="preserve">        （投标人名称）</w:t>
      </w:r>
      <w:r>
        <w:rPr>
          <w:rFonts w:hint="eastAsia" w:ascii="宋体" w:hAnsi="宋体"/>
          <w:color w:val="auto"/>
          <w:szCs w:val="21"/>
          <w:highlight w:val="none"/>
        </w:rPr>
        <w:t>参加了贵单位</w:t>
      </w:r>
      <w:r>
        <w:rPr>
          <w:rFonts w:hint="eastAsia" w:ascii="宋体" w:hAnsi="宋体"/>
          <w:color w:val="auto"/>
          <w:szCs w:val="21"/>
          <w:highlight w:val="none"/>
          <w:u w:val="single"/>
        </w:rPr>
        <w:t xml:space="preserve">        （项目名称）</w:t>
      </w:r>
      <w:r>
        <w:rPr>
          <w:rFonts w:hint="eastAsia" w:ascii="宋体" w:hAnsi="宋体"/>
          <w:color w:val="auto"/>
          <w:szCs w:val="21"/>
          <w:highlight w:val="none"/>
        </w:rPr>
        <w:t>的投标，自愿作出以下承诺：</w:t>
      </w:r>
    </w:p>
    <w:p w14:paraId="30DD6112">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1、我公司投标截止日投标资格情况不存在下列情形之一：</w:t>
      </w:r>
    </w:p>
    <w:p w14:paraId="79B5BE30">
      <w:pPr>
        <w:snapToGrid w:val="0"/>
        <w:spacing w:line="380" w:lineRule="exact"/>
        <w:ind w:firstLine="420" w:firstLineChars="200"/>
        <w:jc w:val="left"/>
        <w:rPr>
          <w:rFonts w:ascii="宋体" w:hAnsi="宋体"/>
          <w:color w:val="auto"/>
          <w:szCs w:val="21"/>
          <w:highlight w:val="none"/>
        </w:rPr>
      </w:pPr>
      <w:r>
        <w:rPr>
          <w:rFonts w:hint="eastAsia" w:ascii="宋体" w:hAnsi="宋体"/>
          <w:color w:val="auto"/>
          <w:szCs w:val="21"/>
          <w:highlight w:val="none"/>
        </w:rPr>
        <w:t>（1）被人民法院列入失信被执行人名单且在被执行期内；</w:t>
      </w:r>
    </w:p>
    <w:p w14:paraId="485F7D00">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（2）被列入《重庆市工程建设领域招标投标信用管理暂行办法》规定的重点关注名单且记分达到12分且在记分有效期内；</w:t>
      </w:r>
    </w:p>
    <w:p w14:paraId="765AB8D1">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（3）被列入《重庆市工程建设领域招标投标信用管理暂行办法》规定的黑名单且在记分有效期内；</w:t>
      </w:r>
    </w:p>
    <w:p w14:paraId="38035091">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（4）被国家、重庆市（含市或任意区县）有关行政部门处以暂停投标资格行政处罚，且在处罚期限内；</w:t>
      </w:r>
    </w:p>
    <w:p w14:paraId="07A2C29E">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（5）被重庆市市级有关行业主管部门暂停在渝承揽新业务且在暂停期内。</w:t>
      </w:r>
    </w:p>
    <w:p w14:paraId="01681EA1">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2、我公司拟派的项目经理按注册建造师的相关规定到岗履职和未被禁止参与投标。</w:t>
      </w:r>
    </w:p>
    <w:p w14:paraId="772B6491">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2.1拟派的项目经理中标后在本项目任职，签订合同时拟派的项目经理必须与投标文件中的项目经理一致，并满足办理施工许可手续的相关要求。不能按承诺到岗履约的，按合同相关条款处罚并上报行政主管部门，给贵单位造成损失的，我公司依法承担违约赔偿责任。拟派的项目经理中标后不得随意更换。</w:t>
      </w:r>
    </w:p>
    <w:p w14:paraId="32F514B7">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2.2拟派的项目经理未被重庆市市级有关行业主管部门暂停在渝承揽新业务，若被暂停且参加投标的投标将被否决；已取得中标候选人资格或中标资格的，贵单位有权取消我公司中标候选人资格或中标资格；给贵单位造成损失的，我公司依法承担违约赔偿责任。</w:t>
      </w:r>
    </w:p>
    <w:p w14:paraId="4ACFD7C2">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2.3为保证我公司拟派的项目经理到本项目到岗履职，我公司还承诺：</w:t>
      </w:r>
    </w:p>
    <w:p w14:paraId="2B80DD54">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若我公司拟派本项目的项目经理有在其他项目任职的情形的（或有在其他项目中标或拟中标的情形的），应在收到中标通知书后</w:t>
      </w:r>
      <w:r>
        <w:rPr>
          <w:rFonts w:hint="eastAsia" w:ascii="宋体" w:hAnsi="宋体"/>
          <w:color w:val="auto"/>
          <w:szCs w:val="21"/>
          <w:highlight w:val="none"/>
          <w:u w:val="single"/>
        </w:rPr>
        <w:t xml:space="preserve"> 14 </w:t>
      </w:r>
      <w:r>
        <w:rPr>
          <w:rFonts w:hint="eastAsia" w:ascii="宋体" w:hAnsi="宋体"/>
          <w:color w:val="auto"/>
          <w:szCs w:val="21"/>
          <w:highlight w:val="none"/>
        </w:rPr>
        <w:t>日内，办理完成放弃在其他项目任职的手续（或办理完成放弃在其他项目中标或拟中标的手续），贵单位在合同签订前有权对我公司拟派项目经理在其他项目的任职情形（或在其他项目的中标或拟中标情形）进行核查，若与我公司承诺内容不符或我公司未在上述时间内按照招标文件规定递交放弃在其他项目任职、中标或拟中标的相关资料，我公司自愿放弃中标资格，贵单位不退还我公司的投标保证金。在合同签订时，我公司确保拟派项目经理符合《建筑施工企业项目经理资质管理办法》规定的项目经理任职条件，否则我公司自愿放弃中标资格，贵单位不退还我公司的投标保证金。</w:t>
      </w:r>
    </w:p>
    <w:p w14:paraId="3EAD6F04">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若我公司拟派项目经理放弃在其他项目任职的将提供：①经业主或建设单位同意任职变更的文件；②负责项目监管的行业行政主管部门出具同意任职变更的证明材料。</w:t>
      </w:r>
    </w:p>
    <w:p w14:paraId="13239FA4">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若我公司拟派项目经理放弃在其他项目中标或拟中标的将提供：①经中标或拟中标的其他项目建设单位同意的放弃中标函。</w:t>
      </w:r>
    </w:p>
    <w:p w14:paraId="6356DFFF">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3、我公司若中标，在签订合同之前，将按照建设行政主管部门的要求组建施工项目部，配置项目管理班子，出具任命文件。任命文件应当明确施工项目部的职责、岗位设置、人员配备，并书面通知贵单位。相关岗位管理人员应持有建设行政主管部门要求的岗位证书，并提供我公司为其缴纳的养老保险证明材料。中标后不能满足该要求的，取消我公司中标资格，给贵单位造成损失的，我公司依法承担违约赔偿责任。</w:t>
      </w:r>
    </w:p>
    <w:p w14:paraId="2C294928">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4、我公司在资格审查部分中提供的相关证明材料真实有效，不存在弄虚作假情形。</w:t>
      </w:r>
      <w:r>
        <w:rPr>
          <w:rFonts w:hint="eastAsia" w:ascii="宋体" w:hAnsi="宋体"/>
          <w:color w:val="auto"/>
          <w:szCs w:val="21"/>
          <w:highlight w:val="none"/>
          <w:u w:val="single"/>
        </w:rPr>
        <w:t>贵单位在合同签订前均有权对我公司提供的资料进行核实，若发现弄虚作假，按相关规定取消我公司中标资格，并按相关法律法规报招标投标监督部门，投标保证金不予退还，我公司自愿承担因此造成的相关责任并赔偿相应损失</w:t>
      </w:r>
      <w:r>
        <w:rPr>
          <w:rFonts w:hint="eastAsia" w:ascii="宋体" w:hAnsi="宋体"/>
          <w:color w:val="auto"/>
          <w:szCs w:val="21"/>
          <w:highlight w:val="none"/>
        </w:rPr>
        <w:t>。</w:t>
      </w:r>
    </w:p>
    <w:p w14:paraId="4FA44B6A">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5、我公司不存在第二章 投标人须知第 1.4.3 项规定的任何一种情形。</w:t>
      </w:r>
    </w:p>
    <w:p w14:paraId="4E88585A">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6、我公司的投标文件符合第二章 投标人须知第 1.3.1 项的规定。</w:t>
      </w:r>
    </w:p>
    <w:p w14:paraId="62AFE34B">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7、我公司的投标文件符合第四章 合同条款及格式规定，投标文件中没有贵单位不能接受的条件。</w:t>
      </w:r>
    </w:p>
    <w:p w14:paraId="5AA081B3">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8、我公司的投标文件符合第七章 技术标准和要求（如有）。</w:t>
      </w:r>
    </w:p>
    <w:p w14:paraId="6EA49516">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9、我公司接受招标文件中关于“不平衡报价”的相关约定（如有）。</w:t>
      </w:r>
    </w:p>
    <w:p w14:paraId="60C10AAA">
      <w:pPr>
        <w:snapToGrid w:val="0"/>
        <w:spacing w:line="380" w:lineRule="exact"/>
        <w:ind w:firstLine="420" w:firstLineChars="200"/>
        <w:rPr>
          <w:rFonts w:ascii="宋体" w:hAnsi="宋体"/>
          <w:color w:val="auto"/>
          <w:szCs w:val="21"/>
          <w:highlight w:val="none"/>
        </w:rPr>
      </w:pPr>
      <w:r>
        <w:rPr>
          <w:rFonts w:hint="eastAsia" w:ascii="宋体" w:hAnsi="宋体"/>
          <w:color w:val="auto"/>
          <w:szCs w:val="21"/>
          <w:highlight w:val="none"/>
        </w:rPr>
        <w:t>10、我公司接受招标文件中关于“不允许负数报价”的相关要求（如有）。</w:t>
      </w:r>
    </w:p>
    <w:p w14:paraId="5FE6C165">
      <w:pPr>
        <w:snapToGrid w:val="0"/>
        <w:spacing w:line="380" w:lineRule="exact"/>
        <w:ind w:firstLine="420" w:firstLineChars="200"/>
        <w:rPr>
          <w:rFonts w:ascii="宋体" w:hAnsi="宋体"/>
          <w:color w:val="auto"/>
          <w:szCs w:val="21"/>
          <w:highlight w:val="none"/>
        </w:rPr>
      </w:pPr>
    </w:p>
    <w:p w14:paraId="105D6BAF">
      <w:pPr>
        <w:tabs>
          <w:tab w:val="left" w:pos="4200"/>
          <w:tab w:val="left" w:pos="4620"/>
        </w:tabs>
        <w:autoSpaceDE w:val="0"/>
        <w:autoSpaceDN w:val="0"/>
        <w:adjustRightInd w:val="0"/>
        <w:snapToGrid w:val="0"/>
        <w:spacing w:line="380" w:lineRule="exact"/>
        <w:ind w:firstLine="420" w:firstLineChars="200"/>
        <w:jc w:val="left"/>
        <w:rPr>
          <w:rFonts w:ascii="宋体" w:hAnsi="宋体"/>
          <w:color w:val="auto"/>
          <w:kern w:val="0"/>
          <w:szCs w:val="21"/>
          <w:highlight w:val="none"/>
        </w:rPr>
      </w:pPr>
      <w:r>
        <w:rPr>
          <w:rFonts w:ascii="宋体" w:hAnsi="宋体"/>
          <w:color w:val="auto"/>
          <w:kern w:val="0"/>
          <w:szCs w:val="21"/>
          <w:highlight w:val="none"/>
        </w:rPr>
        <w:t>投  标  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14:paraId="4D06F7A3">
      <w:pPr>
        <w:tabs>
          <w:tab w:val="left" w:pos="6300"/>
        </w:tabs>
        <w:autoSpaceDE w:val="0"/>
        <w:autoSpaceDN w:val="0"/>
        <w:adjustRightInd w:val="0"/>
        <w:snapToGrid w:val="0"/>
        <w:spacing w:line="380" w:lineRule="exact"/>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或盖章）</w:t>
      </w:r>
    </w:p>
    <w:p w14:paraId="0B373FFB">
      <w:pPr>
        <w:snapToGrid w:val="0"/>
        <w:spacing w:line="380" w:lineRule="exact"/>
        <w:ind w:firstLine="420" w:firstLineChars="200"/>
        <w:jc w:val="right"/>
        <w:rPr>
          <w:rFonts w:ascii="宋体" w:hAnsi="宋体"/>
          <w:color w:val="auto"/>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14:paraId="44C8D2AC">
      <w:pPr>
        <w:rPr>
          <w:color w:val="auto"/>
          <w:highlight w:val="none"/>
        </w:rPr>
      </w:pPr>
    </w:p>
    <w:p w14:paraId="29A286F5">
      <w:pPr>
        <w:rPr>
          <w:color w:val="auto"/>
          <w:highlight w:val="none"/>
        </w:rPr>
      </w:pPr>
      <w:r>
        <w:rPr>
          <w:color w:val="auto"/>
          <w:highlight w:val="none"/>
        </w:rPr>
        <w:br w:type="page"/>
      </w:r>
    </w:p>
    <w:p w14:paraId="26F2DD76">
      <w:pPr>
        <w:pStyle w:val="5"/>
        <w:spacing w:before="0" w:line="360" w:lineRule="auto"/>
        <w:jc w:val="center"/>
        <w:rPr>
          <w:rFonts w:ascii="宋体" w:hAnsi="宋体"/>
          <w:color w:val="auto"/>
          <w:highlight w:val="none"/>
        </w:rPr>
      </w:pPr>
      <w:bookmarkStart w:id="2196" w:name="_Toc117005270"/>
      <w:r>
        <w:rPr>
          <w:rFonts w:hint="eastAsia" w:ascii="宋体" w:hAnsi="宋体"/>
          <w:b w:val="0"/>
          <w:color w:val="auto"/>
          <w:highlight w:val="none"/>
        </w:rPr>
        <w:t>（七）其他资料</w:t>
      </w:r>
      <w:bookmarkEnd w:id="2196"/>
    </w:p>
    <w:bookmarkEnd w:id="583"/>
    <w:bookmarkEnd w:id="584"/>
    <w:bookmarkEnd w:id="585"/>
    <w:p w14:paraId="5CCAC566">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 投标保证金</w:t>
      </w:r>
    </w:p>
    <w:p w14:paraId="79085ABC">
      <w:pPr>
        <w:spacing w:line="360" w:lineRule="auto"/>
        <w:ind w:firstLine="420" w:firstLineChars="200"/>
        <w:rPr>
          <w:rFonts w:ascii="宋体" w:hAnsi="宋体"/>
          <w:i/>
          <w:color w:val="auto"/>
          <w:szCs w:val="21"/>
          <w:highlight w:val="none"/>
        </w:rPr>
      </w:pPr>
      <w:r>
        <w:rPr>
          <w:rFonts w:hint="eastAsia" w:ascii="宋体" w:hAnsi="宋体"/>
          <w:i/>
          <w:color w:val="auto"/>
          <w:szCs w:val="21"/>
          <w:highlight w:val="none"/>
        </w:rPr>
        <w:t>[提示：以转账支票或电汇形式交纳投标保证金的提供以下资料]</w:t>
      </w:r>
    </w:p>
    <w:p w14:paraId="24DD6788">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（1）企业基本账户开户证明文件。</w:t>
      </w:r>
    </w:p>
    <w:p w14:paraId="6FBC146F">
      <w:pPr>
        <w:rPr>
          <w:rFonts w:ascii="宋体" w:hAnsi="宋体"/>
          <w:color w:val="auto"/>
          <w:szCs w:val="21"/>
          <w:highlight w:val="none"/>
        </w:rPr>
      </w:pPr>
      <w:r>
        <w:rPr>
          <w:rFonts w:hint="eastAsia" w:ascii="宋体" w:hAnsi="宋体"/>
          <w:i/>
          <w:color w:val="auto"/>
          <w:szCs w:val="21"/>
          <w:highlight w:val="none"/>
        </w:rPr>
        <w:br w:type="page"/>
      </w:r>
    </w:p>
    <w:p w14:paraId="76BE6B3A">
      <w:pPr>
        <w:rPr>
          <w:rFonts w:ascii="宋体" w:hAnsi="宋体"/>
          <w:color w:val="auto"/>
          <w:szCs w:val="21"/>
          <w:highlight w:val="none"/>
        </w:rPr>
      </w:pPr>
      <w:r>
        <w:rPr>
          <w:rFonts w:hint="eastAsia" w:ascii="宋体" w:hAnsi="宋体"/>
          <w:color w:val="auto"/>
          <w:szCs w:val="21"/>
          <w:highlight w:val="none"/>
        </w:rPr>
        <w:t xml:space="preserve">2. </w:t>
      </w:r>
    </w:p>
    <w:p w14:paraId="31EC10AE">
      <w:pPr>
        <w:spacing w:line="360" w:lineRule="auto"/>
        <w:ind w:firstLine="420" w:firstLineChars="200"/>
        <w:rPr>
          <w:rFonts w:ascii="宋体" w:hAnsi="宋体"/>
          <w:color w:val="auto"/>
          <w:szCs w:val="21"/>
          <w:highlight w:val="none"/>
        </w:rPr>
      </w:pPr>
      <w:r>
        <w:rPr>
          <w:rFonts w:ascii="宋体" w:hAnsi="宋体"/>
          <w:color w:val="auto"/>
          <w:szCs w:val="21"/>
          <w:highlight w:val="none"/>
        </w:rPr>
        <w:t>……</w:t>
      </w:r>
    </w:p>
    <w:sectPr>
      <w:pgSz w:w="11906" w:h="16838"/>
      <w:pgMar w:top="1304" w:right="1134" w:bottom="1304" w:left="130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简体">
    <w:panose1 w:val="03000509000000000000"/>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 w:name="ˎ̥">
    <w:altName w:val="Times New Roman"/>
    <w:panose1 w:val="00000000000000000000"/>
    <w:charset w:val="00"/>
    <w:family w:val="auto"/>
    <w:pitch w:val="default"/>
    <w:sig w:usb0="00000000" w:usb1="00000000" w:usb2="00000000" w:usb3="00000000" w:csb0="00040001" w:csb1="00000000"/>
  </w:font>
  <w:font w:name="Verdana">
    <w:panose1 w:val="020B0604030504040204"/>
    <w:charset w:val="00"/>
    <w:family w:val="swiss"/>
    <w:pitch w:val="default"/>
    <w:sig w:usb0="A00006FF" w:usb1="4000205B" w:usb2="00000010" w:usb3="00000000" w:csb0="2000019F" w:csb1="00000000"/>
  </w:font>
  <w:font w:name="方正仿宋简体">
    <w:panose1 w:val="02010601030101010101"/>
    <w:charset w:val="86"/>
    <w:family w:val="auto"/>
    <w:pitch w:val="default"/>
    <w:sig w:usb0="00000001" w:usb1="080E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华文中宋">
    <w:altName w:val="宋体"/>
    <w:panose1 w:val="02010600040101010101"/>
    <w:charset w:val="86"/>
    <w:family w:val="auto"/>
    <w:pitch w:val="default"/>
    <w:sig w:usb0="00000000" w:usb1="00000000" w:usb2="00000000" w:usb3="00000000" w:csb0="0004009F" w:csb1="DFD7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Wingdings 2">
    <w:altName w:val="Wingdings"/>
    <w:panose1 w:val="05020102010507070707"/>
    <w:charset w:val="02"/>
    <w:family w:val="decorative"/>
    <w:pitch w:val="default"/>
    <w:sig w:usb0="00000000" w:usb1="00000000" w:usb2="00000000" w:usb3="00000000" w:csb0="80000000" w:csb1="00000000"/>
  </w:font>
  <w:font w:name="Microsoft Sans Serif">
    <w:panose1 w:val="020B0604020202020204"/>
    <w:charset w:val="00"/>
    <w:family w:val="swiss"/>
    <w:pitch w:val="default"/>
    <w:sig w:usb0="E5002EFF" w:usb1="C000605B" w:usb2="00000029" w:usb3="00000000" w:csb0="200101FF" w:csb1="20280000"/>
  </w:font>
  <w:font w:name="Kingsoft UE">
    <w:altName w:val="brushtipTravis"/>
    <w:panose1 w:val="00000000000000000000"/>
    <w:charset w:val="00"/>
    <w:family w:val="auto"/>
    <w:pitch w:val="default"/>
    <w:sig w:usb0="00000000" w:usb1="00000000" w:usb2="00000000" w:usb3="00000000" w:csb0="00000000" w:csb1="00000000"/>
  </w:font>
  <w:font w:name="brushtipTravis">
    <w:panose1 w:val="02000400000000000000"/>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FE151C">
    <w:pPr>
      <w:pStyle w:val="29"/>
      <w:framePr w:wrap="around" w:vAnchor="text" w:hAnchor="margin" w:xAlign="center" w:y="1"/>
      <w:rPr>
        <w:rStyle w:val="51"/>
      </w:rPr>
    </w:pPr>
    <w:r>
      <w:fldChar w:fldCharType="begin"/>
    </w:r>
    <w:r>
      <w:rPr>
        <w:rStyle w:val="51"/>
      </w:rPr>
      <w:instrText xml:space="preserve">PAGE  </w:instrText>
    </w:r>
    <w:r>
      <w:fldChar w:fldCharType="separate"/>
    </w:r>
    <w:r>
      <w:rPr>
        <w:rStyle w:val="51"/>
      </w:rPr>
      <w:t>- 2 -</w:t>
    </w:r>
    <w:r>
      <w:fldChar w:fldCharType="end"/>
    </w:r>
  </w:p>
  <w:p w14:paraId="44453F9C">
    <w:pPr>
      <w:pStyle w:val="2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03037B">
    <w:pPr>
      <w:pStyle w:val="29"/>
      <w:jc w:val="center"/>
    </w:pPr>
    <w:r>
      <w:t xml:space="preserve">- </w:t>
    </w:r>
    <w:r>
      <w:fldChar w:fldCharType="begin"/>
    </w:r>
    <w:r>
      <w:instrText xml:space="preserve"> PAGE </w:instrText>
    </w:r>
    <w:r>
      <w:fldChar w:fldCharType="separate"/>
    </w:r>
    <w:r>
      <w:t>21</w:t>
    </w:r>
    <w:r>
      <w:fldChar w:fldCharType="end"/>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CDEBAC">
    <w:pPr>
      <w:pStyle w:val="29"/>
      <w:framePr w:wrap="around" w:vAnchor="text" w:hAnchor="margin" w:xAlign="center" w:y="1"/>
      <w:rPr>
        <w:rStyle w:val="51"/>
      </w:rPr>
    </w:pPr>
    <w:r>
      <w:fldChar w:fldCharType="begin"/>
    </w:r>
    <w:r>
      <w:rPr>
        <w:rStyle w:val="51"/>
      </w:rPr>
      <w:instrText xml:space="preserve">PAGE  </w:instrText>
    </w:r>
    <w:r>
      <w:fldChar w:fldCharType="separate"/>
    </w:r>
    <w:r>
      <w:rPr>
        <w:rStyle w:val="51"/>
      </w:rPr>
      <w:t>264</w:t>
    </w:r>
    <w:r>
      <w:fldChar w:fldCharType="end"/>
    </w:r>
  </w:p>
  <w:p w14:paraId="15372702">
    <w:pPr>
      <w:pStyle w:val="2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3CA19A9B">
      <w:pPr>
        <w:pStyle w:val="34"/>
        <w:ind w:firstLine="360" w:firstLineChars="200"/>
        <w:rPr>
          <w:rFonts w:ascii="Times New Roman" w:hAnsi="Times New Roman" w:cs="Times New Roman"/>
          <w:lang w:eastAsia="zh-CN"/>
        </w:rPr>
      </w:pPr>
      <w:r>
        <w:rPr>
          <w:rStyle w:val="56"/>
        </w:rPr>
        <w:footnoteRef/>
      </w:r>
      <w:r>
        <w:rPr>
          <w:rFonts w:ascii="Times New Roman" w:hAnsi="Times New Roman" w:cs="Times New Roman"/>
          <w:lang w:eastAsia="zh-CN"/>
        </w:rPr>
        <w:t>“</w:t>
      </w:r>
      <w:r>
        <w:rPr>
          <w:rFonts w:ascii="Times New Roman" w:cs="Times New Roman"/>
          <w:lang w:eastAsia="zh-CN"/>
        </w:rPr>
        <w:t>总价</w:t>
      </w:r>
      <w:r>
        <w:rPr>
          <w:rFonts w:ascii="Times New Roman" w:hAnsi="Times New Roman" w:cs="Times New Roman"/>
          <w:lang w:eastAsia="zh-CN"/>
        </w:rPr>
        <w:t>”</w:t>
      </w:r>
      <w:r>
        <w:rPr>
          <w:rFonts w:ascii="Times New Roman" w:cs="Times New Roman"/>
          <w:lang w:eastAsia="zh-CN"/>
        </w:rPr>
        <w:t>是指</w:t>
      </w:r>
      <w:r>
        <w:rPr>
          <w:rFonts w:ascii="Times New Roman" w:hAnsi="Times New Roman" w:cs="Times New Roman"/>
          <w:lang w:eastAsia="zh-CN"/>
        </w:rPr>
        <w:t>在工程量清单中以“项”或“总额”为计量单位、以总价计价的子目，一般用于不能按照约定的工程量计算规则确定数量的子目。总价子目一般按照分期、完成合同价的百分比或完成进度计划的形象进度节点等方式予以分解支付。总价子目的计量方法由发包人在专用合同条款12.3.1中明</w:t>
      </w:r>
      <w:r>
        <w:rPr>
          <w:rFonts w:ascii="Times New Roman" w:cs="Times New Roman"/>
          <w:lang w:eastAsia="zh-CN"/>
        </w:rPr>
        <w:t>确。</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mirrorMargins w:val="1"/>
  <w:bordersDoNotSurroundHeader w:val="1"/>
  <w:bordersDoNotSurroundFooter w:val="1"/>
  <w:hideSpellingErrors/>
  <w:documentProtection w:enforcement="0"/>
  <w:defaultTabStop w:val="420"/>
  <w:drawingGridHorizontalSpacing w:val="105"/>
  <w:drawingGridVerticalSpacing w:val="156"/>
  <w:noPunctuationKerning w:val="1"/>
  <w:characterSpacingControl w:val="compressPunctuation"/>
  <w:doNotValidateAgainstSchema/>
  <w:doNotDemarcateInvalidXml/>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IyNjVmYzAwMDcxNmI1YmY1ZjYyYTQ4YmEzNjlhYmUifQ=="/>
  </w:docVars>
  <w:rsids>
    <w:rsidRoot w:val="00172A27"/>
    <w:rsid w:val="00001345"/>
    <w:rsid w:val="00001A09"/>
    <w:rsid w:val="00001B1E"/>
    <w:rsid w:val="000027C8"/>
    <w:rsid w:val="0000285A"/>
    <w:rsid w:val="00002D86"/>
    <w:rsid w:val="00003A3F"/>
    <w:rsid w:val="00005443"/>
    <w:rsid w:val="00005E79"/>
    <w:rsid w:val="000067A3"/>
    <w:rsid w:val="00014531"/>
    <w:rsid w:val="00014DF1"/>
    <w:rsid w:val="00015333"/>
    <w:rsid w:val="00015C9C"/>
    <w:rsid w:val="0001647D"/>
    <w:rsid w:val="0001650A"/>
    <w:rsid w:val="000165A8"/>
    <w:rsid w:val="0001665A"/>
    <w:rsid w:val="00017F2D"/>
    <w:rsid w:val="00020EB1"/>
    <w:rsid w:val="00021228"/>
    <w:rsid w:val="000215EB"/>
    <w:rsid w:val="00022747"/>
    <w:rsid w:val="00022F4C"/>
    <w:rsid w:val="00023AD6"/>
    <w:rsid w:val="00023B7F"/>
    <w:rsid w:val="00024492"/>
    <w:rsid w:val="00025644"/>
    <w:rsid w:val="00025750"/>
    <w:rsid w:val="0002592F"/>
    <w:rsid w:val="00025DD0"/>
    <w:rsid w:val="0002735F"/>
    <w:rsid w:val="00027C7B"/>
    <w:rsid w:val="000301A4"/>
    <w:rsid w:val="000316FE"/>
    <w:rsid w:val="00031F42"/>
    <w:rsid w:val="00032255"/>
    <w:rsid w:val="0003256A"/>
    <w:rsid w:val="00032B15"/>
    <w:rsid w:val="00033076"/>
    <w:rsid w:val="00033847"/>
    <w:rsid w:val="000347EB"/>
    <w:rsid w:val="0003491B"/>
    <w:rsid w:val="00034B81"/>
    <w:rsid w:val="00035320"/>
    <w:rsid w:val="0003558C"/>
    <w:rsid w:val="000355D8"/>
    <w:rsid w:val="00035E2F"/>
    <w:rsid w:val="000365B0"/>
    <w:rsid w:val="0003673D"/>
    <w:rsid w:val="00037549"/>
    <w:rsid w:val="00037672"/>
    <w:rsid w:val="0003774D"/>
    <w:rsid w:val="000407E9"/>
    <w:rsid w:val="000408D2"/>
    <w:rsid w:val="000415C5"/>
    <w:rsid w:val="000418B4"/>
    <w:rsid w:val="00042562"/>
    <w:rsid w:val="000426A8"/>
    <w:rsid w:val="000426EA"/>
    <w:rsid w:val="000434B1"/>
    <w:rsid w:val="000437CD"/>
    <w:rsid w:val="00044029"/>
    <w:rsid w:val="00046EAC"/>
    <w:rsid w:val="000477EA"/>
    <w:rsid w:val="00050329"/>
    <w:rsid w:val="00050A2B"/>
    <w:rsid w:val="00050F21"/>
    <w:rsid w:val="00053B37"/>
    <w:rsid w:val="00053DC4"/>
    <w:rsid w:val="00054784"/>
    <w:rsid w:val="00054C30"/>
    <w:rsid w:val="00054D78"/>
    <w:rsid w:val="00054F64"/>
    <w:rsid w:val="0005572F"/>
    <w:rsid w:val="00057103"/>
    <w:rsid w:val="000578DC"/>
    <w:rsid w:val="00057D13"/>
    <w:rsid w:val="00061927"/>
    <w:rsid w:val="00061B42"/>
    <w:rsid w:val="0006245E"/>
    <w:rsid w:val="00062D58"/>
    <w:rsid w:val="00063593"/>
    <w:rsid w:val="00063C01"/>
    <w:rsid w:val="000640B5"/>
    <w:rsid w:val="000654D9"/>
    <w:rsid w:val="00065C93"/>
    <w:rsid w:val="00065F0A"/>
    <w:rsid w:val="00066356"/>
    <w:rsid w:val="000677BF"/>
    <w:rsid w:val="00067885"/>
    <w:rsid w:val="00067E50"/>
    <w:rsid w:val="0007009B"/>
    <w:rsid w:val="000703E1"/>
    <w:rsid w:val="00070444"/>
    <w:rsid w:val="0007082A"/>
    <w:rsid w:val="00070DB4"/>
    <w:rsid w:val="00072AEF"/>
    <w:rsid w:val="00072C40"/>
    <w:rsid w:val="0007377C"/>
    <w:rsid w:val="00073E89"/>
    <w:rsid w:val="00074445"/>
    <w:rsid w:val="00074926"/>
    <w:rsid w:val="000753AE"/>
    <w:rsid w:val="0007662F"/>
    <w:rsid w:val="00077788"/>
    <w:rsid w:val="000777DB"/>
    <w:rsid w:val="00080479"/>
    <w:rsid w:val="00080C91"/>
    <w:rsid w:val="00081E58"/>
    <w:rsid w:val="000835CB"/>
    <w:rsid w:val="00084056"/>
    <w:rsid w:val="00084085"/>
    <w:rsid w:val="000843AE"/>
    <w:rsid w:val="00084AD3"/>
    <w:rsid w:val="00085720"/>
    <w:rsid w:val="00085DDD"/>
    <w:rsid w:val="00086F23"/>
    <w:rsid w:val="000874F6"/>
    <w:rsid w:val="00090828"/>
    <w:rsid w:val="0009083C"/>
    <w:rsid w:val="00090A07"/>
    <w:rsid w:val="00090FA6"/>
    <w:rsid w:val="00090FD7"/>
    <w:rsid w:val="000925AC"/>
    <w:rsid w:val="000927A3"/>
    <w:rsid w:val="00092F8F"/>
    <w:rsid w:val="0009358F"/>
    <w:rsid w:val="00094007"/>
    <w:rsid w:val="00095189"/>
    <w:rsid w:val="0009559A"/>
    <w:rsid w:val="00095DEF"/>
    <w:rsid w:val="000967E2"/>
    <w:rsid w:val="00096C42"/>
    <w:rsid w:val="00097C86"/>
    <w:rsid w:val="000A0398"/>
    <w:rsid w:val="000A0D3C"/>
    <w:rsid w:val="000A2AF4"/>
    <w:rsid w:val="000A2CA5"/>
    <w:rsid w:val="000A3817"/>
    <w:rsid w:val="000A41FD"/>
    <w:rsid w:val="000A4A55"/>
    <w:rsid w:val="000A569B"/>
    <w:rsid w:val="000A7403"/>
    <w:rsid w:val="000A7D07"/>
    <w:rsid w:val="000B0A2E"/>
    <w:rsid w:val="000B0F51"/>
    <w:rsid w:val="000B1596"/>
    <w:rsid w:val="000B1B81"/>
    <w:rsid w:val="000B1DE8"/>
    <w:rsid w:val="000B283B"/>
    <w:rsid w:val="000B3303"/>
    <w:rsid w:val="000B3431"/>
    <w:rsid w:val="000B489F"/>
    <w:rsid w:val="000B4C5B"/>
    <w:rsid w:val="000B5039"/>
    <w:rsid w:val="000B55BE"/>
    <w:rsid w:val="000B5C3A"/>
    <w:rsid w:val="000B5E88"/>
    <w:rsid w:val="000B6027"/>
    <w:rsid w:val="000B6648"/>
    <w:rsid w:val="000B786B"/>
    <w:rsid w:val="000C079C"/>
    <w:rsid w:val="000C0EE5"/>
    <w:rsid w:val="000C13A1"/>
    <w:rsid w:val="000C260D"/>
    <w:rsid w:val="000C30AC"/>
    <w:rsid w:val="000C4579"/>
    <w:rsid w:val="000C463E"/>
    <w:rsid w:val="000C4E06"/>
    <w:rsid w:val="000C5056"/>
    <w:rsid w:val="000C52AB"/>
    <w:rsid w:val="000C5AA2"/>
    <w:rsid w:val="000C5C93"/>
    <w:rsid w:val="000C5D12"/>
    <w:rsid w:val="000C623F"/>
    <w:rsid w:val="000C6F15"/>
    <w:rsid w:val="000C6F2A"/>
    <w:rsid w:val="000D0080"/>
    <w:rsid w:val="000D1F8D"/>
    <w:rsid w:val="000D21F1"/>
    <w:rsid w:val="000D252E"/>
    <w:rsid w:val="000D2ED1"/>
    <w:rsid w:val="000D3548"/>
    <w:rsid w:val="000D3551"/>
    <w:rsid w:val="000D35B5"/>
    <w:rsid w:val="000D42D0"/>
    <w:rsid w:val="000D5211"/>
    <w:rsid w:val="000D5B51"/>
    <w:rsid w:val="000D65FC"/>
    <w:rsid w:val="000D6B45"/>
    <w:rsid w:val="000D6FB3"/>
    <w:rsid w:val="000D7254"/>
    <w:rsid w:val="000D753D"/>
    <w:rsid w:val="000D76E1"/>
    <w:rsid w:val="000D7823"/>
    <w:rsid w:val="000E0DB3"/>
    <w:rsid w:val="000E10A5"/>
    <w:rsid w:val="000E1407"/>
    <w:rsid w:val="000E1A63"/>
    <w:rsid w:val="000E33CF"/>
    <w:rsid w:val="000E4C3D"/>
    <w:rsid w:val="000E6849"/>
    <w:rsid w:val="000E72B9"/>
    <w:rsid w:val="000F05AB"/>
    <w:rsid w:val="000F091D"/>
    <w:rsid w:val="000F1B68"/>
    <w:rsid w:val="000F2179"/>
    <w:rsid w:val="000F278B"/>
    <w:rsid w:val="000F2955"/>
    <w:rsid w:val="000F2C67"/>
    <w:rsid w:val="000F40C0"/>
    <w:rsid w:val="000F45C8"/>
    <w:rsid w:val="000F4BBE"/>
    <w:rsid w:val="000F50C6"/>
    <w:rsid w:val="000F51EA"/>
    <w:rsid w:val="000F5AD4"/>
    <w:rsid w:val="000F78C1"/>
    <w:rsid w:val="000F7BB7"/>
    <w:rsid w:val="000F7CF5"/>
    <w:rsid w:val="00100471"/>
    <w:rsid w:val="001019D6"/>
    <w:rsid w:val="00101E5F"/>
    <w:rsid w:val="001025D9"/>
    <w:rsid w:val="00102B44"/>
    <w:rsid w:val="00102EBB"/>
    <w:rsid w:val="00104353"/>
    <w:rsid w:val="00105F22"/>
    <w:rsid w:val="001062D4"/>
    <w:rsid w:val="00106436"/>
    <w:rsid w:val="001066B1"/>
    <w:rsid w:val="00107DA6"/>
    <w:rsid w:val="001108D6"/>
    <w:rsid w:val="001109ED"/>
    <w:rsid w:val="00111268"/>
    <w:rsid w:val="00111C02"/>
    <w:rsid w:val="00111FF3"/>
    <w:rsid w:val="001128C3"/>
    <w:rsid w:val="00112A83"/>
    <w:rsid w:val="00113E49"/>
    <w:rsid w:val="00113E95"/>
    <w:rsid w:val="00114A01"/>
    <w:rsid w:val="00114CF3"/>
    <w:rsid w:val="00115CA3"/>
    <w:rsid w:val="00116F55"/>
    <w:rsid w:val="00116F93"/>
    <w:rsid w:val="00117445"/>
    <w:rsid w:val="00117B2C"/>
    <w:rsid w:val="0012046B"/>
    <w:rsid w:val="001209B5"/>
    <w:rsid w:val="00120E02"/>
    <w:rsid w:val="001214C7"/>
    <w:rsid w:val="00121F6B"/>
    <w:rsid w:val="00122362"/>
    <w:rsid w:val="0012259E"/>
    <w:rsid w:val="001228C8"/>
    <w:rsid w:val="00122C0D"/>
    <w:rsid w:val="00122D4D"/>
    <w:rsid w:val="0012481C"/>
    <w:rsid w:val="00125EB2"/>
    <w:rsid w:val="001269FF"/>
    <w:rsid w:val="0012744A"/>
    <w:rsid w:val="001303A1"/>
    <w:rsid w:val="001303B7"/>
    <w:rsid w:val="00131928"/>
    <w:rsid w:val="00131D1B"/>
    <w:rsid w:val="00132B99"/>
    <w:rsid w:val="00132BF1"/>
    <w:rsid w:val="001330BB"/>
    <w:rsid w:val="001339C6"/>
    <w:rsid w:val="00134327"/>
    <w:rsid w:val="001347A9"/>
    <w:rsid w:val="00134AA3"/>
    <w:rsid w:val="001352FE"/>
    <w:rsid w:val="00135746"/>
    <w:rsid w:val="00135872"/>
    <w:rsid w:val="00136173"/>
    <w:rsid w:val="00136D1E"/>
    <w:rsid w:val="001377F8"/>
    <w:rsid w:val="00137F99"/>
    <w:rsid w:val="0014084B"/>
    <w:rsid w:val="001419AD"/>
    <w:rsid w:val="001440F2"/>
    <w:rsid w:val="00145318"/>
    <w:rsid w:val="001455A1"/>
    <w:rsid w:val="00145AE6"/>
    <w:rsid w:val="00145F46"/>
    <w:rsid w:val="001460D9"/>
    <w:rsid w:val="001466BF"/>
    <w:rsid w:val="00146976"/>
    <w:rsid w:val="00146BFF"/>
    <w:rsid w:val="00146C44"/>
    <w:rsid w:val="001477E7"/>
    <w:rsid w:val="00147FD9"/>
    <w:rsid w:val="00150025"/>
    <w:rsid w:val="00150964"/>
    <w:rsid w:val="00150A27"/>
    <w:rsid w:val="00150F2A"/>
    <w:rsid w:val="00152078"/>
    <w:rsid w:val="00154963"/>
    <w:rsid w:val="00154F28"/>
    <w:rsid w:val="0015596B"/>
    <w:rsid w:val="00155D1F"/>
    <w:rsid w:val="001561B1"/>
    <w:rsid w:val="00157A5C"/>
    <w:rsid w:val="001600A3"/>
    <w:rsid w:val="00161024"/>
    <w:rsid w:val="0016132F"/>
    <w:rsid w:val="0016174D"/>
    <w:rsid w:val="00162B36"/>
    <w:rsid w:val="0016317C"/>
    <w:rsid w:val="00164DCB"/>
    <w:rsid w:val="00165642"/>
    <w:rsid w:val="00165B64"/>
    <w:rsid w:val="00165D82"/>
    <w:rsid w:val="00166C40"/>
    <w:rsid w:val="00166F24"/>
    <w:rsid w:val="00167BBE"/>
    <w:rsid w:val="00171489"/>
    <w:rsid w:val="001721A5"/>
    <w:rsid w:val="0017293A"/>
    <w:rsid w:val="00172A27"/>
    <w:rsid w:val="00172DEA"/>
    <w:rsid w:val="00172F37"/>
    <w:rsid w:val="00174134"/>
    <w:rsid w:val="001745A8"/>
    <w:rsid w:val="00175461"/>
    <w:rsid w:val="001757D8"/>
    <w:rsid w:val="00176A64"/>
    <w:rsid w:val="00176B11"/>
    <w:rsid w:val="00176C6C"/>
    <w:rsid w:val="00177484"/>
    <w:rsid w:val="00177E29"/>
    <w:rsid w:val="00177E47"/>
    <w:rsid w:val="00177F0D"/>
    <w:rsid w:val="00177F8E"/>
    <w:rsid w:val="001806AD"/>
    <w:rsid w:val="00181796"/>
    <w:rsid w:val="001818BD"/>
    <w:rsid w:val="0018204B"/>
    <w:rsid w:val="00182F8E"/>
    <w:rsid w:val="00182F9F"/>
    <w:rsid w:val="00184528"/>
    <w:rsid w:val="00184AF6"/>
    <w:rsid w:val="001862DC"/>
    <w:rsid w:val="00186401"/>
    <w:rsid w:val="00186442"/>
    <w:rsid w:val="001866A1"/>
    <w:rsid w:val="00191395"/>
    <w:rsid w:val="001923EA"/>
    <w:rsid w:val="00192735"/>
    <w:rsid w:val="00192FBA"/>
    <w:rsid w:val="00193696"/>
    <w:rsid w:val="00193EC6"/>
    <w:rsid w:val="0019411E"/>
    <w:rsid w:val="001947FB"/>
    <w:rsid w:val="00195720"/>
    <w:rsid w:val="001958B9"/>
    <w:rsid w:val="00195F1D"/>
    <w:rsid w:val="00196CDD"/>
    <w:rsid w:val="001975C9"/>
    <w:rsid w:val="001A0505"/>
    <w:rsid w:val="001A065E"/>
    <w:rsid w:val="001A189F"/>
    <w:rsid w:val="001A27D7"/>
    <w:rsid w:val="001A293D"/>
    <w:rsid w:val="001A2A77"/>
    <w:rsid w:val="001A3908"/>
    <w:rsid w:val="001A3A5A"/>
    <w:rsid w:val="001A4457"/>
    <w:rsid w:val="001A5133"/>
    <w:rsid w:val="001A5EA1"/>
    <w:rsid w:val="001A6DCB"/>
    <w:rsid w:val="001A773A"/>
    <w:rsid w:val="001A77C4"/>
    <w:rsid w:val="001A7BE0"/>
    <w:rsid w:val="001B15C6"/>
    <w:rsid w:val="001B17D1"/>
    <w:rsid w:val="001B229E"/>
    <w:rsid w:val="001B2B2F"/>
    <w:rsid w:val="001B2DEF"/>
    <w:rsid w:val="001B412E"/>
    <w:rsid w:val="001B4136"/>
    <w:rsid w:val="001B45EF"/>
    <w:rsid w:val="001B48E0"/>
    <w:rsid w:val="001B4D7D"/>
    <w:rsid w:val="001B5125"/>
    <w:rsid w:val="001B5B97"/>
    <w:rsid w:val="001B6AA4"/>
    <w:rsid w:val="001C023F"/>
    <w:rsid w:val="001C02D5"/>
    <w:rsid w:val="001C0500"/>
    <w:rsid w:val="001C059B"/>
    <w:rsid w:val="001C0B84"/>
    <w:rsid w:val="001C1192"/>
    <w:rsid w:val="001C1E56"/>
    <w:rsid w:val="001C28B3"/>
    <w:rsid w:val="001C2CF6"/>
    <w:rsid w:val="001C4064"/>
    <w:rsid w:val="001C49F4"/>
    <w:rsid w:val="001C71D7"/>
    <w:rsid w:val="001D0F66"/>
    <w:rsid w:val="001D125F"/>
    <w:rsid w:val="001D16DA"/>
    <w:rsid w:val="001D17FB"/>
    <w:rsid w:val="001D2271"/>
    <w:rsid w:val="001D23D8"/>
    <w:rsid w:val="001D251C"/>
    <w:rsid w:val="001D3B3D"/>
    <w:rsid w:val="001D3D0C"/>
    <w:rsid w:val="001D42FF"/>
    <w:rsid w:val="001D4381"/>
    <w:rsid w:val="001D47CF"/>
    <w:rsid w:val="001D4A3E"/>
    <w:rsid w:val="001D4B38"/>
    <w:rsid w:val="001D6225"/>
    <w:rsid w:val="001D6439"/>
    <w:rsid w:val="001D6D8C"/>
    <w:rsid w:val="001D784F"/>
    <w:rsid w:val="001D7E9C"/>
    <w:rsid w:val="001E054D"/>
    <w:rsid w:val="001E0FAD"/>
    <w:rsid w:val="001E1308"/>
    <w:rsid w:val="001E1520"/>
    <w:rsid w:val="001E19DD"/>
    <w:rsid w:val="001E19F9"/>
    <w:rsid w:val="001E2C16"/>
    <w:rsid w:val="001E394D"/>
    <w:rsid w:val="001E39AA"/>
    <w:rsid w:val="001E3AAF"/>
    <w:rsid w:val="001E3D84"/>
    <w:rsid w:val="001E4F0E"/>
    <w:rsid w:val="001E594C"/>
    <w:rsid w:val="001E6BFA"/>
    <w:rsid w:val="001E6D90"/>
    <w:rsid w:val="001E6F59"/>
    <w:rsid w:val="001F07E9"/>
    <w:rsid w:val="001F0D0C"/>
    <w:rsid w:val="001F11F5"/>
    <w:rsid w:val="001F12EE"/>
    <w:rsid w:val="001F24B9"/>
    <w:rsid w:val="001F31AC"/>
    <w:rsid w:val="001F3278"/>
    <w:rsid w:val="001F3815"/>
    <w:rsid w:val="001F3DB0"/>
    <w:rsid w:val="001F3E77"/>
    <w:rsid w:val="001F453C"/>
    <w:rsid w:val="001F57A7"/>
    <w:rsid w:val="001F5A67"/>
    <w:rsid w:val="001F6B1B"/>
    <w:rsid w:val="001F7FF6"/>
    <w:rsid w:val="00200EBF"/>
    <w:rsid w:val="00201303"/>
    <w:rsid w:val="00203E92"/>
    <w:rsid w:val="00204651"/>
    <w:rsid w:val="00204D75"/>
    <w:rsid w:val="0020501B"/>
    <w:rsid w:val="002050D7"/>
    <w:rsid w:val="002051B0"/>
    <w:rsid w:val="00205225"/>
    <w:rsid w:val="00205413"/>
    <w:rsid w:val="002057A1"/>
    <w:rsid w:val="00205AEF"/>
    <w:rsid w:val="00205D72"/>
    <w:rsid w:val="0020686F"/>
    <w:rsid w:val="002076AA"/>
    <w:rsid w:val="0021027A"/>
    <w:rsid w:val="00212A14"/>
    <w:rsid w:val="00214D7A"/>
    <w:rsid w:val="00214D88"/>
    <w:rsid w:val="00215286"/>
    <w:rsid w:val="00215906"/>
    <w:rsid w:val="002159C6"/>
    <w:rsid w:val="00215A2A"/>
    <w:rsid w:val="00215CE0"/>
    <w:rsid w:val="00215DA1"/>
    <w:rsid w:val="00216156"/>
    <w:rsid w:val="0021687E"/>
    <w:rsid w:val="002168E9"/>
    <w:rsid w:val="002169DD"/>
    <w:rsid w:val="0021733C"/>
    <w:rsid w:val="002207FA"/>
    <w:rsid w:val="00221627"/>
    <w:rsid w:val="00221E51"/>
    <w:rsid w:val="00221F8E"/>
    <w:rsid w:val="00221FE1"/>
    <w:rsid w:val="002220C5"/>
    <w:rsid w:val="0022254F"/>
    <w:rsid w:val="00222689"/>
    <w:rsid w:val="002236F5"/>
    <w:rsid w:val="00223852"/>
    <w:rsid w:val="00223ADA"/>
    <w:rsid w:val="0022419A"/>
    <w:rsid w:val="002245B9"/>
    <w:rsid w:val="00224A21"/>
    <w:rsid w:val="00225099"/>
    <w:rsid w:val="002250CA"/>
    <w:rsid w:val="00225226"/>
    <w:rsid w:val="0022607A"/>
    <w:rsid w:val="00226152"/>
    <w:rsid w:val="00226456"/>
    <w:rsid w:val="002264D0"/>
    <w:rsid w:val="002270BE"/>
    <w:rsid w:val="00232211"/>
    <w:rsid w:val="002329B7"/>
    <w:rsid w:val="00232AD2"/>
    <w:rsid w:val="002330FC"/>
    <w:rsid w:val="002343A7"/>
    <w:rsid w:val="0023462F"/>
    <w:rsid w:val="00234BF0"/>
    <w:rsid w:val="00235CE8"/>
    <w:rsid w:val="002369E6"/>
    <w:rsid w:val="00237BF4"/>
    <w:rsid w:val="00237DCC"/>
    <w:rsid w:val="00237DD3"/>
    <w:rsid w:val="00237F17"/>
    <w:rsid w:val="0024052C"/>
    <w:rsid w:val="002410BB"/>
    <w:rsid w:val="0024122A"/>
    <w:rsid w:val="00241889"/>
    <w:rsid w:val="00243253"/>
    <w:rsid w:val="002432CD"/>
    <w:rsid w:val="002433B3"/>
    <w:rsid w:val="002476F0"/>
    <w:rsid w:val="00247DA6"/>
    <w:rsid w:val="00251AB1"/>
    <w:rsid w:val="00251F81"/>
    <w:rsid w:val="0025253B"/>
    <w:rsid w:val="002526AC"/>
    <w:rsid w:val="00252997"/>
    <w:rsid w:val="002534E3"/>
    <w:rsid w:val="00253DE9"/>
    <w:rsid w:val="00254512"/>
    <w:rsid w:val="00254725"/>
    <w:rsid w:val="002555DD"/>
    <w:rsid w:val="002555E1"/>
    <w:rsid w:val="00255C94"/>
    <w:rsid w:val="00256C04"/>
    <w:rsid w:val="00257031"/>
    <w:rsid w:val="00257CB4"/>
    <w:rsid w:val="002603C8"/>
    <w:rsid w:val="0026138C"/>
    <w:rsid w:val="00262012"/>
    <w:rsid w:val="00263DE8"/>
    <w:rsid w:val="0026466E"/>
    <w:rsid w:val="00264D7B"/>
    <w:rsid w:val="00264EBF"/>
    <w:rsid w:val="00265DD9"/>
    <w:rsid w:val="002667EA"/>
    <w:rsid w:val="00266C56"/>
    <w:rsid w:val="00267A99"/>
    <w:rsid w:val="002702C1"/>
    <w:rsid w:val="002705B5"/>
    <w:rsid w:val="002712F8"/>
    <w:rsid w:val="00271A88"/>
    <w:rsid w:val="0027264B"/>
    <w:rsid w:val="002736CE"/>
    <w:rsid w:val="002742E2"/>
    <w:rsid w:val="00274CFD"/>
    <w:rsid w:val="00274ED6"/>
    <w:rsid w:val="002752C6"/>
    <w:rsid w:val="002755EF"/>
    <w:rsid w:val="0027586B"/>
    <w:rsid w:val="00276BC6"/>
    <w:rsid w:val="00276C59"/>
    <w:rsid w:val="0027792D"/>
    <w:rsid w:val="00281357"/>
    <w:rsid w:val="00282A25"/>
    <w:rsid w:val="00282F72"/>
    <w:rsid w:val="002830A8"/>
    <w:rsid w:val="00283515"/>
    <w:rsid w:val="00283721"/>
    <w:rsid w:val="00283BAD"/>
    <w:rsid w:val="0028466A"/>
    <w:rsid w:val="002846E8"/>
    <w:rsid w:val="002849BD"/>
    <w:rsid w:val="00284F98"/>
    <w:rsid w:val="0028561D"/>
    <w:rsid w:val="00285FF7"/>
    <w:rsid w:val="002860F1"/>
    <w:rsid w:val="002907E7"/>
    <w:rsid w:val="00290A3D"/>
    <w:rsid w:val="00291148"/>
    <w:rsid w:val="00292278"/>
    <w:rsid w:val="00295263"/>
    <w:rsid w:val="0029555F"/>
    <w:rsid w:val="00295590"/>
    <w:rsid w:val="0029631A"/>
    <w:rsid w:val="00297BEE"/>
    <w:rsid w:val="002A05DC"/>
    <w:rsid w:val="002A0F20"/>
    <w:rsid w:val="002A104F"/>
    <w:rsid w:val="002A13A2"/>
    <w:rsid w:val="002A3274"/>
    <w:rsid w:val="002A32D9"/>
    <w:rsid w:val="002A3CF1"/>
    <w:rsid w:val="002A4853"/>
    <w:rsid w:val="002A59B9"/>
    <w:rsid w:val="002A5E8D"/>
    <w:rsid w:val="002A68CD"/>
    <w:rsid w:val="002B0476"/>
    <w:rsid w:val="002B0CBC"/>
    <w:rsid w:val="002B13CB"/>
    <w:rsid w:val="002B14EA"/>
    <w:rsid w:val="002B1854"/>
    <w:rsid w:val="002B1A51"/>
    <w:rsid w:val="002B2AE1"/>
    <w:rsid w:val="002B3159"/>
    <w:rsid w:val="002B3A8F"/>
    <w:rsid w:val="002B3E1F"/>
    <w:rsid w:val="002B4646"/>
    <w:rsid w:val="002B5324"/>
    <w:rsid w:val="002B5C76"/>
    <w:rsid w:val="002B5C91"/>
    <w:rsid w:val="002B5F4B"/>
    <w:rsid w:val="002B6603"/>
    <w:rsid w:val="002B6F5F"/>
    <w:rsid w:val="002C0828"/>
    <w:rsid w:val="002C124B"/>
    <w:rsid w:val="002C1A0B"/>
    <w:rsid w:val="002C33AF"/>
    <w:rsid w:val="002C370D"/>
    <w:rsid w:val="002C3B75"/>
    <w:rsid w:val="002C4316"/>
    <w:rsid w:val="002C450A"/>
    <w:rsid w:val="002C47E9"/>
    <w:rsid w:val="002C4E26"/>
    <w:rsid w:val="002C4E6C"/>
    <w:rsid w:val="002C5092"/>
    <w:rsid w:val="002C54BF"/>
    <w:rsid w:val="002C5519"/>
    <w:rsid w:val="002C59CD"/>
    <w:rsid w:val="002C67E5"/>
    <w:rsid w:val="002C6D0D"/>
    <w:rsid w:val="002C6F5D"/>
    <w:rsid w:val="002D0639"/>
    <w:rsid w:val="002D08F4"/>
    <w:rsid w:val="002D097F"/>
    <w:rsid w:val="002D0D0C"/>
    <w:rsid w:val="002D1258"/>
    <w:rsid w:val="002D13E8"/>
    <w:rsid w:val="002D2807"/>
    <w:rsid w:val="002D2D97"/>
    <w:rsid w:val="002D3BDF"/>
    <w:rsid w:val="002D426C"/>
    <w:rsid w:val="002D4721"/>
    <w:rsid w:val="002D472F"/>
    <w:rsid w:val="002D4803"/>
    <w:rsid w:val="002D6CDA"/>
    <w:rsid w:val="002D6EFD"/>
    <w:rsid w:val="002D7522"/>
    <w:rsid w:val="002E0D86"/>
    <w:rsid w:val="002E16AE"/>
    <w:rsid w:val="002E1795"/>
    <w:rsid w:val="002E1871"/>
    <w:rsid w:val="002E1A25"/>
    <w:rsid w:val="002E1C38"/>
    <w:rsid w:val="002E3521"/>
    <w:rsid w:val="002E37F4"/>
    <w:rsid w:val="002E43A5"/>
    <w:rsid w:val="002E5665"/>
    <w:rsid w:val="002E65D2"/>
    <w:rsid w:val="002E66E3"/>
    <w:rsid w:val="002E7318"/>
    <w:rsid w:val="002E7617"/>
    <w:rsid w:val="002E7C56"/>
    <w:rsid w:val="002E7D8E"/>
    <w:rsid w:val="002F0408"/>
    <w:rsid w:val="002F06FF"/>
    <w:rsid w:val="002F210E"/>
    <w:rsid w:val="002F27B6"/>
    <w:rsid w:val="002F2B50"/>
    <w:rsid w:val="002F3CDE"/>
    <w:rsid w:val="002F405F"/>
    <w:rsid w:val="002F491B"/>
    <w:rsid w:val="002F4953"/>
    <w:rsid w:val="002F4ACB"/>
    <w:rsid w:val="002F7430"/>
    <w:rsid w:val="002F777B"/>
    <w:rsid w:val="00300191"/>
    <w:rsid w:val="00300414"/>
    <w:rsid w:val="00300578"/>
    <w:rsid w:val="00300AAF"/>
    <w:rsid w:val="00300F8D"/>
    <w:rsid w:val="0030485D"/>
    <w:rsid w:val="00304FC4"/>
    <w:rsid w:val="0030505F"/>
    <w:rsid w:val="003059F4"/>
    <w:rsid w:val="0030689E"/>
    <w:rsid w:val="003068D7"/>
    <w:rsid w:val="003071B2"/>
    <w:rsid w:val="00307599"/>
    <w:rsid w:val="003075B8"/>
    <w:rsid w:val="00310399"/>
    <w:rsid w:val="00310D8D"/>
    <w:rsid w:val="0031164A"/>
    <w:rsid w:val="00314309"/>
    <w:rsid w:val="0031445A"/>
    <w:rsid w:val="003149F6"/>
    <w:rsid w:val="00315745"/>
    <w:rsid w:val="00315977"/>
    <w:rsid w:val="00316368"/>
    <w:rsid w:val="003174B4"/>
    <w:rsid w:val="0032047A"/>
    <w:rsid w:val="00320939"/>
    <w:rsid w:val="00320F9D"/>
    <w:rsid w:val="00321B76"/>
    <w:rsid w:val="00321BBE"/>
    <w:rsid w:val="003225CF"/>
    <w:rsid w:val="00323813"/>
    <w:rsid w:val="00323A17"/>
    <w:rsid w:val="00325077"/>
    <w:rsid w:val="0032515F"/>
    <w:rsid w:val="003253BE"/>
    <w:rsid w:val="00325C89"/>
    <w:rsid w:val="0032679D"/>
    <w:rsid w:val="00326D1D"/>
    <w:rsid w:val="00327D78"/>
    <w:rsid w:val="00327D80"/>
    <w:rsid w:val="00327DF9"/>
    <w:rsid w:val="00327E48"/>
    <w:rsid w:val="003302F7"/>
    <w:rsid w:val="00332437"/>
    <w:rsid w:val="00332A1C"/>
    <w:rsid w:val="00332A90"/>
    <w:rsid w:val="00332AB7"/>
    <w:rsid w:val="00332B68"/>
    <w:rsid w:val="00333E90"/>
    <w:rsid w:val="00334C69"/>
    <w:rsid w:val="00334E81"/>
    <w:rsid w:val="00335E6A"/>
    <w:rsid w:val="00337322"/>
    <w:rsid w:val="00340CDE"/>
    <w:rsid w:val="0034133E"/>
    <w:rsid w:val="003415A1"/>
    <w:rsid w:val="00342048"/>
    <w:rsid w:val="00342994"/>
    <w:rsid w:val="00342F54"/>
    <w:rsid w:val="00343735"/>
    <w:rsid w:val="0034381D"/>
    <w:rsid w:val="00343F87"/>
    <w:rsid w:val="00345DCC"/>
    <w:rsid w:val="00346101"/>
    <w:rsid w:val="00346CAB"/>
    <w:rsid w:val="00347C24"/>
    <w:rsid w:val="00347EB1"/>
    <w:rsid w:val="003508F6"/>
    <w:rsid w:val="00351DDB"/>
    <w:rsid w:val="00351E89"/>
    <w:rsid w:val="00351FF3"/>
    <w:rsid w:val="00352B90"/>
    <w:rsid w:val="00353231"/>
    <w:rsid w:val="00353F39"/>
    <w:rsid w:val="00354D6E"/>
    <w:rsid w:val="0035514C"/>
    <w:rsid w:val="00356084"/>
    <w:rsid w:val="003568C0"/>
    <w:rsid w:val="00356E07"/>
    <w:rsid w:val="0036056A"/>
    <w:rsid w:val="00363736"/>
    <w:rsid w:val="003639E8"/>
    <w:rsid w:val="003642D2"/>
    <w:rsid w:val="0036450C"/>
    <w:rsid w:val="00364574"/>
    <w:rsid w:val="0036468B"/>
    <w:rsid w:val="0036546D"/>
    <w:rsid w:val="00365D56"/>
    <w:rsid w:val="003664C3"/>
    <w:rsid w:val="003675A1"/>
    <w:rsid w:val="0036773D"/>
    <w:rsid w:val="00367FEB"/>
    <w:rsid w:val="003711C1"/>
    <w:rsid w:val="00371BC3"/>
    <w:rsid w:val="00371CBE"/>
    <w:rsid w:val="00372C24"/>
    <w:rsid w:val="00372C38"/>
    <w:rsid w:val="00372C9E"/>
    <w:rsid w:val="0037332F"/>
    <w:rsid w:val="00373AD4"/>
    <w:rsid w:val="0037428F"/>
    <w:rsid w:val="00374539"/>
    <w:rsid w:val="003747BD"/>
    <w:rsid w:val="00374DD5"/>
    <w:rsid w:val="00375304"/>
    <w:rsid w:val="0037591D"/>
    <w:rsid w:val="00376E05"/>
    <w:rsid w:val="0037720A"/>
    <w:rsid w:val="003774FC"/>
    <w:rsid w:val="00377F5B"/>
    <w:rsid w:val="0038006D"/>
    <w:rsid w:val="00381EB9"/>
    <w:rsid w:val="0038206D"/>
    <w:rsid w:val="00383A81"/>
    <w:rsid w:val="00383D6A"/>
    <w:rsid w:val="00384693"/>
    <w:rsid w:val="00385DC1"/>
    <w:rsid w:val="00385F02"/>
    <w:rsid w:val="0038628A"/>
    <w:rsid w:val="0038641A"/>
    <w:rsid w:val="00386DED"/>
    <w:rsid w:val="0038719C"/>
    <w:rsid w:val="003901C3"/>
    <w:rsid w:val="00390E97"/>
    <w:rsid w:val="003924AE"/>
    <w:rsid w:val="00392E76"/>
    <w:rsid w:val="00393BF6"/>
    <w:rsid w:val="00393F1C"/>
    <w:rsid w:val="00393F6E"/>
    <w:rsid w:val="00394276"/>
    <w:rsid w:val="00394BA4"/>
    <w:rsid w:val="0039597A"/>
    <w:rsid w:val="0039697D"/>
    <w:rsid w:val="00396DAE"/>
    <w:rsid w:val="0039750E"/>
    <w:rsid w:val="00397618"/>
    <w:rsid w:val="00397731"/>
    <w:rsid w:val="00397EA7"/>
    <w:rsid w:val="003A1350"/>
    <w:rsid w:val="003A17CE"/>
    <w:rsid w:val="003A1920"/>
    <w:rsid w:val="003A1A61"/>
    <w:rsid w:val="003A2C3E"/>
    <w:rsid w:val="003A2D49"/>
    <w:rsid w:val="003A3487"/>
    <w:rsid w:val="003A5228"/>
    <w:rsid w:val="003A583A"/>
    <w:rsid w:val="003A591A"/>
    <w:rsid w:val="003A5F2B"/>
    <w:rsid w:val="003A722D"/>
    <w:rsid w:val="003B01FB"/>
    <w:rsid w:val="003B0557"/>
    <w:rsid w:val="003B0E02"/>
    <w:rsid w:val="003B0FDA"/>
    <w:rsid w:val="003B1656"/>
    <w:rsid w:val="003B231B"/>
    <w:rsid w:val="003B2C05"/>
    <w:rsid w:val="003B3157"/>
    <w:rsid w:val="003B3FC0"/>
    <w:rsid w:val="003B4786"/>
    <w:rsid w:val="003B4FFE"/>
    <w:rsid w:val="003B56E2"/>
    <w:rsid w:val="003B5926"/>
    <w:rsid w:val="003B602A"/>
    <w:rsid w:val="003B71D0"/>
    <w:rsid w:val="003B7450"/>
    <w:rsid w:val="003C2C74"/>
    <w:rsid w:val="003C3055"/>
    <w:rsid w:val="003C3EAC"/>
    <w:rsid w:val="003C4015"/>
    <w:rsid w:val="003C45E6"/>
    <w:rsid w:val="003C4A67"/>
    <w:rsid w:val="003C568C"/>
    <w:rsid w:val="003C56E9"/>
    <w:rsid w:val="003C63A8"/>
    <w:rsid w:val="003C6725"/>
    <w:rsid w:val="003C6F78"/>
    <w:rsid w:val="003C703E"/>
    <w:rsid w:val="003C7107"/>
    <w:rsid w:val="003D0D2D"/>
    <w:rsid w:val="003D16A1"/>
    <w:rsid w:val="003D16F1"/>
    <w:rsid w:val="003D1778"/>
    <w:rsid w:val="003D1B5E"/>
    <w:rsid w:val="003D257E"/>
    <w:rsid w:val="003D28A5"/>
    <w:rsid w:val="003D30C9"/>
    <w:rsid w:val="003D36FE"/>
    <w:rsid w:val="003D472B"/>
    <w:rsid w:val="003D4F91"/>
    <w:rsid w:val="003D5092"/>
    <w:rsid w:val="003D6240"/>
    <w:rsid w:val="003D7A99"/>
    <w:rsid w:val="003D7CF2"/>
    <w:rsid w:val="003D7D65"/>
    <w:rsid w:val="003E007A"/>
    <w:rsid w:val="003E09C9"/>
    <w:rsid w:val="003E0CFA"/>
    <w:rsid w:val="003E0D77"/>
    <w:rsid w:val="003E0DA2"/>
    <w:rsid w:val="003E0E9E"/>
    <w:rsid w:val="003E11B1"/>
    <w:rsid w:val="003E11D8"/>
    <w:rsid w:val="003E1873"/>
    <w:rsid w:val="003E25CD"/>
    <w:rsid w:val="003E25DA"/>
    <w:rsid w:val="003E2906"/>
    <w:rsid w:val="003E2BDE"/>
    <w:rsid w:val="003E2F13"/>
    <w:rsid w:val="003E3005"/>
    <w:rsid w:val="003E3092"/>
    <w:rsid w:val="003E386C"/>
    <w:rsid w:val="003E3A8E"/>
    <w:rsid w:val="003E44BC"/>
    <w:rsid w:val="003E509B"/>
    <w:rsid w:val="003E60A8"/>
    <w:rsid w:val="003E6141"/>
    <w:rsid w:val="003E620D"/>
    <w:rsid w:val="003E6F86"/>
    <w:rsid w:val="003F111F"/>
    <w:rsid w:val="003F1441"/>
    <w:rsid w:val="003F1A7F"/>
    <w:rsid w:val="003F330F"/>
    <w:rsid w:val="003F36C9"/>
    <w:rsid w:val="003F43BB"/>
    <w:rsid w:val="003F441E"/>
    <w:rsid w:val="003F4A7C"/>
    <w:rsid w:val="003F5144"/>
    <w:rsid w:val="003F584D"/>
    <w:rsid w:val="003F5DC0"/>
    <w:rsid w:val="003F73B2"/>
    <w:rsid w:val="00400538"/>
    <w:rsid w:val="0040067C"/>
    <w:rsid w:val="004012CF"/>
    <w:rsid w:val="0040177F"/>
    <w:rsid w:val="00401801"/>
    <w:rsid w:val="00402034"/>
    <w:rsid w:val="00402AC1"/>
    <w:rsid w:val="00402FB4"/>
    <w:rsid w:val="004032FE"/>
    <w:rsid w:val="00403576"/>
    <w:rsid w:val="00403A5F"/>
    <w:rsid w:val="00404A4F"/>
    <w:rsid w:val="004053B8"/>
    <w:rsid w:val="00405414"/>
    <w:rsid w:val="004058F1"/>
    <w:rsid w:val="00405B47"/>
    <w:rsid w:val="00406172"/>
    <w:rsid w:val="004061C3"/>
    <w:rsid w:val="0040716B"/>
    <w:rsid w:val="00407301"/>
    <w:rsid w:val="00407985"/>
    <w:rsid w:val="00410BE9"/>
    <w:rsid w:val="004117D4"/>
    <w:rsid w:val="00411C6C"/>
    <w:rsid w:val="00411E1C"/>
    <w:rsid w:val="004133BA"/>
    <w:rsid w:val="00413638"/>
    <w:rsid w:val="00413B4D"/>
    <w:rsid w:val="00413ED4"/>
    <w:rsid w:val="00414B0A"/>
    <w:rsid w:val="00414B6F"/>
    <w:rsid w:val="00414DD6"/>
    <w:rsid w:val="004159EE"/>
    <w:rsid w:val="0041663C"/>
    <w:rsid w:val="00417D6B"/>
    <w:rsid w:val="00422EB1"/>
    <w:rsid w:val="00422F2E"/>
    <w:rsid w:val="0042336B"/>
    <w:rsid w:val="004237E6"/>
    <w:rsid w:val="00424573"/>
    <w:rsid w:val="00425258"/>
    <w:rsid w:val="0042547A"/>
    <w:rsid w:val="0042551A"/>
    <w:rsid w:val="00425FAD"/>
    <w:rsid w:val="00426C16"/>
    <w:rsid w:val="00426CCD"/>
    <w:rsid w:val="00426F2C"/>
    <w:rsid w:val="00426F58"/>
    <w:rsid w:val="0042720C"/>
    <w:rsid w:val="00427434"/>
    <w:rsid w:val="00427DC7"/>
    <w:rsid w:val="00430136"/>
    <w:rsid w:val="004307C5"/>
    <w:rsid w:val="00430AD8"/>
    <w:rsid w:val="00430E04"/>
    <w:rsid w:val="00431676"/>
    <w:rsid w:val="00433728"/>
    <w:rsid w:val="004338FB"/>
    <w:rsid w:val="00433CB6"/>
    <w:rsid w:val="00434569"/>
    <w:rsid w:val="00434775"/>
    <w:rsid w:val="00436264"/>
    <w:rsid w:val="0043688D"/>
    <w:rsid w:val="0044016F"/>
    <w:rsid w:val="004403BC"/>
    <w:rsid w:val="00440C8E"/>
    <w:rsid w:val="004411B0"/>
    <w:rsid w:val="0044183D"/>
    <w:rsid w:val="00441862"/>
    <w:rsid w:val="004422F3"/>
    <w:rsid w:val="004424D6"/>
    <w:rsid w:val="004426D5"/>
    <w:rsid w:val="00442B64"/>
    <w:rsid w:val="004437A8"/>
    <w:rsid w:val="00443AA8"/>
    <w:rsid w:val="00443C48"/>
    <w:rsid w:val="00444AFB"/>
    <w:rsid w:val="00444F38"/>
    <w:rsid w:val="00445781"/>
    <w:rsid w:val="004466FB"/>
    <w:rsid w:val="004468EF"/>
    <w:rsid w:val="00446F78"/>
    <w:rsid w:val="00450535"/>
    <w:rsid w:val="00450551"/>
    <w:rsid w:val="00450E73"/>
    <w:rsid w:val="00451033"/>
    <w:rsid w:val="00451333"/>
    <w:rsid w:val="00451AD8"/>
    <w:rsid w:val="00452BA8"/>
    <w:rsid w:val="00452BD6"/>
    <w:rsid w:val="00452C04"/>
    <w:rsid w:val="00452C3B"/>
    <w:rsid w:val="00453AEE"/>
    <w:rsid w:val="0045516B"/>
    <w:rsid w:val="00455783"/>
    <w:rsid w:val="00455C4E"/>
    <w:rsid w:val="00456C7D"/>
    <w:rsid w:val="00457C26"/>
    <w:rsid w:val="004607DA"/>
    <w:rsid w:val="00460A63"/>
    <w:rsid w:val="004611AB"/>
    <w:rsid w:val="00461886"/>
    <w:rsid w:val="00461DA4"/>
    <w:rsid w:val="004628A4"/>
    <w:rsid w:val="00462A0F"/>
    <w:rsid w:val="004645C9"/>
    <w:rsid w:val="00464BDB"/>
    <w:rsid w:val="00464FEE"/>
    <w:rsid w:val="004657E9"/>
    <w:rsid w:val="00465B8F"/>
    <w:rsid w:val="00465BC5"/>
    <w:rsid w:val="00467813"/>
    <w:rsid w:val="004704EB"/>
    <w:rsid w:val="00470B02"/>
    <w:rsid w:val="00470D29"/>
    <w:rsid w:val="004738CC"/>
    <w:rsid w:val="00473922"/>
    <w:rsid w:val="00473BE0"/>
    <w:rsid w:val="004740C9"/>
    <w:rsid w:val="004742F2"/>
    <w:rsid w:val="004749A9"/>
    <w:rsid w:val="00474B56"/>
    <w:rsid w:val="00474B70"/>
    <w:rsid w:val="004750DD"/>
    <w:rsid w:val="0047645E"/>
    <w:rsid w:val="004779E1"/>
    <w:rsid w:val="00477CA6"/>
    <w:rsid w:val="00477F89"/>
    <w:rsid w:val="0048030D"/>
    <w:rsid w:val="004806FB"/>
    <w:rsid w:val="004807F6"/>
    <w:rsid w:val="00480C5C"/>
    <w:rsid w:val="00480F9B"/>
    <w:rsid w:val="004815B3"/>
    <w:rsid w:val="004815E1"/>
    <w:rsid w:val="004824CC"/>
    <w:rsid w:val="00482F64"/>
    <w:rsid w:val="00482FF5"/>
    <w:rsid w:val="0048533A"/>
    <w:rsid w:val="004861E3"/>
    <w:rsid w:val="004864EC"/>
    <w:rsid w:val="00486E1F"/>
    <w:rsid w:val="00487255"/>
    <w:rsid w:val="004877A9"/>
    <w:rsid w:val="00491E53"/>
    <w:rsid w:val="0049221E"/>
    <w:rsid w:val="0049286D"/>
    <w:rsid w:val="00492C5B"/>
    <w:rsid w:val="0049312E"/>
    <w:rsid w:val="004933BA"/>
    <w:rsid w:val="00493A08"/>
    <w:rsid w:val="00493CD1"/>
    <w:rsid w:val="00494084"/>
    <w:rsid w:val="004944CE"/>
    <w:rsid w:val="00494BCE"/>
    <w:rsid w:val="0049512D"/>
    <w:rsid w:val="0049547D"/>
    <w:rsid w:val="004956F3"/>
    <w:rsid w:val="00496A42"/>
    <w:rsid w:val="00497B07"/>
    <w:rsid w:val="00497F32"/>
    <w:rsid w:val="004A0046"/>
    <w:rsid w:val="004A14A9"/>
    <w:rsid w:val="004A195A"/>
    <w:rsid w:val="004A2078"/>
    <w:rsid w:val="004A2959"/>
    <w:rsid w:val="004A3BE1"/>
    <w:rsid w:val="004A45C0"/>
    <w:rsid w:val="004A46D2"/>
    <w:rsid w:val="004A4B79"/>
    <w:rsid w:val="004A5051"/>
    <w:rsid w:val="004A7153"/>
    <w:rsid w:val="004A7948"/>
    <w:rsid w:val="004A7ADA"/>
    <w:rsid w:val="004B04F6"/>
    <w:rsid w:val="004B0657"/>
    <w:rsid w:val="004B134A"/>
    <w:rsid w:val="004B147C"/>
    <w:rsid w:val="004B256E"/>
    <w:rsid w:val="004B2D58"/>
    <w:rsid w:val="004B53F7"/>
    <w:rsid w:val="004B709E"/>
    <w:rsid w:val="004C0B6B"/>
    <w:rsid w:val="004C0E73"/>
    <w:rsid w:val="004C0FA9"/>
    <w:rsid w:val="004C1884"/>
    <w:rsid w:val="004C1AFC"/>
    <w:rsid w:val="004C3A86"/>
    <w:rsid w:val="004C52F8"/>
    <w:rsid w:val="004C552D"/>
    <w:rsid w:val="004C5E6B"/>
    <w:rsid w:val="004C6663"/>
    <w:rsid w:val="004C70BF"/>
    <w:rsid w:val="004D011B"/>
    <w:rsid w:val="004D0B12"/>
    <w:rsid w:val="004D0F84"/>
    <w:rsid w:val="004D1CA0"/>
    <w:rsid w:val="004D23CC"/>
    <w:rsid w:val="004D2C26"/>
    <w:rsid w:val="004D3D5B"/>
    <w:rsid w:val="004D51D6"/>
    <w:rsid w:val="004D62A4"/>
    <w:rsid w:val="004D646A"/>
    <w:rsid w:val="004D6CB7"/>
    <w:rsid w:val="004D7170"/>
    <w:rsid w:val="004D786D"/>
    <w:rsid w:val="004D79D7"/>
    <w:rsid w:val="004E104C"/>
    <w:rsid w:val="004E20A4"/>
    <w:rsid w:val="004E25EB"/>
    <w:rsid w:val="004E2FF4"/>
    <w:rsid w:val="004E37B5"/>
    <w:rsid w:val="004E3C1F"/>
    <w:rsid w:val="004E42F1"/>
    <w:rsid w:val="004E4817"/>
    <w:rsid w:val="004E5189"/>
    <w:rsid w:val="004E5C08"/>
    <w:rsid w:val="004E61F6"/>
    <w:rsid w:val="004E6478"/>
    <w:rsid w:val="004E649B"/>
    <w:rsid w:val="004E670B"/>
    <w:rsid w:val="004E6B0B"/>
    <w:rsid w:val="004E755F"/>
    <w:rsid w:val="004E79D0"/>
    <w:rsid w:val="004F18EA"/>
    <w:rsid w:val="004F210D"/>
    <w:rsid w:val="004F22A2"/>
    <w:rsid w:val="004F2678"/>
    <w:rsid w:val="004F2D46"/>
    <w:rsid w:val="004F2DD9"/>
    <w:rsid w:val="004F3656"/>
    <w:rsid w:val="004F4D07"/>
    <w:rsid w:val="004F58BD"/>
    <w:rsid w:val="004F6936"/>
    <w:rsid w:val="004F6BD5"/>
    <w:rsid w:val="004F74C3"/>
    <w:rsid w:val="004F7829"/>
    <w:rsid w:val="004F7B94"/>
    <w:rsid w:val="00500041"/>
    <w:rsid w:val="00500514"/>
    <w:rsid w:val="005005B7"/>
    <w:rsid w:val="005005C5"/>
    <w:rsid w:val="005005E6"/>
    <w:rsid w:val="0050073E"/>
    <w:rsid w:val="0050188D"/>
    <w:rsid w:val="0050241E"/>
    <w:rsid w:val="0050246E"/>
    <w:rsid w:val="005024B2"/>
    <w:rsid w:val="005041DF"/>
    <w:rsid w:val="00504207"/>
    <w:rsid w:val="005049DE"/>
    <w:rsid w:val="00504DDF"/>
    <w:rsid w:val="0050543E"/>
    <w:rsid w:val="00505AFF"/>
    <w:rsid w:val="00505C40"/>
    <w:rsid w:val="00506BCC"/>
    <w:rsid w:val="00506D93"/>
    <w:rsid w:val="0050725D"/>
    <w:rsid w:val="00507D2E"/>
    <w:rsid w:val="005105D0"/>
    <w:rsid w:val="00510C3C"/>
    <w:rsid w:val="00510F3D"/>
    <w:rsid w:val="0051174F"/>
    <w:rsid w:val="00511B7C"/>
    <w:rsid w:val="005121F6"/>
    <w:rsid w:val="005124E1"/>
    <w:rsid w:val="005126A3"/>
    <w:rsid w:val="00512791"/>
    <w:rsid w:val="00512A0B"/>
    <w:rsid w:val="00513B86"/>
    <w:rsid w:val="00513FA7"/>
    <w:rsid w:val="00513FCB"/>
    <w:rsid w:val="005145EB"/>
    <w:rsid w:val="005149CC"/>
    <w:rsid w:val="00514D8B"/>
    <w:rsid w:val="00515025"/>
    <w:rsid w:val="00515A9C"/>
    <w:rsid w:val="00516A7C"/>
    <w:rsid w:val="00516B9F"/>
    <w:rsid w:val="00517675"/>
    <w:rsid w:val="0052022B"/>
    <w:rsid w:val="005202FC"/>
    <w:rsid w:val="0052138F"/>
    <w:rsid w:val="0052139B"/>
    <w:rsid w:val="00522BC7"/>
    <w:rsid w:val="00523E65"/>
    <w:rsid w:val="00523F75"/>
    <w:rsid w:val="00524397"/>
    <w:rsid w:val="00524716"/>
    <w:rsid w:val="0052524B"/>
    <w:rsid w:val="00525557"/>
    <w:rsid w:val="00525833"/>
    <w:rsid w:val="00525BBA"/>
    <w:rsid w:val="00526131"/>
    <w:rsid w:val="00526E2B"/>
    <w:rsid w:val="00527756"/>
    <w:rsid w:val="00527C26"/>
    <w:rsid w:val="0053229A"/>
    <w:rsid w:val="0053293B"/>
    <w:rsid w:val="005333D5"/>
    <w:rsid w:val="00533882"/>
    <w:rsid w:val="00533A0E"/>
    <w:rsid w:val="005341E3"/>
    <w:rsid w:val="0053428F"/>
    <w:rsid w:val="005348C6"/>
    <w:rsid w:val="00536682"/>
    <w:rsid w:val="005369A9"/>
    <w:rsid w:val="005374EA"/>
    <w:rsid w:val="00537BE1"/>
    <w:rsid w:val="005405A8"/>
    <w:rsid w:val="00540675"/>
    <w:rsid w:val="005413F9"/>
    <w:rsid w:val="005417DF"/>
    <w:rsid w:val="00541A86"/>
    <w:rsid w:val="0054235C"/>
    <w:rsid w:val="0054329C"/>
    <w:rsid w:val="00543AC4"/>
    <w:rsid w:val="00544EB4"/>
    <w:rsid w:val="0054523C"/>
    <w:rsid w:val="00545811"/>
    <w:rsid w:val="00545BF2"/>
    <w:rsid w:val="0054791B"/>
    <w:rsid w:val="00550520"/>
    <w:rsid w:val="00551A81"/>
    <w:rsid w:val="0055250D"/>
    <w:rsid w:val="00552BFC"/>
    <w:rsid w:val="00554298"/>
    <w:rsid w:val="00555BE1"/>
    <w:rsid w:val="0055676A"/>
    <w:rsid w:val="005567C4"/>
    <w:rsid w:val="00557913"/>
    <w:rsid w:val="00560AC2"/>
    <w:rsid w:val="00560BB3"/>
    <w:rsid w:val="00561312"/>
    <w:rsid w:val="00561FA5"/>
    <w:rsid w:val="00562C60"/>
    <w:rsid w:val="00563644"/>
    <w:rsid w:val="00563773"/>
    <w:rsid w:val="00563AEA"/>
    <w:rsid w:val="00564141"/>
    <w:rsid w:val="005644A8"/>
    <w:rsid w:val="00564947"/>
    <w:rsid w:val="00564E1B"/>
    <w:rsid w:val="00564F4F"/>
    <w:rsid w:val="005652C8"/>
    <w:rsid w:val="00566329"/>
    <w:rsid w:val="0056698E"/>
    <w:rsid w:val="005676F1"/>
    <w:rsid w:val="00567723"/>
    <w:rsid w:val="005704E8"/>
    <w:rsid w:val="00571233"/>
    <w:rsid w:val="0057130A"/>
    <w:rsid w:val="00571907"/>
    <w:rsid w:val="0057274D"/>
    <w:rsid w:val="00572924"/>
    <w:rsid w:val="00573BDF"/>
    <w:rsid w:val="00573CC6"/>
    <w:rsid w:val="00573E1E"/>
    <w:rsid w:val="005744A4"/>
    <w:rsid w:val="0057597C"/>
    <w:rsid w:val="0057633C"/>
    <w:rsid w:val="005766A1"/>
    <w:rsid w:val="0057676F"/>
    <w:rsid w:val="005769A2"/>
    <w:rsid w:val="00576C7A"/>
    <w:rsid w:val="005815B7"/>
    <w:rsid w:val="00581682"/>
    <w:rsid w:val="00581B14"/>
    <w:rsid w:val="00582382"/>
    <w:rsid w:val="00582527"/>
    <w:rsid w:val="00582D77"/>
    <w:rsid w:val="00582DFB"/>
    <w:rsid w:val="00583203"/>
    <w:rsid w:val="0058364F"/>
    <w:rsid w:val="005842AD"/>
    <w:rsid w:val="005849EA"/>
    <w:rsid w:val="00585B55"/>
    <w:rsid w:val="00586CF4"/>
    <w:rsid w:val="005877E5"/>
    <w:rsid w:val="0058790A"/>
    <w:rsid w:val="00590842"/>
    <w:rsid w:val="00590CDB"/>
    <w:rsid w:val="00591928"/>
    <w:rsid w:val="00591A75"/>
    <w:rsid w:val="00591D65"/>
    <w:rsid w:val="00592A43"/>
    <w:rsid w:val="00592E82"/>
    <w:rsid w:val="0059379C"/>
    <w:rsid w:val="00593DC3"/>
    <w:rsid w:val="00593E6C"/>
    <w:rsid w:val="0059433A"/>
    <w:rsid w:val="00594ADE"/>
    <w:rsid w:val="00594ECA"/>
    <w:rsid w:val="00595237"/>
    <w:rsid w:val="00595505"/>
    <w:rsid w:val="005964EC"/>
    <w:rsid w:val="00596AB7"/>
    <w:rsid w:val="00596D1F"/>
    <w:rsid w:val="00597CA5"/>
    <w:rsid w:val="005A047A"/>
    <w:rsid w:val="005A1261"/>
    <w:rsid w:val="005A1DB5"/>
    <w:rsid w:val="005A4C07"/>
    <w:rsid w:val="005A5DA5"/>
    <w:rsid w:val="005A5F3A"/>
    <w:rsid w:val="005A7422"/>
    <w:rsid w:val="005A76AD"/>
    <w:rsid w:val="005A79D6"/>
    <w:rsid w:val="005A7A28"/>
    <w:rsid w:val="005B1893"/>
    <w:rsid w:val="005B1C4C"/>
    <w:rsid w:val="005B1ECD"/>
    <w:rsid w:val="005B1FEB"/>
    <w:rsid w:val="005B32A0"/>
    <w:rsid w:val="005B3807"/>
    <w:rsid w:val="005B43D5"/>
    <w:rsid w:val="005B4F87"/>
    <w:rsid w:val="005B50E2"/>
    <w:rsid w:val="005B542D"/>
    <w:rsid w:val="005B5D2E"/>
    <w:rsid w:val="005B5D9A"/>
    <w:rsid w:val="005B677B"/>
    <w:rsid w:val="005B7D9A"/>
    <w:rsid w:val="005C1A57"/>
    <w:rsid w:val="005C1C8B"/>
    <w:rsid w:val="005C2504"/>
    <w:rsid w:val="005C41C5"/>
    <w:rsid w:val="005C4C85"/>
    <w:rsid w:val="005C5B5C"/>
    <w:rsid w:val="005D1036"/>
    <w:rsid w:val="005D1A4D"/>
    <w:rsid w:val="005D213D"/>
    <w:rsid w:val="005D22BA"/>
    <w:rsid w:val="005D2E9B"/>
    <w:rsid w:val="005D35F9"/>
    <w:rsid w:val="005D4D15"/>
    <w:rsid w:val="005D4D8B"/>
    <w:rsid w:val="005D5BBA"/>
    <w:rsid w:val="005D608E"/>
    <w:rsid w:val="005D629A"/>
    <w:rsid w:val="005D7183"/>
    <w:rsid w:val="005E0730"/>
    <w:rsid w:val="005E0759"/>
    <w:rsid w:val="005E0A8E"/>
    <w:rsid w:val="005E124F"/>
    <w:rsid w:val="005E16C5"/>
    <w:rsid w:val="005E1D48"/>
    <w:rsid w:val="005E1FF0"/>
    <w:rsid w:val="005E26FB"/>
    <w:rsid w:val="005E2B27"/>
    <w:rsid w:val="005E2F31"/>
    <w:rsid w:val="005E4400"/>
    <w:rsid w:val="005E46B3"/>
    <w:rsid w:val="005E5BDB"/>
    <w:rsid w:val="005E681E"/>
    <w:rsid w:val="005E776F"/>
    <w:rsid w:val="005F023F"/>
    <w:rsid w:val="005F089F"/>
    <w:rsid w:val="005F0A40"/>
    <w:rsid w:val="005F0A77"/>
    <w:rsid w:val="005F0C3A"/>
    <w:rsid w:val="005F133C"/>
    <w:rsid w:val="005F1E3B"/>
    <w:rsid w:val="005F2C7A"/>
    <w:rsid w:val="005F30C1"/>
    <w:rsid w:val="005F3260"/>
    <w:rsid w:val="005F4B8E"/>
    <w:rsid w:val="005F5DE4"/>
    <w:rsid w:val="006002F0"/>
    <w:rsid w:val="0060077C"/>
    <w:rsid w:val="00600CD2"/>
    <w:rsid w:val="00600F4E"/>
    <w:rsid w:val="00601949"/>
    <w:rsid w:val="00602468"/>
    <w:rsid w:val="006028D2"/>
    <w:rsid w:val="006042C2"/>
    <w:rsid w:val="00605D03"/>
    <w:rsid w:val="00605DDB"/>
    <w:rsid w:val="006061FB"/>
    <w:rsid w:val="00606EC0"/>
    <w:rsid w:val="00607AE9"/>
    <w:rsid w:val="00607B18"/>
    <w:rsid w:val="00610ED1"/>
    <w:rsid w:val="006112E4"/>
    <w:rsid w:val="006132AB"/>
    <w:rsid w:val="00613EE3"/>
    <w:rsid w:val="00613FE1"/>
    <w:rsid w:val="006140DF"/>
    <w:rsid w:val="00614799"/>
    <w:rsid w:val="00614814"/>
    <w:rsid w:val="00614F35"/>
    <w:rsid w:val="00615DDA"/>
    <w:rsid w:val="006167A3"/>
    <w:rsid w:val="00616DC1"/>
    <w:rsid w:val="00616DC5"/>
    <w:rsid w:val="00616E80"/>
    <w:rsid w:val="006176A7"/>
    <w:rsid w:val="00617AAB"/>
    <w:rsid w:val="00621192"/>
    <w:rsid w:val="0062208C"/>
    <w:rsid w:val="0062287B"/>
    <w:rsid w:val="00623C2F"/>
    <w:rsid w:val="006242A7"/>
    <w:rsid w:val="00624646"/>
    <w:rsid w:val="0062464B"/>
    <w:rsid w:val="00624C04"/>
    <w:rsid w:val="00625243"/>
    <w:rsid w:val="00626A94"/>
    <w:rsid w:val="0062773D"/>
    <w:rsid w:val="0062794E"/>
    <w:rsid w:val="00627EF5"/>
    <w:rsid w:val="006303C8"/>
    <w:rsid w:val="0063110A"/>
    <w:rsid w:val="006313F2"/>
    <w:rsid w:val="006317AC"/>
    <w:rsid w:val="0063297F"/>
    <w:rsid w:val="0063688A"/>
    <w:rsid w:val="00637C91"/>
    <w:rsid w:val="00640A23"/>
    <w:rsid w:val="00641343"/>
    <w:rsid w:val="0064225F"/>
    <w:rsid w:val="00642829"/>
    <w:rsid w:val="00643351"/>
    <w:rsid w:val="0064392A"/>
    <w:rsid w:val="00643B9A"/>
    <w:rsid w:val="006440AF"/>
    <w:rsid w:val="006443D9"/>
    <w:rsid w:val="00644965"/>
    <w:rsid w:val="00645167"/>
    <w:rsid w:val="0064565A"/>
    <w:rsid w:val="0064598C"/>
    <w:rsid w:val="00645DD1"/>
    <w:rsid w:val="006467D5"/>
    <w:rsid w:val="00646A04"/>
    <w:rsid w:val="00646E99"/>
    <w:rsid w:val="0064702D"/>
    <w:rsid w:val="006474D1"/>
    <w:rsid w:val="0065141B"/>
    <w:rsid w:val="00651C3D"/>
    <w:rsid w:val="00651CC5"/>
    <w:rsid w:val="00651DFD"/>
    <w:rsid w:val="00652286"/>
    <w:rsid w:val="006527CC"/>
    <w:rsid w:val="00652B48"/>
    <w:rsid w:val="00653B6F"/>
    <w:rsid w:val="006549EA"/>
    <w:rsid w:val="00654A45"/>
    <w:rsid w:val="00654D9A"/>
    <w:rsid w:val="0065537B"/>
    <w:rsid w:val="006555FB"/>
    <w:rsid w:val="0065672C"/>
    <w:rsid w:val="0065683F"/>
    <w:rsid w:val="00656D03"/>
    <w:rsid w:val="0065714D"/>
    <w:rsid w:val="0066042B"/>
    <w:rsid w:val="00660879"/>
    <w:rsid w:val="00661519"/>
    <w:rsid w:val="0066358C"/>
    <w:rsid w:val="0066392C"/>
    <w:rsid w:val="006650EA"/>
    <w:rsid w:val="00665586"/>
    <w:rsid w:val="0066562C"/>
    <w:rsid w:val="00665A13"/>
    <w:rsid w:val="00666821"/>
    <w:rsid w:val="00670350"/>
    <w:rsid w:val="00670441"/>
    <w:rsid w:val="006718E5"/>
    <w:rsid w:val="00671A10"/>
    <w:rsid w:val="006724BD"/>
    <w:rsid w:val="00672CE5"/>
    <w:rsid w:val="00673818"/>
    <w:rsid w:val="00674103"/>
    <w:rsid w:val="00674F36"/>
    <w:rsid w:val="00674FDB"/>
    <w:rsid w:val="006753A4"/>
    <w:rsid w:val="00675DD9"/>
    <w:rsid w:val="006760D5"/>
    <w:rsid w:val="0067643C"/>
    <w:rsid w:val="00676C1D"/>
    <w:rsid w:val="00677D27"/>
    <w:rsid w:val="006800ED"/>
    <w:rsid w:val="0068077A"/>
    <w:rsid w:val="006809F0"/>
    <w:rsid w:val="006811ED"/>
    <w:rsid w:val="00682767"/>
    <w:rsid w:val="00682E75"/>
    <w:rsid w:val="006839A4"/>
    <w:rsid w:val="00683D0B"/>
    <w:rsid w:val="00683F5A"/>
    <w:rsid w:val="00685501"/>
    <w:rsid w:val="0068641B"/>
    <w:rsid w:val="006869E5"/>
    <w:rsid w:val="0068752F"/>
    <w:rsid w:val="00691169"/>
    <w:rsid w:val="00691E55"/>
    <w:rsid w:val="00692512"/>
    <w:rsid w:val="006926BE"/>
    <w:rsid w:val="00692EE5"/>
    <w:rsid w:val="00693FF6"/>
    <w:rsid w:val="006940C2"/>
    <w:rsid w:val="00694876"/>
    <w:rsid w:val="00694A8B"/>
    <w:rsid w:val="00695AB4"/>
    <w:rsid w:val="00696FBE"/>
    <w:rsid w:val="00697459"/>
    <w:rsid w:val="006A00F4"/>
    <w:rsid w:val="006A06AA"/>
    <w:rsid w:val="006A0963"/>
    <w:rsid w:val="006A096B"/>
    <w:rsid w:val="006A0A1D"/>
    <w:rsid w:val="006A0E29"/>
    <w:rsid w:val="006A17EA"/>
    <w:rsid w:val="006A1A5D"/>
    <w:rsid w:val="006A2A92"/>
    <w:rsid w:val="006A3519"/>
    <w:rsid w:val="006A3DB7"/>
    <w:rsid w:val="006A47CB"/>
    <w:rsid w:val="006A4B16"/>
    <w:rsid w:val="006A6079"/>
    <w:rsid w:val="006A635E"/>
    <w:rsid w:val="006A731A"/>
    <w:rsid w:val="006A7A44"/>
    <w:rsid w:val="006B01AE"/>
    <w:rsid w:val="006B03ED"/>
    <w:rsid w:val="006B0C7E"/>
    <w:rsid w:val="006B107F"/>
    <w:rsid w:val="006B1EE4"/>
    <w:rsid w:val="006B21C1"/>
    <w:rsid w:val="006B228B"/>
    <w:rsid w:val="006B33D4"/>
    <w:rsid w:val="006B348A"/>
    <w:rsid w:val="006B3D38"/>
    <w:rsid w:val="006B4003"/>
    <w:rsid w:val="006B4F96"/>
    <w:rsid w:val="006B5455"/>
    <w:rsid w:val="006B5BD6"/>
    <w:rsid w:val="006B5EB2"/>
    <w:rsid w:val="006B6FB8"/>
    <w:rsid w:val="006C19F2"/>
    <w:rsid w:val="006C2C21"/>
    <w:rsid w:val="006C358C"/>
    <w:rsid w:val="006C67A1"/>
    <w:rsid w:val="006C6A2A"/>
    <w:rsid w:val="006C7369"/>
    <w:rsid w:val="006C7791"/>
    <w:rsid w:val="006D09F4"/>
    <w:rsid w:val="006D0F43"/>
    <w:rsid w:val="006D1589"/>
    <w:rsid w:val="006D1920"/>
    <w:rsid w:val="006D1D2D"/>
    <w:rsid w:val="006D1E11"/>
    <w:rsid w:val="006D21BA"/>
    <w:rsid w:val="006D28F9"/>
    <w:rsid w:val="006D2D49"/>
    <w:rsid w:val="006D397D"/>
    <w:rsid w:val="006D4276"/>
    <w:rsid w:val="006D56C0"/>
    <w:rsid w:val="006D5950"/>
    <w:rsid w:val="006D59D2"/>
    <w:rsid w:val="006D5B0B"/>
    <w:rsid w:val="006D60CB"/>
    <w:rsid w:val="006D63F3"/>
    <w:rsid w:val="006D65DB"/>
    <w:rsid w:val="006D660E"/>
    <w:rsid w:val="006D6652"/>
    <w:rsid w:val="006D69E1"/>
    <w:rsid w:val="006E11DD"/>
    <w:rsid w:val="006E247D"/>
    <w:rsid w:val="006E3AB9"/>
    <w:rsid w:val="006E4199"/>
    <w:rsid w:val="006E437C"/>
    <w:rsid w:val="006E471D"/>
    <w:rsid w:val="006E4760"/>
    <w:rsid w:val="006E4B23"/>
    <w:rsid w:val="006E5E47"/>
    <w:rsid w:val="006E6CD5"/>
    <w:rsid w:val="006E736B"/>
    <w:rsid w:val="006E7915"/>
    <w:rsid w:val="006F1775"/>
    <w:rsid w:val="006F21DF"/>
    <w:rsid w:val="006F22B4"/>
    <w:rsid w:val="006F37F6"/>
    <w:rsid w:val="006F3F46"/>
    <w:rsid w:val="006F453E"/>
    <w:rsid w:val="006F5759"/>
    <w:rsid w:val="006F5A07"/>
    <w:rsid w:val="006F5B3E"/>
    <w:rsid w:val="006F6BA4"/>
    <w:rsid w:val="006F7B59"/>
    <w:rsid w:val="006F7FC3"/>
    <w:rsid w:val="0070125B"/>
    <w:rsid w:val="0070154F"/>
    <w:rsid w:val="007017D0"/>
    <w:rsid w:val="00701B79"/>
    <w:rsid w:val="00701BA5"/>
    <w:rsid w:val="00704820"/>
    <w:rsid w:val="00705B58"/>
    <w:rsid w:val="00705FD1"/>
    <w:rsid w:val="00707174"/>
    <w:rsid w:val="0071018D"/>
    <w:rsid w:val="00710221"/>
    <w:rsid w:val="007115CF"/>
    <w:rsid w:val="00711643"/>
    <w:rsid w:val="00713B15"/>
    <w:rsid w:val="00713B1F"/>
    <w:rsid w:val="007141D0"/>
    <w:rsid w:val="0071475A"/>
    <w:rsid w:val="007148D1"/>
    <w:rsid w:val="00714A05"/>
    <w:rsid w:val="00715E70"/>
    <w:rsid w:val="0071655A"/>
    <w:rsid w:val="0071695D"/>
    <w:rsid w:val="00716CC1"/>
    <w:rsid w:val="00720F38"/>
    <w:rsid w:val="00721ECB"/>
    <w:rsid w:val="0072220E"/>
    <w:rsid w:val="007229DE"/>
    <w:rsid w:val="00722B44"/>
    <w:rsid w:val="00722C6D"/>
    <w:rsid w:val="00722D39"/>
    <w:rsid w:val="00723857"/>
    <w:rsid w:val="00723AA7"/>
    <w:rsid w:val="00724BD6"/>
    <w:rsid w:val="007251B2"/>
    <w:rsid w:val="0072575D"/>
    <w:rsid w:val="00726B2B"/>
    <w:rsid w:val="007273C5"/>
    <w:rsid w:val="00727695"/>
    <w:rsid w:val="00727D4F"/>
    <w:rsid w:val="00730C6C"/>
    <w:rsid w:val="007323BE"/>
    <w:rsid w:val="0073255F"/>
    <w:rsid w:val="0073274E"/>
    <w:rsid w:val="007335DB"/>
    <w:rsid w:val="0073384E"/>
    <w:rsid w:val="0073499B"/>
    <w:rsid w:val="007355ED"/>
    <w:rsid w:val="00735CD2"/>
    <w:rsid w:val="007365F0"/>
    <w:rsid w:val="00736977"/>
    <w:rsid w:val="00737307"/>
    <w:rsid w:val="00737497"/>
    <w:rsid w:val="00737C7A"/>
    <w:rsid w:val="00737C9E"/>
    <w:rsid w:val="00740015"/>
    <w:rsid w:val="0074049E"/>
    <w:rsid w:val="00740B05"/>
    <w:rsid w:val="00741A82"/>
    <w:rsid w:val="00741AF0"/>
    <w:rsid w:val="00742860"/>
    <w:rsid w:val="0074408D"/>
    <w:rsid w:val="007447A5"/>
    <w:rsid w:val="0074551C"/>
    <w:rsid w:val="007455C8"/>
    <w:rsid w:val="00745C76"/>
    <w:rsid w:val="00745DEE"/>
    <w:rsid w:val="0074662F"/>
    <w:rsid w:val="0074667D"/>
    <w:rsid w:val="0074697F"/>
    <w:rsid w:val="007469D3"/>
    <w:rsid w:val="00747DC1"/>
    <w:rsid w:val="00747E7D"/>
    <w:rsid w:val="007507CF"/>
    <w:rsid w:val="007511C7"/>
    <w:rsid w:val="00751DDE"/>
    <w:rsid w:val="007523B9"/>
    <w:rsid w:val="00752749"/>
    <w:rsid w:val="00752A3C"/>
    <w:rsid w:val="00753743"/>
    <w:rsid w:val="00753B60"/>
    <w:rsid w:val="007542C5"/>
    <w:rsid w:val="0075437C"/>
    <w:rsid w:val="00754686"/>
    <w:rsid w:val="007546CD"/>
    <w:rsid w:val="00754F5E"/>
    <w:rsid w:val="007550FE"/>
    <w:rsid w:val="00755721"/>
    <w:rsid w:val="00755CE8"/>
    <w:rsid w:val="00756C7E"/>
    <w:rsid w:val="00757755"/>
    <w:rsid w:val="007604FB"/>
    <w:rsid w:val="007615EF"/>
    <w:rsid w:val="00761B67"/>
    <w:rsid w:val="00763440"/>
    <w:rsid w:val="0076352C"/>
    <w:rsid w:val="00763A24"/>
    <w:rsid w:val="00763A72"/>
    <w:rsid w:val="00764005"/>
    <w:rsid w:val="00764085"/>
    <w:rsid w:val="0076426C"/>
    <w:rsid w:val="0076457A"/>
    <w:rsid w:val="00767B35"/>
    <w:rsid w:val="00767DCD"/>
    <w:rsid w:val="007709C0"/>
    <w:rsid w:val="00770D17"/>
    <w:rsid w:val="00771293"/>
    <w:rsid w:val="00771628"/>
    <w:rsid w:val="00771A5F"/>
    <w:rsid w:val="00771BA2"/>
    <w:rsid w:val="00771DA3"/>
    <w:rsid w:val="00771EA2"/>
    <w:rsid w:val="00772D14"/>
    <w:rsid w:val="0077354E"/>
    <w:rsid w:val="00773F60"/>
    <w:rsid w:val="007741CD"/>
    <w:rsid w:val="0077429A"/>
    <w:rsid w:val="0077524C"/>
    <w:rsid w:val="007757A4"/>
    <w:rsid w:val="00776715"/>
    <w:rsid w:val="007769F4"/>
    <w:rsid w:val="0077768C"/>
    <w:rsid w:val="0078006D"/>
    <w:rsid w:val="0078014D"/>
    <w:rsid w:val="00780869"/>
    <w:rsid w:val="00780CCE"/>
    <w:rsid w:val="00781B0F"/>
    <w:rsid w:val="00781EF3"/>
    <w:rsid w:val="00781F85"/>
    <w:rsid w:val="007838FC"/>
    <w:rsid w:val="00784124"/>
    <w:rsid w:val="00784656"/>
    <w:rsid w:val="00785BF3"/>
    <w:rsid w:val="0078684A"/>
    <w:rsid w:val="007900FE"/>
    <w:rsid w:val="00790585"/>
    <w:rsid w:val="00792302"/>
    <w:rsid w:val="007927E7"/>
    <w:rsid w:val="00792AA5"/>
    <w:rsid w:val="0079367B"/>
    <w:rsid w:val="00793EF6"/>
    <w:rsid w:val="00794924"/>
    <w:rsid w:val="00794CA6"/>
    <w:rsid w:val="00794E88"/>
    <w:rsid w:val="00795DD9"/>
    <w:rsid w:val="007971B7"/>
    <w:rsid w:val="007976FB"/>
    <w:rsid w:val="007A0946"/>
    <w:rsid w:val="007A127B"/>
    <w:rsid w:val="007A1D72"/>
    <w:rsid w:val="007A26FC"/>
    <w:rsid w:val="007A27C0"/>
    <w:rsid w:val="007A4182"/>
    <w:rsid w:val="007A41E1"/>
    <w:rsid w:val="007A5158"/>
    <w:rsid w:val="007A5201"/>
    <w:rsid w:val="007A5774"/>
    <w:rsid w:val="007A6735"/>
    <w:rsid w:val="007A68F1"/>
    <w:rsid w:val="007A7185"/>
    <w:rsid w:val="007A7788"/>
    <w:rsid w:val="007A7C4D"/>
    <w:rsid w:val="007B0214"/>
    <w:rsid w:val="007B130C"/>
    <w:rsid w:val="007B1B5B"/>
    <w:rsid w:val="007B1BAB"/>
    <w:rsid w:val="007B1CD2"/>
    <w:rsid w:val="007B2DB4"/>
    <w:rsid w:val="007B2F45"/>
    <w:rsid w:val="007B361F"/>
    <w:rsid w:val="007B4EDE"/>
    <w:rsid w:val="007B70C3"/>
    <w:rsid w:val="007B75D5"/>
    <w:rsid w:val="007B773F"/>
    <w:rsid w:val="007B7D6F"/>
    <w:rsid w:val="007C0323"/>
    <w:rsid w:val="007C0459"/>
    <w:rsid w:val="007C04BC"/>
    <w:rsid w:val="007C285A"/>
    <w:rsid w:val="007C3562"/>
    <w:rsid w:val="007C359F"/>
    <w:rsid w:val="007C3F2A"/>
    <w:rsid w:val="007C3F4B"/>
    <w:rsid w:val="007C4164"/>
    <w:rsid w:val="007C4426"/>
    <w:rsid w:val="007C4F86"/>
    <w:rsid w:val="007C52EA"/>
    <w:rsid w:val="007C5BDF"/>
    <w:rsid w:val="007C6F61"/>
    <w:rsid w:val="007C798B"/>
    <w:rsid w:val="007D05E5"/>
    <w:rsid w:val="007D0FAC"/>
    <w:rsid w:val="007D1168"/>
    <w:rsid w:val="007D1CD7"/>
    <w:rsid w:val="007D1DF1"/>
    <w:rsid w:val="007D1FEE"/>
    <w:rsid w:val="007D20DA"/>
    <w:rsid w:val="007D2F0E"/>
    <w:rsid w:val="007D2FD3"/>
    <w:rsid w:val="007D3E26"/>
    <w:rsid w:val="007D3FF3"/>
    <w:rsid w:val="007D4408"/>
    <w:rsid w:val="007D4C7D"/>
    <w:rsid w:val="007D5AF3"/>
    <w:rsid w:val="007D642C"/>
    <w:rsid w:val="007D7C6D"/>
    <w:rsid w:val="007E05AE"/>
    <w:rsid w:val="007E0641"/>
    <w:rsid w:val="007E06CE"/>
    <w:rsid w:val="007E07F2"/>
    <w:rsid w:val="007E167D"/>
    <w:rsid w:val="007E1889"/>
    <w:rsid w:val="007E1E2C"/>
    <w:rsid w:val="007E39CD"/>
    <w:rsid w:val="007E4F78"/>
    <w:rsid w:val="007E543C"/>
    <w:rsid w:val="007E5C7A"/>
    <w:rsid w:val="007E5E39"/>
    <w:rsid w:val="007E5E79"/>
    <w:rsid w:val="007E5F69"/>
    <w:rsid w:val="007E62E4"/>
    <w:rsid w:val="007E6EA8"/>
    <w:rsid w:val="007F0040"/>
    <w:rsid w:val="007F03F4"/>
    <w:rsid w:val="007F0C1B"/>
    <w:rsid w:val="007F2B15"/>
    <w:rsid w:val="007F2E3D"/>
    <w:rsid w:val="007F40B6"/>
    <w:rsid w:val="007F452E"/>
    <w:rsid w:val="007F4693"/>
    <w:rsid w:val="007F4D6C"/>
    <w:rsid w:val="007F4DE0"/>
    <w:rsid w:val="007F5766"/>
    <w:rsid w:val="007F5E0C"/>
    <w:rsid w:val="007F6734"/>
    <w:rsid w:val="007F67A4"/>
    <w:rsid w:val="007F6A71"/>
    <w:rsid w:val="007F7A1B"/>
    <w:rsid w:val="007F7E40"/>
    <w:rsid w:val="007F7F4F"/>
    <w:rsid w:val="008002AC"/>
    <w:rsid w:val="00801475"/>
    <w:rsid w:val="0080200A"/>
    <w:rsid w:val="00802911"/>
    <w:rsid w:val="00802A8E"/>
    <w:rsid w:val="00804EE8"/>
    <w:rsid w:val="008051E8"/>
    <w:rsid w:val="00805A06"/>
    <w:rsid w:val="00805FEB"/>
    <w:rsid w:val="00806091"/>
    <w:rsid w:val="008063C5"/>
    <w:rsid w:val="00806654"/>
    <w:rsid w:val="008066D8"/>
    <w:rsid w:val="00806F52"/>
    <w:rsid w:val="008073AD"/>
    <w:rsid w:val="00807A31"/>
    <w:rsid w:val="00807F1F"/>
    <w:rsid w:val="0081099F"/>
    <w:rsid w:val="008115E4"/>
    <w:rsid w:val="008118B2"/>
    <w:rsid w:val="00811B5F"/>
    <w:rsid w:val="00812040"/>
    <w:rsid w:val="008120C9"/>
    <w:rsid w:val="008124E6"/>
    <w:rsid w:val="00812C9C"/>
    <w:rsid w:val="00812E21"/>
    <w:rsid w:val="00813374"/>
    <w:rsid w:val="008136A3"/>
    <w:rsid w:val="008140D1"/>
    <w:rsid w:val="00814A2E"/>
    <w:rsid w:val="00814AD7"/>
    <w:rsid w:val="00814B26"/>
    <w:rsid w:val="00815897"/>
    <w:rsid w:val="00815F0A"/>
    <w:rsid w:val="00816752"/>
    <w:rsid w:val="00817191"/>
    <w:rsid w:val="00817CC9"/>
    <w:rsid w:val="00817D58"/>
    <w:rsid w:val="008201A2"/>
    <w:rsid w:val="008204D1"/>
    <w:rsid w:val="0082072D"/>
    <w:rsid w:val="0082081D"/>
    <w:rsid w:val="00820F5A"/>
    <w:rsid w:val="008217AF"/>
    <w:rsid w:val="0082210A"/>
    <w:rsid w:val="0082269D"/>
    <w:rsid w:val="008228F2"/>
    <w:rsid w:val="00822D67"/>
    <w:rsid w:val="00824092"/>
    <w:rsid w:val="00824CA2"/>
    <w:rsid w:val="008254D6"/>
    <w:rsid w:val="00826C9F"/>
    <w:rsid w:val="008275BB"/>
    <w:rsid w:val="00827796"/>
    <w:rsid w:val="00827CA0"/>
    <w:rsid w:val="00827EE3"/>
    <w:rsid w:val="00830143"/>
    <w:rsid w:val="00830720"/>
    <w:rsid w:val="00830881"/>
    <w:rsid w:val="0083108D"/>
    <w:rsid w:val="008311E8"/>
    <w:rsid w:val="008314F9"/>
    <w:rsid w:val="0083198D"/>
    <w:rsid w:val="00833CAA"/>
    <w:rsid w:val="0083432A"/>
    <w:rsid w:val="00835326"/>
    <w:rsid w:val="008353C5"/>
    <w:rsid w:val="008367B9"/>
    <w:rsid w:val="00836AC6"/>
    <w:rsid w:val="00836E15"/>
    <w:rsid w:val="00842F85"/>
    <w:rsid w:val="008431C6"/>
    <w:rsid w:val="008433BB"/>
    <w:rsid w:val="0084589D"/>
    <w:rsid w:val="00845BB4"/>
    <w:rsid w:val="008462EA"/>
    <w:rsid w:val="00846FD1"/>
    <w:rsid w:val="00847C0F"/>
    <w:rsid w:val="00847F2D"/>
    <w:rsid w:val="008508B0"/>
    <w:rsid w:val="00850CDE"/>
    <w:rsid w:val="008512D0"/>
    <w:rsid w:val="00851DA3"/>
    <w:rsid w:val="00851EC3"/>
    <w:rsid w:val="00851EFD"/>
    <w:rsid w:val="00852749"/>
    <w:rsid w:val="00854127"/>
    <w:rsid w:val="008541BD"/>
    <w:rsid w:val="008545CF"/>
    <w:rsid w:val="00854CE0"/>
    <w:rsid w:val="00855263"/>
    <w:rsid w:val="00855467"/>
    <w:rsid w:val="008556D4"/>
    <w:rsid w:val="008558F4"/>
    <w:rsid w:val="00855C82"/>
    <w:rsid w:val="008569D1"/>
    <w:rsid w:val="00857C40"/>
    <w:rsid w:val="00857D66"/>
    <w:rsid w:val="008604B3"/>
    <w:rsid w:val="0086065E"/>
    <w:rsid w:val="00860D44"/>
    <w:rsid w:val="00861777"/>
    <w:rsid w:val="008618BC"/>
    <w:rsid w:val="008625CF"/>
    <w:rsid w:val="008631A9"/>
    <w:rsid w:val="00863B1E"/>
    <w:rsid w:val="008644AA"/>
    <w:rsid w:val="00870412"/>
    <w:rsid w:val="00870EBE"/>
    <w:rsid w:val="00871286"/>
    <w:rsid w:val="0087150C"/>
    <w:rsid w:val="008726C1"/>
    <w:rsid w:val="0087317F"/>
    <w:rsid w:val="00873244"/>
    <w:rsid w:val="00873488"/>
    <w:rsid w:val="00873586"/>
    <w:rsid w:val="00873B3D"/>
    <w:rsid w:val="008746CF"/>
    <w:rsid w:val="008747AD"/>
    <w:rsid w:val="00874831"/>
    <w:rsid w:val="00874861"/>
    <w:rsid w:val="00874E4B"/>
    <w:rsid w:val="00876C60"/>
    <w:rsid w:val="008771F7"/>
    <w:rsid w:val="00877736"/>
    <w:rsid w:val="00880506"/>
    <w:rsid w:val="0088114A"/>
    <w:rsid w:val="00881758"/>
    <w:rsid w:val="0088237B"/>
    <w:rsid w:val="00882739"/>
    <w:rsid w:val="00882863"/>
    <w:rsid w:val="00882DFA"/>
    <w:rsid w:val="0088455D"/>
    <w:rsid w:val="008854F6"/>
    <w:rsid w:val="0088566E"/>
    <w:rsid w:val="00885C9D"/>
    <w:rsid w:val="00885EF8"/>
    <w:rsid w:val="00887615"/>
    <w:rsid w:val="00890576"/>
    <w:rsid w:val="00890A11"/>
    <w:rsid w:val="008917C1"/>
    <w:rsid w:val="008919D8"/>
    <w:rsid w:val="00891C32"/>
    <w:rsid w:val="00891D81"/>
    <w:rsid w:val="00892F7A"/>
    <w:rsid w:val="0089332E"/>
    <w:rsid w:val="00893463"/>
    <w:rsid w:val="00893902"/>
    <w:rsid w:val="0089431F"/>
    <w:rsid w:val="00894DCB"/>
    <w:rsid w:val="00894FBE"/>
    <w:rsid w:val="00895AB2"/>
    <w:rsid w:val="00895B32"/>
    <w:rsid w:val="008960F8"/>
    <w:rsid w:val="00896169"/>
    <w:rsid w:val="00896671"/>
    <w:rsid w:val="00897794"/>
    <w:rsid w:val="008A01F2"/>
    <w:rsid w:val="008A040A"/>
    <w:rsid w:val="008A059F"/>
    <w:rsid w:val="008A08FF"/>
    <w:rsid w:val="008A0B95"/>
    <w:rsid w:val="008A1712"/>
    <w:rsid w:val="008A1CF2"/>
    <w:rsid w:val="008A2622"/>
    <w:rsid w:val="008A2CAD"/>
    <w:rsid w:val="008A3788"/>
    <w:rsid w:val="008A4912"/>
    <w:rsid w:val="008A5076"/>
    <w:rsid w:val="008A5662"/>
    <w:rsid w:val="008A599D"/>
    <w:rsid w:val="008A5FF2"/>
    <w:rsid w:val="008A6976"/>
    <w:rsid w:val="008A6CBE"/>
    <w:rsid w:val="008A750F"/>
    <w:rsid w:val="008A7EE8"/>
    <w:rsid w:val="008B0DE7"/>
    <w:rsid w:val="008B1D38"/>
    <w:rsid w:val="008B280C"/>
    <w:rsid w:val="008B304A"/>
    <w:rsid w:val="008B32A3"/>
    <w:rsid w:val="008B3F1E"/>
    <w:rsid w:val="008B3FF9"/>
    <w:rsid w:val="008B4641"/>
    <w:rsid w:val="008B5D25"/>
    <w:rsid w:val="008B6294"/>
    <w:rsid w:val="008B66EC"/>
    <w:rsid w:val="008B6D7A"/>
    <w:rsid w:val="008C0197"/>
    <w:rsid w:val="008C07D0"/>
    <w:rsid w:val="008C0B7B"/>
    <w:rsid w:val="008C0BCA"/>
    <w:rsid w:val="008C1FAE"/>
    <w:rsid w:val="008C2336"/>
    <w:rsid w:val="008C26A4"/>
    <w:rsid w:val="008C29B2"/>
    <w:rsid w:val="008C34A9"/>
    <w:rsid w:val="008C466B"/>
    <w:rsid w:val="008C5F6D"/>
    <w:rsid w:val="008C6044"/>
    <w:rsid w:val="008C69AD"/>
    <w:rsid w:val="008C69BC"/>
    <w:rsid w:val="008C741E"/>
    <w:rsid w:val="008D081C"/>
    <w:rsid w:val="008D08A4"/>
    <w:rsid w:val="008D0F5E"/>
    <w:rsid w:val="008D10ED"/>
    <w:rsid w:val="008D17DD"/>
    <w:rsid w:val="008D1D11"/>
    <w:rsid w:val="008D3873"/>
    <w:rsid w:val="008D5278"/>
    <w:rsid w:val="008D556A"/>
    <w:rsid w:val="008D5696"/>
    <w:rsid w:val="008D619E"/>
    <w:rsid w:val="008D6BAE"/>
    <w:rsid w:val="008E0D8F"/>
    <w:rsid w:val="008E128C"/>
    <w:rsid w:val="008E1C9B"/>
    <w:rsid w:val="008E3B40"/>
    <w:rsid w:val="008E55CE"/>
    <w:rsid w:val="008E582E"/>
    <w:rsid w:val="008E5B5E"/>
    <w:rsid w:val="008E5CC0"/>
    <w:rsid w:val="008E601C"/>
    <w:rsid w:val="008E626D"/>
    <w:rsid w:val="008E7CA7"/>
    <w:rsid w:val="008F156B"/>
    <w:rsid w:val="008F191F"/>
    <w:rsid w:val="008F2F0A"/>
    <w:rsid w:val="008F55C0"/>
    <w:rsid w:val="008F5751"/>
    <w:rsid w:val="008F5B0A"/>
    <w:rsid w:val="008F5EA9"/>
    <w:rsid w:val="008F6465"/>
    <w:rsid w:val="008F7C2F"/>
    <w:rsid w:val="00900130"/>
    <w:rsid w:val="009009C5"/>
    <w:rsid w:val="00901034"/>
    <w:rsid w:val="00901911"/>
    <w:rsid w:val="009024D7"/>
    <w:rsid w:val="00902520"/>
    <w:rsid w:val="0090254C"/>
    <w:rsid w:val="00902D20"/>
    <w:rsid w:val="0090353E"/>
    <w:rsid w:val="0090392D"/>
    <w:rsid w:val="00904D25"/>
    <w:rsid w:val="00904E04"/>
    <w:rsid w:val="00906450"/>
    <w:rsid w:val="009067E6"/>
    <w:rsid w:val="0090683B"/>
    <w:rsid w:val="009076C9"/>
    <w:rsid w:val="00907B80"/>
    <w:rsid w:val="00910CA5"/>
    <w:rsid w:val="00911600"/>
    <w:rsid w:val="00912854"/>
    <w:rsid w:val="0091461A"/>
    <w:rsid w:val="009156FA"/>
    <w:rsid w:val="00915CE8"/>
    <w:rsid w:val="00916EA1"/>
    <w:rsid w:val="00916F91"/>
    <w:rsid w:val="00917CA5"/>
    <w:rsid w:val="00920A83"/>
    <w:rsid w:val="009211E9"/>
    <w:rsid w:val="00922085"/>
    <w:rsid w:val="0092319C"/>
    <w:rsid w:val="00923573"/>
    <w:rsid w:val="00923DBC"/>
    <w:rsid w:val="00924D5F"/>
    <w:rsid w:val="00925380"/>
    <w:rsid w:val="0092582C"/>
    <w:rsid w:val="00925B41"/>
    <w:rsid w:val="00925F6E"/>
    <w:rsid w:val="009263F2"/>
    <w:rsid w:val="00926535"/>
    <w:rsid w:val="00926FCA"/>
    <w:rsid w:val="00927160"/>
    <w:rsid w:val="00927A54"/>
    <w:rsid w:val="00930568"/>
    <w:rsid w:val="0093094E"/>
    <w:rsid w:val="0093147E"/>
    <w:rsid w:val="00931BB4"/>
    <w:rsid w:val="00932284"/>
    <w:rsid w:val="00932ACB"/>
    <w:rsid w:val="00933AF5"/>
    <w:rsid w:val="009340F4"/>
    <w:rsid w:val="00934291"/>
    <w:rsid w:val="00935AF5"/>
    <w:rsid w:val="00935B3A"/>
    <w:rsid w:val="00935EDE"/>
    <w:rsid w:val="00940C05"/>
    <w:rsid w:val="00943C7C"/>
    <w:rsid w:val="00944CB1"/>
    <w:rsid w:val="00944D93"/>
    <w:rsid w:val="00945B2A"/>
    <w:rsid w:val="00945B4F"/>
    <w:rsid w:val="00945CD7"/>
    <w:rsid w:val="00946B77"/>
    <w:rsid w:val="00947CCD"/>
    <w:rsid w:val="00951737"/>
    <w:rsid w:val="009518B9"/>
    <w:rsid w:val="00952047"/>
    <w:rsid w:val="0095238C"/>
    <w:rsid w:val="00953021"/>
    <w:rsid w:val="009539D5"/>
    <w:rsid w:val="00954802"/>
    <w:rsid w:val="00954ADC"/>
    <w:rsid w:val="00954D23"/>
    <w:rsid w:val="00954E10"/>
    <w:rsid w:val="00955131"/>
    <w:rsid w:val="0095513A"/>
    <w:rsid w:val="00955DC9"/>
    <w:rsid w:val="00956987"/>
    <w:rsid w:val="00956C0F"/>
    <w:rsid w:val="00957CE3"/>
    <w:rsid w:val="009615C0"/>
    <w:rsid w:val="009619FB"/>
    <w:rsid w:val="00961F6F"/>
    <w:rsid w:val="00963200"/>
    <w:rsid w:val="009634A8"/>
    <w:rsid w:val="00963865"/>
    <w:rsid w:val="009647DE"/>
    <w:rsid w:val="00965026"/>
    <w:rsid w:val="00965BE5"/>
    <w:rsid w:val="00965D6D"/>
    <w:rsid w:val="009660E7"/>
    <w:rsid w:val="009662B4"/>
    <w:rsid w:val="0096721E"/>
    <w:rsid w:val="00967499"/>
    <w:rsid w:val="009678C6"/>
    <w:rsid w:val="009678CB"/>
    <w:rsid w:val="00967A83"/>
    <w:rsid w:val="009700F7"/>
    <w:rsid w:val="00970D15"/>
    <w:rsid w:val="009717E4"/>
    <w:rsid w:val="00971861"/>
    <w:rsid w:val="00972C4F"/>
    <w:rsid w:val="00972FF8"/>
    <w:rsid w:val="00973B22"/>
    <w:rsid w:val="00974B5C"/>
    <w:rsid w:val="009763A2"/>
    <w:rsid w:val="009768B0"/>
    <w:rsid w:val="009773FE"/>
    <w:rsid w:val="00980C1A"/>
    <w:rsid w:val="0098119B"/>
    <w:rsid w:val="00982E1F"/>
    <w:rsid w:val="0098352A"/>
    <w:rsid w:val="00983D97"/>
    <w:rsid w:val="0098535F"/>
    <w:rsid w:val="00985785"/>
    <w:rsid w:val="0098653C"/>
    <w:rsid w:val="009865D9"/>
    <w:rsid w:val="00986D20"/>
    <w:rsid w:val="00986D76"/>
    <w:rsid w:val="00987FCC"/>
    <w:rsid w:val="0099002E"/>
    <w:rsid w:val="00990FCB"/>
    <w:rsid w:val="00992ADB"/>
    <w:rsid w:val="009937FC"/>
    <w:rsid w:val="00995784"/>
    <w:rsid w:val="009957F2"/>
    <w:rsid w:val="0099634D"/>
    <w:rsid w:val="00997714"/>
    <w:rsid w:val="009A0F2E"/>
    <w:rsid w:val="009A12B3"/>
    <w:rsid w:val="009A23D1"/>
    <w:rsid w:val="009A2623"/>
    <w:rsid w:val="009A26B4"/>
    <w:rsid w:val="009A2CA5"/>
    <w:rsid w:val="009A36C9"/>
    <w:rsid w:val="009A3F4F"/>
    <w:rsid w:val="009A41E9"/>
    <w:rsid w:val="009A4CB1"/>
    <w:rsid w:val="009A5014"/>
    <w:rsid w:val="009A58D9"/>
    <w:rsid w:val="009A59E4"/>
    <w:rsid w:val="009A66B4"/>
    <w:rsid w:val="009A6F18"/>
    <w:rsid w:val="009B05FD"/>
    <w:rsid w:val="009B0EBD"/>
    <w:rsid w:val="009B1893"/>
    <w:rsid w:val="009B24A4"/>
    <w:rsid w:val="009B2621"/>
    <w:rsid w:val="009B34E3"/>
    <w:rsid w:val="009B38A3"/>
    <w:rsid w:val="009B44FE"/>
    <w:rsid w:val="009B50F1"/>
    <w:rsid w:val="009B5107"/>
    <w:rsid w:val="009B6D2B"/>
    <w:rsid w:val="009C0007"/>
    <w:rsid w:val="009C0924"/>
    <w:rsid w:val="009C2A4C"/>
    <w:rsid w:val="009C2CB0"/>
    <w:rsid w:val="009C3B75"/>
    <w:rsid w:val="009C3E28"/>
    <w:rsid w:val="009C4064"/>
    <w:rsid w:val="009C434F"/>
    <w:rsid w:val="009C43F3"/>
    <w:rsid w:val="009C4AC7"/>
    <w:rsid w:val="009C4CE2"/>
    <w:rsid w:val="009C4FC4"/>
    <w:rsid w:val="009C6373"/>
    <w:rsid w:val="009C7251"/>
    <w:rsid w:val="009C7D4B"/>
    <w:rsid w:val="009D037F"/>
    <w:rsid w:val="009D076A"/>
    <w:rsid w:val="009D108B"/>
    <w:rsid w:val="009D194F"/>
    <w:rsid w:val="009D1F58"/>
    <w:rsid w:val="009D24BE"/>
    <w:rsid w:val="009D2930"/>
    <w:rsid w:val="009D2AE5"/>
    <w:rsid w:val="009D2CF3"/>
    <w:rsid w:val="009D37F9"/>
    <w:rsid w:val="009D3921"/>
    <w:rsid w:val="009D3AE8"/>
    <w:rsid w:val="009D3CBC"/>
    <w:rsid w:val="009D47EF"/>
    <w:rsid w:val="009D4AD8"/>
    <w:rsid w:val="009D4B56"/>
    <w:rsid w:val="009D4C64"/>
    <w:rsid w:val="009D5C59"/>
    <w:rsid w:val="009D6C33"/>
    <w:rsid w:val="009D7108"/>
    <w:rsid w:val="009D7273"/>
    <w:rsid w:val="009D773E"/>
    <w:rsid w:val="009D7C39"/>
    <w:rsid w:val="009E0981"/>
    <w:rsid w:val="009E0D44"/>
    <w:rsid w:val="009E114C"/>
    <w:rsid w:val="009E230A"/>
    <w:rsid w:val="009E2A22"/>
    <w:rsid w:val="009E30CC"/>
    <w:rsid w:val="009E3C16"/>
    <w:rsid w:val="009E4D7C"/>
    <w:rsid w:val="009E4DD0"/>
    <w:rsid w:val="009E54FA"/>
    <w:rsid w:val="009E5F04"/>
    <w:rsid w:val="009E7B97"/>
    <w:rsid w:val="009F00F6"/>
    <w:rsid w:val="009F09F3"/>
    <w:rsid w:val="009F0E84"/>
    <w:rsid w:val="009F130C"/>
    <w:rsid w:val="009F2D54"/>
    <w:rsid w:val="009F2F92"/>
    <w:rsid w:val="009F3395"/>
    <w:rsid w:val="009F4163"/>
    <w:rsid w:val="009F448C"/>
    <w:rsid w:val="009F50DD"/>
    <w:rsid w:val="009F6DDF"/>
    <w:rsid w:val="009F70B8"/>
    <w:rsid w:val="009F7454"/>
    <w:rsid w:val="00A009B3"/>
    <w:rsid w:val="00A00C92"/>
    <w:rsid w:val="00A01843"/>
    <w:rsid w:val="00A02691"/>
    <w:rsid w:val="00A03272"/>
    <w:rsid w:val="00A06AAB"/>
    <w:rsid w:val="00A0758E"/>
    <w:rsid w:val="00A0783C"/>
    <w:rsid w:val="00A078F5"/>
    <w:rsid w:val="00A07E1C"/>
    <w:rsid w:val="00A10D9A"/>
    <w:rsid w:val="00A11238"/>
    <w:rsid w:val="00A11F67"/>
    <w:rsid w:val="00A11FCC"/>
    <w:rsid w:val="00A12825"/>
    <w:rsid w:val="00A12B21"/>
    <w:rsid w:val="00A12E36"/>
    <w:rsid w:val="00A13146"/>
    <w:rsid w:val="00A132BF"/>
    <w:rsid w:val="00A1481C"/>
    <w:rsid w:val="00A14FA1"/>
    <w:rsid w:val="00A15384"/>
    <w:rsid w:val="00A157A3"/>
    <w:rsid w:val="00A16207"/>
    <w:rsid w:val="00A163EA"/>
    <w:rsid w:val="00A1667D"/>
    <w:rsid w:val="00A16E2A"/>
    <w:rsid w:val="00A16F5C"/>
    <w:rsid w:val="00A174BA"/>
    <w:rsid w:val="00A174EE"/>
    <w:rsid w:val="00A17AD1"/>
    <w:rsid w:val="00A17E5E"/>
    <w:rsid w:val="00A200BF"/>
    <w:rsid w:val="00A202E6"/>
    <w:rsid w:val="00A2039D"/>
    <w:rsid w:val="00A20D9D"/>
    <w:rsid w:val="00A20EE7"/>
    <w:rsid w:val="00A2144C"/>
    <w:rsid w:val="00A21F65"/>
    <w:rsid w:val="00A2227D"/>
    <w:rsid w:val="00A2279E"/>
    <w:rsid w:val="00A23769"/>
    <w:rsid w:val="00A24EAE"/>
    <w:rsid w:val="00A25699"/>
    <w:rsid w:val="00A25723"/>
    <w:rsid w:val="00A25A39"/>
    <w:rsid w:val="00A25A8C"/>
    <w:rsid w:val="00A27BCB"/>
    <w:rsid w:val="00A304D0"/>
    <w:rsid w:val="00A30D97"/>
    <w:rsid w:val="00A30ED2"/>
    <w:rsid w:val="00A333A6"/>
    <w:rsid w:val="00A33719"/>
    <w:rsid w:val="00A345A7"/>
    <w:rsid w:val="00A34D0F"/>
    <w:rsid w:val="00A35B59"/>
    <w:rsid w:val="00A368B3"/>
    <w:rsid w:val="00A371EB"/>
    <w:rsid w:val="00A37219"/>
    <w:rsid w:val="00A37D42"/>
    <w:rsid w:val="00A40544"/>
    <w:rsid w:val="00A4170D"/>
    <w:rsid w:val="00A41E6F"/>
    <w:rsid w:val="00A420BB"/>
    <w:rsid w:val="00A425C1"/>
    <w:rsid w:val="00A431C0"/>
    <w:rsid w:val="00A43902"/>
    <w:rsid w:val="00A4422F"/>
    <w:rsid w:val="00A4426D"/>
    <w:rsid w:val="00A44B7E"/>
    <w:rsid w:val="00A44FDF"/>
    <w:rsid w:val="00A450A8"/>
    <w:rsid w:val="00A479D5"/>
    <w:rsid w:val="00A51227"/>
    <w:rsid w:val="00A517BD"/>
    <w:rsid w:val="00A52410"/>
    <w:rsid w:val="00A5330A"/>
    <w:rsid w:val="00A533C0"/>
    <w:rsid w:val="00A53BE0"/>
    <w:rsid w:val="00A55075"/>
    <w:rsid w:val="00A55120"/>
    <w:rsid w:val="00A55398"/>
    <w:rsid w:val="00A553A4"/>
    <w:rsid w:val="00A55DC0"/>
    <w:rsid w:val="00A56520"/>
    <w:rsid w:val="00A567CB"/>
    <w:rsid w:val="00A6117A"/>
    <w:rsid w:val="00A6177D"/>
    <w:rsid w:val="00A61C04"/>
    <w:rsid w:val="00A6244D"/>
    <w:rsid w:val="00A6310C"/>
    <w:rsid w:val="00A63A13"/>
    <w:rsid w:val="00A642C9"/>
    <w:rsid w:val="00A643F8"/>
    <w:rsid w:val="00A64D6D"/>
    <w:rsid w:val="00A65DD1"/>
    <w:rsid w:val="00A663EC"/>
    <w:rsid w:val="00A66E0B"/>
    <w:rsid w:val="00A6760C"/>
    <w:rsid w:val="00A70557"/>
    <w:rsid w:val="00A70C31"/>
    <w:rsid w:val="00A7104B"/>
    <w:rsid w:val="00A712CE"/>
    <w:rsid w:val="00A71DB5"/>
    <w:rsid w:val="00A729A6"/>
    <w:rsid w:val="00A72C0B"/>
    <w:rsid w:val="00A7346F"/>
    <w:rsid w:val="00A74A86"/>
    <w:rsid w:val="00A74C39"/>
    <w:rsid w:val="00A75C0F"/>
    <w:rsid w:val="00A760F3"/>
    <w:rsid w:val="00A7624A"/>
    <w:rsid w:val="00A776C2"/>
    <w:rsid w:val="00A776D1"/>
    <w:rsid w:val="00A77E09"/>
    <w:rsid w:val="00A816AF"/>
    <w:rsid w:val="00A81720"/>
    <w:rsid w:val="00A818E4"/>
    <w:rsid w:val="00A82B19"/>
    <w:rsid w:val="00A83C04"/>
    <w:rsid w:val="00A83ED1"/>
    <w:rsid w:val="00A84DE6"/>
    <w:rsid w:val="00A85C63"/>
    <w:rsid w:val="00A87111"/>
    <w:rsid w:val="00A87CA6"/>
    <w:rsid w:val="00A9066E"/>
    <w:rsid w:val="00A90D15"/>
    <w:rsid w:val="00A90F3D"/>
    <w:rsid w:val="00A91709"/>
    <w:rsid w:val="00A920A7"/>
    <w:rsid w:val="00A92878"/>
    <w:rsid w:val="00A929A2"/>
    <w:rsid w:val="00A92FE9"/>
    <w:rsid w:val="00A93A5A"/>
    <w:rsid w:val="00A93DF7"/>
    <w:rsid w:val="00A94383"/>
    <w:rsid w:val="00A9448C"/>
    <w:rsid w:val="00A94545"/>
    <w:rsid w:val="00A95A20"/>
    <w:rsid w:val="00A968B2"/>
    <w:rsid w:val="00A96F32"/>
    <w:rsid w:val="00A9721B"/>
    <w:rsid w:val="00AA0635"/>
    <w:rsid w:val="00AA068C"/>
    <w:rsid w:val="00AA1412"/>
    <w:rsid w:val="00AA162D"/>
    <w:rsid w:val="00AA21C4"/>
    <w:rsid w:val="00AA2A40"/>
    <w:rsid w:val="00AA36ED"/>
    <w:rsid w:val="00AA37B5"/>
    <w:rsid w:val="00AA3961"/>
    <w:rsid w:val="00AA4737"/>
    <w:rsid w:val="00AA4899"/>
    <w:rsid w:val="00AA48B5"/>
    <w:rsid w:val="00AA5262"/>
    <w:rsid w:val="00AA5AB7"/>
    <w:rsid w:val="00AA5BE3"/>
    <w:rsid w:val="00AA77EF"/>
    <w:rsid w:val="00AB019A"/>
    <w:rsid w:val="00AB184E"/>
    <w:rsid w:val="00AB22B2"/>
    <w:rsid w:val="00AB2877"/>
    <w:rsid w:val="00AB2F06"/>
    <w:rsid w:val="00AB315D"/>
    <w:rsid w:val="00AB3438"/>
    <w:rsid w:val="00AB3E95"/>
    <w:rsid w:val="00AB54CB"/>
    <w:rsid w:val="00AB661C"/>
    <w:rsid w:val="00AB689D"/>
    <w:rsid w:val="00AB7491"/>
    <w:rsid w:val="00AB7519"/>
    <w:rsid w:val="00AB79CA"/>
    <w:rsid w:val="00AB7A7D"/>
    <w:rsid w:val="00AC0487"/>
    <w:rsid w:val="00AC1797"/>
    <w:rsid w:val="00AC1E7A"/>
    <w:rsid w:val="00AC2E6C"/>
    <w:rsid w:val="00AC4151"/>
    <w:rsid w:val="00AC5372"/>
    <w:rsid w:val="00AC656E"/>
    <w:rsid w:val="00AC6B32"/>
    <w:rsid w:val="00AC6CEC"/>
    <w:rsid w:val="00AC6EAD"/>
    <w:rsid w:val="00AC7C73"/>
    <w:rsid w:val="00AD0375"/>
    <w:rsid w:val="00AD1A4B"/>
    <w:rsid w:val="00AD26BD"/>
    <w:rsid w:val="00AD37AA"/>
    <w:rsid w:val="00AD3A05"/>
    <w:rsid w:val="00AD3AEF"/>
    <w:rsid w:val="00AD3E0E"/>
    <w:rsid w:val="00AD50F5"/>
    <w:rsid w:val="00AD554D"/>
    <w:rsid w:val="00AD59DD"/>
    <w:rsid w:val="00AD6676"/>
    <w:rsid w:val="00AD67B3"/>
    <w:rsid w:val="00AD68C8"/>
    <w:rsid w:val="00AD6C4D"/>
    <w:rsid w:val="00AE0021"/>
    <w:rsid w:val="00AE0E2E"/>
    <w:rsid w:val="00AE1841"/>
    <w:rsid w:val="00AE1883"/>
    <w:rsid w:val="00AE2231"/>
    <w:rsid w:val="00AE2348"/>
    <w:rsid w:val="00AE24DA"/>
    <w:rsid w:val="00AE25A2"/>
    <w:rsid w:val="00AE283B"/>
    <w:rsid w:val="00AE3E0B"/>
    <w:rsid w:val="00AE4C8C"/>
    <w:rsid w:val="00AE5231"/>
    <w:rsid w:val="00AE588D"/>
    <w:rsid w:val="00AE5D50"/>
    <w:rsid w:val="00AE624F"/>
    <w:rsid w:val="00AE63E4"/>
    <w:rsid w:val="00AE7A44"/>
    <w:rsid w:val="00AE7B48"/>
    <w:rsid w:val="00AF007F"/>
    <w:rsid w:val="00AF1536"/>
    <w:rsid w:val="00AF1A4C"/>
    <w:rsid w:val="00AF2B90"/>
    <w:rsid w:val="00AF4A9F"/>
    <w:rsid w:val="00AF4BC0"/>
    <w:rsid w:val="00AF4CF2"/>
    <w:rsid w:val="00AF4F99"/>
    <w:rsid w:val="00AF501B"/>
    <w:rsid w:val="00AF56ED"/>
    <w:rsid w:val="00AF62F4"/>
    <w:rsid w:val="00AF6473"/>
    <w:rsid w:val="00AF7CBB"/>
    <w:rsid w:val="00AF7F4D"/>
    <w:rsid w:val="00B00065"/>
    <w:rsid w:val="00B0031C"/>
    <w:rsid w:val="00B01DF9"/>
    <w:rsid w:val="00B01EDB"/>
    <w:rsid w:val="00B028FA"/>
    <w:rsid w:val="00B03C25"/>
    <w:rsid w:val="00B04490"/>
    <w:rsid w:val="00B044C2"/>
    <w:rsid w:val="00B0491A"/>
    <w:rsid w:val="00B05ECB"/>
    <w:rsid w:val="00B067AF"/>
    <w:rsid w:val="00B10129"/>
    <w:rsid w:val="00B1026B"/>
    <w:rsid w:val="00B10F2A"/>
    <w:rsid w:val="00B11B90"/>
    <w:rsid w:val="00B11D89"/>
    <w:rsid w:val="00B121C0"/>
    <w:rsid w:val="00B1252E"/>
    <w:rsid w:val="00B12FBB"/>
    <w:rsid w:val="00B13044"/>
    <w:rsid w:val="00B14455"/>
    <w:rsid w:val="00B14699"/>
    <w:rsid w:val="00B14D9F"/>
    <w:rsid w:val="00B14DB1"/>
    <w:rsid w:val="00B156B7"/>
    <w:rsid w:val="00B1585A"/>
    <w:rsid w:val="00B15F1B"/>
    <w:rsid w:val="00B16181"/>
    <w:rsid w:val="00B16D73"/>
    <w:rsid w:val="00B17BE7"/>
    <w:rsid w:val="00B204F6"/>
    <w:rsid w:val="00B20597"/>
    <w:rsid w:val="00B21A74"/>
    <w:rsid w:val="00B21F71"/>
    <w:rsid w:val="00B22797"/>
    <w:rsid w:val="00B22D45"/>
    <w:rsid w:val="00B232E1"/>
    <w:rsid w:val="00B238C9"/>
    <w:rsid w:val="00B248C2"/>
    <w:rsid w:val="00B248D4"/>
    <w:rsid w:val="00B24D0C"/>
    <w:rsid w:val="00B27178"/>
    <w:rsid w:val="00B2717C"/>
    <w:rsid w:val="00B27414"/>
    <w:rsid w:val="00B3092D"/>
    <w:rsid w:val="00B30A4B"/>
    <w:rsid w:val="00B30B15"/>
    <w:rsid w:val="00B31853"/>
    <w:rsid w:val="00B3191E"/>
    <w:rsid w:val="00B31E1E"/>
    <w:rsid w:val="00B32204"/>
    <w:rsid w:val="00B3282A"/>
    <w:rsid w:val="00B330B8"/>
    <w:rsid w:val="00B333E1"/>
    <w:rsid w:val="00B33DB2"/>
    <w:rsid w:val="00B33F8E"/>
    <w:rsid w:val="00B3407F"/>
    <w:rsid w:val="00B345D2"/>
    <w:rsid w:val="00B35148"/>
    <w:rsid w:val="00B3569F"/>
    <w:rsid w:val="00B35CEF"/>
    <w:rsid w:val="00B364AD"/>
    <w:rsid w:val="00B36740"/>
    <w:rsid w:val="00B3716B"/>
    <w:rsid w:val="00B37DE4"/>
    <w:rsid w:val="00B40765"/>
    <w:rsid w:val="00B40FE7"/>
    <w:rsid w:val="00B41E4B"/>
    <w:rsid w:val="00B4365F"/>
    <w:rsid w:val="00B44A73"/>
    <w:rsid w:val="00B46EFE"/>
    <w:rsid w:val="00B473B8"/>
    <w:rsid w:val="00B50EA0"/>
    <w:rsid w:val="00B5187F"/>
    <w:rsid w:val="00B52206"/>
    <w:rsid w:val="00B53D03"/>
    <w:rsid w:val="00B55359"/>
    <w:rsid w:val="00B557E1"/>
    <w:rsid w:val="00B558D1"/>
    <w:rsid w:val="00B55AF9"/>
    <w:rsid w:val="00B56207"/>
    <w:rsid w:val="00B56D7A"/>
    <w:rsid w:val="00B61369"/>
    <w:rsid w:val="00B632DD"/>
    <w:rsid w:val="00B63548"/>
    <w:rsid w:val="00B64716"/>
    <w:rsid w:val="00B649ED"/>
    <w:rsid w:val="00B64E56"/>
    <w:rsid w:val="00B64FA6"/>
    <w:rsid w:val="00B66C2B"/>
    <w:rsid w:val="00B70A6C"/>
    <w:rsid w:val="00B712BB"/>
    <w:rsid w:val="00B7175B"/>
    <w:rsid w:val="00B718C5"/>
    <w:rsid w:val="00B71ECC"/>
    <w:rsid w:val="00B72CBC"/>
    <w:rsid w:val="00B730D5"/>
    <w:rsid w:val="00B73D09"/>
    <w:rsid w:val="00B7416C"/>
    <w:rsid w:val="00B74604"/>
    <w:rsid w:val="00B757BB"/>
    <w:rsid w:val="00B75904"/>
    <w:rsid w:val="00B760E3"/>
    <w:rsid w:val="00B76FFC"/>
    <w:rsid w:val="00B7782C"/>
    <w:rsid w:val="00B77954"/>
    <w:rsid w:val="00B80280"/>
    <w:rsid w:val="00B80B44"/>
    <w:rsid w:val="00B81F41"/>
    <w:rsid w:val="00B81FED"/>
    <w:rsid w:val="00B82263"/>
    <w:rsid w:val="00B829A2"/>
    <w:rsid w:val="00B82BD0"/>
    <w:rsid w:val="00B82C93"/>
    <w:rsid w:val="00B82F8E"/>
    <w:rsid w:val="00B84396"/>
    <w:rsid w:val="00B845A2"/>
    <w:rsid w:val="00B84611"/>
    <w:rsid w:val="00B84E0E"/>
    <w:rsid w:val="00B84FB9"/>
    <w:rsid w:val="00B8507C"/>
    <w:rsid w:val="00B85493"/>
    <w:rsid w:val="00B85D6B"/>
    <w:rsid w:val="00B8726C"/>
    <w:rsid w:val="00B87793"/>
    <w:rsid w:val="00B879AD"/>
    <w:rsid w:val="00B90C7F"/>
    <w:rsid w:val="00B91324"/>
    <w:rsid w:val="00B915B7"/>
    <w:rsid w:val="00B91C34"/>
    <w:rsid w:val="00B9224A"/>
    <w:rsid w:val="00B9228D"/>
    <w:rsid w:val="00B9249D"/>
    <w:rsid w:val="00B928A6"/>
    <w:rsid w:val="00B92B28"/>
    <w:rsid w:val="00B9378D"/>
    <w:rsid w:val="00B937CE"/>
    <w:rsid w:val="00B94C5B"/>
    <w:rsid w:val="00B94C69"/>
    <w:rsid w:val="00B966D0"/>
    <w:rsid w:val="00B97E0C"/>
    <w:rsid w:val="00BA03D4"/>
    <w:rsid w:val="00BA0EF1"/>
    <w:rsid w:val="00BA29C7"/>
    <w:rsid w:val="00BA2CE6"/>
    <w:rsid w:val="00BA3BF9"/>
    <w:rsid w:val="00BA3F9C"/>
    <w:rsid w:val="00BA5422"/>
    <w:rsid w:val="00BA5C2F"/>
    <w:rsid w:val="00BA6488"/>
    <w:rsid w:val="00BA6830"/>
    <w:rsid w:val="00BA6CA3"/>
    <w:rsid w:val="00BA6E26"/>
    <w:rsid w:val="00BA74AB"/>
    <w:rsid w:val="00BA789B"/>
    <w:rsid w:val="00BA7F0D"/>
    <w:rsid w:val="00BB0786"/>
    <w:rsid w:val="00BB0EB1"/>
    <w:rsid w:val="00BB101A"/>
    <w:rsid w:val="00BB2296"/>
    <w:rsid w:val="00BB3443"/>
    <w:rsid w:val="00BB43C3"/>
    <w:rsid w:val="00BB45B4"/>
    <w:rsid w:val="00BB4D08"/>
    <w:rsid w:val="00BB53C1"/>
    <w:rsid w:val="00BB639A"/>
    <w:rsid w:val="00BB6CDC"/>
    <w:rsid w:val="00BB713F"/>
    <w:rsid w:val="00BB7179"/>
    <w:rsid w:val="00BC03DE"/>
    <w:rsid w:val="00BC2790"/>
    <w:rsid w:val="00BC3892"/>
    <w:rsid w:val="00BC4BD9"/>
    <w:rsid w:val="00BC4E9C"/>
    <w:rsid w:val="00BC58C9"/>
    <w:rsid w:val="00BC5BCB"/>
    <w:rsid w:val="00BC5F7D"/>
    <w:rsid w:val="00BC746F"/>
    <w:rsid w:val="00BD0221"/>
    <w:rsid w:val="00BD0B37"/>
    <w:rsid w:val="00BD0E48"/>
    <w:rsid w:val="00BD1225"/>
    <w:rsid w:val="00BD1CD8"/>
    <w:rsid w:val="00BD2F8E"/>
    <w:rsid w:val="00BD30D5"/>
    <w:rsid w:val="00BD3281"/>
    <w:rsid w:val="00BD538C"/>
    <w:rsid w:val="00BD59D4"/>
    <w:rsid w:val="00BD6083"/>
    <w:rsid w:val="00BD608A"/>
    <w:rsid w:val="00BD60D9"/>
    <w:rsid w:val="00BD68E0"/>
    <w:rsid w:val="00BD79ED"/>
    <w:rsid w:val="00BE04D0"/>
    <w:rsid w:val="00BE0DE5"/>
    <w:rsid w:val="00BE0F85"/>
    <w:rsid w:val="00BE16CE"/>
    <w:rsid w:val="00BE1D2C"/>
    <w:rsid w:val="00BE1F84"/>
    <w:rsid w:val="00BE270B"/>
    <w:rsid w:val="00BE4A5B"/>
    <w:rsid w:val="00BE5B39"/>
    <w:rsid w:val="00BE6456"/>
    <w:rsid w:val="00BE6784"/>
    <w:rsid w:val="00BE7CF6"/>
    <w:rsid w:val="00BF26D7"/>
    <w:rsid w:val="00BF3228"/>
    <w:rsid w:val="00BF3260"/>
    <w:rsid w:val="00BF3B1C"/>
    <w:rsid w:val="00BF4BDF"/>
    <w:rsid w:val="00BF7B0F"/>
    <w:rsid w:val="00C00816"/>
    <w:rsid w:val="00C014BE"/>
    <w:rsid w:val="00C014D1"/>
    <w:rsid w:val="00C01702"/>
    <w:rsid w:val="00C0174D"/>
    <w:rsid w:val="00C0190A"/>
    <w:rsid w:val="00C01ABD"/>
    <w:rsid w:val="00C021A4"/>
    <w:rsid w:val="00C0335F"/>
    <w:rsid w:val="00C03999"/>
    <w:rsid w:val="00C04E1F"/>
    <w:rsid w:val="00C05505"/>
    <w:rsid w:val="00C05E35"/>
    <w:rsid w:val="00C06A89"/>
    <w:rsid w:val="00C06CFB"/>
    <w:rsid w:val="00C07044"/>
    <w:rsid w:val="00C10121"/>
    <w:rsid w:val="00C101A6"/>
    <w:rsid w:val="00C112EE"/>
    <w:rsid w:val="00C11313"/>
    <w:rsid w:val="00C11FA6"/>
    <w:rsid w:val="00C121EC"/>
    <w:rsid w:val="00C126AC"/>
    <w:rsid w:val="00C129A2"/>
    <w:rsid w:val="00C12D8D"/>
    <w:rsid w:val="00C14070"/>
    <w:rsid w:val="00C147DD"/>
    <w:rsid w:val="00C149B9"/>
    <w:rsid w:val="00C1548D"/>
    <w:rsid w:val="00C166FB"/>
    <w:rsid w:val="00C167EF"/>
    <w:rsid w:val="00C16869"/>
    <w:rsid w:val="00C16F23"/>
    <w:rsid w:val="00C17337"/>
    <w:rsid w:val="00C20444"/>
    <w:rsid w:val="00C20EBB"/>
    <w:rsid w:val="00C21065"/>
    <w:rsid w:val="00C21185"/>
    <w:rsid w:val="00C21EBC"/>
    <w:rsid w:val="00C2206E"/>
    <w:rsid w:val="00C22477"/>
    <w:rsid w:val="00C22C1A"/>
    <w:rsid w:val="00C22C27"/>
    <w:rsid w:val="00C234D3"/>
    <w:rsid w:val="00C23C53"/>
    <w:rsid w:val="00C24157"/>
    <w:rsid w:val="00C241C7"/>
    <w:rsid w:val="00C2526D"/>
    <w:rsid w:val="00C25332"/>
    <w:rsid w:val="00C2543D"/>
    <w:rsid w:val="00C26316"/>
    <w:rsid w:val="00C266D1"/>
    <w:rsid w:val="00C26F54"/>
    <w:rsid w:val="00C27B3B"/>
    <w:rsid w:val="00C31B96"/>
    <w:rsid w:val="00C32BB7"/>
    <w:rsid w:val="00C33E4C"/>
    <w:rsid w:val="00C3487F"/>
    <w:rsid w:val="00C34FAA"/>
    <w:rsid w:val="00C35245"/>
    <w:rsid w:val="00C35655"/>
    <w:rsid w:val="00C357DB"/>
    <w:rsid w:val="00C37A26"/>
    <w:rsid w:val="00C41C76"/>
    <w:rsid w:val="00C41D75"/>
    <w:rsid w:val="00C4221D"/>
    <w:rsid w:val="00C426EF"/>
    <w:rsid w:val="00C427EA"/>
    <w:rsid w:val="00C4297A"/>
    <w:rsid w:val="00C42DC0"/>
    <w:rsid w:val="00C432D2"/>
    <w:rsid w:val="00C43980"/>
    <w:rsid w:val="00C43A62"/>
    <w:rsid w:val="00C44A54"/>
    <w:rsid w:val="00C44B2A"/>
    <w:rsid w:val="00C44EDC"/>
    <w:rsid w:val="00C4526C"/>
    <w:rsid w:val="00C46FB0"/>
    <w:rsid w:val="00C47DE7"/>
    <w:rsid w:val="00C5095B"/>
    <w:rsid w:val="00C50AF2"/>
    <w:rsid w:val="00C51006"/>
    <w:rsid w:val="00C51494"/>
    <w:rsid w:val="00C51B9A"/>
    <w:rsid w:val="00C520E6"/>
    <w:rsid w:val="00C521ED"/>
    <w:rsid w:val="00C522F3"/>
    <w:rsid w:val="00C536ED"/>
    <w:rsid w:val="00C539DD"/>
    <w:rsid w:val="00C541F9"/>
    <w:rsid w:val="00C543EE"/>
    <w:rsid w:val="00C543F3"/>
    <w:rsid w:val="00C55D19"/>
    <w:rsid w:val="00C56429"/>
    <w:rsid w:val="00C5693C"/>
    <w:rsid w:val="00C5783C"/>
    <w:rsid w:val="00C602AF"/>
    <w:rsid w:val="00C63703"/>
    <w:rsid w:val="00C63DF9"/>
    <w:rsid w:val="00C647A6"/>
    <w:rsid w:val="00C64C37"/>
    <w:rsid w:val="00C6519B"/>
    <w:rsid w:val="00C655BE"/>
    <w:rsid w:val="00C65D0E"/>
    <w:rsid w:val="00C66156"/>
    <w:rsid w:val="00C666CD"/>
    <w:rsid w:val="00C67684"/>
    <w:rsid w:val="00C679A1"/>
    <w:rsid w:val="00C67EB8"/>
    <w:rsid w:val="00C67F18"/>
    <w:rsid w:val="00C7080B"/>
    <w:rsid w:val="00C70F8D"/>
    <w:rsid w:val="00C72031"/>
    <w:rsid w:val="00C725A3"/>
    <w:rsid w:val="00C7270D"/>
    <w:rsid w:val="00C72C20"/>
    <w:rsid w:val="00C730F9"/>
    <w:rsid w:val="00C74557"/>
    <w:rsid w:val="00C75B0A"/>
    <w:rsid w:val="00C75D10"/>
    <w:rsid w:val="00C76834"/>
    <w:rsid w:val="00C76FEB"/>
    <w:rsid w:val="00C8000E"/>
    <w:rsid w:val="00C8093C"/>
    <w:rsid w:val="00C80A8B"/>
    <w:rsid w:val="00C8118D"/>
    <w:rsid w:val="00C82108"/>
    <w:rsid w:val="00C8314F"/>
    <w:rsid w:val="00C8376F"/>
    <w:rsid w:val="00C83C87"/>
    <w:rsid w:val="00C8449B"/>
    <w:rsid w:val="00C8642F"/>
    <w:rsid w:val="00C86596"/>
    <w:rsid w:val="00C876E4"/>
    <w:rsid w:val="00C87CDF"/>
    <w:rsid w:val="00C90044"/>
    <w:rsid w:val="00C90B07"/>
    <w:rsid w:val="00C90F33"/>
    <w:rsid w:val="00C9124D"/>
    <w:rsid w:val="00C9228D"/>
    <w:rsid w:val="00C924DE"/>
    <w:rsid w:val="00C92A40"/>
    <w:rsid w:val="00C92A53"/>
    <w:rsid w:val="00C92B48"/>
    <w:rsid w:val="00C960EB"/>
    <w:rsid w:val="00C964D5"/>
    <w:rsid w:val="00C971CB"/>
    <w:rsid w:val="00CA213B"/>
    <w:rsid w:val="00CA2D27"/>
    <w:rsid w:val="00CA42C9"/>
    <w:rsid w:val="00CA4458"/>
    <w:rsid w:val="00CA4800"/>
    <w:rsid w:val="00CA48E7"/>
    <w:rsid w:val="00CA4EF5"/>
    <w:rsid w:val="00CA51B9"/>
    <w:rsid w:val="00CA5B37"/>
    <w:rsid w:val="00CA5B85"/>
    <w:rsid w:val="00CB0BC4"/>
    <w:rsid w:val="00CB1407"/>
    <w:rsid w:val="00CB2195"/>
    <w:rsid w:val="00CB2EAC"/>
    <w:rsid w:val="00CB3118"/>
    <w:rsid w:val="00CB3617"/>
    <w:rsid w:val="00CB3A12"/>
    <w:rsid w:val="00CB3D7A"/>
    <w:rsid w:val="00CB44DA"/>
    <w:rsid w:val="00CB495D"/>
    <w:rsid w:val="00CB4C82"/>
    <w:rsid w:val="00CB5035"/>
    <w:rsid w:val="00CB512B"/>
    <w:rsid w:val="00CB52B2"/>
    <w:rsid w:val="00CB5359"/>
    <w:rsid w:val="00CB55F0"/>
    <w:rsid w:val="00CB6192"/>
    <w:rsid w:val="00CB68D8"/>
    <w:rsid w:val="00CB7DD3"/>
    <w:rsid w:val="00CC0967"/>
    <w:rsid w:val="00CC0ACB"/>
    <w:rsid w:val="00CC0CDD"/>
    <w:rsid w:val="00CC17A3"/>
    <w:rsid w:val="00CC1FF4"/>
    <w:rsid w:val="00CC2777"/>
    <w:rsid w:val="00CC30B6"/>
    <w:rsid w:val="00CC4280"/>
    <w:rsid w:val="00CC552B"/>
    <w:rsid w:val="00CC642C"/>
    <w:rsid w:val="00CC65DB"/>
    <w:rsid w:val="00CC6931"/>
    <w:rsid w:val="00CC6AD5"/>
    <w:rsid w:val="00CC71B4"/>
    <w:rsid w:val="00CC7727"/>
    <w:rsid w:val="00CD00A5"/>
    <w:rsid w:val="00CD00EF"/>
    <w:rsid w:val="00CD1331"/>
    <w:rsid w:val="00CD16A3"/>
    <w:rsid w:val="00CD2D67"/>
    <w:rsid w:val="00CD31D8"/>
    <w:rsid w:val="00CD3DBB"/>
    <w:rsid w:val="00CD455C"/>
    <w:rsid w:val="00CD4E3E"/>
    <w:rsid w:val="00CD5373"/>
    <w:rsid w:val="00CD57CE"/>
    <w:rsid w:val="00CD5C53"/>
    <w:rsid w:val="00CD6005"/>
    <w:rsid w:val="00CD603B"/>
    <w:rsid w:val="00CD6131"/>
    <w:rsid w:val="00CD65CC"/>
    <w:rsid w:val="00CD686F"/>
    <w:rsid w:val="00CD6B27"/>
    <w:rsid w:val="00CD6B44"/>
    <w:rsid w:val="00CD6C7A"/>
    <w:rsid w:val="00CD728A"/>
    <w:rsid w:val="00CD75FB"/>
    <w:rsid w:val="00CE02DE"/>
    <w:rsid w:val="00CE1295"/>
    <w:rsid w:val="00CE1838"/>
    <w:rsid w:val="00CE1A55"/>
    <w:rsid w:val="00CE33C6"/>
    <w:rsid w:val="00CE3862"/>
    <w:rsid w:val="00CE393F"/>
    <w:rsid w:val="00CE41E1"/>
    <w:rsid w:val="00CE47CA"/>
    <w:rsid w:val="00CE5294"/>
    <w:rsid w:val="00CE5E7A"/>
    <w:rsid w:val="00CE6071"/>
    <w:rsid w:val="00CE7253"/>
    <w:rsid w:val="00CE7B00"/>
    <w:rsid w:val="00CE7D13"/>
    <w:rsid w:val="00CF0B5D"/>
    <w:rsid w:val="00CF2621"/>
    <w:rsid w:val="00CF2EA3"/>
    <w:rsid w:val="00CF2ED6"/>
    <w:rsid w:val="00CF31D7"/>
    <w:rsid w:val="00CF3926"/>
    <w:rsid w:val="00CF395B"/>
    <w:rsid w:val="00CF3DF7"/>
    <w:rsid w:val="00CF5476"/>
    <w:rsid w:val="00CF5A08"/>
    <w:rsid w:val="00CF5FCD"/>
    <w:rsid w:val="00CF6C04"/>
    <w:rsid w:val="00CF7883"/>
    <w:rsid w:val="00CF7F9F"/>
    <w:rsid w:val="00D0085C"/>
    <w:rsid w:val="00D00BA8"/>
    <w:rsid w:val="00D00DCF"/>
    <w:rsid w:val="00D0139A"/>
    <w:rsid w:val="00D01AB1"/>
    <w:rsid w:val="00D02201"/>
    <w:rsid w:val="00D02643"/>
    <w:rsid w:val="00D03E5E"/>
    <w:rsid w:val="00D04DA6"/>
    <w:rsid w:val="00D05B8C"/>
    <w:rsid w:val="00D06725"/>
    <w:rsid w:val="00D071F2"/>
    <w:rsid w:val="00D073F9"/>
    <w:rsid w:val="00D07857"/>
    <w:rsid w:val="00D10337"/>
    <w:rsid w:val="00D10859"/>
    <w:rsid w:val="00D10EC5"/>
    <w:rsid w:val="00D11784"/>
    <w:rsid w:val="00D1221F"/>
    <w:rsid w:val="00D126B1"/>
    <w:rsid w:val="00D13B4B"/>
    <w:rsid w:val="00D160D4"/>
    <w:rsid w:val="00D161D3"/>
    <w:rsid w:val="00D1654C"/>
    <w:rsid w:val="00D1657E"/>
    <w:rsid w:val="00D16E24"/>
    <w:rsid w:val="00D2013B"/>
    <w:rsid w:val="00D207F5"/>
    <w:rsid w:val="00D20DE3"/>
    <w:rsid w:val="00D21072"/>
    <w:rsid w:val="00D21526"/>
    <w:rsid w:val="00D2153B"/>
    <w:rsid w:val="00D21691"/>
    <w:rsid w:val="00D2187E"/>
    <w:rsid w:val="00D21CB4"/>
    <w:rsid w:val="00D21F51"/>
    <w:rsid w:val="00D226A5"/>
    <w:rsid w:val="00D22BCC"/>
    <w:rsid w:val="00D25722"/>
    <w:rsid w:val="00D25868"/>
    <w:rsid w:val="00D25AD0"/>
    <w:rsid w:val="00D25B75"/>
    <w:rsid w:val="00D25E2A"/>
    <w:rsid w:val="00D25EBB"/>
    <w:rsid w:val="00D26B05"/>
    <w:rsid w:val="00D26BE3"/>
    <w:rsid w:val="00D26FC1"/>
    <w:rsid w:val="00D27A2D"/>
    <w:rsid w:val="00D31956"/>
    <w:rsid w:val="00D31B91"/>
    <w:rsid w:val="00D32B06"/>
    <w:rsid w:val="00D32D41"/>
    <w:rsid w:val="00D335DA"/>
    <w:rsid w:val="00D33766"/>
    <w:rsid w:val="00D33996"/>
    <w:rsid w:val="00D34711"/>
    <w:rsid w:val="00D34779"/>
    <w:rsid w:val="00D35050"/>
    <w:rsid w:val="00D352DB"/>
    <w:rsid w:val="00D3534A"/>
    <w:rsid w:val="00D35B32"/>
    <w:rsid w:val="00D36556"/>
    <w:rsid w:val="00D36B7F"/>
    <w:rsid w:val="00D36C82"/>
    <w:rsid w:val="00D372E1"/>
    <w:rsid w:val="00D40100"/>
    <w:rsid w:val="00D40C39"/>
    <w:rsid w:val="00D41F92"/>
    <w:rsid w:val="00D429F0"/>
    <w:rsid w:val="00D42C8C"/>
    <w:rsid w:val="00D45057"/>
    <w:rsid w:val="00D45BC1"/>
    <w:rsid w:val="00D45EFC"/>
    <w:rsid w:val="00D4654F"/>
    <w:rsid w:val="00D467EF"/>
    <w:rsid w:val="00D5043A"/>
    <w:rsid w:val="00D51B97"/>
    <w:rsid w:val="00D523B3"/>
    <w:rsid w:val="00D52DA8"/>
    <w:rsid w:val="00D54942"/>
    <w:rsid w:val="00D54F7E"/>
    <w:rsid w:val="00D55194"/>
    <w:rsid w:val="00D55DA1"/>
    <w:rsid w:val="00D55E24"/>
    <w:rsid w:val="00D56336"/>
    <w:rsid w:val="00D56FAE"/>
    <w:rsid w:val="00D5718E"/>
    <w:rsid w:val="00D5771F"/>
    <w:rsid w:val="00D577B2"/>
    <w:rsid w:val="00D604ED"/>
    <w:rsid w:val="00D60F10"/>
    <w:rsid w:val="00D62BF4"/>
    <w:rsid w:val="00D634FD"/>
    <w:rsid w:val="00D64314"/>
    <w:rsid w:val="00D64567"/>
    <w:rsid w:val="00D646D8"/>
    <w:rsid w:val="00D659FA"/>
    <w:rsid w:val="00D65D3B"/>
    <w:rsid w:val="00D665F6"/>
    <w:rsid w:val="00D67EBE"/>
    <w:rsid w:val="00D7039D"/>
    <w:rsid w:val="00D704B0"/>
    <w:rsid w:val="00D7100F"/>
    <w:rsid w:val="00D7161A"/>
    <w:rsid w:val="00D72EF0"/>
    <w:rsid w:val="00D73215"/>
    <w:rsid w:val="00D744BC"/>
    <w:rsid w:val="00D74D73"/>
    <w:rsid w:val="00D75C55"/>
    <w:rsid w:val="00D76B29"/>
    <w:rsid w:val="00D76D98"/>
    <w:rsid w:val="00D77AFA"/>
    <w:rsid w:val="00D77FB1"/>
    <w:rsid w:val="00D8046D"/>
    <w:rsid w:val="00D80A35"/>
    <w:rsid w:val="00D81ADE"/>
    <w:rsid w:val="00D81D7C"/>
    <w:rsid w:val="00D821D2"/>
    <w:rsid w:val="00D83CCD"/>
    <w:rsid w:val="00D83D28"/>
    <w:rsid w:val="00D83E8F"/>
    <w:rsid w:val="00D83FF1"/>
    <w:rsid w:val="00D8402D"/>
    <w:rsid w:val="00D84F9E"/>
    <w:rsid w:val="00D870A5"/>
    <w:rsid w:val="00D87136"/>
    <w:rsid w:val="00D907F5"/>
    <w:rsid w:val="00D917FD"/>
    <w:rsid w:val="00D9264F"/>
    <w:rsid w:val="00D92F8A"/>
    <w:rsid w:val="00D93379"/>
    <w:rsid w:val="00D969D1"/>
    <w:rsid w:val="00DA0302"/>
    <w:rsid w:val="00DA0369"/>
    <w:rsid w:val="00DA0496"/>
    <w:rsid w:val="00DA07DE"/>
    <w:rsid w:val="00DA0BED"/>
    <w:rsid w:val="00DA0C88"/>
    <w:rsid w:val="00DA1E08"/>
    <w:rsid w:val="00DA2047"/>
    <w:rsid w:val="00DA26AA"/>
    <w:rsid w:val="00DA326C"/>
    <w:rsid w:val="00DA36FD"/>
    <w:rsid w:val="00DA3EC7"/>
    <w:rsid w:val="00DA5430"/>
    <w:rsid w:val="00DA5854"/>
    <w:rsid w:val="00DA62D6"/>
    <w:rsid w:val="00DA64AB"/>
    <w:rsid w:val="00DA675A"/>
    <w:rsid w:val="00DA6C90"/>
    <w:rsid w:val="00DA73A2"/>
    <w:rsid w:val="00DA7DCC"/>
    <w:rsid w:val="00DB0865"/>
    <w:rsid w:val="00DB119D"/>
    <w:rsid w:val="00DB1B65"/>
    <w:rsid w:val="00DB1CDB"/>
    <w:rsid w:val="00DB2DF4"/>
    <w:rsid w:val="00DB480F"/>
    <w:rsid w:val="00DB4D7C"/>
    <w:rsid w:val="00DB5213"/>
    <w:rsid w:val="00DB5749"/>
    <w:rsid w:val="00DB5BB9"/>
    <w:rsid w:val="00DB6038"/>
    <w:rsid w:val="00DB60AF"/>
    <w:rsid w:val="00DB64AD"/>
    <w:rsid w:val="00DB6BD9"/>
    <w:rsid w:val="00DB6C95"/>
    <w:rsid w:val="00DB6C9F"/>
    <w:rsid w:val="00DB7AD6"/>
    <w:rsid w:val="00DB7B8B"/>
    <w:rsid w:val="00DB7D39"/>
    <w:rsid w:val="00DC157B"/>
    <w:rsid w:val="00DC1C6F"/>
    <w:rsid w:val="00DC287C"/>
    <w:rsid w:val="00DC2B68"/>
    <w:rsid w:val="00DC34D4"/>
    <w:rsid w:val="00DC3674"/>
    <w:rsid w:val="00DC5581"/>
    <w:rsid w:val="00DC674C"/>
    <w:rsid w:val="00DC71E3"/>
    <w:rsid w:val="00DC7452"/>
    <w:rsid w:val="00DC7C1D"/>
    <w:rsid w:val="00DD05FF"/>
    <w:rsid w:val="00DD06EF"/>
    <w:rsid w:val="00DD0B9D"/>
    <w:rsid w:val="00DD0D00"/>
    <w:rsid w:val="00DD0DCA"/>
    <w:rsid w:val="00DD2CAD"/>
    <w:rsid w:val="00DD2CE7"/>
    <w:rsid w:val="00DD3370"/>
    <w:rsid w:val="00DD376D"/>
    <w:rsid w:val="00DD4286"/>
    <w:rsid w:val="00DD4383"/>
    <w:rsid w:val="00DD43B9"/>
    <w:rsid w:val="00DD4F6F"/>
    <w:rsid w:val="00DD6B1B"/>
    <w:rsid w:val="00DD7853"/>
    <w:rsid w:val="00DE1399"/>
    <w:rsid w:val="00DE1CDF"/>
    <w:rsid w:val="00DE1EBB"/>
    <w:rsid w:val="00DE2F78"/>
    <w:rsid w:val="00DE2FA9"/>
    <w:rsid w:val="00DE35EE"/>
    <w:rsid w:val="00DE39C4"/>
    <w:rsid w:val="00DE3C25"/>
    <w:rsid w:val="00DE3CF2"/>
    <w:rsid w:val="00DE419F"/>
    <w:rsid w:val="00DE44F7"/>
    <w:rsid w:val="00DE462E"/>
    <w:rsid w:val="00DE5652"/>
    <w:rsid w:val="00DE66F2"/>
    <w:rsid w:val="00DF0D48"/>
    <w:rsid w:val="00DF18FB"/>
    <w:rsid w:val="00DF1FD2"/>
    <w:rsid w:val="00DF2C55"/>
    <w:rsid w:val="00DF3D68"/>
    <w:rsid w:val="00DF4C1E"/>
    <w:rsid w:val="00DF5151"/>
    <w:rsid w:val="00DF5373"/>
    <w:rsid w:val="00DF5833"/>
    <w:rsid w:val="00DF5BE1"/>
    <w:rsid w:val="00DF64FF"/>
    <w:rsid w:val="00E00F29"/>
    <w:rsid w:val="00E01129"/>
    <w:rsid w:val="00E0119C"/>
    <w:rsid w:val="00E01201"/>
    <w:rsid w:val="00E01C52"/>
    <w:rsid w:val="00E024A7"/>
    <w:rsid w:val="00E02E63"/>
    <w:rsid w:val="00E05F28"/>
    <w:rsid w:val="00E06D35"/>
    <w:rsid w:val="00E07F5E"/>
    <w:rsid w:val="00E1018C"/>
    <w:rsid w:val="00E118CC"/>
    <w:rsid w:val="00E12149"/>
    <w:rsid w:val="00E132AD"/>
    <w:rsid w:val="00E13809"/>
    <w:rsid w:val="00E1431C"/>
    <w:rsid w:val="00E14521"/>
    <w:rsid w:val="00E14850"/>
    <w:rsid w:val="00E171E9"/>
    <w:rsid w:val="00E171F6"/>
    <w:rsid w:val="00E20BCE"/>
    <w:rsid w:val="00E20F38"/>
    <w:rsid w:val="00E2104A"/>
    <w:rsid w:val="00E22CE6"/>
    <w:rsid w:val="00E233DE"/>
    <w:rsid w:val="00E2443B"/>
    <w:rsid w:val="00E24552"/>
    <w:rsid w:val="00E2487A"/>
    <w:rsid w:val="00E25255"/>
    <w:rsid w:val="00E252B2"/>
    <w:rsid w:val="00E25481"/>
    <w:rsid w:val="00E25483"/>
    <w:rsid w:val="00E256F5"/>
    <w:rsid w:val="00E259B8"/>
    <w:rsid w:val="00E261EE"/>
    <w:rsid w:val="00E27141"/>
    <w:rsid w:val="00E27F67"/>
    <w:rsid w:val="00E316DD"/>
    <w:rsid w:val="00E318EE"/>
    <w:rsid w:val="00E3316D"/>
    <w:rsid w:val="00E34772"/>
    <w:rsid w:val="00E36A5F"/>
    <w:rsid w:val="00E404D3"/>
    <w:rsid w:val="00E410BA"/>
    <w:rsid w:val="00E4118B"/>
    <w:rsid w:val="00E41762"/>
    <w:rsid w:val="00E41A8B"/>
    <w:rsid w:val="00E42601"/>
    <w:rsid w:val="00E45359"/>
    <w:rsid w:val="00E45626"/>
    <w:rsid w:val="00E45EEA"/>
    <w:rsid w:val="00E4631A"/>
    <w:rsid w:val="00E46AEE"/>
    <w:rsid w:val="00E46C04"/>
    <w:rsid w:val="00E4769F"/>
    <w:rsid w:val="00E47A93"/>
    <w:rsid w:val="00E50C5D"/>
    <w:rsid w:val="00E50EBA"/>
    <w:rsid w:val="00E51114"/>
    <w:rsid w:val="00E512ED"/>
    <w:rsid w:val="00E51558"/>
    <w:rsid w:val="00E51595"/>
    <w:rsid w:val="00E534C8"/>
    <w:rsid w:val="00E541A0"/>
    <w:rsid w:val="00E56602"/>
    <w:rsid w:val="00E56D48"/>
    <w:rsid w:val="00E5799C"/>
    <w:rsid w:val="00E60F41"/>
    <w:rsid w:val="00E61104"/>
    <w:rsid w:val="00E61F35"/>
    <w:rsid w:val="00E61FB6"/>
    <w:rsid w:val="00E62B88"/>
    <w:rsid w:val="00E6329E"/>
    <w:rsid w:val="00E63861"/>
    <w:rsid w:val="00E63881"/>
    <w:rsid w:val="00E6464E"/>
    <w:rsid w:val="00E6512C"/>
    <w:rsid w:val="00E663B5"/>
    <w:rsid w:val="00E66EE1"/>
    <w:rsid w:val="00E675A2"/>
    <w:rsid w:val="00E67E41"/>
    <w:rsid w:val="00E70007"/>
    <w:rsid w:val="00E70552"/>
    <w:rsid w:val="00E70838"/>
    <w:rsid w:val="00E7161A"/>
    <w:rsid w:val="00E71681"/>
    <w:rsid w:val="00E71AE5"/>
    <w:rsid w:val="00E72586"/>
    <w:rsid w:val="00E72682"/>
    <w:rsid w:val="00E734C9"/>
    <w:rsid w:val="00E73D82"/>
    <w:rsid w:val="00E73FD9"/>
    <w:rsid w:val="00E801B6"/>
    <w:rsid w:val="00E80CF8"/>
    <w:rsid w:val="00E816C9"/>
    <w:rsid w:val="00E817DA"/>
    <w:rsid w:val="00E81A1D"/>
    <w:rsid w:val="00E81D4B"/>
    <w:rsid w:val="00E82779"/>
    <w:rsid w:val="00E83271"/>
    <w:rsid w:val="00E83AEE"/>
    <w:rsid w:val="00E84406"/>
    <w:rsid w:val="00E8473D"/>
    <w:rsid w:val="00E8484E"/>
    <w:rsid w:val="00E849E3"/>
    <w:rsid w:val="00E84A78"/>
    <w:rsid w:val="00E86053"/>
    <w:rsid w:val="00E86097"/>
    <w:rsid w:val="00E86566"/>
    <w:rsid w:val="00E867CC"/>
    <w:rsid w:val="00E86987"/>
    <w:rsid w:val="00E86E65"/>
    <w:rsid w:val="00E87129"/>
    <w:rsid w:val="00E87130"/>
    <w:rsid w:val="00E904F2"/>
    <w:rsid w:val="00E91E70"/>
    <w:rsid w:val="00E91EBC"/>
    <w:rsid w:val="00E926FD"/>
    <w:rsid w:val="00E92D94"/>
    <w:rsid w:val="00E9398B"/>
    <w:rsid w:val="00E93AA4"/>
    <w:rsid w:val="00E942B7"/>
    <w:rsid w:val="00E94F81"/>
    <w:rsid w:val="00E952F3"/>
    <w:rsid w:val="00E95A72"/>
    <w:rsid w:val="00E95A93"/>
    <w:rsid w:val="00E965B8"/>
    <w:rsid w:val="00E96746"/>
    <w:rsid w:val="00E9698C"/>
    <w:rsid w:val="00E975FC"/>
    <w:rsid w:val="00EA02C5"/>
    <w:rsid w:val="00EA06C2"/>
    <w:rsid w:val="00EA0800"/>
    <w:rsid w:val="00EA0B57"/>
    <w:rsid w:val="00EA1072"/>
    <w:rsid w:val="00EA2AE8"/>
    <w:rsid w:val="00EA415F"/>
    <w:rsid w:val="00EA46E3"/>
    <w:rsid w:val="00EA4999"/>
    <w:rsid w:val="00EA513C"/>
    <w:rsid w:val="00EA576B"/>
    <w:rsid w:val="00EA5D05"/>
    <w:rsid w:val="00EA7670"/>
    <w:rsid w:val="00EB083C"/>
    <w:rsid w:val="00EB20D2"/>
    <w:rsid w:val="00EB2305"/>
    <w:rsid w:val="00EB3DE4"/>
    <w:rsid w:val="00EB4580"/>
    <w:rsid w:val="00EB4DDB"/>
    <w:rsid w:val="00EB6C2E"/>
    <w:rsid w:val="00EB79C7"/>
    <w:rsid w:val="00EB7E92"/>
    <w:rsid w:val="00EC09D7"/>
    <w:rsid w:val="00EC0A46"/>
    <w:rsid w:val="00EC1EEF"/>
    <w:rsid w:val="00EC220B"/>
    <w:rsid w:val="00EC27C1"/>
    <w:rsid w:val="00EC287D"/>
    <w:rsid w:val="00EC36C5"/>
    <w:rsid w:val="00EC3BF9"/>
    <w:rsid w:val="00EC411E"/>
    <w:rsid w:val="00EC433E"/>
    <w:rsid w:val="00EC4755"/>
    <w:rsid w:val="00EC5363"/>
    <w:rsid w:val="00EC5D20"/>
    <w:rsid w:val="00EC5DFE"/>
    <w:rsid w:val="00EC63A1"/>
    <w:rsid w:val="00EC66C4"/>
    <w:rsid w:val="00EC6D05"/>
    <w:rsid w:val="00EC6D97"/>
    <w:rsid w:val="00EC72AE"/>
    <w:rsid w:val="00EC7BA5"/>
    <w:rsid w:val="00EC7EB4"/>
    <w:rsid w:val="00ED0C88"/>
    <w:rsid w:val="00ED11CC"/>
    <w:rsid w:val="00ED1414"/>
    <w:rsid w:val="00ED19AB"/>
    <w:rsid w:val="00ED1EB8"/>
    <w:rsid w:val="00ED2D76"/>
    <w:rsid w:val="00ED3919"/>
    <w:rsid w:val="00ED438A"/>
    <w:rsid w:val="00ED43AC"/>
    <w:rsid w:val="00ED4DFA"/>
    <w:rsid w:val="00ED54F5"/>
    <w:rsid w:val="00ED5C9D"/>
    <w:rsid w:val="00ED78C1"/>
    <w:rsid w:val="00ED7A70"/>
    <w:rsid w:val="00ED7DA5"/>
    <w:rsid w:val="00EE0A05"/>
    <w:rsid w:val="00EE0E28"/>
    <w:rsid w:val="00EE145D"/>
    <w:rsid w:val="00EE5BEF"/>
    <w:rsid w:val="00EE646B"/>
    <w:rsid w:val="00EE6962"/>
    <w:rsid w:val="00EE6D18"/>
    <w:rsid w:val="00EE7234"/>
    <w:rsid w:val="00EE78F6"/>
    <w:rsid w:val="00EE7A29"/>
    <w:rsid w:val="00EF0D9F"/>
    <w:rsid w:val="00EF1053"/>
    <w:rsid w:val="00EF1ECC"/>
    <w:rsid w:val="00EF2B3F"/>
    <w:rsid w:val="00EF30BD"/>
    <w:rsid w:val="00EF3E73"/>
    <w:rsid w:val="00EF4F08"/>
    <w:rsid w:val="00EF5801"/>
    <w:rsid w:val="00EF63A9"/>
    <w:rsid w:val="00EF657C"/>
    <w:rsid w:val="00EF6DB2"/>
    <w:rsid w:val="00EF6F37"/>
    <w:rsid w:val="00F003BF"/>
    <w:rsid w:val="00F02DBA"/>
    <w:rsid w:val="00F0315C"/>
    <w:rsid w:val="00F0357C"/>
    <w:rsid w:val="00F0389C"/>
    <w:rsid w:val="00F04313"/>
    <w:rsid w:val="00F06086"/>
    <w:rsid w:val="00F0726F"/>
    <w:rsid w:val="00F07778"/>
    <w:rsid w:val="00F07B12"/>
    <w:rsid w:val="00F07D69"/>
    <w:rsid w:val="00F1034D"/>
    <w:rsid w:val="00F1079F"/>
    <w:rsid w:val="00F10C03"/>
    <w:rsid w:val="00F117ED"/>
    <w:rsid w:val="00F11876"/>
    <w:rsid w:val="00F1193D"/>
    <w:rsid w:val="00F1243F"/>
    <w:rsid w:val="00F12A31"/>
    <w:rsid w:val="00F12FEA"/>
    <w:rsid w:val="00F132B1"/>
    <w:rsid w:val="00F148C3"/>
    <w:rsid w:val="00F14E5D"/>
    <w:rsid w:val="00F15A83"/>
    <w:rsid w:val="00F15D66"/>
    <w:rsid w:val="00F15DEB"/>
    <w:rsid w:val="00F21D22"/>
    <w:rsid w:val="00F223DB"/>
    <w:rsid w:val="00F229E1"/>
    <w:rsid w:val="00F23AB2"/>
    <w:rsid w:val="00F24BC9"/>
    <w:rsid w:val="00F25A5C"/>
    <w:rsid w:val="00F27375"/>
    <w:rsid w:val="00F27CDB"/>
    <w:rsid w:val="00F30B77"/>
    <w:rsid w:val="00F31036"/>
    <w:rsid w:val="00F311E3"/>
    <w:rsid w:val="00F33F9D"/>
    <w:rsid w:val="00F34B11"/>
    <w:rsid w:val="00F35399"/>
    <w:rsid w:val="00F37298"/>
    <w:rsid w:val="00F373EB"/>
    <w:rsid w:val="00F37861"/>
    <w:rsid w:val="00F37BD3"/>
    <w:rsid w:val="00F4040B"/>
    <w:rsid w:val="00F420A1"/>
    <w:rsid w:val="00F4354F"/>
    <w:rsid w:val="00F43732"/>
    <w:rsid w:val="00F4397B"/>
    <w:rsid w:val="00F439B0"/>
    <w:rsid w:val="00F43E2A"/>
    <w:rsid w:val="00F45152"/>
    <w:rsid w:val="00F45668"/>
    <w:rsid w:val="00F45BAE"/>
    <w:rsid w:val="00F460E0"/>
    <w:rsid w:val="00F46E79"/>
    <w:rsid w:val="00F47254"/>
    <w:rsid w:val="00F47378"/>
    <w:rsid w:val="00F47579"/>
    <w:rsid w:val="00F47678"/>
    <w:rsid w:val="00F50CDA"/>
    <w:rsid w:val="00F50D4E"/>
    <w:rsid w:val="00F50E87"/>
    <w:rsid w:val="00F51956"/>
    <w:rsid w:val="00F52610"/>
    <w:rsid w:val="00F52876"/>
    <w:rsid w:val="00F52B6A"/>
    <w:rsid w:val="00F52CA0"/>
    <w:rsid w:val="00F52FA7"/>
    <w:rsid w:val="00F5316C"/>
    <w:rsid w:val="00F53389"/>
    <w:rsid w:val="00F53B61"/>
    <w:rsid w:val="00F542C1"/>
    <w:rsid w:val="00F5457A"/>
    <w:rsid w:val="00F547D0"/>
    <w:rsid w:val="00F557D6"/>
    <w:rsid w:val="00F558AF"/>
    <w:rsid w:val="00F558F7"/>
    <w:rsid w:val="00F559D8"/>
    <w:rsid w:val="00F55A60"/>
    <w:rsid w:val="00F562C6"/>
    <w:rsid w:val="00F56354"/>
    <w:rsid w:val="00F57267"/>
    <w:rsid w:val="00F57C05"/>
    <w:rsid w:val="00F57E43"/>
    <w:rsid w:val="00F610F8"/>
    <w:rsid w:val="00F61966"/>
    <w:rsid w:val="00F621E0"/>
    <w:rsid w:val="00F623EA"/>
    <w:rsid w:val="00F628A5"/>
    <w:rsid w:val="00F62992"/>
    <w:rsid w:val="00F63194"/>
    <w:rsid w:val="00F636F2"/>
    <w:rsid w:val="00F6382A"/>
    <w:rsid w:val="00F6395E"/>
    <w:rsid w:val="00F640AA"/>
    <w:rsid w:val="00F64BD2"/>
    <w:rsid w:val="00F64DCE"/>
    <w:rsid w:val="00F6516C"/>
    <w:rsid w:val="00F654ED"/>
    <w:rsid w:val="00F65F9E"/>
    <w:rsid w:val="00F6618C"/>
    <w:rsid w:val="00F66653"/>
    <w:rsid w:val="00F6725A"/>
    <w:rsid w:val="00F67A29"/>
    <w:rsid w:val="00F67DA6"/>
    <w:rsid w:val="00F702EB"/>
    <w:rsid w:val="00F70380"/>
    <w:rsid w:val="00F708ED"/>
    <w:rsid w:val="00F710D6"/>
    <w:rsid w:val="00F717E1"/>
    <w:rsid w:val="00F71D7D"/>
    <w:rsid w:val="00F72BDF"/>
    <w:rsid w:val="00F72EB3"/>
    <w:rsid w:val="00F73321"/>
    <w:rsid w:val="00F735A7"/>
    <w:rsid w:val="00F74441"/>
    <w:rsid w:val="00F745D9"/>
    <w:rsid w:val="00F75D17"/>
    <w:rsid w:val="00F76008"/>
    <w:rsid w:val="00F76BB3"/>
    <w:rsid w:val="00F76D4E"/>
    <w:rsid w:val="00F772DA"/>
    <w:rsid w:val="00F7781E"/>
    <w:rsid w:val="00F81708"/>
    <w:rsid w:val="00F81F1D"/>
    <w:rsid w:val="00F82D68"/>
    <w:rsid w:val="00F8304F"/>
    <w:rsid w:val="00F847B5"/>
    <w:rsid w:val="00F85DFD"/>
    <w:rsid w:val="00F868BC"/>
    <w:rsid w:val="00F871F5"/>
    <w:rsid w:val="00F875DE"/>
    <w:rsid w:val="00F879B1"/>
    <w:rsid w:val="00F90D95"/>
    <w:rsid w:val="00F90F9D"/>
    <w:rsid w:val="00F91054"/>
    <w:rsid w:val="00F92653"/>
    <w:rsid w:val="00F92C69"/>
    <w:rsid w:val="00F9332E"/>
    <w:rsid w:val="00F94962"/>
    <w:rsid w:val="00F9521E"/>
    <w:rsid w:val="00F95E15"/>
    <w:rsid w:val="00F961DD"/>
    <w:rsid w:val="00F97015"/>
    <w:rsid w:val="00F9746E"/>
    <w:rsid w:val="00F974A9"/>
    <w:rsid w:val="00FA03B6"/>
    <w:rsid w:val="00FA1144"/>
    <w:rsid w:val="00FA1268"/>
    <w:rsid w:val="00FA1629"/>
    <w:rsid w:val="00FA226B"/>
    <w:rsid w:val="00FA2DC5"/>
    <w:rsid w:val="00FA33D9"/>
    <w:rsid w:val="00FA3486"/>
    <w:rsid w:val="00FA36DB"/>
    <w:rsid w:val="00FA429A"/>
    <w:rsid w:val="00FA4D82"/>
    <w:rsid w:val="00FA528E"/>
    <w:rsid w:val="00FA52E7"/>
    <w:rsid w:val="00FA5ACB"/>
    <w:rsid w:val="00FA5DD2"/>
    <w:rsid w:val="00FA63FC"/>
    <w:rsid w:val="00FA70D4"/>
    <w:rsid w:val="00FB07E8"/>
    <w:rsid w:val="00FB092A"/>
    <w:rsid w:val="00FB0BC2"/>
    <w:rsid w:val="00FB2F90"/>
    <w:rsid w:val="00FB308E"/>
    <w:rsid w:val="00FB32D4"/>
    <w:rsid w:val="00FB3461"/>
    <w:rsid w:val="00FB4632"/>
    <w:rsid w:val="00FB48FD"/>
    <w:rsid w:val="00FB5CA3"/>
    <w:rsid w:val="00FC006A"/>
    <w:rsid w:val="00FC12B5"/>
    <w:rsid w:val="00FC182A"/>
    <w:rsid w:val="00FC1882"/>
    <w:rsid w:val="00FC1AD6"/>
    <w:rsid w:val="00FC1C2D"/>
    <w:rsid w:val="00FC1D73"/>
    <w:rsid w:val="00FC27E6"/>
    <w:rsid w:val="00FC2803"/>
    <w:rsid w:val="00FC2B2D"/>
    <w:rsid w:val="00FC2CDB"/>
    <w:rsid w:val="00FC3263"/>
    <w:rsid w:val="00FC3633"/>
    <w:rsid w:val="00FC3A48"/>
    <w:rsid w:val="00FC49C1"/>
    <w:rsid w:val="00FC5058"/>
    <w:rsid w:val="00FC54B8"/>
    <w:rsid w:val="00FC735E"/>
    <w:rsid w:val="00FC7F42"/>
    <w:rsid w:val="00FD0883"/>
    <w:rsid w:val="00FD0CEF"/>
    <w:rsid w:val="00FD1263"/>
    <w:rsid w:val="00FD1EA4"/>
    <w:rsid w:val="00FD273B"/>
    <w:rsid w:val="00FD2B18"/>
    <w:rsid w:val="00FD34B2"/>
    <w:rsid w:val="00FD350C"/>
    <w:rsid w:val="00FD4A4B"/>
    <w:rsid w:val="00FD4B1F"/>
    <w:rsid w:val="00FD4ED0"/>
    <w:rsid w:val="00FD5D94"/>
    <w:rsid w:val="00FD65DE"/>
    <w:rsid w:val="00FD6DF2"/>
    <w:rsid w:val="00FD7C5D"/>
    <w:rsid w:val="00FE0D70"/>
    <w:rsid w:val="00FE1A06"/>
    <w:rsid w:val="00FE2E8D"/>
    <w:rsid w:val="00FE3738"/>
    <w:rsid w:val="00FE3ACE"/>
    <w:rsid w:val="00FE3DF9"/>
    <w:rsid w:val="00FE4F1F"/>
    <w:rsid w:val="00FE513E"/>
    <w:rsid w:val="00FE531F"/>
    <w:rsid w:val="00FE5AAE"/>
    <w:rsid w:val="00FE5F67"/>
    <w:rsid w:val="00FE65F9"/>
    <w:rsid w:val="00FE7764"/>
    <w:rsid w:val="00FF047B"/>
    <w:rsid w:val="00FF0F14"/>
    <w:rsid w:val="00FF177B"/>
    <w:rsid w:val="00FF249C"/>
    <w:rsid w:val="00FF2551"/>
    <w:rsid w:val="00FF2EA1"/>
    <w:rsid w:val="00FF35F6"/>
    <w:rsid w:val="00FF5C39"/>
    <w:rsid w:val="00FF5D67"/>
    <w:rsid w:val="00FF6321"/>
    <w:rsid w:val="00FF7622"/>
    <w:rsid w:val="00FF7BB2"/>
    <w:rsid w:val="01121891"/>
    <w:rsid w:val="0118668B"/>
    <w:rsid w:val="0135774A"/>
    <w:rsid w:val="013E2FDB"/>
    <w:rsid w:val="0164104B"/>
    <w:rsid w:val="01E22EEF"/>
    <w:rsid w:val="02094019"/>
    <w:rsid w:val="020E02AA"/>
    <w:rsid w:val="02180C4F"/>
    <w:rsid w:val="021C29C7"/>
    <w:rsid w:val="02331ABF"/>
    <w:rsid w:val="024876E8"/>
    <w:rsid w:val="025A3D10"/>
    <w:rsid w:val="02820350"/>
    <w:rsid w:val="029F0F02"/>
    <w:rsid w:val="02AD7AC3"/>
    <w:rsid w:val="02D768EE"/>
    <w:rsid w:val="02E0504F"/>
    <w:rsid w:val="02E97045"/>
    <w:rsid w:val="02F2197A"/>
    <w:rsid w:val="02FB6E41"/>
    <w:rsid w:val="032C1F09"/>
    <w:rsid w:val="035A3286"/>
    <w:rsid w:val="03FB06D5"/>
    <w:rsid w:val="047A1299"/>
    <w:rsid w:val="048B07CE"/>
    <w:rsid w:val="04B33CE6"/>
    <w:rsid w:val="04D12E16"/>
    <w:rsid w:val="04EE7F1F"/>
    <w:rsid w:val="04FD01C0"/>
    <w:rsid w:val="055E0BF4"/>
    <w:rsid w:val="05AB5337"/>
    <w:rsid w:val="05AF76AE"/>
    <w:rsid w:val="05EF03F3"/>
    <w:rsid w:val="06AB62C8"/>
    <w:rsid w:val="06C73992"/>
    <w:rsid w:val="073A04FC"/>
    <w:rsid w:val="0772543B"/>
    <w:rsid w:val="077305E3"/>
    <w:rsid w:val="079F4F94"/>
    <w:rsid w:val="07C55136"/>
    <w:rsid w:val="07CD0531"/>
    <w:rsid w:val="08A82006"/>
    <w:rsid w:val="08D11764"/>
    <w:rsid w:val="08FA0F77"/>
    <w:rsid w:val="09540C99"/>
    <w:rsid w:val="096E10A3"/>
    <w:rsid w:val="09C0632E"/>
    <w:rsid w:val="09FB1114"/>
    <w:rsid w:val="0A530C57"/>
    <w:rsid w:val="0AB8072D"/>
    <w:rsid w:val="0B242CDB"/>
    <w:rsid w:val="0B2D534F"/>
    <w:rsid w:val="0B7C7155"/>
    <w:rsid w:val="0B7E6AB6"/>
    <w:rsid w:val="0BA457DB"/>
    <w:rsid w:val="0BBF6BB4"/>
    <w:rsid w:val="0BE360C6"/>
    <w:rsid w:val="0BF12592"/>
    <w:rsid w:val="0C202C96"/>
    <w:rsid w:val="0C345EBE"/>
    <w:rsid w:val="0C556F6C"/>
    <w:rsid w:val="0C595694"/>
    <w:rsid w:val="0C7809C1"/>
    <w:rsid w:val="0CA06236"/>
    <w:rsid w:val="0CA2715E"/>
    <w:rsid w:val="0CE3096D"/>
    <w:rsid w:val="0D7D2F98"/>
    <w:rsid w:val="0E0B3EC4"/>
    <w:rsid w:val="0E60486B"/>
    <w:rsid w:val="0ED111EF"/>
    <w:rsid w:val="0F183C2E"/>
    <w:rsid w:val="0F3321D7"/>
    <w:rsid w:val="0FB649E7"/>
    <w:rsid w:val="0FFF3EA0"/>
    <w:rsid w:val="10B63FE7"/>
    <w:rsid w:val="10CC3E59"/>
    <w:rsid w:val="10D4508F"/>
    <w:rsid w:val="10DA16C3"/>
    <w:rsid w:val="110A7CF6"/>
    <w:rsid w:val="113A1037"/>
    <w:rsid w:val="11402131"/>
    <w:rsid w:val="115C600E"/>
    <w:rsid w:val="11695052"/>
    <w:rsid w:val="11BD3439"/>
    <w:rsid w:val="120B0362"/>
    <w:rsid w:val="12144A4C"/>
    <w:rsid w:val="12267A65"/>
    <w:rsid w:val="12274323"/>
    <w:rsid w:val="12723533"/>
    <w:rsid w:val="12792853"/>
    <w:rsid w:val="128E38FC"/>
    <w:rsid w:val="12977C5B"/>
    <w:rsid w:val="12D13580"/>
    <w:rsid w:val="131979D7"/>
    <w:rsid w:val="13753309"/>
    <w:rsid w:val="139452E8"/>
    <w:rsid w:val="13C3253D"/>
    <w:rsid w:val="14016EC3"/>
    <w:rsid w:val="14277E33"/>
    <w:rsid w:val="14C77127"/>
    <w:rsid w:val="1517452C"/>
    <w:rsid w:val="153D308F"/>
    <w:rsid w:val="1566459D"/>
    <w:rsid w:val="156C4FA6"/>
    <w:rsid w:val="158647F4"/>
    <w:rsid w:val="15D96070"/>
    <w:rsid w:val="15F202E1"/>
    <w:rsid w:val="160216D0"/>
    <w:rsid w:val="1641787C"/>
    <w:rsid w:val="1649653A"/>
    <w:rsid w:val="16860739"/>
    <w:rsid w:val="16892446"/>
    <w:rsid w:val="16AB203A"/>
    <w:rsid w:val="1705389A"/>
    <w:rsid w:val="173931F9"/>
    <w:rsid w:val="174940E7"/>
    <w:rsid w:val="17656506"/>
    <w:rsid w:val="178D354C"/>
    <w:rsid w:val="17A66650"/>
    <w:rsid w:val="17EA48C1"/>
    <w:rsid w:val="182E0907"/>
    <w:rsid w:val="183E69BC"/>
    <w:rsid w:val="184323A2"/>
    <w:rsid w:val="18701E4F"/>
    <w:rsid w:val="1881346C"/>
    <w:rsid w:val="188F2709"/>
    <w:rsid w:val="18A0023E"/>
    <w:rsid w:val="18A349BF"/>
    <w:rsid w:val="18DE5562"/>
    <w:rsid w:val="19120228"/>
    <w:rsid w:val="19502AFF"/>
    <w:rsid w:val="19935E0F"/>
    <w:rsid w:val="19AD7F51"/>
    <w:rsid w:val="19D67B1E"/>
    <w:rsid w:val="19FA389C"/>
    <w:rsid w:val="19FB5311"/>
    <w:rsid w:val="1A0538F6"/>
    <w:rsid w:val="1AC55489"/>
    <w:rsid w:val="1AE6371B"/>
    <w:rsid w:val="1B016E5B"/>
    <w:rsid w:val="1B596093"/>
    <w:rsid w:val="1B5E62E3"/>
    <w:rsid w:val="1B8A18C6"/>
    <w:rsid w:val="1C620459"/>
    <w:rsid w:val="1C677EF8"/>
    <w:rsid w:val="1C7366B7"/>
    <w:rsid w:val="1C9B1BC8"/>
    <w:rsid w:val="1CD21D69"/>
    <w:rsid w:val="1D0264F3"/>
    <w:rsid w:val="1D130F0E"/>
    <w:rsid w:val="1D490DD6"/>
    <w:rsid w:val="1D7E4261"/>
    <w:rsid w:val="1DBA42CB"/>
    <w:rsid w:val="1DC00253"/>
    <w:rsid w:val="1E121D8C"/>
    <w:rsid w:val="1E8E78CB"/>
    <w:rsid w:val="1E915C31"/>
    <w:rsid w:val="1F1C0E6C"/>
    <w:rsid w:val="1F4D283F"/>
    <w:rsid w:val="1F68071B"/>
    <w:rsid w:val="201B2FE1"/>
    <w:rsid w:val="209E5422"/>
    <w:rsid w:val="209F6845"/>
    <w:rsid w:val="21912FA1"/>
    <w:rsid w:val="21D05464"/>
    <w:rsid w:val="2217141C"/>
    <w:rsid w:val="22301EA1"/>
    <w:rsid w:val="22385B62"/>
    <w:rsid w:val="232B3A85"/>
    <w:rsid w:val="23B819CC"/>
    <w:rsid w:val="23BB3852"/>
    <w:rsid w:val="23CA6431"/>
    <w:rsid w:val="23E62F23"/>
    <w:rsid w:val="23E67023"/>
    <w:rsid w:val="245C6B98"/>
    <w:rsid w:val="247B4A27"/>
    <w:rsid w:val="24C27484"/>
    <w:rsid w:val="24CB252C"/>
    <w:rsid w:val="250C2861"/>
    <w:rsid w:val="25205A7B"/>
    <w:rsid w:val="25D9208B"/>
    <w:rsid w:val="25F00525"/>
    <w:rsid w:val="260236E8"/>
    <w:rsid w:val="26121230"/>
    <w:rsid w:val="261F0915"/>
    <w:rsid w:val="2643079A"/>
    <w:rsid w:val="26A4014F"/>
    <w:rsid w:val="26D24959"/>
    <w:rsid w:val="27084092"/>
    <w:rsid w:val="2713017F"/>
    <w:rsid w:val="271734C0"/>
    <w:rsid w:val="272B2C33"/>
    <w:rsid w:val="27505101"/>
    <w:rsid w:val="27820BC2"/>
    <w:rsid w:val="278E1A78"/>
    <w:rsid w:val="27A72484"/>
    <w:rsid w:val="27AC1361"/>
    <w:rsid w:val="27EB002E"/>
    <w:rsid w:val="2820363B"/>
    <w:rsid w:val="289C7B0E"/>
    <w:rsid w:val="28C50E13"/>
    <w:rsid w:val="28CE1560"/>
    <w:rsid w:val="28EC1541"/>
    <w:rsid w:val="291A6927"/>
    <w:rsid w:val="29447604"/>
    <w:rsid w:val="29AC3D11"/>
    <w:rsid w:val="29BC3A9C"/>
    <w:rsid w:val="29D142F9"/>
    <w:rsid w:val="29FA2D3E"/>
    <w:rsid w:val="2A092AB2"/>
    <w:rsid w:val="2A314286"/>
    <w:rsid w:val="2A674247"/>
    <w:rsid w:val="2A68533D"/>
    <w:rsid w:val="2A7E2845"/>
    <w:rsid w:val="2A991300"/>
    <w:rsid w:val="2AAB4039"/>
    <w:rsid w:val="2AD45722"/>
    <w:rsid w:val="2AE64A3A"/>
    <w:rsid w:val="2AEE3666"/>
    <w:rsid w:val="2B240F4C"/>
    <w:rsid w:val="2B6A5CA2"/>
    <w:rsid w:val="2BCB013A"/>
    <w:rsid w:val="2BCD6D60"/>
    <w:rsid w:val="2C081775"/>
    <w:rsid w:val="2C1C5785"/>
    <w:rsid w:val="2C37731C"/>
    <w:rsid w:val="2C6941AB"/>
    <w:rsid w:val="2C982A9C"/>
    <w:rsid w:val="2CA95BF9"/>
    <w:rsid w:val="2CEC10E5"/>
    <w:rsid w:val="2CF162E8"/>
    <w:rsid w:val="2D87411D"/>
    <w:rsid w:val="2D9D1A03"/>
    <w:rsid w:val="2DF94778"/>
    <w:rsid w:val="2E0B420B"/>
    <w:rsid w:val="2E2547BF"/>
    <w:rsid w:val="2E772BB0"/>
    <w:rsid w:val="2ED20D19"/>
    <w:rsid w:val="2EEB0EA8"/>
    <w:rsid w:val="2EFF6E88"/>
    <w:rsid w:val="2F2B2677"/>
    <w:rsid w:val="2F37683A"/>
    <w:rsid w:val="2F47037C"/>
    <w:rsid w:val="2F7E7F6E"/>
    <w:rsid w:val="2F9B467C"/>
    <w:rsid w:val="30A05CC2"/>
    <w:rsid w:val="31480833"/>
    <w:rsid w:val="3157541A"/>
    <w:rsid w:val="31726266"/>
    <w:rsid w:val="31CE1D46"/>
    <w:rsid w:val="31D2634F"/>
    <w:rsid w:val="31EE26C8"/>
    <w:rsid w:val="31F14AF0"/>
    <w:rsid w:val="31FB698F"/>
    <w:rsid w:val="32124503"/>
    <w:rsid w:val="323A3E3E"/>
    <w:rsid w:val="327411B4"/>
    <w:rsid w:val="32C7765E"/>
    <w:rsid w:val="32CA2532"/>
    <w:rsid w:val="32D9029E"/>
    <w:rsid w:val="332A73EA"/>
    <w:rsid w:val="333E55A0"/>
    <w:rsid w:val="33EB3CEE"/>
    <w:rsid w:val="34AB4DE7"/>
    <w:rsid w:val="34B0337D"/>
    <w:rsid w:val="34C9605D"/>
    <w:rsid w:val="34E76882"/>
    <w:rsid w:val="350F5F0C"/>
    <w:rsid w:val="35243365"/>
    <w:rsid w:val="35AB1391"/>
    <w:rsid w:val="35CE3436"/>
    <w:rsid w:val="35F256BD"/>
    <w:rsid w:val="35FD4B22"/>
    <w:rsid w:val="3607373D"/>
    <w:rsid w:val="3627678C"/>
    <w:rsid w:val="36746E1E"/>
    <w:rsid w:val="36BE1B17"/>
    <w:rsid w:val="36F529A6"/>
    <w:rsid w:val="371A07FF"/>
    <w:rsid w:val="376161AC"/>
    <w:rsid w:val="37AE2B10"/>
    <w:rsid w:val="37F073E0"/>
    <w:rsid w:val="38003C16"/>
    <w:rsid w:val="38431C78"/>
    <w:rsid w:val="387E353F"/>
    <w:rsid w:val="38A50319"/>
    <w:rsid w:val="39517ED7"/>
    <w:rsid w:val="39534FCF"/>
    <w:rsid w:val="39D76AC2"/>
    <w:rsid w:val="3A361B71"/>
    <w:rsid w:val="3A8C23C1"/>
    <w:rsid w:val="3AA50AA5"/>
    <w:rsid w:val="3AB73588"/>
    <w:rsid w:val="3ABF338F"/>
    <w:rsid w:val="3ACD09A4"/>
    <w:rsid w:val="3AE414BC"/>
    <w:rsid w:val="3AF42E20"/>
    <w:rsid w:val="3B11419E"/>
    <w:rsid w:val="3B222B91"/>
    <w:rsid w:val="3BD40429"/>
    <w:rsid w:val="3C616C4D"/>
    <w:rsid w:val="3C6F243F"/>
    <w:rsid w:val="3C9568F7"/>
    <w:rsid w:val="3CA351E4"/>
    <w:rsid w:val="3CA56B3A"/>
    <w:rsid w:val="3CCF40AD"/>
    <w:rsid w:val="3CDF2357"/>
    <w:rsid w:val="3CFC08DE"/>
    <w:rsid w:val="3D3434D1"/>
    <w:rsid w:val="3D5D2570"/>
    <w:rsid w:val="3D7604D6"/>
    <w:rsid w:val="3DF8538F"/>
    <w:rsid w:val="3E94568C"/>
    <w:rsid w:val="3E983BC0"/>
    <w:rsid w:val="3EA572C5"/>
    <w:rsid w:val="3EEB31F8"/>
    <w:rsid w:val="3EFC0D98"/>
    <w:rsid w:val="3F004D6D"/>
    <w:rsid w:val="3F574B5F"/>
    <w:rsid w:val="3F644550"/>
    <w:rsid w:val="3FAF4720"/>
    <w:rsid w:val="3FD16FB8"/>
    <w:rsid w:val="4015565B"/>
    <w:rsid w:val="401B42B1"/>
    <w:rsid w:val="401D42A1"/>
    <w:rsid w:val="403861BE"/>
    <w:rsid w:val="40505237"/>
    <w:rsid w:val="40565757"/>
    <w:rsid w:val="408D2DF8"/>
    <w:rsid w:val="40D31FE7"/>
    <w:rsid w:val="40DD7C7A"/>
    <w:rsid w:val="415621B6"/>
    <w:rsid w:val="41650F9C"/>
    <w:rsid w:val="41BC195A"/>
    <w:rsid w:val="42004864"/>
    <w:rsid w:val="422E689A"/>
    <w:rsid w:val="424A5077"/>
    <w:rsid w:val="426C0506"/>
    <w:rsid w:val="42B63FD3"/>
    <w:rsid w:val="42D53C5B"/>
    <w:rsid w:val="42E44134"/>
    <w:rsid w:val="42EA5A96"/>
    <w:rsid w:val="431F6F1A"/>
    <w:rsid w:val="43232629"/>
    <w:rsid w:val="43863141"/>
    <w:rsid w:val="43B73360"/>
    <w:rsid w:val="43D369D4"/>
    <w:rsid w:val="43EE526A"/>
    <w:rsid w:val="445115D2"/>
    <w:rsid w:val="447173A4"/>
    <w:rsid w:val="44B624A9"/>
    <w:rsid w:val="44FF0C3E"/>
    <w:rsid w:val="45156D9D"/>
    <w:rsid w:val="456E2077"/>
    <w:rsid w:val="45886FF9"/>
    <w:rsid w:val="45B705F7"/>
    <w:rsid w:val="45D17A1D"/>
    <w:rsid w:val="46064ACA"/>
    <w:rsid w:val="460A5C60"/>
    <w:rsid w:val="46372397"/>
    <w:rsid w:val="46536F4D"/>
    <w:rsid w:val="467D28D5"/>
    <w:rsid w:val="46844AF7"/>
    <w:rsid w:val="46B12B90"/>
    <w:rsid w:val="473B0685"/>
    <w:rsid w:val="47411156"/>
    <w:rsid w:val="475C073D"/>
    <w:rsid w:val="47733101"/>
    <w:rsid w:val="477D30ED"/>
    <w:rsid w:val="477F61D9"/>
    <w:rsid w:val="478F1D61"/>
    <w:rsid w:val="47A345BE"/>
    <w:rsid w:val="47A961CD"/>
    <w:rsid w:val="47AF75A2"/>
    <w:rsid w:val="47B343B5"/>
    <w:rsid w:val="480C5B3E"/>
    <w:rsid w:val="484C656D"/>
    <w:rsid w:val="49290AF3"/>
    <w:rsid w:val="492F1990"/>
    <w:rsid w:val="49376FD1"/>
    <w:rsid w:val="497273C6"/>
    <w:rsid w:val="4A621E0C"/>
    <w:rsid w:val="4A642911"/>
    <w:rsid w:val="4BEB03BD"/>
    <w:rsid w:val="4BFE6267"/>
    <w:rsid w:val="4C051C9C"/>
    <w:rsid w:val="4C0650FC"/>
    <w:rsid w:val="4C2F48E8"/>
    <w:rsid w:val="4C3503D3"/>
    <w:rsid w:val="4CC669AF"/>
    <w:rsid w:val="4CEF16C3"/>
    <w:rsid w:val="4CF338F1"/>
    <w:rsid w:val="4D0B6B9A"/>
    <w:rsid w:val="4D465B41"/>
    <w:rsid w:val="4DB92B07"/>
    <w:rsid w:val="4E3465C6"/>
    <w:rsid w:val="4E8C2F18"/>
    <w:rsid w:val="4E902622"/>
    <w:rsid w:val="4EA973E8"/>
    <w:rsid w:val="4EAC070E"/>
    <w:rsid w:val="4EFF0E96"/>
    <w:rsid w:val="4F837F80"/>
    <w:rsid w:val="4FDB72FD"/>
    <w:rsid w:val="4FE56D34"/>
    <w:rsid w:val="50092009"/>
    <w:rsid w:val="501B3F38"/>
    <w:rsid w:val="50342257"/>
    <w:rsid w:val="50575D61"/>
    <w:rsid w:val="509C4042"/>
    <w:rsid w:val="50AE5B33"/>
    <w:rsid w:val="50C529B2"/>
    <w:rsid w:val="51185ECD"/>
    <w:rsid w:val="511E40BF"/>
    <w:rsid w:val="514D16F8"/>
    <w:rsid w:val="515F1555"/>
    <w:rsid w:val="51AE5717"/>
    <w:rsid w:val="51BC2454"/>
    <w:rsid w:val="51C25641"/>
    <w:rsid w:val="51FA302C"/>
    <w:rsid w:val="52124463"/>
    <w:rsid w:val="5224261C"/>
    <w:rsid w:val="52627DAB"/>
    <w:rsid w:val="52B86C7A"/>
    <w:rsid w:val="52E11A47"/>
    <w:rsid w:val="53287732"/>
    <w:rsid w:val="5338000B"/>
    <w:rsid w:val="536F6135"/>
    <w:rsid w:val="537A6DDA"/>
    <w:rsid w:val="53E67D0C"/>
    <w:rsid w:val="540E33C8"/>
    <w:rsid w:val="54316AAD"/>
    <w:rsid w:val="547406A5"/>
    <w:rsid w:val="54BC2A7A"/>
    <w:rsid w:val="54CA0AEC"/>
    <w:rsid w:val="55512FE3"/>
    <w:rsid w:val="55D3606E"/>
    <w:rsid w:val="56200487"/>
    <w:rsid w:val="56686DA6"/>
    <w:rsid w:val="56B2378D"/>
    <w:rsid w:val="56CA197E"/>
    <w:rsid w:val="570E1B7D"/>
    <w:rsid w:val="572B7BB5"/>
    <w:rsid w:val="573C6112"/>
    <w:rsid w:val="57411ABC"/>
    <w:rsid w:val="574949AA"/>
    <w:rsid w:val="57832294"/>
    <w:rsid w:val="57E06B2A"/>
    <w:rsid w:val="580501AF"/>
    <w:rsid w:val="587D13BE"/>
    <w:rsid w:val="5889335C"/>
    <w:rsid w:val="589658F5"/>
    <w:rsid w:val="590D5D3B"/>
    <w:rsid w:val="591612EA"/>
    <w:rsid w:val="594F2A8B"/>
    <w:rsid w:val="595F51F0"/>
    <w:rsid w:val="596146BC"/>
    <w:rsid w:val="59DD2FE2"/>
    <w:rsid w:val="5A0F6842"/>
    <w:rsid w:val="5A144EA7"/>
    <w:rsid w:val="5A6C3A9C"/>
    <w:rsid w:val="5A7D1893"/>
    <w:rsid w:val="5AD9194A"/>
    <w:rsid w:val="5AF65560"/>
    <w:rsid w:val="5B136654"/>
    <w:rsid w:val="5B4E5095"/>
    <w:rsid w:val="5B601B56"/>
    <w:rsid w:val="5B866F17"/>
    <w:rsid w:val="5BAE468B"/>
    <w:rsid w:val="5BBB7978"/>
    <w:rsid w:val="5BC273C6"/>
    <w:rsid w:val="5BF9175D"/>
    <w:rsid w:val="5C25291D"/>
    <w:rsid w:val="5CD478FD"/>
    <w:rsid w:val="5CDB1301"/>
    <w:rsid w:val="5D431218"/>
    <w:rsid w:val="5D4361AE"/>
    <w:rsid w:val="5DB8520C"/>
    <w:rsid w:val="5E1D0CD6"/>
    <w:rsid w:val="5E520791"/>
    <w:rsid w:val="5E535EE5"/>
    <w:rsid w:val="5E7B2122"/>
    <w:rsid w:val="5EC6593C"/>
    <w:rsid w:val="5F105C3D"/>
    <w:rsid w:val="5F1B0131"/>
    <w:rsid w:val="5F3C4C84"/>
    <w:rsid w:val="5F4A68FB"/>
    <w:rsid w:val="5F6829C1"/>
    <w:rsid w:val="5F96509D"/>
    <w:rsid w:val="5FAA1071"/>
    <w:rsid w:val="5FF655F4"/>
    <w:rsid w:val="5FFA069B"/>
    <w:rsid w:val="603551EA"/>
    <w:rsid w:val="60626EEF"/>
    <w:rsid w:val="60A93CAF"/>
    <w:rsid w:val="60BB3179"/>
    <w:rsid w:val="6105188D"/>
    <w:rsid w:val="61190549"/>
    <w:rsid w:val="61471ACE"/>
    <w:rsid w:val="61533A4A"/>
    <w:rsid w:val="615E0590"/>
    <w:rsid w:val="619009B0"/>
    <w:rsid w:val="61DF2C4E"/>
    <w:rsid w:val="621F4EBE"/>
    <w:rsid w:val="62251304"/>
    <w:rsid w:val="62754478"/>
    <w:rsid w:val="628506F0"/>
    <w:rsid w:val="62966B4B"/>
    <w:rsid w:val="62BB6808"/>
    <w:rsid w:val="62D529B7"/>
    <w:rsid w:val="630B67BC"/>
    <w:rsid w:val="63112FA0"/>
    <w:rsid w:val="63504F18"/>
    <w:rsid w:val="63705DD4"/>
    <w:rsid w:val="63767625"/>
    <w:rsid w:val="639808F7"/>
    <w:rsid w:val="63D50725"/>
    <w:rsid w:val="63E45C9B"/>
    <w:rsid w:val="63FD5C20"/>
    <w:rsid w:val="64005A43"/>
    <w:rsid w:val="6472739A"/>
    <w:rsid w:val="64AA535B"/>
    <w:rsid w:val="64BA6126"/>
    <w:rsid w:val="65146073"/>
    <w:rsid w:val="652E734E"/>
    <w:rsid w:val="654939E3"/>
    <w:rsid w:val="65632BDF"/>
    <w:rsid w:val="6572002E"/>
    <w:rsid w:val="65A82464"/>
    <w:rsid w:val="65CC201A"/>
    <w:rsid w:val="65D01B96"/>
    <w:rsid w:val="66A7157D"/>
    <w:rsid w:val="66EF02BB"/>
    <w:rsid w:val="670648FC"/>
    <w:rsid w:val="673407FD"/>
    <w:rsid w:val="6737777F"/>
    <w:rsid w:val="67684445"/>
    <w:rsid w:val="6792042E"/>
    <w:rsid w:val="67EB6046"/>
    <w:rsid w:val="68814B19"/>
    <w:rsid w:val="68A77392"/>
    <w:rsid w:val="68B56729"/>
    <w:rsid w:val="68F54D97"/>
    <w:rsid w:val="69490586"/>
    <w:rsid w:val="6A6A6FEF"/>
    <w:rsid w:val="6AAD2347"/>
    <w:rsid w:val="6AAD6543"/>
    <w:rsid w:val="6B3C52FC"/>
    <w:rsid w:val="6B5F47B0"/>
    <w:rsid w:val="6B811C71"/>
    <w:rsid w:val="6BB20337"/>
    <w:rsid w:val="6CF50CA9"/>
    <w:rsid w:val="6D2D1303"/>
    <w:rsid w:val="6D3214C6"/>
    <w:rsid w:val="6D4F64CA"/>
    <w:rsid w:val="6D5238C5"/>
    <w:rsid w:val="6D532409"/>
    <w:rsid w:val="6DA06F00"/>
    <w:rsid w:val="6DFC00C1"/>
    <w:rsid w:val="6E2E04FD"/>
    <w:rsid w:val="6E3369A4"/>
    <w:rsid w:val="6E386F5E"/>
    <w:rsid w:val="6E3F653F"/>
    <w:rsid w:val="6E751F61"/>
    <w:rsid w:val="6E825190"/>
    <w:rsid w:val="6EA02F2B"/>
    <w:rsid w:val="6EB428FB"/>
    <w:rsid w:val="6EFC09F4"/>
    <w:rsid w:val="6F074403"/>
    <w:rsid w:val="6FA678F9"/>
    <w:rsid w:val="6FB4571F"/>
    <w:rsid w:val="6FF758AD"/>
    <w:rsid w:val="701B7D68"/>
    <w:rsid w:val="70B64CD9"/>
    <w:rsid w:val="715F4A78"/>
    <w:rsid w:val="7187500F"/>
    <w:rsid w:val="719C1094"/>
    <w:rsid w:val="71C175FC"/>
    <w:rsid w:val="71C46497"/>
    <w:rsid w:val="71CB7473"/>
    <w:rsid w:val="72151944"/>
    <w:rsid w:val="723C5FB7"/>
    <w:rsid w:val="727F03E4"/>
    <w:rsid w:val="72950CCE"/>
    <w:rsid w:val="72981AC1"/>
    <w:rsid w:val="72B77BD7"/>
    <w:rsid w:val="72C4534C"/>
    <w:rsid w:val="72DB02EA"/>
    <w:rsid w:val="72DF0017"/>
    <w:rsid w:val="73134D9A"/>
    <w:rsid w:val="73171838"/>
    <w:rsid w:val="733B0192"/>
    <w:rsid w:val="733B2DBB"/>
    <w:rsid w:val="73DD4830"/>
    <w:rsid w:val="73E2490F"/>
    <w:rsid w:val="74AC6FC2"/>
    <w:rsid w:val="74AE64AB"/>
    <w:rsid w:val="74C276BA"/>
    <w:rsid w:val="74FE30DA"/>
    <w:rsid w:val="757035C8"/>
    <w:rsid w:val="758A7D07"/>
    <w:rsid w:val="759620BF"/>
    <w:rsid w:val="759D68D9"/>
    <w:rsid w:val="75B0461E"/>
    <w:rsid w:val="75CB444F"/>
    <w:rsid w:val="76037E52"/>
    <w:rsid w:val="7625426C"/>
    <w:rsid w:val="77863BCF"/>
    <w:rsid w:val="77A071CF"/>
    <w:rsid w:val="77D62F36"/>
    <w:rsid w:val="782177E9"/>
    <w:rsid w:val="786E7F1C"/>
    <w:rsid w:val="78D422C7"/>
    <w:rsid w:val="78F379D1"/>
    <w:rsid w:val="79072C58"/>
    <w:rsid w:val="7A611D04"/>
    <w:rsid w:val="7A9D0F2F"/>
    <w:rsid w:val="7AB46E49"/>
    <w:rsid w:val="7AC027B5"/>
    <w:rsid w:val="7AE4454E"/>
    <w:rsid w:val="7AFE32DE"/>
    <w:rsid w:val="7B3F716E"/>
    <w:rsid w:val="7BDF6C6B"/>
    <w:rsid w:val="7BF5446A"/>
    <w:rsid w:val="7C4D723A"/>
    <w:rsid w:val="7C5C3B46"/>
    <w:rsid w:val="7CF44998"/>
    <w:rsid w:val="7D2C717C"/>
    <w:rsid w:val="7D351A13"/>
    <w:rsid w:val="7DAA1E07"/>
    <w:rsid w:val="7DED533C"/>
    <w:rsid w:val="7E116F41"/>
    <w:rsid w:val="7E602535"/>
    <w:rsid w:val="7EB43D17"/>
    <w:rsid w:val="7EB663A9"/>
    <w:rsid w:val="7EDB3D59"/>
    <w:rsid w:val="7EDF2281"/>
    <w:rsid w:val="7F8C4A96"/>
    <w:rsid w:val="7FBF12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qFormat="1"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86"/>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91"/>
    <w:qFormat/>
    <w:uiPriority w:val="0"/>
    <w:pPr>
      <w:keepNext/>
      <w:keepLines/>
      <w:spacing w:before="260" w:after="260" w:line="416" w:lineRule="auto"/>
      <w:outlineLvl w:val="1"/>
    </w:pPr>
    <w:rPr>
      <w:rFonts w:ascii="Cambria" w:hAnsi="Cambria"/>
      <w:b/>
      <w:bCs/>
      <w:sz w:val="32"/>
      <w:szCs w:val="32"/>
    </w:rPr>
  </w:style>
  <w:style w:type="paragraph" w:styleId="5">
    <w:name w:val="heading 3"/>
    <w:basedOn w:val="1"/>
    <w:next w:val="1"/>
    <w:link w:val="300"/>
    <w:qFormat/>
    <w:uiPriority w:val="0"/>
    <w:pPr>
      <w:keepNext/>
      <w:keepLines/>
      <w:spacing w:before="260" w:after="260" w:line="416" w:lineRule="auto"/>
      <w:outlineLvl w:val="2"/>
    </w:pPr>
    <w:rPr>
      <w:b/>
      <w:bCs/>
      <w:sz w:val="32"/>
      <w:szCs w:val="32"/>
    </w:rPr>
  </w:style>
  <w:style w:type="paragraph" w:styleId="6">
    <w:name w:val="heading 4"/>
    <w:basedOn w:val="1"/>
    <w:next w:val="1"/>
    <w:link w:val="159"/>
    <w:qFormat/>
    <w:uiPriority w:val="0"/>
    <w:pPr>
      <w:widowControl/>
      <w:spacing w:before="100" w:beforeAutospacing="1" w:after="100" w:afterAutospacing="1"/>
      <w:jc w:val="left"/>
      <w:outlineLvl w:val="3"/>
    </w:pPr>
    <w:rPr>
      <w:rFonts w:ascii="宋体" w:hAnsi="宋体" w:cs="宋体"/>
      <w:b/>
      <w:bCs/>
      <w:kern w:val="0"/>
      <w:sz w:val="24"/>
    </w:rPr>
  </w:style>
  <w:style w:type="paragraph" w:styleId="7">
    <w:name w:val="heading 5"/>
    <w:basedOn w:val="1"/>
    <w:next w:val="1"/>
    <w:link w:val="273"/>
    <w:qFormat/>
    <w:uiPriority w:val="0"/>
    <w:pPr>
      <w:widowControl/>
      <w:spacing w:before="100" w:beforeAutospacing="1" w:after="100" w:afterAutospacing="1"/>
      <w:jc w:val="left"/>
      <w:outlineLvl w:val="4"/>
    </w:pPr>
    <w:rPr>
      <w:rFonts w:ascii="宋体" w:hAnsi="宋体" w:cs="宋体"/>
      <w:b/>
      <w:bCs/>
      <w:kern w:val="0"/>
      <w:sz w:val="20"/>
      <w:szCs w:val="20"/>
    </w:rPr>
  </w:style>
  <w:style w:type="paragraph" w:styleId="8">
    <w:name w:val="heading 6"/>
    <w:basedOn w:val="9"/>
    <w:next w:val="1"/>
    <w:link w:val="229"/>
    <w:qFormat/>
    <w:uiPriority w:val="0"/>
    <w:pPr>
      <w:keepNext/>
      <w:keepLines/>
      <w:ind w:firstLine="200" w:firstLineChars="200"/>
      <w:outlineLvl w:val="5"/>
    </w:pPr>
    <w:rPr>
      <w:rFonts w:hAnsi="Arial"/>
    </w:rPr>
  </w:style>
  <w:style w:type="paragraph" w:styleId="10">
    <w:name w:val="heading 7"/>
    <w:basedOn w:val="1"/>
    <w:next w:val="1"/>
    <w:link w:val="284"/>
    <w:qFormat/>
    <w:uiPriority w:val="0"/>
    <w:pPr>
      <w:keepNext/>
      <w:keepLines/>
      <w:adjustRightInd w:val="0"/>
      <w:spacing w:line="480" w:lineRule="atLeast"/>
      <w:ind w:left="1425" w:leftChars="175" w:hanging="900" w:hangingChars="300"/>
      <w:textAlignment w:val="baseline"/>
      <w:outlineLvl w:val="6"/>
    </w:pPr>
    <w:rPr>
      <w:rFonts w:eastAsia="仿宋_GB2312"/>
      <w:kern w:val="0"/>
      <w:sz w:val="30"/>
      <w:szCs w:val="20"/>
    </w:rPr>
  </w:style>
  <w:style w:type="paragraph" w:styleId="11">
    <w:name w:val="heading 8"/>
    <w:basedOn w:val="1"/>
    <w:next w:val="1"/>
    <w:link w:val="243"/>
    <w:qFormat/>
    <w:uiPriority w:val="0"/>
    <w:pPr>
      <w:adjustRightInd w:val="0"/>
      <w:spacing w:line="480" w:lineRule="atLeast"/>
      <w:ind w:left="2232" w:leftChars="450" w:hanging="882" w:hangingChars="294"/>
      <w:textAlignment w:val="baseline"/>
      <w:outlineLvl w:val="7"/>
    </w:pPr>
    <w:rPr>
      <w:rFonts w:hAnsi="Arial" w:eastAsia="仿宋_GB2312"/>
      <w:kern w:val="0"/>
      <w:sz w:val="30"/>
      <w:szCs w:val="20"/>
    </w:rPr>
  </w:style>
  <w:style w:type="paragraph" w:styleId="12">
    <w:name w:val="heading 9"/>
    <w:basedOn w:val="1"/>
    <w:next w:val="1"/>
    <w:link w:val="242"/>
    <w:qFormat/>
    <w:uiPriority w:val="0"/>
    <w:pPr>
      <w:keepNext/>
      <w:keepLines/>
      <w:adjustRightInd w:val="0"/>
      <w:spacing w:line="480" w:lineRule="atLeast"/>
      <w:ind w:left="2979" w:leftChars="715" w:hanging="834" w:hangingChars="278"/>
      <w:textAlignment w:val="baseline"/>
      <w:outlineLvl w:val="8"/>
    </w:pPr>
    <w:rPr>
      <w:rFonts w:eastAsia="仿宋_GB2312"/>
      <w:kern w:val="0"/>
      <w:sz w:val="30"/>
      <w:szCs w:val="20"/>
    </w:rPr>
  </w:style>
  <w:style w:type="character" w:default="1" w:styleId="48">
    <w:name w:val="Default Paragraph Font"/>
    <w:semiHidden/>
    <w:unhideWhenUsed/>
    <w:qFormat/>
    <w:uiPriority w:val="1"/>
  </w:style>
  <w:style w:type="table" w:default="1" w:styleId="4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226"/>
    <w:qFormat/>
    <w:uiPriority w:val="0"/>
    <w:pPr>
      <w:spacing w:after="120"/>
    </w:pPr>
  </w:style>
  <w:style w:type="paragraph" w:styleId="9">
    <w:name w:val="Normal Indent"/>
    <w:basedOn w:val="1"/>
    <w:qFormat/>
    <w:uiPriority w:val="0"/>
    <w:pPr>
      <w:adjustRightInd w:val="0"/>
      <w:spacing w:line="480" w:lineRule="atLeast"/>
      <w:ind w:firstLine="600"/>
      <w:textAlignment w:val="baseline"/>
    </w:pPr>
    <w:rPr>
      <w:rFonts w:eastAsia="仿宋_GB2312"/>
      <w:kern w:val="0"/>
      <w:sz w:val="30"/>
      <w:szCs w:val="20"/>
    </w:rPr>
  </w:style>
  <w:style w:type="paragraph" w:styleId="13">
    <w:name w:val="toc 7"/>
    <w:basedOn w:val="1"/>
    <w:next w:val="1"/>
    <w:qFormat/>
    <w:uiPriority w:val="39"/>
    <w:pPr>
      <w:ind w:left="1260"/>
      <w:jc w:val="left"/>
    </w:pPr>
    <w:rPr>
      <w:sz w:val="18"/>
      <w:szCs w:val="18"/>
    </w:rPr>
  </w:style>
  <w:style w:type="paragraph" w:styleId="14">
    <w:name w:val="caption"/>
    <w:basedOn w:val="1"/>
    <w:next w:val="1"/>
    <w:qFormat/>
    <w:uiPriority w:val="0"/>
    <w:rPr>
      <w:rFonts w:ascii="Cambria" w:hAnsi="Cambria" w:eastAsia="黑体"/>
      <w:sz w:val="20"/>
      <w:szCs w:val="20"/>
    </w:rPr>
  </w:style>
  <w:style w:type="paragraph" w:styleId="15">
    <w:name w:val="Document Map"/>
    <w:basedOn w:val="1"/>
    <w:link w:val="163"/>
    <w:qFormat/>
    <w:uiPriority w:val="0"/>
    <w:pPr>
      <w:shd w:val="clear" w:color="auto" w:fill="000080"/>
    </w:pPr>
  </w:style>
  <w:style w:type="paragraph" w:styleId="16">
    <w:name w:val="annotation text"/>
    <w:basedOn w:val="1"/>
    <w:link w:val="306"/>
    <w:qFormat/>
    <w:uiPriority w:val="99"/>
    <w:pPr>
      <w:jc w:val="left"/>
    </w:pPr>
  </w:style>
  <w:style w:type="paragraph" w:styleId="17">
    <w:name w:val="Body Text 3"/>
    <w:basedOn w:val="1"/>
    <w:link w:val="258"/>
    <w:qFormat/>
    <w:uiPriority w:val="0"/>
    <w:pPr>
      <w:spacing w:after="120"/>
    </w:pPr>
    <w:rPr>
      <w:sz w:val="16"/>
      <w:szCs w:val="16"/>
    </w:rPr>
  </w:style>
  <w:style w:type="paragraph" w:styleId="18">
    <w:name w:val="Body Text Indent"/>
    <w:basedOn w:val="1"/>
    <w:link w:val="241"/>
    <w:qFormat/>
    <w:uiPriority w:val="0"/>
    <w:pPr>
      <w:ind w:firstLine="407" w:firstLineChars="200"/>
    </w:p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0">
    <w:name w:val="index 4"/>
    <w:basedOn w:val="1"/>
    <w:next w:val="1"/>
    <w:qFormat/>
    <w:uiPriority w:val="0"/>
    <w:pPr>
      <w:ind w:left="600" w:leftChars="600"/>
    </w:pPr>
  </w:style>
  <w:style w:type="paragraph" w:styleId="21">
    <w:name w:val="toc 5"/>
    <w:basedOn w:val="1"/>
    <w:next w:val="1"/>
    <w:qFormat/>
    <w:uiPriority w:val="39"/>
    <w:pPr>
      <w:ind w:left="840"/>
      <w:jc w:val="left"/>
    </w:pPr>
    <w:rPr>
      <w:sz w:val="18"/>
      <w:szCs w:val="18"/>
    </w:rPr>
  </w:style>
  <w:style w:type="paragraph" w:styleId="22">
    <w:name w:val="toc 3"/>
    <w:basedOn w:val="5"/>
    <w:next w:val="1"/>
    <w:qFormat/>
    <w:uiPriority w:val="39"/>
    <w:pPr>
      <w:keepNext w:val="0"/>
      <w:keepLines w:val="0"/>
      <w:spacing w:before="0" w:after="0" w:line="240" w:lineRule="auto"/>
      <w:ind w:left="420"/>
      <w:jc w:val="left"/>
      <w:outlineLvl w:val="9"/>
    </w:pPr>
    <w:rPr>
      <w:b w:val="0"/>
      <w:bCs w:val="0"/>
      <w:i/>
      <w:iCs/>
      <w:sz w:val="20"/>
      <w:szCs w:val="20"/>
    </w:rPr>
  </w:style>
  <w:style w:type="paragraph" w:styleId="23">
    <w:name w:val="Plain Text"/>
    <w:basedOn w:val="1"/>
    <w:link w:val="203"/>
    <w:qFormat/>
    <w:uiPriority w:val="0"/>
    <w:rPr>
      <w:rFonts w:ascii="宋体" w:hAnsi="Courier New" w:cs="Courier New"/>
      <w:szCs w:val="21"/>
    </w:rPr>
  </w:style>
  <w:style w:type="paragraph" w:styleId="24">
    <w:name w:val="toc 8"/>
    <w:basedOn w:val="1"/>
    <w:next w:val="1"/>
    <w:qFormat/>
    <w:uiPriority w:val="39"/>
    <w:pPr>
      <w:ind w:left="1470"/>
      <w:jc w:val="left"/>
    </w:pPr>
    <w:rPr>
      <w:sz w:val="18"/>
      <w:szCs w:val="18"/>
    </w:rPr>
  </w:style>
  <w:style w:type="paragraph" w:styleId="25">
    <w:name w:val="Date"/>
    <w:basedOn w:val="1"/>
    <w:next w:val="1"/>
    <w:link w:val="167"/>
    <w:qFormat/>
    <w:uiPriority w:val="0"/>
    <w:pPr>
      <w:ind w:left="100" w:leftChars="2500"/>
    </w:pPr>
  </w:style>
  <w:style w:type="paragraph" w:styleId="26">
    <w:name w:val="Body Text Indent 2"/>
    <w:basedOn w:val="1"/>
    <w:link w:val="238"/>
    <w:qFormat/>
    <w:uiPriority w:val="0"/>
    <w:pPr>
      <w:widowControl/>
      <w:spacing w:line="480" w:lineRule="auto"/>
      <w:ind w:firstLine="560"/>
      <w:jc w:val="left"/>
    </w:pPr>
    <w:rPr>
      <w:kern w:val="0"/>
      <w:sz w:val="28"/>
    </w:rPr>
  </w:style>
  <w:style w:type="paragraph" w:styleId="27">
    <w:name w:val="endnote text"/>
    <w:basedOn w:val="1"/>
    <w:link w:val="211"/>
    <w:qFormat/>
    <w:uiPriority w:val="0"/>
    <w:pPr>
      <w:widowControl/>
      <w:snapToGrid w:val="0"/>
      <w:jc w:val="left"/>
    </w:pPr>
    <w:rPr>
      <w:rFonts w:ascii="Arial" w:hAnsi="Arial" w:cs="Arial"/>
      <w:kern w:val="0"/>
      <w:sz w:val="20"/>
      <w:lang w:eastAsia="en-US"/>
    </w:rPr>
  </w:style>
  <w:style w:type="paragraph" w:styleId="28">
    <w:name w:val="Balloon Text"/>
    <w:basedOn w:val="1"/>
    <w:link w:val="206"/>
    <w:qFormat/>
    <w:uiPriority w:val="0"/>
    <w:rPr>
      <w:sz w:val="18"/>
      <w:szCs w:val="18"/>
    </w:rPr>
  </w:style>
  <w:style w:type="paragraph" w:styleId="29">
    <w:name w:val="footer"/>
    <w:basedOn w:val="1"/>
    <w:link w:val="198"/>
    <w:qFormat/>
    <w:uiPriority w:val="0"/>
    <w:pPr>
      <w:tabs>
        <w:tab w:val="center" w:pos="4153"/>
        <w:tab w:val="right" w:pos="8306"/>
      </w:tabs>
      <w:snapToGrid w:val="0"/>
      <w:jc w:val="left"/>
    </w:pPr>
    <w:rPr>
      <w:sz w:val="18"/>
      <w:szCs w:val="18"/>
    </w:rPr>
  </w:style>
  <w:style w:type="paragraph" w:styleId="30">
    <w:name w:val="header"/>
    <w:basedOn w:val="1"/>
    <w:link w:val="292"/>
    <w:qFormat/>
    <w:uiPriority w:val="0"/>
    <w:pPr>
      <w:pBdr>
        <w:bottom w:val="single" w:color="auto" w:sz="6" w:space="1"/>
      </w:pBdr>
      <w:tabs>
        <w:tab w:val="center" w:pos="4153"/>
        <w:tab w:val="right" w:pos="8306"/>
      </w:tabs>
      <w:snapToGrid w:val="0"/>
      <w:jc w:val="center"/>
    </w:pPr>
    <w:rPr>
      <w:sz w:val="18"/>
      <w:szCs w:val="18"/>
    </w:rPr>
  </w:style>
  <w:style w:type="paragraph" w:styleId="31">
    <w:name w:val="toc 1"/>
    <w:basedOn w:val="3"/>
    <w:next w:val="1"/>
    <w:qFormat/>
    <w:uiPriority w:val="39"/>
    <w:pPr>
      <w:keepNext w:val="0"/>
      <w:keepLines w:val="0"/>
      <w:spacing w:before="120" w:after="120" w:line="240" w:lineRule="auto"/>
      <w:jc w:val="left"/>
      <w:outlineLvl w:val="9"/>
    </w:pPr>
    <w:rPr>
      <w:caps/>
      <w:kern w:val="2"/>
      <w:sz w:val="20"/>
      <w:szCs w:val="20"/>
    </w:rPr>
  </w:style>
  <w:style w:type="paragraph" w:styleId="32">
    <w:name w:val="toc 4"/>
    <w:basedOn w:val="6"/>
    <w:next w:val="1"/>
    <w:qFormat/>
    <w:uiPriority w:val="39"/>
    <w:pPr>
      <w:widowControl w:val="0"/>
      <w:spacing w:before="0" w:beforeAutospacing="0" w:after="0" w:afterAutospacing="0"/>
      <w:ind w:left="630"/>
      <w:outlineLvl w:val="9"/>
    </w:pPr>
    <w:rPr>
      <w:rFonts w:ascii="Times New Roman" w:hAnsi="Times New Roman" w:cs="Times New Roman"/>
      <w:b w:val="0"/>
      <w:bCs w:val="0"/>
      <w:kern w:val="2"/>
      <w:sz w:val="18"/>
      <w:szCs w:val="18"/>
    </w:rPr>
  </w:style>
  <w:style w:type="paragraph" w:styleId="33">
    <w:name w:val="Subtitle"/>
    <w:basedOn w:val="1"/>
    <w:link w:val="308"/>
    <w:qFormat/>
    <w:uiPriority w:val="0"/>
    <w:pPr>
      <w:widowControl/>
      <w:jc w:val="center"/>
    </w:pPr>
    <w:rPr>
      <w:kern w:val="0"/>
      <w:sz w:val="20"/>
      <w:u w:val="single"/>
      <w:lang w:eastAsia="en-US"/>
    </w:rPr>
  </w:style>
  <w:style w:type="paragraph" w:styleId="34">
    <w:name w:val="footnote text"/>
    <w:basedOn w:val="1"/>
    <w:link w:val="286"/>
    <w:qFormat/>
    <w:uiPriority w:val="0"/>
    <w:pPr>
      <w:widowControl/>
      <w:snapToGrid w:val="0"/>
      <w:jc w:val="left"/>
    </w:pPr>
    <w:rPr>
      <w:rFonts w:ascii="Arial" w:hAnsi="Arial" w:cs="Arial"/>
      <w:kern w:val="0"/>
      <w:sz w:val="18"/>
      <w:szCs w:val="18"/>
      <w:lang w:eastAsia="en-US"/>
    </w:rPr>
  </w:style>
  <w:style w:type="paragraph" w:styleId="35">
    <w:name w:val="toc 6"/>
    <w:basedOn w:val="1"/>
    <w:next w:val="1"/>
    <w:qFormat/>
    <w:uiPriority w:val="39"/>
    <w:pPr>
      <w:ind w:left="1050"/>
      <w:jc w:val="left"/>
    </w:pPr>
    <w:rPr>
      <w:sz w:val="18"/>
      <w:szCs w:val="18"/>
    </w:rPr>
  </w:style>
  <w:style w:type="paragraph" w:styleId="36">
    <w:name w:val="Body Text Indent 3"/>
    <w:basedOn w:val="1"/>
    <w:link w:val="245"/>
    <w:qFormat/>
    <w:uiPriority w:val="0"/>
    <w:pPr>
      <w:spacing w:line="360" w:lineRule="auto"/>
      <w:ind w:firstLine="280" w:firstLineChars="100"/>
    </w:pPr>
    <w:rPr>
      <w:rFonts w:ascii="宋体" w:hAnsi="宋体"/>
      <w:sz w:val="28"/>
      <w:szCs w:val="28"/>
    </w:rPr>
  </w:style>
  <w:style w:type="paragraph" w:styleId="37">
    <w:name w:val="toc 2"/>
    <w:basedOn w:val="4"/>
    <w:next w:val="1"/>
    <w:qFormat/>
    <w:uiPriority w:val="39"/>
    <w:pPr>
      <w:keepNext w:val="0"/>
      <w:keepLines w:val="0"/>
      <w:spacing w:before="0" w:after="0" w:line="240" w:lineRule="auto"/>
      <w:ind w:left="210"/>
      <w:jc w:val="left"/>
      <w:outlineLvl w:val="9"/>
    </w:pPr>
    <w:rPr>
      <w:rFonts w:ascii="Times New Roman" w:hAnsi="Times New Roman"/>
      <w:b w:val="0"/>
      <w:bCs w:val="0"/>
      <w:smallCaps/>
      <w:sz w:val="20"/>
      <w:szCs w:val="20"/>
    </w:rPr>
  </w:style>
  <w:style w:type="paragraph" w:styleId="38">
    <w:name w:val="toc 9"/>
    <w:basedOn w:val="1"/>
    <w:next w:val="1"/>
    <w:qFormat/>
    <w:uiPriority w:val="39"/>
    <w:pPr>
      <w:ind w:left="1680"/>
      <w:jc w:val="left"/>
    </w:pPr>
    <w:rPr>
      <w:sz w:val="18"/>
      <w:szCs w:val="18"/>
    </w:rPr>
  </w:style>
  <w:style w:type="paragraph" w:styleId="39">
    <w:name w:val="Body Text 2"/>
    <w:basedOn w:val="1"/>
    <w:link w:val="232"/>
    <w:qFormat/>
    <w:uiPriority w:val="0"/>
    <w:rPr>
      <w:i/>
      <w:iCs/>
      <w:sz w:val="26"/>
    </w:rPr>
  </w:style>
  <w:style w:type="paragraph" w:styleId="40">
    <w:name w:val="HTML Preformatted"/>
    <w:basedOn w:val="1"/>
    <w:link w:val="162"/>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4"/>
    </w:rPr>
  </w:style>
  <w:style w:type="paragraph" w:styleId="41">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42">
    <w:name w:val="index 1"/>
    <w:basedOn w:val="1"/>
    <w:next w:val="1"/>
    <w:qFormat/>
    <w:uiPriority w:val="0"/>
    <w:pPr>
      <w:spacing w:line="220" w:lineRule="exact"/>
      <w:jc w:val="center"/>
    </w:pPr>
    <w:rPr>
      <w:rFonts w:ascii="仿宋_GB2312" w:eastAsia="仿宋_GB2312"/>
      <w:szCs w:val="21"/>
    </w:rPr>
  </w:style>
  <w:style w:type="paragraph" w:styleId="43">
    <w:name w:val="Title"/>
    <w:basedOn w:val="1"/>
    <w:link w:val="237"/>
    <w:qFormat/>
    <w:uiPriority w:val="0"/>
    <w:pPr>
      <w:widowControl/>
      <w:jc w:val="center"/>
    </w:pPr>
    <w:rPr>
      <w:kern w:val="0"/>
      <w:sz w:val="20"/>
      <w:u w:val="single"/>
      <w:lang w:eastAsia="en-US"/>
    </w:rPr>
  </w:style>
  <w:style w:type="paragraph" w:styleId="44">
    <w:name w:val="annotation subject"/>
    <w:basedOn w:val="16"/>
    <w:next w:val="16"/>
    <w:link w:val="281"/>
    <w:qFormat/>
    <w:uiPriority w:val="0"/>
    <w:rPr>
      <w:b/>
      <w:bCs/>
    </w:rPr>
  </w:style>
  <w:style w:type="paragraph" w:styleId="45">
    <w:name w:val="Body Text First Indent 2"/>
    <w:basedOn w:val="18"/>
    <w:link w:val="320"/>
    <w:qFormat/>
    <w:uiPriority w:val="0"/>
    <w:pPr>
      <w:spacing w:after="120"/>
      <w:ind w:left="420" w:leftChars="200" w:firstLine="420"/>
    </w:pPr>
  </w:style>
  <w:style w:type="table" w:styleId="47">
    <w:name w:val="Table Grid"/>
    <w:basedOn w:val="46"/>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9">
    <w:name w:val="Strong"/>
    <w:qFormat/>
    <w:uiPriority w:val="0"/>
    <w:rPr>
      <w:b/>
      <w:bCs/>
    </w:rPr>
  </w:style>
  <w:style w:type="character" w:styleId="50">
    <w:name w:val="endnote reference"/>
    <w:qFormat/>
    <w:uiPriority w:val="0"/>
    <w:rPr>
      <w:vertAlign w:val="superscript"/>
    </w:rPr>
  </w:style>
  <w:style w:type="character" w:styleId="51">
    <w:name w:val="page number"/>
    <w:basedOn w:val="48"/>
    <w:qFormat/>
    <w:uiPriority w:val="0"/>
  </w:style>
  <w:style w:type="character" w:styleId="52">
    <w:name w:val="FollowedHyperlink"/>
    <w:qFormat/>
    <w:uiPriority w:val="0"/>
    <w:rPr>
      <w:color w:val="800080"/>
      <w:u w:val="single"/>
    </w:rPr>
  </w:style>
  <w:style w:type="character" w:styleId="53">
    <w:name w:val="Emphasis"/>
    <w:qFormat/>
    <w:uiPriority w:val="0"/>
    <w:rPr>
      <w:i/>
      <w:iCs/>
    </w:rPr>
  </w:style>
  <w:style w:type="character" w:styleId="54">
    <w:name w:val="Hyperlink"/>
    <w:qFormat/>
    <w:uiPriority w:val="99"/>
    <w:rPr>
      <w:color w:val="0000FF"/>
      <w:u w:val="single"/>
    </w:rPr>
  </w:style>
  <w:style w:type="character" w:styleId="55">
    <w:name w:val="annotation reference"/>
    <w:qFormat/>
    <w:uiPriority w:val="0"/>
    <w:rPr>
      <w:sz w:val="21"/>
      <w:szCs w:val="21"/>
    </w:rPr>
  </w:style>
  <w:style w:type="character" w:styleId="56">
    <w:name w:val="footnote reference"/>
    <w:qFormat/>
    <w:uiPriority w:val="0"/>
    <w:rPr>
      <w:vertAlign w:val="superscript"/>
    </w:rPr>
  </w:style>
  <w:style w:type="paragraph" w:customStyle="1" w:styleId="57">
    <w:name w:val="列出段落1"/>
    <w:basedOn w:val="1"/>
    <w:qFormat/>
    <w:uiPriority w:val="99"/>
    <w:pPr>
      <w:ind w:firstLine="420" w:firstLineChars="200"/>
    </w:pPr>
    <w:rPr>
      <w:sz w:val="28"/>
      <w:szCs w:val="28"/>
    </w:rPr>
  </w:style>
  <w:style w:type="paragraph" w:customStyle="1" w:styleId="58">
    <w:name w:val="_Style 56"/>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59">
    <w:name w:val="zz"/>
    <w:basedOn w:val="1"/>
    <w:qFormat/>
    <w:uiPriority w:val="0"/>
    <w:pPr>
      <w:widowControl/>
      <w:spacing w:before="30"/>
      <w:jc w:val="right"/>
    </w:pPr>
    <w:rPr>
      <w:rFonts w:ascii="方正书宋简体" w:hAnsi="宋体" w:eastAsia="方正书宋简体"/>
      <w:color w:val="000000"/>
      <w:kern w:val="0"/>
      <w:szCs w:val="21"/>
    </w:rPr>
  </w:style>
  <w:style w:type="paragraph" w:customStyle="1" w:styleId="60">
    <w:name w:val="Char Char Char Char Char Char Char Char Char Char Char Char Char Char Char Char"/>
    <w:basedOn w:val="15"/>
    <w:qFormat/>
    <w:uiPriority w:val="0"/>
    <w:pPr>
      <w:spacing w:line="360" w:lineRule="auto"/>
      <w:ind w:firstLine="200" w:firstLineChars="200"/>
    </w:pPr>
    <w:rPr>
      <w:rFonts w:ascii="Tahoma" w:hAnsi="Tahoma"/>
      <w:sz w:val="24"/>
    </w:rPr>
  </w:style>
  <w:style w:type="paragraph" w:customStyle="1" w:styleId="61">
    <w:name w:val="mtitle"/>
    <w:basedOn w:val="1"/>
    <w:qFormat/>
    <w:uiPriority w:val="0"/>
    <w:pPr>
      <w:widowControl/>
      <w:spacing w:before="30"/>
      <w:jc w:val="center"/>
    </w:pPr>
    <w:rPr>
      <w:rFonts w:ascii="方正小标宋简体" w:hAnsi="宋体" w:eastAsia="方正小标宋简体"/>
      <w:color w:val="000000"/>
      <w:kern w:val="0"/>
      <w:sz w:val="44"/>
      <w:szCs w:val="44"/>
    </w:rPr>
  </w:style>
  <w:style w:type="paragraph" w:customStyle="1" w:styleId="62">
    <w:name w:val="zw"/>
    <w:basedOn w:val="1"/>
    <w:qFormat/>
    <w:uiPriority w:val="0"/>
    <w:pPr>
      <w:widowControl/>
      <w:spacing w:before="30"/>
      <w:ind w:left="100" w:right="100"/>
    </w:pPr>
    <w:rPr>
      <w:rFonts w:ascii="方正书宋简体" w:hAnsi="宋体" w:eastAsia="方正书宋简体"/>
      <w:color w:val="000000"/>
      <w:kern w:val="0"/>
      <w:szCs w:val="21"/>
    </w:rPr>
  </w:style>
  <w:style w:type="paragraph" w:customStyle="1" w:styleId="63">
    <w:name w:val="1 Char"/>
    <w:basedOn w:val="1"/>
    <w:qFormat/>
    <w:uiPriority w:val="0"/>
    <w:pPr>
      <w:widowControl/>
      <w:spacing w:after="160" w:line="240" w:lineRule="exact"/>
      <w:jc w:val="left"/>
    </w:pPr>
    <w:rPr>
      <w:rFonts w:ascii="Calibri" w:hAnsi="Calibri"/>
      <w:szCs w:val="20"/>
    </w:rPr>
  </w:style>
  <w:style w:type="paragraph" w:customStyle="1" w:styleId="64">
    <w:name w:val="列表段落1"/>
    <w:basedOn w:val="1"/>
    <w:qFormat/>
    <w:uiPriority w:val="34"/>
    <w:pPr>
      <w:ind w:firstLine="420" w:firstLineChars="200"/>
    </w:pPr>
    <w:rPr>
      <w:rFonts w:ascii="Calibri" w:hAnsi="Calibri"/>
    </w:rPr>
  </w:style>
  <w:style w:type="paragraph" w:customStyle="1" w:styleId="65">
    <w:name w:val="Char Char Char Char Char Char Char Char Char Char"/>
    <w:basedOn w:val="15"/>
    <w:qFormat/>
    <w:uiPriority w:val="0"/>
    <w:pPr>
      <w:spacing w:line="360" w:lineRule="auto"/>
      <w:ind w:firstLine="200" w:firstLineChars="200"/>
    </w:pPr>
    <w:rPr>
      <w:rFonts w:ascii="Tahoma" w:hAnsi="Tahoma"/>
      <w:sz w:val="24"/>
    </w:rPr>
  </w:style>
  <w:style w:type="paragraph" w:customStyle="1" w:styleId="66">
    <w:name w:val="样式 标题 3 + (中文) 黑体 小四 非加粗 段前: 7.8 磅 段后: 0 磅 行距: 固定值 20 磅"/>
    <w:basedOn w:val="5"/>
    <w:next w:val="1"/>
    <w:qFormat/>
    <w:uiPriority w:val="0"/>
    <w:pPr>
      <w:spacing w:before="0" w:after="0" w:line="400" w:lineRule="exact"/>
    </w:pPr>
    <w:rPr>
      <w:rFonts w:eastAsia="黑体" w:cs="宋体"/>
      <w:b w:val="0"/>
      <w:bCs w:val="0"/>
      <w:sz w:val="24"/>
      <w:szCs w:val="20"/>
    </w:rPr>
  </w:style>
  <w:style w:type="paragraph" w:customStyle="1" w:styleId="67">
    <w:name w:val="正文 New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paragraph" w:customStyle="1" w:styleId="68">
    <w:name w:val="TOC 标题2"/>
    <w:basedOn w:val="3"/>
    <w:next w:val="1"/>
    <w:unhideWhenUsed/>
    <w:qFormat/>
    <w:uiPriority w:val="0"/>
    <w:pPr>
      <w:outlineLvl w:val="9"/>
    </w:pPr>
    <w:rPr>
      <w:rFonts w:ascii="Calibri" w:hAnsi="Calibri"/>
    </w:rPr>
  </w:style>
  <w:style w:type="paragraph" w:customStyle="1" w:styleId="69">
    <w:name w:val="样式1"/>
    <w:basedOn w:val="1"/>
    <w:next w:val="6"/>
    <w:qFormat/>
    <w:uiPriority w:val="0"/>
    <w:pPr>
      <w:spacing w:line="360" w:lineRule="auto"/>
      <w:ind w:firstLine="420" w:firstLineChars="200"/>
    </w:pPr>
    <w:rPr>
      <w:rFonts w:ascii="宋体" w:hAnsi="宋体"/>
      <w:szCs w:val="21"/>
    </w:rPr>
  </w:style>
  <w:style w:type="paragraph" w:customStyle="1" w:styleId="70">
    <w:name w:val="列出段落1111"/>
    <w:basedOn w:val="1"/>
    <w:qFormat/>
    <w:uiPriority w:val="99"/>
    <w:pPr>
      <w:ind w:firstLine="420" w:firstLineChars="200"/>
    </w:pPr>
    <w:rPr>
      <w:sz w:val="28"/>
      <w:szCs w:val="28"/>
    </w:rPr>
  </w:style>
  <w:style w:type="paragraph" w:customStyle="1" w:styleId="71">
    <w:name w:val="g2"/>
    <w:basedOn w:val="1"/>
    <w:qFormat/>
    <w:uiPriority w:val="0"/>
    <w:pPr>
      <w:widowControl/>
      <w:spacing w:before="100" w:beforeAutospacing="1" w:after="100" w:afterAutospacing="1"/>
      <w:jc w:val="left"/>
    </w:pPr>
    <w:rPr>
      <w:rFonts w:ascii="仿宋_GB2312" w:hAnsi="宋体" w:eastAsia="仿宋_GB2312" w:cs="宋体"/>
      <w:kern w:val="0"/>
      <w:sz w:val="17"/>
      <w:szCs w:val="17"/>
    </w:rPr>
  </w:style>
  <w:style w:type="paragraph" w:customStyle="1" w:styleId="72">
    <w:name w:val="pa-27"/>
    <w:basedOn w:val="1"/>
    <w:qFormat/>
    <w:uiPriority w:val="0"/>
    <w:pPr>
      <w:widowControl/>
      <w:spacing w:line="360" w:lineRule="atLeast"/>
      <w:ind w:firstLine="420"/>
    </w:pPr>
    <w:rPr>
      <w:rFonts w:ascii="宋体" w:hAnsi="宋体" w:cs="宋体"/>
      <w:kern w:val="0"/>
      <w:sz w:val="24"/>
    </w:rPr>
  </w:style>
  <w:style w:type="paragraph" w:customStyle="1" w:styleId="73">
    <w:name w:val="标题1"/>
    <w:basedOn w:val="1"/>
    <w:qFormat/>
    <w:uiPriority w:val="0"/>
    <w:pPr>
      <w:widowControl/>
      <w:spacing w:before="100" w:beforeAutospacing="1" w:after="100" w:afterAutospacing="1"/>
      <w:jc w:val="left"/>
    </w:pPr>
    <w:rPr>
      <w:rFonts w:ascii="宋体" w:hAnsi="宋体" w:cs="宋体"/>
      <w:kern w:val="0"/>
      <w:sz w:val="24"/>
    </w:rPr>
  </w:style>
  <w:style w:type="paragraph" w:customStyle="1" w:styleId="74">
    <w:name w:val="_Style 72"/>
    <w:qFormat/>
    <w:uiPriority w:val="0"/>
    <w:rPr>
      <w:rFonts w:ascii="Times New Roman" w:hAnsi="Times New Roman" w:eastAsia="宋体" w:cs="Times New Roman"/>
      <w:kern w:val="2"/>
      <w:sz w:val="21"/>
      <w:szCs w:val="24"/>
      <w:lang w:val="en-US" w:eastAsia="zh-CN" w:bidi="ar-SA"/>
    </w:rPr>
  </w:style>
  <w:style w:type="paragraph" w:customStyle="1" w:styleId="75">
    <w:name w:val="Char Char1 Char Char Char Char Char Char Char Char Char Char"/>
    <w:basedOn w:val="1"/>
    <w:qFormat/>
    <w:uiPriority w:val="0"/>
    <w:pPr>
      <w:autoSpaceDE w:val="0"/>
      <w:autoSpaceDN w:val="0"/>
      <w:adjustRightInd w:val="0"/>
      <w:ind w:firstLine="482"/>
    </w:pPr>
    <w:rPr>
      <w:rFonts w:ascii="Calibri" w:hAnsi="Calibri"/>
      <w:szCs w:val="20"/>
    </w:rPr>
  </w:style>
  <w:style w:type="paragraph" w:customStyle="1" w:styleId="76">
    <w:name w:val="_Style 3"/>
    <w:qFormat/>
    <w:uiPriority w:val="0"/>
    <w:pPr>
      <w:widowControl w:val="0"/>
      <w:snapToGrid w:val="0"/>
      <w:spacing w:line="360" w:lineRule="auto"/>
    </w:pPr>
    <w:rPr>
      <w:rFonts w:ascii="Calibri" w:hAnsi="Calibri" w:eastAsia="宋体" w:cs="Times New Roman"/>
      <w:snapToGrid w:val="0"/>
      <w:sz w:val="21"/>
      <w:szCs w:val="24"/>
      <w:lang w:val="en-US" w:eastAsia="zh-CN" w:bidi="ar-SA"/>
    </w:rPr>
  </w:style>
  <w:style w:type="paragraph" w:customStyle="1" w:styleId="77">
    <w:name w:val="Char Char Char Char"/>
    <w:basedOn w:val="15"/>
    <w:qFormat/>
    <w:uiPriority w:val="0"/>
    <w:pPr>
      <w:spacing w:line="360" w:lineRule="auto"/>
      <w:ind w:firstLine="200" w:firstLineChars="200"/>
    </w:pPr>
    <w:rPr>
      <w:rFonts w:ascii="Tahoma" w:hAnsi="Tahoma"/>
      <w:sz w:val="24"/>
    </w:rPr>
  </w:style>
  <w:style w:type="paragraph" w:customStyle="1" w:styleId="78">
    <w:name w:val="表格内容"/>
    <w:basedOn w:val="1"/>
    <w:qFormat/>
    <w:uiPriority w:val="0"/>
    <w:pPr>
      <w:suppressLineNumbers/>
      <w:suppressAutoHyphens/>
    </w:pPr>
  </w:style>
  <w:style w:type="paragraph" w:customStyle="1" w:styleId="79">
    <w:name w:val="_Style 90"/>
    <w:next w:val="1"/>
    <w:qFormat/>
    <w:uiPriority w:val="0"/>
    <w:pPr>
      <w:widowControl w:val="0"/>
      <w:jc w:val="both"/>
    </w:pPr>
    <w:rPr>
      <w:rFonts w:ascii="Calibri" w:hAnsi="Calibri" w:eastAsia="宋体" w:cs="Times New Roman"/>
      <w:kern w:val="2"/>
      <w:sz w:val="21"/>
      <w:szCs w:val="24"/>
      <w:lang w:val="en-US" w:eastAsia="zh-CN" w:bidi="ar-SA"/>
    </w:rPr>
  </w:style>
  <w:style w:type="paragraph" w:customStyle="1" w:styleId="80">
    <w:name w:val="标准样式（文件）"/>
    <w:qFormat/>
    <w:uiPriority w:val="0"/>
    <w:pPr>
      <w:widowControl w:val="0"/>
      <w:spacing w:line="600" w:lineRule="exact"/>
      <w:ind w:firstLine="567"/>
    </w:pPr>
    <w:rPr>
      <w:rFonts w:ascii="Calibri" w:hAnsi="Calibri" w:eastAsia="宋体" w:cs="Times New Roman"/>
      <w:sz w:val="28"/>
      <w:lang w:val="en-US" w:eastAsia="zh-CN" w:bidi="ar-SA"/>
    </w:rPr>
  </w:style>
  <w:style w:type="paragraph" w:customStyle="1" w:styleId="81">
    <w:name w:val="_Style 105"/>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82">
    <w:name w:val="明显引用1"/>
    <w:basedOn w:val="1"/>
    <w:next w:val="1"/>
    <w:link w:val="276"/>
    <w:qFormat/>
    <w:uiPriority w:val="0"/>
    <w:pPr>
      <w:pBdr>
        <w:bottom w:val="single" w:color="4F81BD" w:sz="4" w:space="4"/>
      </w:pBdr>
      <w:spacing w:before="200" w:after="280"/>
      <w:ind w:left="936" w:right="936"/>
    </w:pPr>
    <w:rPr>
      <w:b/>
      <w:bCs/>
      <w:i/>
      <w:iCs/>
      <w:color w:val="4F81BD"/>
      <w:szCs w:val="22"/>
    </w:rPr>
  </w:style>
  <w:style w:type="paragraph" w:customStyle="1" w:styleId="83">
    <w:name w:val="表体"/>
    <w:basedOn w:val="1"/>
    <w:next w:val="1"/>
    <w:qFormat/>
    <w:uiPriority w:val="0"/>
    <w:pPr>
      <w:spacing w:line="0" w:lineRule="atLeast"/>
    </w:pPr>
    <w:rPr>
      <w:rFonts w:ascii="Calibri" w:hAnsi="Calibri"/>
      <w:b/>
      <w:snapToGrid w:val="0"/>
      <w:szCs w:val="20"/>
    </w:rPr>
  </w:style>
  <w:style w:type="paragraph" w:customStyle="1" w:styleId="84">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customStyle="1" w:styleId="85">
    <w:name w:val="pa-34"/>
    <w:basedOn w:val="1"/>
    <w:qFormat/>
    <w:uiPriority w:val="0"/>
    <w:pPr>
      <w:widowControl/>
      <w:spacing w:line="360" w:lineRule="atLeast"/>
      <w:ind w:firstLine="420"/>
      <w:jc w:val="left"/>
    </w:pPr>
    <w:rPr>
      <w:rFonts w:ascii="宋体" w:hAnsi="宋体" w:cs="宋体"/>
      <w:kern w:val="0"/>
      <w:sz w:val="24"/>
    </w:rPr>
  </w:style>
  <w:style w:type="paragraph" w:customStyle="1" w:styleId="86">
    <w:name w:val="g3"/>
    <w:basedOn w:val="1"/>
    <w:qFormat/>
    <w:uiPriority w:val="0"/>
    <w:pPr>
      <w:widowControl/>
      <w:spacing w:before="100" w:beforeAutospacing="1" w:after="100" w:afterAutospacing="1"/>
      <w:jc w:val="left"/>
    </w:pPr>
    <w:rPr>
      <w:rFonts w:ascii="宋体" w:hAnsi="宋体" w:cs="宋体"/>
      <w:kern w:val="0"/>
      <w:sz w:val="24"/>
    </w:rPr>
  </w:style>
  <w:style w:type="paragraph" w:customStyle="1" w:styleId="87">
    <w:name w:val="1"/>
    <w:basedOn w:val="1"/>
    <w:qFormat/>
    <w:uiPriority w:val="0"/>
    <w:pPr>
      <w:widowControl/>
      <w:spacing w:before="100" w:beforeAutospacing="1" w:after="100" w:afterAutospacing="1"/>
      <w:jc w:val="left"/>
    </w:pPr>
    <w:rPr>
      <w:rFonts w:ascii="ˎ̥" w:hAnsi="ˎ̥" w:cs="宋体"/>
      <w:kern w:val="0"/>
      <w:sz w:val="24"/>
    </w:rPr>
  </w:style>
  <w:style w:type="paragraph" w:customStyle="1" w:styleId="88">
    <w:name w:val="p16"/>
    <w:basedOn w:val="1"/>
    <w:qFormat/>
    <w:uiPriority w:val="0"/>
    <w:pPr>
      <w:widowControl/>
    </w:pPr>
    <w:rPr>
      <w:rFonts w:ascii="Calibri" w:hAnsi="Calibri" w:cs="宋体"/>
      <w:kern w:val="0"/>
      <w:szCs w:val="21"/>
    </w:rPr>
  </w:style>
  <w:style w:type="paragraph" w:customStyle="1" w:styleId="89">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90">
    <w:name w:val="l-2"/>
    <w:basedOn w:val="1"/>
    <w:qFormat/>
    <w:uiPriority w:val="0"/>
    <w:pPr>
      <w:widowControl/>
      <w:spacing w:before="100" w:beforeAutospacing="1" w:after="100" w:afterAutospacing="1"/>
      <w:jc w:val="left"/>
    </w:pPr>
    <w:rPr>
      <w:rFonts w:ascii="宋体" w:hAnsi="宋体" w:cs="宋体"/>
      <w:b/>
      <w:bCs/>
      <w:color w:val="000000"/>
      <w:kern w:val="0"/>
      <w:sz w:val="13"/>
      <w:szCs w:val="13"/>
    </w:rPr>
  </w:style>
  <w:style w:type="paragraph" w:customStyle="1" w:styleId="91">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92">
    <w:name w:val="标题4"/>
    <w:basedOn w:val="4"/>
    <w:next w:val="20"/>
    <w:link w:val="287"/>
    <w:qFormat/>
    <w:uiPriority w:val="0"/>
    <w:pPr>
      <w:spacing w:line="413" w:lineRule="auto"/>
    </w:pPr>
    <w:rPr>
      <w:rFonts w:ascii="Arial" w:hAnsi="Arial"/>
      <w:kern w:val="0"/>
      <w:sz w:val="24"/>
    </w:rPr>
  </w:style>
  <w:style w:type="paragraph" w:customStyle="1" w:styleId="93">
    <w:name w:val="Char Char"/>
    <w:basedOn w:val="1"/>
    <w:qFormat/>
    <w:uiPriority w:val="0"/>
    <w:pPr>
      <w:widowControl/>
      <w:jc w:val="left"/>
    </w:pPr>
    <w:rPr>
      <w:rFonts w:ascii="Verdana" w:hAnsi="Verdana" w:eastAsia="Times New Roman"/>
      <w:kern w:val="0"/>
      <w:sz w:val="16"/>
      <w:szCs w:val="20"/>
      <w:lang w:eastAsia="en-US"/>
    </w:rPr>
  </w:style>
  <w:style w:type="paragraph" w:customStyle="1" w:styleId="94">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95">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96">
    <w:name w:val="WW-表格内容"/>
    <w:basedOn w:val="1"/>
    <w:qFormat/>
    <w:uiPriority w:val="0"/>
    <w:pPr>
      <w:suppressLineNumbers/>
      <w:suppressAutoHyphens/>
    </w:pPr>
  </w:style>
  <w:style w:type="paragraph" w:customStyle="1" w:styleId="97">
    <w:name w:val="Char"/>
    <w:basedOn w:val="1"/>
    <w:qFormat/>
    <w:uiPriority w:val="0"/>
  </w:style>
  <w:style w:type="paragraph" w:customStyle="1" w:styleId="98">
    <w:name w:val="明显引用11"/>
    <w:basedOn w:val="1"/>
    <w:next w:val="1"/>
    <w:qFormat/>
    <w:uiPriority w:val="30"/>
    <w:pPr>
      <w:pBdr>
        <w:bottom w:val="single" w:color="4F81BD" w:sz="4" w:space="4"/>
      </w:pBdr>
      <w:spacing w:before="200" w:after="280"/>
      <w:ind w:left="936" w:right="936"/>
    </w:pPr>
    <w:rPr>
      <w:rFonts w:ascii="Calibri" w:hAnsi="Calibri"/>
      <w:b/>
      <w:bCs/>
      <w:i/>
      <w:iCs/>
      <w:color w:val="4F81BD"/>
      <w:szCs w:val="22"/>
    </w:rPr>
  </w:style>
  <w:style w:type="paragraph" w:customStyle="1" w:styleId="99">
    <w:name w:val="Normal_47"/>
    <w:qFormat/>
    <w:uiPriority w:val="0"/>
    <w:pPr>
      <w:spacing w:before="120" w:after="240"/>
      <w:jc w:val="both"/>
    </w:pPr>
    <w:rPr>
      <w:rFonts w:ascii="Calibri" w:hAnsi="Calibri" w:eastAsia="Calibri" w:cs="Times New Roman"/>
      <w:sz w:val="22"/>
      <w:szCs w:val="22"/>
      <w:lang w:val="ru-RU" w:eastAsia="en-US" w:bidi="ar-SA"/>
    </w:rPr>
  </w:style>
  <w:style w:type="paragraph" w:customStyle="1" w:styleId="100">
    <w:name w:val="样式15"/>
    <w:basedOn w:val="5"/>
    <w:qFormat/>
    <w:uiPriority w:val="0"/>
    <w:pPr>
      <w:keepNext w:val="0"/>
      <w:keepLines w:val="0"/>
      <w:tabs>
        <w:tab w:val="left" w:pos="0"/>
        <w:tab w:val="left" w:pos="210"/>
        <w:tab w:val="left" w:pos="420"/>
        <w:tab w:val="left" w:pos="1260"/>
      </w:tabs>
      <w:adjustRightInd w:val="0"/>
      <w:spacing w:before="0" w:after="0" w:line="240" w:lineRule="auto"/>
      <w:jc w:val="left"/>
    </w:pPr>
    <w:rPr>
      <w:rFonts w:ascii="仿宋_GB2312" w:hAnsi="Calibri" w:eastAsia="仿宋_GB2312"/>
      <w:bCs w:val="0"/>
      <w:szCs w:val="24"/>
    </w:rPr>
  </w:style>
  <w:style w:type="paragraph" w:customStyle="1" w:styleId="101">
    <w:name w:val="rr"/>
    <w:basedOn w:val="1"/>
    <w:qFormat/>
    <w:uiPriority w:val="0"/>
    <w:pPr>
      <w:widowControl/>
      <w:spacing w:before="100" w:beforeAutospacing="1" w:after="100" w:afterAutospacing="1"/>
      <w:jc w:val="left"/>
    </w:pPr>
    <w:rPr>
      <w:rFonts w:hint="eastAsia" w:ascii="宋体" w:hAnsi="宋体"/>
      <w:kern w:val="0"/>
      <w:szCs w:val="21"/>
    </w:rPr>
  </w:style>
  <w:style w:type="paragraph" w:customStyle="1" w:styleId="102">
    <w:name w:val="Char9 Char Char Char Char Char Char"/>
    <w:basedOn w:val="15"/>
    <w:qFormat/>
    <w:uiPriority w:val="0"/>
    <w:pPr>
      <w:spacing w:line="360" w:lineRule="auto"/>
      <w:ind w:firstLine="200" w:firstLineChars="200"/>
    </w:pPr>
    <w:rPr>
      <w:rFonts w:ascii="Tahoma" w:hAnsi="Tahoma"/>
      <w:sz w:val="24"/>
    </w:rPr>
  </w:style>
  <w:style w:type="paragraph" w:customStyle="1" w:styleId="103">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104">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05">
    <w:name w:val="p15"/>
    <w:basedOn w:val="1"/>
    <w:qFormat/>
    <w:uiPriority w:val="0"/>
    <w:pPr>
      <w:widowControl/>
      <w:spacing w:after="120"/>
    </w:pPr>
    <w:rPr>
      <w:kern w:val="0"/>
      <w:szCs w:val="21"/>
    </w:rPr>
  </w:style>
  <w:style w:type="paragraph" w:customStyle="1" w:styleId="106">
    <w:name w:val="rw"/>
    <w:basedOn w:val="1"/>
    <w:qFormat/>
    <w:uiPriority w:val="0"/>
    <w:pPr>
      <w:widowControl/>
      <w:spacing w:before="30"/>
      <w:ind w:left="100" w:right="100"/>
      <w:jc w:val="right"/>
    </w:pPr>
    <w:rPr>
      <w:rFonts w:ascii="方正仿宋简体" w:hAnsi="宋体" w:eastAsia="方正仿宋简体"/>
      <w:color w:val="000000"/>
      <w:kern w:val="0"/>
      <w:szCs w:val="21"/>
    </w:rPr>
  </w:style>
  <w:style w:type="paragraph" w:customStyle="1" w:styleId="107">
    <w:name w:val="正  文"/>
    <w:basedOn w:val="1"/>
    <w:qFormat/>
    <w:uiPriority w:val="0"/>
    <w:pPr>
      <w:spacing w:line="360" w:lineRule="auto"/>
      <w:ind w:firstLine="200" w:firstLineChars="200"/>
    </w:pPr>
    <w:rPr>
      <w:rFonts w:ascii="宋体" w:hAnsi="Calibri"/>
      <w:sz w:val="24"/>
    </w:rPr>
  </w:style>
  <w:style w:type="paragraph" w:customStyle="1" w:styleId="108">
    <w:name w:val="列出段落11"/>
    <w:basedOn w:val="1"/>
    <w:qFormat/>
    <w:uiPriority w:val="0"/>
    <w:pPr>
      <w:ind w:firstLine="420" w:firstLineChars="200"/>
    </w:pPr>
    <w:rPr>
      <w:sz w:val="28"/>
      <w:szCs w:val="28"/>
    </w:rPr>
  </w:style>
  <w:style w:type="paragraph" w:customStyle="1" w:styleId="109">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10">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11">
    <w:name w:val="_Style 96"/>
    <w:semiHidden/>
    <w:qFormat/>
    <w:uiPriority w:val="99"/>
    <w:rPr>
      <w:rFonts w:ascii="Calibri" w:hAnsi="Calibri" w:eastAsia="宋体" w:cs="Times New Roman"/>
      <w:kern w:val="2"/>
      <w:sz w:val="21"/>
      <w:szCs w:val="24"/>
      <w:lang w:val="en-US" w:eastAsia="zh-CN" w:bidi="ar-SA"/>
    </w:rPr>
  </w:style>
  <w:style w:type="paragraph" w:customStyle="1" w:styleId="112">
    <w:name w:val="表格文字"/>
    <w:basedOn w:val="1"/>
    <w:qFormat/>
    <w:uiPriority w:val="0"/>
    <w:pPr>
      <w:adjustRightInd w:val="0"/>
      <w:spacing w:line="420" w:lineRule="atLeast"/>
      <w:jc w:val="left"/>
      <w:textAlignment w:val="baseline"/>
    </w:pPr>
    <w:rPr>
      <w:kern w:val="0"/>
      <w:szCs w:val="20"/>
    </w:rPr>
  </w:style>
  <w:style w:type="paragraph" w:customStyle="1" w:styleId="113">
    <w:name w:val="表格"/>
    <w:basedOn w:val="1"/>
    <w:qFormat/>
    <w:uiPriority w:val="0"/>
    <w:pPr>
      <w:jc w:val="center"/>
      <w:textAlignment w:val="center"/>
    </w:pPr>
    <w:rPr>
      <w:rFonts w:ascii="华文细黑" w:hAnsi="华文细黑"/>
      <w:kern w:val="0"/>
      <w:szCs w:val="20"/>
    </w:rPr>
  </w:style>
  <w:style w:type="paragraph" w:customStyle="1" w:styleId="114">
    <w:name w:val="Char1"/>
    <w:basedOn w:val="1"/>
    <w:qFormat/>
    <w:uiPriority w:val="0"/>
  </w:style>
  <w:style w:type="paragraph" w:customStyle="1" w:styleId="115">
    <w:name w:val="TOC 标题1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16">
    <w:name w:val="引用2"/>
    <w:basedOn w:val="1"/>
    <w:next w:val="1"/>
    <w:link w:val="239"/>
    <w:qFormat/>
    <w:uiPriority w:val="0"/>
    <w:rPr>
      <w:i/>
      <w:iCs/>
      <w:color w:val="000000"/>
    </w:rPr>
  </w:style>
  <w:style w:type="paragraph" w:customStyle="1" w:styleId="117">
    <w:name w:val="链接"/>
    <w:qFormat/>
    <w:uiPriority w:val="0"/>
    <w:pPr>
      <w:widowControl w:val="0"/>
      <w:autoSpaceDE w:val="0"/>
      <w:autoSpaceDN w:val="0"/>
      <w:adjustRightInd w:val="0"/>
      <w:ind w:left="720"/>
    </w:pPr>
    <w:rPr>
      <w:rFonts w:ascii="Calibri" w:hAnsi="Calibri" w:eastAsia="宋体" w:cs="Times New Roman"/>
      <w:color w:val="0000FF"/>
      <w:sz w:val="21"/>
      <w:szCs w:val="21"/>
      <w:u w:val="single"/>
      <w:lang w:val="en-US" w:eastAsia="zh-CN" w:bidi="ar-SA"/>
    </w:rPr>
  </w:style>
  <w:style w:type="paragraph" w:customStyle="1" w:styleId="118">
    <w:name w:val="引用1"/>
    <w:basedOn w:val="1"/>
    <w:next w:val="1"/>
    <w:link w:val="189"/>
    <w:qFormat/>
    <w:uiPriority w:val="0"/>
    <w:rPr>
      <w:i/>
      <w:iCs/>
      <w:color w:val="000000"/>
      <w:szCs w:val="22"/>
    </w:rPr>
  </w:style>
  <w:style w:type="paragraph" w:customStyle="1" w:styleId="119">
    <w:name w:val="修订1"/>
    <w:qFormat/>
    <w:uiPriority w:val="0"/>
    <w:rPr>
      <w:rFonts w:ascii="Times New Roman" w:hAnsi="Times New Roman" w:eastAsia="宋体" w:cs="Times New Roman"/>
      <w:kern w:val="2"/>
      <w:sz w:val="21"/>
      <w:szCs w:val="24"/>
      <w:lang w:val="en-US" w:eastAsia="zh-CN" w:bidi="ar-SA"/>
    </w:rPr>
  </w:style>
  <w:style w:type="paragraph" w:customStyle="1" w:styleId="120">
    <w:name w:val="xl65"/>
    <w:basedOn w:val="1"/>
    <w:qFormat/>
    <w:uiPriority w:val="0"/>
    <w:pPr>
      <w:widowControl/>
      <w:spacing w:before="100" w:beforeAutospacing="1" w:after="100" w:afterAutospacing="1"/>
      <w:jc w:val="center"/>
    </w:pPr>
    <w:rPr>
      <w:rFonts w:ascii="黑体" w:hAnsi="宋体" w:eastAsia="黑体"/>
      <w:b/>
      <w:kern w:val="0"/>
      <w:sz w:val="36"/>
      <w:szCs w:val="20"/>
    </w:rPr>
  </w:style>
  <w:style w:type="paragraph" w:customStyle="1" w:styleId="121">
    <w:name w:val="Char2"/>
    <w:basedOn w:val="1"/>
    <w:qFormat/>
    <w:uiPriority w:val="0"/>
    <w:rPr>
      <w:rFonts w:ascii="Calibri" w:hAnsi="Calibri"/>
    </w:rPr>
  </w:style>
  <w:style w:type="paragraph" w:customStyle="1" w:styleId="122">
    <w:name w:val="标题5"/>
    <w:basedOn w:val="5"/>
    <w:link w:val="285"/>
    <w:qFormat/>
    <w:uiPriority w:val="0"/>
    <w:pPr>
      <w:spacing w:line="413" w:lineRule="auto"/>
    </w:pPr>
    <w:rPr>
      <w:rFonts w:ascii="Arial" w:hAnsi="Arial"/>
      <w:kern w:val="0"/>
      <w:sz w:val="24"/>
    </w:rPr>
  </w:style>
  <w:style w:type="paragraph" w:customStyle="1" w:styleId="123">
    <w:name w:val="无间隔2"/>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4">
    <w:name w:val="TOC 标题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25">
    <w:name w:val="表格标题"/>
    <w:basedOn w:val="78"/>
    <w:qFormat/>
    <w:uiPriority w:val="0"/>
  </w:style>
  <w:style w:type="paragraph" w:customStyle="1" w:styleId="126">
    <w:name w:val="g11"/>
    <w:basedOn w:val="1"/>
    <w:qFormat/>
    <w:uiPriority w:val="0"/>
    <w:pPr>
      <w:widowControl/>
      <w:spacing w:before="100" w:beforeAutospacing="1" w:after="100" w:afterAutospacing="1" w:line="465" w:lineRule="atLeast"/>
      <w:jc w:val="left"/>
    </w:pPr>
    <w:rPr>
      <w:rFonts w:ascii="华文中宋" w:hAnsi="华文中宋" w:eastAsia="华文中宋" w:cs="宋体"/>
      <w:b/>
      <w:bCs/>
      <w:color w:val="FF0000"/>
      <w:kern w:val="0"/>
      <w:sz w:val="31"/>
      <w:szCs w:val="31"/>
    </w:rPr>
  </w:style>
  <w:style w:type="paragraph" w:customStyle="1" w:styleId="127">
    <w:name w:val="2"/>
    <w:next w:val="1"/>
    <w:qFormat/>
    <w:uiPriority w:val="99"/>
    <w:pPr>
      <w:widowControl w:val="0"/>
      <w:jc w:val="both"/>
    </w:pPr>
    <w:rPr>
      <w:rFonts w:ascii="Calibri" w:hAnsi="Calibri" w:eastAsia="宋体" w:cs="Times New Roman"/>
      <w:kern w:val="2"/>
      <w:sz w:val="21"/>
      <w:szCs w:val="24"/>
      <w:lang w:val="en-US" w:eastAsia="zh-CN" w:bidi="ar-SA"/>
    </w:rPr>
  </w:style>
  <w:style w:type="paragraph" w:customStyle="1" w:styleId="128">
    <w:name w:val="intel1"/>
    <w:basedOn w:val="1"/>
    <w:qFormat/>
    <w:uiPriority w:val="0"/>
    <w:pPr>
      <w:widowControl/>
      <w:spacing w:before="100" w:beforeAutospacing="1" w:after="100" w:afterAutospacing="1"/>
      <w:jc w:val="left"/>
    </w:pPr>
    <w:rPr>
      <w:rFonts w:ascii="宋体" w:hAnsi="宋体" w:cs="宋体"/>
      <w:kern w:val="0"/>
      <w:sz w:val="24"/>
    </w:rPr>
  </w:style>
  <w:style w:type="paragraph" w:customStyle="1" w:styleId="129">
    <w:name w:val="style1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30">
    <w:name w:val="标题2"/>
    <w:basedOn w:val="1"/>
    <w:qFormat/>
    <w:uiPriority w:val="0"/>
    <w:pPr>
      <w:widowControl/>
      <w:spacing w:before="100" w:beforeAutospacing="1" w:after="100" w:afterAutospacing="1"/>
      <w:jc w:val="left"/>
    </w:pPr>
    <w:rPr>
      <w:rFonts w:ascii="宋体" w:hAnsi="宋体" w:cs="宋体"/>
      <w:kern w:val="0"/>
      <w:sz w:val="24"/>
    </w:rPr>
  </w:style>
  <w:style w:type="paragraph" w:customStyle="1" w:styleId="131">
    <w:name w:val="WW-表格标题"/>
    <w:basedOn w:val="96"/>
    <w:qFormat/>
    <w:uiPriority w:val="0"/>
  </w:style>
  <w:style w:type="paragraph" w:customStyle="1" w:styleId="132">
    <w:name w:val="ly"/>
    <w:basedOn w:val="1"/>
    <w:qFormat/>
    <w:uiPriority w:val="0"/>
    <w:pPr>
      <w:widowControl/>
      <w:spacing w:before="30"/>
      <w:jc w:val="right"/>
    </w:pPr>
    <w:rPr>
      <w:rFonts w:ascii="方正书宋简体" w:hAnsi="宋体" w:eastAsia="方正书宋简体"/>
      <w:color w:val="000000"/>
      <w:kern w:val="0"/>
      <w:szCs w:val="21"/>
    </w:rPr>
  </w:style>
  <w:style w:type="paragraph" w:customStyle="1" w:styleId="133">
    <w:name w:val="明显引用121"/>
    <w:basedOn w:val="1"/>
    <w:next w:val="1"/>
    <w:link w:val="249"/>
    <w:qFormat/>
    <w:uiPriority w:val="0"/>
    <w:pPr>
      <w:pBdr>
        <w:bottom w:val="single" w:color="4F81BD" w:sz="4" w:space="4"/>
      </w:pBdr>
      <w:spacing w:before="200" w:after="280"/>
      <w:ind w:left="936" w:right="936"/>
    </w:pPr>
    <w:rPr>
      <w:b/>
      <w:bCs/>
      <w:i/>
      <w:iCs/>
      <w:color w:val="4F81BD"/>
      <w:szCs w:val="20"/>
    </w:rPr>
  </w:style>
  <w:style w:type="paragraph" w:customStyle="1" w:styleId="134">
    <w:name w:val="标准样式1"/>
    <w:basedOn w:val="1"/>
    <w:qFormat/>
    <w:uiPriority w:val="0"/>
    <w:pPr>
      <w:spacing w:line="600" w:lineRule="exact"/>
      <w:ind w:firstLine="567"/>
    </w:pPr>
    <w:rPr>
      <w:rFonts w:ascii="Calibri" w:hAnsi="Calibri"/>
      <w:sz w:val="28"/>
    </w:rPr>
  </w:style>
  <w:style w:type="paragraph" w:customStyle="1" w:styleId="135">
    <w:name w:val="Char3"/>
    <w:basedOn w:val="1"/>
    <w:qFormat/>
    <w:uiPriority w:val="0"/>
  </w:style>
  <w:style w:type="paragraph" w:customStyle="1" w:styleId="136">
    <w:name w:val="p17"/>
    <w:basedOn w:val="1"/>
    <w:qFormat/>
    <w:uiPriority w:val="0"/>
    <w:pPr>
      <w:widowControl/>
      <w:spacing w:before="120" w:after="120"/>
      <w:jc w:val="left"/>
    </w:pPr>
    <w:rPr>
      <w:rFonts w:ascii="Calibri" w:hAnsi="Calibri" w:cs="宋体"/>
      <w:b/>
      <w:bCs/>
      <w:caps/>
      <w:kern w:val="0"/>
      <w:sz w:val="28"/>
      <w:szCs w:val="28"/>
    </w:rPr>
  </w:style>
  <w:style w:type="paragraph" w:customStyle="1" w:styleId="137">
    <w:name w:val="Char Char1 Char Char"/>
    <w:basedOn w:val="15"/>
    <w:qFormat/>
    <w:uiPriority w:val="0"/>
    <w:pPr>
      <w:shd w:val="clear" w:color="auto" w:fill="auto"/>
      <w:tabs>
        <w:tab w:val="left" w:pos="630"/>
      </w:tabs>
      <w:adjustRightInd w:val="0"/>
      <w:spacing w:line="436" w:lineRule="exact"/>
      <w:ind w:left="357"/>
      <w:jc w:val="left"/>
      <w:outlineLvl w:val="3"/>
    </w:pPr>
    <w:rPr>
      <w:rFonts w:ascii="Calibri" w:hAnsi="Calibri" w:eastAsia="Times New Roman"/>
      <w:sz w:val="18"/>
      <w:szCs w:val="20"/>
    </w:rPr>
  </w:style>
  <w:style w:type="paragraph" w:customStyle="1" w:styleId="138">
    <w:name w:val="引用111"/>
    <w:basedOn w:val="1"/>
    <w:next w:val="1"/>
    <w:link w:val="263"/>
    <w:qFormat/>
    <w:uiPriority w:val="0"/>
    <w:rPr>
      <w:i/>
      <w:iCs/>
      <w:color w:val="000000"/>
      <w:szCs w:val="20"/>
    </w:rPr>
  </w:style>
  <w:style w:type="paragraph" w:customStyle="1" w:styleId="139">
    <w:name w:val="_Style 87"/>
    <w:basedOn w:val="1"/>
    <w:qFormat/>
    <w:uiPriority w:val="99"/>
    <w:pPr>
      <w:ind w:firstLine="420" w:firstLineChars="200"/>
    </w:pPr>
    <w:rPr>
      <w:rFonts w:ascii="Calibri" w:hAnsi="Calibri"/>
      <w:sz w:val="28"/>
      <w:szCs w:val="28"/>
    </w:rPr>
  </w:style>
  <w:style w:type="paragraph" w:customStyle="1" w:styleId="140">
    <w:name w:val="自定样式1"/>
    <w:basedOn w:val="1"/>
    <w:qFormat/>
    <w:uiPriority w:val="0"/>
    <w:pPr>
      <w:suppressAutoHyphens/>
      <w:jc w:val="center"/>
    </w:pPr>
    <w:rPr>
      <w:rFonts w:ascii="宋体" w:hAnsi="宋体"/>
      <w:color w:val="000000"/>
      <w:sz w:val="18"/>
    </w:rPr>
  </w:style>
  <w:style w:type="paragraph" w:customStyle="1" w:styleId="141">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142">
    <w:name w:val="样式 标题 2 + Times New Roman 四号 非加粗 段前: 5 磅 段后: 0 磅 行距: 固定值 20..."/>
    <w:basedOn w:val="4"/>
    <w:qFormat/>
    <w:uiPriority w:val="0"/>
    <w:pPr>
      <w:spacing w:before="100" w:after="0" w:line="400" w:lineRule="exact"/>
    </w:pPr>
    <w:rPr>
      <w:rFonts w:ascii="Times New Roman" w:hAnsi="Times New Roman" w:eastAsia="黑体" w:cs="宋体"/>
      <w:b w:val="0"/>
      <w:bCs w:val="0"/>
      <w:sz w:val="28"/>
      <w:szCs w:val="20"/>
    </w:rPr>
  </w:style>
  <w:style w:type="character" w:customStyle="1" w:styleId="143">
    <w:name w:val="未处理的提及1"/>
    <w:unhideWhenUsed/>
    <w:qFormat/>
    <w:uiPriority w:val="99"/>
    <w:rPr>
      <w:color w:val="808080"/>
      <w:shd w:val="clear" w:color="auto" w:fill="E6E6E6"/>
    </w:rPr>
  </w:style>
  <w:style w:type="character" w:customStyle="1" w:styleId="144">
    <w:name w:val="正文文本 3 Char"/>
    <w:qFormat/>
    <w:uiPriority w:val="0"/>
    <w:rPr>
      <w:kern w:val="2"/>
      <w:sz w:val="16"/>
      <w:szCs w:val="16"/>
    </w:rPr>
  </w:style>
  <w:style w:type="character" w:customStyle="1" w:styleId="145">
    <w:name w:val="正文文本缩进 Char2"/>
    <w:semiHidden/>
    <w:qFormat/>
    <w:uiPriority w:val="99"/>
    <w:rPr>
      <w:rFonts w:ascii="Calibri" w:hAnsi="Calibri" w:eastAsia="宋体" w:cs="Times New Roman"/>
      <w:szCs w:val="24"/>
    </w:rPr>
  </w:style>
  <w:style w:type="character" w:customStyle="1" w:styleId="146">
    <w:name w:val="标题 3 Char"/>
    <w:qFormat/>
    <w:uiPriority w:val="0"/>
    <w:rPr>
      <w:rFonts w:ascii="仿宋_GB2312" w:hAnsi="Calibri" w:eastAsia="仿宋_GB2312" w:cs="Times New Roman"/>
      <w:b/>
      <w:kern w:val="0"/>
      <w:sz w:val="24"/>
      <w:szCs w:val="28"/>
    </w:rPr>
  </w:style>
  <w:style w:type="character" w:customStyle="1" w:styleId="147">
    <w:name w:val="批注框文本 Char2"/>
    <w:qFormat/>
    <w:uiPriority w:val="99"/>
    <w:rPr>
      <w:kern w:val="2"/>
      <w:sz w:val="18"/>
      <w:szCs w:val="18"/>
    </w:rPr>
  </w:style>
  <w:style w:type="character" w:customStyle="1" w:styleId="148">
    <w:name w:val="textcontents"/>
    <w:qFormat/>
    <w:uiPriority w:val="0"/>
    <w:rPr>
      <w:rFonts w:cs="Times New Roman"/>
    </w:rPr>
  </w:style>
  <w:style w:type="character" w:customStyle="1" w:styleId="149">
    <w:name w:val="ht1"/>
    <w:qFormat/>
    <w:uiPriority w:val="0"/>
    <w:rPr>
      <w:rFonts w:ascii="黑体" w:eastAsia="黑体"/>
      <w:b/>
      <w:bCs/>
    </w:rPr>
  </w:style>
  <w:style w:type="character" w:customStyle="1" w:styleId="150">
    <w:name w:val="标题 Char"/>
    <w:qFormat/>
    <w:uiPriority w:val="0"/>
    <w:rPr>
      <w:rFonts w:ascii="Cambria" w:hAnsi="Cambria" w:eastAsia="宋体" w:cs="Times New Roman"/>
      <w:b/>
      <w:bCs/>
      <w:kern w:val="2"/>
      <w:sz w:val="32"/>
      <w:szCs w:val="32"/>
    </w:rPr>
  </w:style>
  <w:style w:type="character" w:customStyle="1" w:styleId="151">
    <w:name w:val="14t1"/>
    <w:qFormat/>
    <w:uiPriority w:val="0"/>
    <w:rPr>
      <w:rFonts w:hint="eastAsia" w:ascii="宋体" w:hAnsi="宋体" w:eastAsia="宋体"/>
      <w:sz w:val="11"/>
      <w:szCs w:val="11"/>
    </w:rPr>
  </w:style>
  <w:style w:type="character" w:customStyle="1" w:styleId="152">
    <w:name w:val="Char Char36"/>
    <w:qFormat/>
    <w:uiPriority w:val="0"/>
    <w:rPr>
      <w:rFonts w:ascii="仿宋_GB2312" w:eastAsia="仿宋_GB2312" w:cs="MingLiU"/>
      <w:b/>
      <w:sz w:val="24"/>
      <w:szCs w:val="28"/>
    </w:rPr>
  </w:style>
  <w:style w:type="character" w:customStyle="1" w:styleId="153">
    <w:name w:val="文档结构图 Char"/>
    <w:qFormat/>
    <w:uiPriority w:val="0"/>
    <w:rPr>
      <w:rFonts w:ascii="宋体"/>
      <w:kern w:val="2"/>
      <w:sz w:val="18"/>
      <w:szCs w:val="18"/>
    </w:rPr>
  </w:style>
  <w:style w:type="character" w:customStyle="1" w:styleId="154">
    <w:name w:val="普通文字 Char Char2"/>
    <w:qFormat/>
    <w:uiPriority w:val="0"/>
    <w:rPr>
      <w:rFonts w:ascii="宋体" w:hAnsi="Courier New"/>
      <w:kern w:val="2"/>
      <w:sz w:val="28"/>
      <w:szCs w:val="28"/>
    </w:rPr>
  </w:style>
  <w:style w:type="character" w:customStyle="1" w:styleId="155">
    <w:name w:val="HTML 预设格式 Char"/>
    <w:qFormat/>
    <w:uiPriority w:val="0"/>
    <w:rPr>
      <w:rFonts w:ascii="宋体" w:hAnsi="宋体" w:eastAsia="宋体" w:cs="宋体"/>
      <w:color w:val="000000"/>
      <w:sz w:val="24"/>
      <w:szCs w:val="24"/>
    </w:rPr>
  </w:style>
  <w:style w:type="character" w:customStyle="1" w:styleId="156">
    <w:name w:val="纯文本 Char"/>
    <w:qFormat/>
    <w:uiPriority w:val="0"/>
    <w:rPr>
      <w:rFonts w:ascii="宋体" w:hAnsi="Courier New"/>
      <w:sz w:val="28"/>
      <w:szCs w:val="28"/>
    </w:rPr>
  </w:style>
  <w:style w:type="character" w:customStyle="1" w:styleId="157">
    <w:name w:val="批注框文本 Char"/>
    <w:qFormat/>
    <w:uiPriority w:val="0"/>
    <w:rPr>
      <w:sz w:val="18"/>
      <w:szCs w:val="18"/>
    </w:rPr>
  </w:style>
  <w:style w:type="character" w:customStyle="1" w:styleId="158">
    <w:name w:val="页脚 Char"/>
    <w:qFormat/>
    <w:uiPriority w:val="0"/>
    <w:rPr>
      <w:sz w:val="18"/>
      <w:szCs w:val="18"/>
    </w:rPr>
  </w:style>
  <w:style w:type="character" w:customStyle="1" w:styleId="159">
    <w:name w:val="标题 4 字符"/>
    <w:link w:val="6"/>
    <w:qFormat/>
    <w:uiPriority w:val="0"/>
    <w:rPr>
      <w:rFonts w:ascii="宋体" w:hAnsi="宋体" w:eastAsia="宋体" w:cs="宋体"/>
      <w:b/>
      <w:bCs/>
      <w:sz w:val="24"/>
      <w:szCs w:val="24"/>
      <w:lang w:val="en-US" w:eastAsia="zh-CN" w:bidi="ar-SA"/>
    </w:rPr>
  </w:style>
  <w:style w:type="character" w:customStyle="1" w:styleId="160">
    <w:name w:val="正文文本缩进 3 Char"/>
    <w:qFormat/>
    <w:uiPriority w:val="0"/>
    <w:rPr>
      <w:kern w:val="2"/>
      <w:sz w:val="16"/>
      <w:szCs w:val="16"/>
    </w:rPr>
  </w:style>
  <w:style w:type="character" w:customStyle="1" w:styleId="161">
    <w:name w:val="标题 8 Char"/>
    <w:qFormat/>
    <w:uiPriority w:val="0"/>
    <w:rPr>
      <w:rFonts w:ascii="Arial" w:hAnsi="Arial" w:eastAsia="黑体" w:cs="Times New Roman"/>
      <w:sz w:val="24"/>
      <w:szCs w:val="24"/>
    </w:rPr>
  </w:style>
  <w:style w:type="character" w:customStyle="1" w:styleId="162">
    <w:name w:val="HTML 预设格式 字符"/>
    <w:link w:val="40"/>
    <w:qFormat/>
    <w:uiPriority w:val="0"/>
    <w:rPr>
      <w:rFonts w:ascii="宋体" w:hAnsi="宋体" w:eastAsia="宋体" w:cs="宋体"/>
      <w:color w:val="000000"/>
      <w:sz w:val="24"/>
      <w:szCs w:val="24"/>
      <w:lang w:val="en-US" w:eastAsia="zh-CN" w:bidi="ar-SA"/>
    </w:rPr>
  </w:style>
  <w:style w:type="character" w:customStyle="1" w:styleId="163">
    <w:name w:val="文档结构图 字符"/>
    <w:link w:val="15"/>
    <w:qFormat/>
    <w:uiPriority w:val="0"/>
    <w:rPr>
      <w:rFonts w:eastAsia="宋体"/>
      <w:kern w:val="2"/>
      <w:sz w:val="21"/>
      <w:szCs w:val="24"/>
      <w:lang w:val="en-US" w:eastAsia="zh-CN" w:bidi="ar-SA"/>
    </w:rPr>
  </w:style>
  <w:style w:type="character" w:customStyle="1" w:styleId="164">
    <w:name w:val="正文文本缩进 2 Char1"/>
    <w:qFormat/>
    <w:uiPriority w:val="0"/>
    <w:rPr>
      <w:sz w:val="28"/>
      <w:szCs w:val="24"/>
    </w:rPr>
  </w:style>
  <w:style w:type="character" w:customStyle="1" w:styleId="165">
    <w:name w:val="标题 5 Char1"/>
    <w:qFormat/>
    <w:uiPriority w:val="0"/>
    <w:rPr>
      <w:rFonts w:ascii="宋体" w:hAnsi="宋体" w:eastAsia="宋体" w:cs="宋体"/>
      <w:b/>
      <w:bCs/>
      <w:sz w:val="20"/>
      <w:szCs w:val="20"/>
    </w:rPr>
  </w:style>
  <w:style w:type="character" w:customStyle="1" w:styleId="166">
    <w:name w:val="批注文字 Char"/>
    <w:qFormat/>
    <w:uiPriority w:val="0"/>
    <w:rPr>
      <w:rFonts w:ascii="Times New Roman" w:hAnsi="Times New Roman" w:eastAsia="宋体" w:cs="Times New Roman"/>
      <w:kern w:val="2"/>
      <w:sz w:val="21"/>
      <w:szCs w:val="24"/>
    </w:rPr>
  </w:style>
  <w:style w:type="character" w:customStyle="1" w:styleId="167">
    <w:name w:val="日期 字符"/>
    <w:link w:val="25"/>
    <w:qFormat/>
    <w:uiPriority w:val="0"/>
    <w:rPr>
      <w:rFonts w:eastAsia="宋体"/>
      <w:kern w:val="2"/>
      <w:sz w:val="21"/>
      <w:szCs w:val="24"/>
      <w:lang w:val="en-US" w:eastAsia="zh-CN" w:bidi="ar-SA"/>
    </w:rPr>
  </w:style>
  <w:style w:type="character" w:customStyle="1" w:styleId="168">
    <w:name w:val="style121"/>
    <w:qFormat/>
    <w:uiPriority w:val="0"/>
    <w:rPr>
      <w:rFonts w:hint="eastAsia" w:ascii="宋体" w:hAnsi="宋体" w:eastAsia="宋体"/>
      <w:sz w:val="18"/>
      <w:szCs w:val="18"/>
    </w:rPr>
  </w:style>
  <w:style w:type="character" w:customStyle="1" w:styleId="169">
    <w:name w:val="Section Char"/>
    <w:qFormat/>
    <w:uiPriority w:val="0"/>
    <w:rPr>
      <w:rFonts w:ascii="仿宋_GB2312" w:eastAsia="仿宋_GB2312" w:cs="MingLiU"/>
      <w:b/>
      <w:sz w:val="24"/>
      <w:szCs w:val="28"/>
      <w:lang w:val="en-US" w:eastAsia="zh-CN" w:bidi="ar-SA"/>
    </w:rPr>
  </w:style>
  <w:style w:type="character" w:customStyle="1" w:styleId="170">
    <w:name w:val="正文文本 3 Char1"/>
    <w:qFormat/>
    <w:uiPriority w:val="0"/>
    <w:rPr>
      <w:kern w:val="2"/>
      <w:sz w:val="16"/>
      <w:szCs w:val="16"/>
    </w:rPr>
  </w:style>
  <w:style w:type="character" w:customStyle="1" w:styleId="171">
    <w:name w:val="文档结构图 Char1"/>
    <w:qFormat/>
    <w:uiPriority w:val="0"/>
    <w:rPr>
      <w:rFonts w:ascii="宋体"/>
      <w:kern w:val="2"/>
      <w:sz w:val="18"/>
      <w:szCs w:val="18"/>
    </w:rPr>
  </w:style>
  <w:style w:type="character" w:customStyle="1" w:styleId="172">
    <w:name w:val="_Style 170"/>
    <w:qFormat/>
    <w:uiPriority w:val="0"/>
    <w:rPr>
      <w:i/>
      <w:iCs/>
      <w:color w:val="808080"/>
    </w:rPr>
  </w:style>
  <w:style w:type="character" w:customStyle="1" w:styleId="173">
    <w:name w:val="_Style 171"/>
    <w:qFormat/>
    <w:uiPriority w:val="0"/>
    <w:rPr>
      <w:b/>
      <w:bCs/>
      <w:smallCaps/>
      <w:color w:val="C0504D"/>
      <w:spacing w:val="5"/>
      <w:u w:val="single"/>
    </w:rPr>
  </w:style>
  <w:style w:type="character" w:customStyle="1" w:styleId="174">
    <w:name w:val="标题 9 Char"/>
    <w:qFormat/>
    <w:uiPriority w:val="0"/>
    <w:rPr>
      <w:rFonts w:ascii="Arial" w:hAnsi="Arial" w:eastAsia="黑体" w:cs="Times New Roman"/>
      <w:szCs w:val="21"/>
    </w:rPr>
  </w:style>
  <w:style w:type="character" w:customStyle="1" w:styleId="175">
    <w:name w:val="页眉 Char1"/>
    <w:semiHidden/>
    <w:qFormat/>
    <w:uiPriority w:val="99"/>
    <w:rPr>
      <w:kern w:val="2"/>
      <w:sz w:val="18"/>
      <w:szCs w:val="18"/>
    </w:rPr>
  </w:style>
  <w:style w:type="character" w:customStyle="1" w:styleId="176">
    <w:name w:val="_Style 174"/>
    <w:qFormat/>
    <w:uiPriority w:val="0"/>
    <w:rPr>
      <w:b/>
      <w:bCs/>
      <w:i/>
      <w:iCs/>
      <w:color w:val="4F81BD"/>
    </w:rPr>
  </w:style>
  <w:style w:type="character" w:customStyle="1" w:styleId="177">
    <w:name w:val="Char Char35"/>
    <w:qFormat/>
    <w:uiPriority w:val="0"/>
    <w:rPr>
      <w:rFonts w:ascii="仿宋_GB2312" w:eastAsia="仿宋_GB2312" w:cs="MingLiU"/>
      <w:b/>
      <w:sz w:val="24"/>
      <w:szCs w:val="28"/>
    </w:rPr>
  </w:style>
  <w:style w:type="character" w:customStyle="1" w:styleId="178">
    <w:name w:val="日期 Char2"/>
    <w:qFormat/>
    <w:uiPriority w:val="99"/>
    <w:rPr>
      <w:kern w:val="2"/>
      <w:sz w:val="21"/>
      <w:szCs w:val="24"/>
    </w:rPr>
  </w:style>
  <w:style w:type="character" w:customStyle="1" w:styleId="179">
    <w:name w:val="Char Char22"/>
    <w:qFormat/>
    <w:uiPriority w:val="0"/>
    <w:rPr>
      <w:b/>
      <w:bCs/>
      <w:kern w:val="2"/>
      <w:sz w:val="32"/>
      <w:szCs w:val="32"/>
    </w:rPr>
  </w:style>
  <w:style w:type="character" w:customStyle="1" w:styleId="180">
    <w:name w:val="正文文本缩进 2 Char2"/>
    <w:semiHidden/>
    <w:qFormat/>
    <w:uiPriority w:val="99"/>
    <w:rPr>
      <w:rFonts w:ascii="Calibri" w:hAnsi="Calibri" w:eastAsia="宋体" w:cs="Times New Roman"/>
      <w:szCs w:val="24"/>
    </w:rPr>
  </w:style>
  <w:style w:type="character" w:customStyle="1" w:styleId="181">
    <w:name w:val="明显强调1"/>
    <w:qFormat/>
    <w:uiPriority w:val="0"/>
    <w:rPr>
      <w:b/>
      <w:bCs/>
      <w:i/>
      <w:iCs/>
      <w:color w:val="4F81BD"/>
    </w:rPr>
  </w:style>
  <w:style w:type="character" w:customStyle="1" w:styleId="182">
    <w:name w:val="Char Char14"/>
    <w:qFormat/>
    <w:uiPriority w:val="0"/>
    <w:rPr>
      <w:kern w:val="2"/>
      <w:sz w:val="18"/>
      <w:szCs w:val="18"/>
    </w:rPr>
  </w:style>
  <w:style w:type="character" w:customStyle="1" w:styleId="183">
    <w:name w:val="s3"/>
    <w:qFormat/>
    <w:uiPriority w:val="0"/>
  </w:style>
  <w:style w:type="character" w:customStyle="1" w:styleId="184">
    <w:name w:val="标题 1 Char"/>
    <w:qFormat/>
    <w:uiPriority w:val="0"/>
    <w:rPr>
      <w:rFonts w:ascii="Times New Roman" w:hAnsi="Times New Roman" w:eastAsia="宋体" w:cs="Times New Roman"/>
      <w:b/>
      <w:bCs/>
      <w:kern w:val="44"/>
      <w:sz w:val="44"/>
      <w:szCs w:val="44"/>
    </w:rPr>
  </w:style>
  <w:style w:type="character" w:customStyle="1" w:styleId="185">
    <w:name w:val="日期 Char3"/>
    <w:semiHidden/>
    <w:qFormat/>
    <w:uiPriority w:val="99"/>
    <w:rPr>
      <w:rFonts w:ascii="Calibri" w:hAnsi="Calibri" w:eastAsia="宋体" w:cs="Times New Roman"/>
      <w:szCs w:val="24"/>
    </w:rPr>
  </w:style>
  <w:style w:type="character" w:customStyle="1" w:styleId="186">
    <w:name w:val="标题 1 字符"/>
    <w:link w:val="3"/>
    <w:qFormat/>
    <w:uiPriority w:val="0"/>
    <w:rPr>
      <w:rFonts w:eastAsia="宋体"/>
      <w:b/>
      <w:bCs/>
      <w:kern w:val="44"/>
      <w:sz w:val="44"/>
      <w:szCs w:val="44"/>
      <w:lang w:val="en-US" w:eastAsia="zh-CN" w:bidi="ar-SA"/>
    </w:rPr>
  </w:style>
  <w:style w:type="character" w:customStyle="1" w:styleId="187">
    <w:name w:val="title11"/>
    <w:qFormat/>
    <w:uiPriority w:val="0"/>
    <w:rPr>
      <w:b/>
      <w:bCs/>
      <w:color w:val="FFFFFF"/>
      <w:sz w:val="11"/>
      <w:szCs w:val="11"/>
    </w:rPr>
  </w:style>
  <w:style w:type="character" w:customStyle="1" w:styleId="188">
    <w:name w:val="明显引用 Char2"/>
    <w:qFormat/>
    <w:uiPriority w:val="99"/>
    <w:rPr>
      <w:b/>
      <w:bCs/>
      <w:i/>
      <w:iCs/>
      <w:color w:val="4F81BD"/>
      <w:kern w:val="2"/>
      <w:sz w:val="21"/>
      <w:szCs w:val="24"/>
    </w:rPr>
  </w:style>
  <w:style w:type="character" w:customStyle="1" w:styleId="189">
    <w:name w:val="引用 字符"/>
    <w:link w:val="118"/>
    <w:qFormat/>
    <w:uiPriority w:val="0"/>
    <w:rPr>
      <w:i/>
      <w:iCs/>
      <w:color w:val="000000"/>
      <w:kern w:val="2"/>
      <w:sz w:val="21"/>
      <w:szCs w:val="22"/>
      <w:lang w:bidi="ar-SA"/>
    </w:rPr>
  </w:style>
  <w:style w:type="character" w:customStyle="1" w:styleId="190">
    <w:name w:val="批注框文本 Char3"/>
    <w:semiHidden/>
    <w:qFormat/>
    <w:uiPriority w:val="99"/>
    <w:rPr>
      <w:rFonts w:ascii="Calibri" w:hAnsi="Calibri" w:eastAsia="宋体" w:cs="Times New Roman"/>
      <w:sz w:val="18"/>
      <w:szCs w:val="18"/>
    </w:rPr>
  </w:style>
  <w:style w:type="character" w:customStyle="1" w:styleId="191">
    <w:name w:val="标题 2 字符"/>
    <w:link w:val="4"/>
    <w:qFormat/>
    <w:uiPriority w:val="0"/>
    <w:rPr>
      <w:rFonts w:ascii="Cambria" w:hAnsi="Cambria" w:eastAsia="宋体"/>
      <w:b/>
      <w:bCs/>
      <w:kern w:val="2"/>
      <w:sz w:val="32"/>
      <w:szCs w:val="32"/>
      <w:lang w:val="en-US" w:eastAsia="zh-CN" w:bidi="ar-SA"/>
    </w:rPr>
  </w:style>
  <w:style w:type="character" w:customStyle="1" w:styleId="192">
    <w:name w:val="Char Char33"/>
    <w:qFormat/>
    <w:uiPriority w:val="0"/>
    <w:rPr>
      <w:rFonts w:ascii="仿宋_GB2312" w:eastAsia="仿宋_GB2312" w:cs="MingLiU"/>
      <w:b/>
      <w:sz w:val="24"/>
      <w:szCs w:val="28"/>
    </w:rPr>
  </w:style>
  <w:style w:type="character" w:customStyle="1" w:styleId="193">
    <w:name w:val="标题 2 Char"/>
    <w:qFormat/>
    <w:uiPriority w:val="0"/>
    <w:rPr>
      <w:rFonts w:ascii="仿宋_GB2312" w:hAnsi="Calibri" w:eastAsia="仿宋_GB2312" w:cs="Times New Roman"/>
      <w:b/>
      <w:spacing w:val="1"/>
      <w:w w:val="99"/>
      <w:kern w:val="0"/>
      <w:sz w:val="28"/>
      <w:szCs w:val="32"/>
    </w:rPr>
  </w:style>
  <w:style w:type="character" w:customStyle="1" w:styleId="194">
    <w:name w:val="l1"/>
    <w:basedOn w:val="48"/>
    <w:qFormat/>
    <w:uiPriority w:val="0"/>
  </w:style>
  <w:style w:type="character" w:customStyle="1" w:styleId="195">
    <w:name w:val="手改 Char Char"/>
    <w:qFormat/>
    <w:uiPriority w:val="0"/>
    <w:rPr>
      <w:kern w:val="2"/>
      <w:sz w:val="21"/>
      <w:szCs w:val="24"/>
    </w:rPr>
  </w:style>
  <w:style w:type="character" w:customStyle="1" w:styleId="196">
    <w:name w:val="style21"/>
    <w:qFormat/>
    <w:uiPriority w:val="0"/>
    <w:rPr>
      <w:b/>
      <w:bCs/>
      <w:sz w:val="28"/>
      <w:szCs w:val="28"/>
    </w:rPr>
  </w:style>
  <w:style w:type="character" w:customStyle="1" w:styleId="197">
    <w:name w:val="Char Char24"/>
    <w:qFormat/>
    <w:uiPriority w:val="0"/>
    <w:rPr>
      <w:b/>
      <w:bCs/>
      <w:kern w:val="44"/>
      <w:sz w:val="44"/>
      <w:szCs w:val="44"/>
    </w:rPr>
  </w:style>
  <w:style w:type="character" w:customStyle="1" w:styleId="198">
    <w:name w:val="页脚 字符"/>
    <w:link w:val="29"/>
    <w:qFormat/>
    <w:uiPriority w:val="0"/>
    <w:rPr>
      <w:rFonts w:eastAsia="宋体"/>
      <w:kern w:val="2"/>
      <w:sz w:val="18"/>
      <w:szCs w:val="18"/>
      <w:lang w:val="en-US" w:eastAsia="zh-CN" w:bidi="ar-SA"/>
    </w:rPr>
  </w:style>
  <w:style w:type="character" w:customStyle="1" w:styleId="199">
    <w:name w:val="_Style 197"/>
    <w:qFormat/>
    <w:uiPriority w:val="0"/>
    <w:rPr>
      <w:b/>
      <w:bCs/>
      <w:smallCaps/>
      <w:spacing w:val="5"/>
    </w:rPr>
  </w:style>
  <w:style w:type="character" w:customStyle="1" w:styleId="200">
    <w:name w:val="纯文本 Char1"/>
    <w:qFormat/>
    <w:uiPriority w:val="0"/>
    <w:rPr>
      <w:rFonts w:ascii="宋体" w:hAnsi="Courier New" w:cs="Courier New"/>
      <w:kern w:val="2"/>
      <w:sz w:val="21"/>
      <w:szCs w:val="21"/>
    </w:rPr>
  </w:style>
  <w:style w:type="character" w:customStyle="1" w:styleId="201">
    <w:name w:val="尾注文本 Char"/>
    <w:qFormat/>
    <w:uiPriority w:val="0"/>
    <w:rPr>
      <w:kern w:val="2"/>
      <w:sz w:val="21"/>
      <w:szCs w:val="24"/>
    </w:rPr>
  </w:style>
  <w:style w:type="character" w:customStyle="1" w:styleId="202">
    <w:name w:val="日期 Char1"/>
    <w:qFormat/>
    <w:uiPriority w:val="0"/>
    <w:rPr>
      <w:kern w:val="2"/>
      <w:sz w:val="21"/>
      <w:szCs w:val="22"/>
    </w:rPr>
  </w:style>
  <w:style w:type="character" w:customStyle="1" w:styleId="203">
    <w:name w:val="纯文本 字符"/>
    <w:link w:val="23"/>
    <w:qFormat/>
    <w:uiPriority w:val="0"/>
    <w:rPr>
      <w:rFonts w:ascii="宋体" w:hAnsi="Courier New" w:eastAsia="宋体" w:cs="Courier New"/>
      <w:kern w:val="2"/>
      <w:sz w:val="21"/>
      <w:szCs w:val="21"/>
      <w:lang w:val="en-US" w:eastAsia="zh-CN" w:bidi="ar-SA"/>
    </w:rPr>
  </w:style>
  <w:style w:type="character" w:customStyle="1" w:styleId="204">
    <w:name w:val="正文文本 Char1"/>
    <w:qFormat/>
    <w:uiPriority w:val="0"/>
    <w:rPr>
      <w:kern w:val="2"/>
      <w:sz w:val="21"/>
      <w:szCs w:val="22"/>
    </w:rPr>
  </w:style>
  <w:style w:type="character" w:customStyle="1" w:styleId="205">
    <w:name w:val="标题 9 Char1"/>
    <w:qFormat/>
    <w:uiPriority w:val="0"/>
    <w:rPr>
      <w:rFonts w:ascii="Times New Roman" w:hAnsi="Times New Roman" w:eastAsia="仿宋_GB2312" w:cs="Times New Roman"/>
      <w:sz w:val="30"/>
      <w:szCs w:val="20"/>
    </w:rPr>
  </w:style>
  <w:style w:type="character" w:customStyle="1" w:styleId="206">
    <w:name w:val="批注框文本 字符"/>
    <w:link w:val="28"/>
    <w:qFormat/>
    <w:uiPriority w:val="0"/>
    <w:rPr>
      <w:rFonts w:eastAsia="宋体"/>
      <w:kern w:val="2"/>
      <w:sz w:val="18"/>
      <w:szCs w:val="18"/>
      <w:lang w:val="en-US" w:eastAsia="zh-CN" w:bidi="ar-SA"/>
    </w:rPr>
  </w:style>
  <w:style w:type="character" w:customStyle="1" w:styleId="207">
    <w:name w:val="脚注文本 Char1"/>
    <w:qFormat/>
    <w:uiPriority w:val="0"/>
    <w:rPr>
      <w:rFonts w:ascii="Arial" w:hAnsi="Arial" w:cs="Arial"/>
      <w:sz w:val="18"/>
      <w:szCs w:val="18"/>
      <w:lang w:eastAsia="en-US"/>
    </w:rPr>
  </w:style>
  <w:style w:type="character" w:customStyle="1" w:styleId="208">
    <w:name w:val="正文文本缩进 Char"/>
    <w:qFormat/>
    <w:uiPriority w:val="0"/>
    <w:rPr>
      <w:rFonts w:ascii="黑体" w:hAnsi="宋体" w:eastAsia="黑体"/>
      <w:color w:val="000000"/>
      <w:sz w:val="28"/>
      <w:szCs w:val="32"/>
    </w:rPr>
  </w:style>
  <w:style w:type="character" w:customStyle="1" w:styleId="209">
    <w:name w:val="HTML 预设格式 Char1"/>
    <w:qFormat/>
    <w:uiPriority w:val="0"/>
    <w:rPr>
      <w:rFonts w:ascii="宋体" w:hAnsi="宋体" w:cs="宋体"/>
      <w:color w:val="000000"/>
      <w:sz w:val="24"/>
      <w:szCs w:val="24"/>
    </w:rPr>
  </w:style>
  <w:style w:type="character" w:customStyle="1" w:styleId="210">
    <w:name w:val="引用 Char3"/>
    <w:qFormat/>
    <w:uiPriority w:val="29"/>
    <w:rPr>
      <w:rFonts w:ascii="Calibri" w:hAnsi="Calibri" w:eastAsia="宋体" w:cs="Times New Roman"/>
      <w:i/>
      <w:iCs/>
      <w:color w:val="000000"/>
      <w:szCs w:val="24"/>
    </w:rPr>
  </w:style>
  <w:style w:type="character" w:customStyle="1" w:styleId="211">
    <w:name w:val="尾注文本 字符"/>
    <w:link w:val="27"/>
    <w:qFormat/>
    <w:uiPriority w:val="0"/>
    <w:rPr>
      <w:rFonts w:ascii="Arial" w:hAnsi="Arial" w:eastAsia="宋体" w:cs="Arial"/>
      <w:szCs w:val="24"/>
      <w:lang w:val="en-US" w:eastAsia="en-US" w:bidi="ar-SA"/>
    </w:rPr>
  </w:style>
  <w:style w:type="character" w:customStyle="1" w:styleId="212">
    <w:name w:val="标题 7 Char1"/>
    <w:qFormat/>
    <w:uiPriority w:val="0"/>
    <w:rPr>
      <w:rFonts w:ascii="Times New Roman" w:hAnsi="Times New Roman" w:eastAsia="仿宋_GB2312" w:cs="Times New Roman"/>
      <w:sz w:val="30"/>
      <w:szCs w:val="20"/>
    </w:rPr>
  </w:style>
  <w:style w:type="character" w:customStyle="1" w:styleId="213">
    <w:name w:val="普通文字 Char Char1"/>
    <w:qFormat/>
    <w:uiPriority w:val="0"/>
    <w:rPr>
      <w:rFonts w:ascii="宋体" w:hAnsi="Courier New"/>
      <w:kern w:val="2"/>
      <w:sz w:val="28"/>
      <w:szCs w:val="28"/>
    </w:rPr>
  </w:style>
  <w:style w:type="character" w:customStyle="1" w:styleId="214">
    <w:name w:val="明显参考1"/>
    <w:qFormat/>
    <w:uiPriority w:val="0"/>
    <w:rPr>
      <w:b/>
      <w:bCs/>
      <w:smallCaps/>
      <w:color w:val="C0504D"/>
      <w:spacing w:val="5"/>
      <w:u w:val="single"/>
    </w:rPr>
  </w:style>
  <w:style w:type="character" w:customStyle="1" w:styleId="215">
    <w:name w:val="正文文本缩进 Char1"/>
    <w:qFormat/>
    <w:uiPriority w:val="0"/>
    <w:rPr>
      <w:kern w:val="2"/>
      <w:sz w:val="21"/>
      <w:szCs w:val="24"/>
    </w:rPr>
  </w:style>
  <w:style w:type="character" w:customStyle="1" w:styleId="216">
    <w:name w:val="页眉 Char"/>
    <w:qFormat/>
    <w:uiPriority w:val="0"/>
    <w:rPr>
      <w:sz w:val="18"/>
      <w:szCs w:val="18"/>
    </w:rPr>
  </w:style>
  <w:style w:type="character" w:customStyle="1" w:styleId="217">
    <w:name w:val="style31"/>
    <w:qFormat/>
    <w:uiPriority w:val="0"/>
    <w:rPr>
      <w:sz w:val="10"/>
      <w:szCs w:val="10"/>
    </w:rPr>
  </w:style>
  <w:style w:type="character" w:customStyle="1" w:styleId="218">
    <w:name w:val="日期 Char"/>
    <w:qFormat/>
    <w:uiPriority w:val="0"/>
    <w:rPr>
      <w:rFonts w:eastAsia="宋体"/>
      <w:szCs w:val="24"/>
    </w:rPr>
  </w:style>
  <w:style w:type="character" w:customStyle="1" w:styleId="219">
    <w:name w:val="标题 1 Char1"/>
    <w:qFormat/>
    <w:uiPriority w:val="0"/>
    <w:rPr>
      <w:rFonts w:ascii="Times New Roman" w:hAnsi="Times New Roman" w:eastAsia="宋体" w:cs="Times New Roman"/>
      <w:b/>
      <w:bCs/>
      <w:kern w:val="44"/>
      <w:sz w:val="44"/>
      <w:szCs w:val="44"/>
    </w:rPr>
  </w:style>
  <w:style w:type="character" w:customStyle="1" w:styleId="220">
    <w:name w:val="main_tdbg_7601"/>
    <w:qFormat/>
    <w:uiPriority w:val="0"/>
    <w:rPr>
      <w:sz w:val="14"/>
      <w:szCs w:val="14"/>
    </w:rPr>
  </w:style>
  <w:style w:type="character" w:customStyle="1" w:styleId="221">
    <w:name w:val="尾注文本 Char1"/>
    <w:qFormat/>
    <w:uiPriority w:val="0"/>
    <w:rPr>
      <w:rFonts w:ascii="Arial" w:hAnsi="Arial" w:cs="Arial"/>
      <w:szCs w:val="24"/>
      <w:lang w:eastAsia="en-US"/>
    </w:rPr>
  </w:style>
  <w:style w:type="character" w:customStyle="1" w:styleId="222">
    <w:name w:val="副标题 Char2"/>
    <w:qFormat/>
    <w:uiPriority w:val="11"/>
    <w:rPr>
      <w:rFonts w:ascii="Cambria" w:hAnsi="Cambria" w:eastAsia="宋体" w:cs="Times New Roman"/>
      <w:b/>
      <w:bCs/>
      <w:kern w:val="28"/>
      <w:sz w:val="32"/>
      <w:szCs w:val="32"/>
    </w:rPr>
  </w:style>
  <w:style w:type="character" w:customStyle="1" w:styleId="223">
    <w:name w:val="正文文本缩进 3 Char2"/>
    <w:semiHidden/>
    <w:qFormat/>
    <w:uiPriority w:val="99"/>
    <w:rPr>
      <w:rFonts w:ascii="Calibri" w:hAnsi="Calibri" w:eastAsia="宋体" w:cs="Times New Roman"/>
      <w:sz w:val="16"/>
      <w:szCs w:val="16"/>
    </w:rPr>
  </w:style>
  <w:style w:type="character" w:customStyle="1" w:styleId="224">
    <w:name w:val="Char Char34"/>
    <w:qFormat/>
    <w:uiPriority w:val="0"/>
    <w:rPr>
      <w:rFonts w:ascii="仿宋_GB2312" w:eastAsia="仿宋_GB2312" w:cs="MingLiU"/>
      <w:b/>
      <w:spacing w:val="1"/>
      <w:w w:val="99"/>
      <w:sz w:val="28"/>
      <w:szCs w:val="32"/>
    </w:rPr>
  </w:style>
  <w:style w:type="character" w:customStyle="1" w:styleId="225">
    <w:name w:val="docpro"/>
    <w:basedOn w:val="48"/>
    <w:qFormat/>
    <w:uiPriority w:val="0"/>
  </w:style>
  <w:style w:type="character" w:customStyle="1" w:styleId="226">
    <w:name w:val="正文文本 字符"/>
    <w:link w:val="2"/>
    <w:qFormat/>
    <w:uiPriority w:val="0"/>
    <w:rPr>
      <w:rFonts w:eastAsia="宋体"/>
      <w:kern w:val="2"/>
      <w:sz w:val="21"/>
      <w:szCs w:val="24"/>
      <w:lang w:val="en-US" w:eastAsia="zh-CN" w:bidi="ar-SA"/>
    </w:rPr>
  </w:style>
  <w:style w:type="character" w:customStyle="1" w:styleId="227">
    <w:name w:val="ITTHEADER1 Char"/>
    <w:qFormat/>
    <w:uiPriority w:val="0"/>
    <w:rPr>
      <w:rFonts w:eastAsia="黑体"/>
      <w:kern w:val="2"/>
      <w:sz w:val="44"/>
      <w:szCs w:val="44"/>
      <w:lang w:val="en-US" w:eastAsia="zh-CN" w:bidi="ar-SA"/>
    </w:rPr>
  </w:style>
  <w:style w:type="character" w:customStyle="1" w:styleId="228">
    <w:name w:val="副标题 Char"/>
    <w:qFormat/>
    <w:uiPriority w:val="0"/>
    <w:rPr>
      <w:rFonts w:ascii="Cambria" w:hAnsi="Cambria" w:eastAsia="宋体" w:cs="Times New Roman"/>
      <w:b/>
      <w:bCs/>
      <w:kern w:val="28"/>
      <w:sz w:val="32"/>
      <w:szCs w:val="32"/>
    </w:rPr>
  </w:style>
  <w:style w:type="character" w:customStyle="1" w:styleId="229">
    <w:name w:val="标题 6 字符"/>
    <w:link w:val="8"/>
    <w:qFormat/>
    <w:uiPriority w:val="0"/>
    <w:rPr>
      <w:rFonts w:hAnsi="Arial" w:eastAsia="仿宋_GB2312"/>
      <w:sz w:val="30"/>
      <w:lang w:val="en-US" w:eastAsia="zh-CN" w:bidi="ar-SA"/>
    </w:rPr>
  </w:style>
  <w:style w:type="character" w:customStyle="1" w:styleId="230">
    <w:name w:val="标题 Char2"/>
    <w:qFormat/>
    <w:uiPriority w:val="10"/>
    <w:rPr>
      <w:rFonts w:ascii="Cambria" w:hAnsi="Cambria" w:eastAsia="宋体" w:cs="Times New Roman"/>
      <w:b/>
      <w:bCs/>
      <w:sz w:val="32"/>
      <w:szCs w:val="32"/>
    </w:rPr>
  </w:style>
  <w:style w:type="character" w:customStyle="1" w:styleId="231">
    <w:name w:val="正文文本 Char2"/>
    <w:qFormat/>
    <w:uiPriority w:val="99"/>
    <w:rPr>
      <w:kern w:val="2"/>
      <w:sz w:val="21"/>
      <w:szCs w:val="24"/>
    </w:rPr>
  </w:style>
  <w:style w:type="character" w:customStyle="1" w:styleId="232">
    <w:name w:val="正文文本 2 字符"/>
    <w:link w:val="39"/>
    <w:qFormat/>
    <w:uiPriority w:val="0"/>
    <w:rPr>
      <w:i/>
      <w:iCs/>
      <w:kern w:val="2"/>
      <w:sz w:val="26"/>
      <w:szCs w:val="24"/>
    </w:rPr>
  </w:style>
  <w:style w:type="character" w:customStyle="1" w:styleId="233">
    <w:name w:val="0d1471"/>
    <w:qFormat/>
    <w:uiPriority w:val="0"/>
    <w:rPr>
      <w:color w:val="000000"/>
      <w:sz w:val="11"/>
      <w:szCs w:val="11"/>
      <w:u w:val="none"/>
    </w:rPr>
  </w:style>
  <w:style w:type="character" w:customStyle="1" w:styleId="234">
    <w:name w:val="批注主题 Char"/>
    <w:qFormat/>
    <w:uiPriority w:val="0"/>
    <w:rPr>
      <w:rFonts w:ascii="宋体" w:hAnsi="宋体" w:eastAsia="宋体"/>
      <w:kern w:val="2"/>
      <w:sz w:val="24"/>
      <w:szCs w:val="28"/>
      <w:lang w:val="en-US" w:eastAsia="zh-CN" w:bidi="ar-SA"/>
    </w:rPr>
  </w:style>
  <w:style w:type="character" w:customStyle="1" w:styleId="235">
    <w:name w:val="正文文本 2 Char1"/>
    <w:semiHidden/>
    <w:qFormat/>
    <w:uiPriority w:val="99"/>
    <w:rPr>
      <w:rFonts w:ascii="Calibri" w:hAnsi="Calibri" w:eastAsia="宋体" w:cs="Times New Roman"/>
      <w:szCs w:val="24"/>
    </w:rPr>
  </w:style>
  <w:style w:type="character" w:customStyle="1" w:styleId="236">
    <w:name w:val="批注框文本 Char1"/>
    <w:qFormat/>
    <w:uiPriority w:val="0"/>
    <w:rPr>
      <w:kern w:val="2"/>
      <w:sz w:val="18"/>
      <w:szCs w:val="18"/>
    </w:rPr>
  </w:style>
  <w:style w:type="character" w:customStyle="1" w:styleId="237">
    <w:name w:val="标题 字符"/>
    <w:link w:val="43"/>
    <w:qFormat/>
    <w:uiPriority w:val="0"/>
    <w:rPr>
      <w:rFonts w:eastAsia="宋体"/>
      <w:szCs w:val="24"/>
      <w:u w:val="single"/>
      <w:lang w:val="en-US" w:eastAsia="en-US" w:bidi="ar-SA"/>
    </w:rPr>
  </w:style>
  <w:style w:type="character" w:customStyle="1" w:styleId="238">
    <w:name w:val="正文文本缩进 2 字符"/>
    <w:link w:val="26"/>
    <w:qFormat/>
    <w:uiPriority w:val="0"/>
    <w:rPr>
      <w:rFonts w:eastAsia="宋体"/>
      <w:sz w:val="28"/>
      <w:szCs w:val="24"/>
      <w:lang w:val="en-US" w:eastAsia="zh-CN" w:bidi="ar-SA"/>
    </w:rPr>
  </w:style>
  <w:style w:type="character" w:customStyle="1" w:styleId="239">
    <w:name w:val="引用 Char"/>
    <w:link w:val="116"/>
    <w:qFormat/>
    <w:uiPriority w:val="0"/>
    <w:rPr>
      <w:rFonts w:ascii="Times New Roman" w:hAnsi="Times New Roman" w:eastAsia="宋体" w:cs="Times New Roman"/>
      <w:i/>
      <w:iCs/>
      <w:color w:val="000000"/>
      <w:kern w:val="2"/>
      <w:sz w:val="21"/>
      <w:szCs w:val="24"/>
    </w:rPr>
  </w:style>
  <w:style w:type="character" w:customStyle="1" w:styleId="240">
    <w:name w:val="font161"/>
    <w:qFormat/>
    <w:uiPriority w:val="0"/>
    <w:rPr>
      <w:b/>
      <w:bCs/>
      <w:sz w:val="32"/>
      <w:szCs w:val="32"/>
    </w:rPr>
  </w:style>
  <w:style w:type="character" w:customStyle="1" w:styleId="241">
    <w:name w:val="正文文本缩进 字符"/>
    <w:link w:val="18"/>
    <w:qFormat/>
    <w:uiPriority w:val="0"/>
    <w:rPr>
      <w:rFonts w:eastAsia="宋体"/>
      <w:kern w:val="2"/>
      <w:sz w:val="21"/>
      <w:szCs w:val="24"/>
      <w:lang w:val="en-US" w:eastAsia="zh-CN" w:bidi="ar-SA"/>
    </w:rPr>
  </w:style>
  <w:style w:type="character" w:customStyle="1" w:styleId="242">
    <w:name w:val="标题 9 字符"/>
    <w:link w:val="12"/>
    <w:qFormat/>
    <w:uiPriority w:val="0"/>
    <w:rPr>
      <w:rFonts w:eastAsia="仿宋_GB2312"/>
      <w:sz w:val="30"/>
      <w:lang w:val="en-US" w:eastAsia="zh-CN" w:bidi="ar-SA"/>
    </w:rPr>
  </w:style>
  <w:style w:type="character" w:customStyle="1" w:styleId="243">
    <w:name w:val="标题 8 字符"/>
    <w:link w:val="11"/>
    <w:qFormat/>
    <w:uiPriority w:val="0"/>
    <w:rPr>
      <w:rFonts w:hAnsi="Arial" w:eastAsia="仿宋_GB2312"/>
      <w:sz w:val="30"/>
      <w:lang w:val="en-US" w:eastAsia="zh-CN" w:bidi="ar-SA"/>
    </w:rPr>
  </w:style>
  <w:style w:type="character" w:customStyle="1" w:styleId="244">
    <w:name w:val="Char Char32"/>
    <w:qFormat/>
    <w:uiPriority w:val="0"/>
    <w:rPr>
      <w:rFonts w:ascii="仿宋_GB2312" w:eastAsia="仿宋_GB2312" w:cs="MingLiU"/>
      <w:b/>
      <w:spacing w:val="1"/>
      <w:w w:val="99"/>
      <w:sz w:val="28"/>
      <w:szCs w:val="32"/>
    </w:rPr>
  </w:style>
  <w:style w:type="character" w:customStyle="1" w:styleId="245">
    <w:name w:val="正文文本缩进 3 字符"/>
    <w:link w:val="36"/>
    <w:qFormat/>
    <w:uiPriority w:val="0"/>
    <w:rPr>
      <w:rFonts w:ascii="宋体" w:hAnsi="宋体" w:eastAsia="宋体"/>
      <w:kern w:val="2"/>
      <w:sz w:val="28"/>
      <w:szCs w:val="28"/>
      <w:lang w:val="en-US" w:eastAsia="zh-CN" w:bidi="ar-SA"/>
    </w:rPr>
  </w:style>
  <w:style w:type="character" w:customStyle="1" w:styleId="246">
    <w:name w:val="标题 2 Char1"/>
    <w:qFormat/>
    <w:uiPriority w:val="0"/>
    <w:rPr>
      <w:rFonts w:ascii="Cambria" w:hAnsi="Cambria" w:eastAsia="宋体" w:cs="Times New Roman"/>
      <w:b/>
      <w:bCs/>
      <w:kern w:val="2"/>
      <w:sz w:val="32"/>
      <w:szCs w:val="32"/>
    </w:rPr>
  </w:style>
  <w:style w:type="character" w:customStyle="1" w:styleId="247">
    <w:name w:val="ss16"/>
    <w:qFormat/>
    <w:uiPriority w:val="0"/>
    <w:rPr>
      <w:rFonts w:hint="eastAsia" w:ascii="宋体" w:hAnsi="宋体" w:eastAsia="宋体"/>
      <w:color w:val="000000"/>
      <w:sz w:val="9"/>
      <w:szCs w:val="9"/>
    </w:rPr>
  </w:style>
  <w:style w:type="character" w:customStyle="1" w:styleId="248">
    <w:name w:val="批注主题 Char3"/>
    <w:semiHidden/>
    <w:qFormat/>
    <w:uiPriority w:val="99"/>
    <w:rPr>
      <w:rFonts w:ascii="Calibri" w:hAnsi="Calibri" w:eastAsia="宋体" w:cs="Times New Roman"/>
      <w:b/>
      <w:bCs/>
      <w:szCs w:val="24"/>
    </w:rPr>
  </w:style>
  <w:style w:type="character" w:customStyle="1" w:styleId="249">
    <w:name w:val="明显引用 Char1"/>
    <w:link w:val="133"/>
    <w:qFormat/>
    <w:uiPriority w:val="30"/>
    <w:rPr>
      <w:b/>
      <w:bCs/>
      <w:i/>
      <w:iCs/>
      <w:color w:val="4F81BD"/>
      <w:kern w:val="2"/>
      <w:sz w:val="21"/>
    </w:rPr>
  </w:style>
  <w:style w:type="character" w:customStyle="1" w:styleId="250">
    <w:name w:val="HTML 预设格式 Char2"/>
    <w:semiHidden/>
    <w:qFormat/>
    <w:uiPriority w:val="99"/>
    <w:rPr>
      <w:rFonts w:ascii="Courier New" w:hAnsi="Courier New" w:eastAsia="宋体" w:cs="Courier New"/>
      <w:sz w:val="20"/>
      <w:szCs w:val="20"/>
    </w:rPr>
  </w:style>
  <w:style w:type="character" w:customStyle="1" w:styleId="251">
    <w:name w:val="Char Char17"/>
    <w:qFormat/>
    <w:uiPriority w:val="0"/>
    <w:rPr>
      <w:kern w:val="2"/>
      <w:sz w:val="26"/>
      <w:szCs w:val="24"/>
    </w:rPr>
  </w:style>
  <w:style w:type="character" w:customStyle="1" w:styleId="252">
    <w:name w:val="标题 3 Char1"/>
    <w:qFormat/>
    <w:uiPriority w:val="0"/>
    <w:rPr>
      <w:rFonts w:ascii="Times New Roman" w:hAnsi="Times New Roman" w:eastAsia="宋体" w:cs="Times New Roman"/>
      <w:b/>
      <w:bCs/>
      <w:kern w:val="2"/>
      <w:sz w:val="32"/>
      <w:szCs w:val="32"/>
    </w:rPr>
  </w:style>
  <w:style w:type="character" w:customStyle="1" w:styleId="253">
    <w:name w:val="标题 5 Char"/>
    <w:qFormat/>
    <w:uiPriority w:val="0"/>
    <w:rPr>
      <w:rFonts w:ascii="Calibri" w:hAnsi="Calibri" w:eastAsia="宋体" w:cs="Times New Roman"/>
      <w:b/>
      <w:bCs/>
      <w:sz w:val="28"/>
      <w:szCs w:val="28"/>
    </w:rPr>
  </w:style>
  <w:style w:type="character" w:customStyle="1" w:styleId="254">
    <w:name w:val="页脚 Char1"/>
    <w:semiHidden/>
    <w:qFormat/>
    <w:uiPriority w:val="99"/>
    <w:rPr>
      <w:kern w:val="2"/>
      <w:sz w:val="18"/>
      <w:szCs w:val="18"/>
    </w:rPr>
  </w:style>
  <w:style w:type="character" w:customStyle="1" w:styleId="255">
    <w:name w:val="unnamed1"/>
    <w:basedOn w:val="48"/>
    <w:qFormat/>
    <w:uiPriority w:val="0"/>
  </w:style>
  <w:style w:type="character" w:customStyle="1" w:styleId="256">
    <w:name w:val="Char Char9"/>
    <w:qFormat/>
    <w:locked/>
    <w:uiPriority w:val="0"/>
    <w:rPr>
      <w:rFonts w:ascii="仿宋_GB2312" w:eastAsia="仿宋_GB2312" w:cs="MingLiU"/>
      <w:b/>
      <w:sz w:val="24"/>
      <w:szCs w:val="28"/>
      <w:lang w:val="en-US" w:eastAsia="zh-CN" w:bidi="ar-SA"/>
    </w:rPr>
  </w:style>
  <w:style w:type="character" w:customStyle="1" w:styleId="257">
    <w:name w:val="批注主题 Char1"/>
    <w:qFormat/>
    <w:uiPriority w:val="0"/>
    <w:rPr>
      <w:b/>
      <w:bCs/>
      <w:kern w:val="2"/>
      <w:sz w:val="21"/>
      <w:szCs w:val="22"/>
    </w:rPr>
  </w:style>
  <w:style w:type="character" w:customStyle="1" w:styleId="258">
    <w:name w:val="正文文本 3 字符"/>
    <w:link w:val="17"/>
    <w:qFormat/>
    <w:uiPriority w:val="0"/>
    <w:rPr>
      <w:rFonts w:eastAsia="宋体"/>
      <w:kern w:val="2"/>
      <w:sz w:val="16"/>
      <w:szCs w:val="16"/>
      <w:lang w:val="en-US" w:eastAsia="zh-CN" w:bidi="ar-SA"/>
    </w:rPr>
  </w:style>
  <w:style w:type="character" w:customStyle="1" w:styleId="259">
    <w:name w:val="纯文本 Char2"/>
    <w:semiHidden/>
    <w:qFormat/>
    <w:uiPriority w:val="99"/>
    <w:rPr>
      <w:rFonts w:ascii="宋体" w:hAnsi="Courier New" w:eastAsia="宋体" w:cs="Courier New"/>
      <w:szCs w:val="21"/>
    </w:rPr>
  </w:style>
  <w:style w:type="character" w:customStyle="1" w:styleId="260">
    <w:name w:val="intel3"/>
    <w:basedOn w:val="48"/>
    <w:qFormat/>
    <w:uiPriority w:val="0"/>
  </w:style>
  <w:style w:type="character" w:customStyle="1" w:styleId="261">
    <w:name w:val="subhead1"/>
    <w:qFormat/>
    <w:uiPriority w:val="0"/>
    <w:rPr>
      <w:rFonts w:hint="default" w:ascii="Tahoma" w:hAnsi="Tahoma" w:cs="Tahoma"/>
      <w:color w:val="000000"/>
      <w:sz w:val="18"/>
      <w:szCs w:val="18"/>
      <w:u w:val="none"/>
      <w:shd w:val="clear" w:color="auto" w:fill="FFFFFF"/>
    </w:rPr>
  </w:style>
  <w:style w:type="character" w:customStyle="1" w:styleId="262">
    <w:name w:val="脚注文本 Char"/>
    <w:qFormat/>
    <w:uiPriority w:val="0"/>
    <w:rPr>
      <w:rFonts w:ascii="Arial" w:hAnsi="Arial" w:eastAsia="宋体" w:cs="Arial"/>
      <w:sz w:val="18"/>
      <w:szCs w:val="18"/>
      <w:lang w:eastAsia="en-US"/>
    </w:rPr>
  </w:style>
  <w:style w:type="character" w:customStyle="1" w:styleId="263">
    <w:name w:val="引用 Char1"/>
    <w:link w:val="138"/>
    <w:qFormat/>
    <w:uiPriority w:val="29"/>
    <w:rPr>
      <w:i/>
      <w:iCs/>
      <w:color w:val="000000"/>
      <w:kern w:val="2"/>
      <w:sz w:val="21"/>
    </w:rPr>
  </w:style>
  <w:style w:type="character" w:customStyle="1" w:styleId="264">
    <w:name w:val="正文文本缩进 2 Char"/>
    <w:qFormat/>
    <w:uiPriority w:val="0"/>
    <w:rPr>
      <w:kern w:val="2"/>
      <w:sz w:val="21"/>
      <w:szCs w:val="24"/>
    </w:rPr>
  </w:style>
  <w:style w:type="character" w:customStyle="1" w:styleId="265">
    <w:name w:val="脚注文本 Char2"/>
    <w:semiHidden/>
    <w:qFormat/>
    <w:uiPriority w:val="99"/>
    <w:rPr>
      <w:rFonts w:ascii="Calibri" w:hAnsi="Calibri" w:eastAsia="宋体" w:cs="Times New Roman"/>
      <w:sz w:val="18"/>
      <w:szCs w:val="18"/>
    </w:rPr>
  </w:style>
  <w:style w:type="character" w:customStyle="1" w:styleId="266">
    <w:name w:val="ca-141"/>
    <w:qFormat/>
    <w:uiPriority w:val="0"/>
    <w:rPr>
      <w:rFonts w:hint="eastAsia" w:ascii="仿宋_GB2312" w:eastAsia="仿宋_GB2312"/>
      <w:sz w:val="21"/>
      <w:szCs w:val="21"/>
    </w:rPr>
  </w:style>
  <w:style w:type="character" w:customStyle="1" w:styleId="267">
    <w:name w:val="标题 Char1"/>
    <w:qFormat/>
    <w:uiPriority w:val="10"/>
    <w:rPr>
      <w:szCs w:val="24"/>
      <w:u w:val="single"/>
      <w:lang w:eastAsia="en-US"/>
    </w:rPr>
  </w:style>
  <w:style w:type="character" w:customStyle="1" w:styleId="268">
    <w:name w:val="style161"/>
    <w:qFormat/>
    <w:uiPriority w:val="0"/>
    <w:rPr>
      <w:b/>
      <w:bCs/>
      <w:color w:val="333333"/>
    </w:rPr>
  </w:style>
  <w:style w:type="character" w:customStyle="1" w:styleId="269">
    <w:name w:val="Char Char11"/>
    <w:qFormat/>
    <w:locked/>
    <w:uiPriority w:val="0"/>
    <w:rPr>
      <w:rFonts w:eastAsia="黑体"/>
      <w:kern w:val="2"/>
      <w:sz w:val="44"/>
      <w:szCs w:val="44"/>
      <w:lang w:val="en-US" w:eastAsia="zh-CN" w:bidi="ar-SA"/>
    </w:rPr>
  </w:style>
  <w:style w:type="character" w:customStyle="1" w:styleId="270">
    <w:name w:val="标题 7 Char"/>
    <w:qFormat/>
    <w:uiPriority w:val="0"/>
    <w:rPr>
      <w:rFonts w:ascii="Calibri" w:hAnsi="Calibri" w:eastAsia="宋体" w:cs="Times New Roman"/>
      <w:b/>
      <w:bCs/>
      <w:sz w:val="24"/>
      <w:szCs w:val="24"/>
    </w:rPr>
  </w:style>
  <w:style w:type="character" w:customStyle="1" w:styleId="271">
    <w:name w:val="批注文字 Char1"/>
    <w:qFormat/>
    <w:uiPriority w:val="99"/>
    <w:rPr>
      <w:rFonts w:ascii="Times New Roman" w:hAnsi="Times New Roman" w:eastAsia="宋体" w:cs="Times New Roman"/>
      <w:szCs w:val="24"/>
    </w:rPr>
  </w:style>
  <w:style w:type="character" w:customStyle="1" w:styleId="272">
    <w:name w:val="明显引用 Char"/>
    <w:qFormat/>
    <w:uiPriority w:val="0"/>
    <w:rPr>
      <w:rFonts w:ascii="Times New Roman" w:hAnsi="Times New Roman" w:eastAsia="宋体" w:cs="Times New Roman"/>
      <w:b/>
      <w:bCs/>
      <w:i/>
      <w:iCs/>
      <w:color w:val="4F81BD"/>
      <w:kern w:val="2"/>
      <w:sz w:val="21"/>
      <w:szCs w:val="24"/>
    </w:rPr>
  </w:style>
  <w:style w:type="character" w:customStyle="1" w:styleId="273">
    <w:name w:val="标题 5 字符"/>
    <w:link w:val="7"/>
    <w:qFormat/>
    <w:uiPriority w:val="0"/>
    <w:rPr>
      <w:rFonts w:ascii="宋体" w:hAnsi="宋体" w:eastAsia="宋体" w:cs="宋体"/>
      <w:b/>
      <w:bCs/>
      <w:lang w:val="en-US" w:eastAsia="zh-CN" w:bidi="ar-SA"/>
    </w:rPr>
  </w:style>
  <w:style w:type="character" w:customStyle="1" w:styleId="274">
    <w:name w:val="正文文本缩进 3 Char1"/>
    <w:qFormat/>
    <w:uiPriority w:val="0"/>
    <w:rPr>
      <w:rFonts w:ascii="宋体" w:hAnsi="宋体"/>
      <w:kern w:val="2"/>
      <w:sz w:val="28"/>
      <w:szCs w:val="28"/>
    </w:rPr>
  </w:style>
  <w:style w:type="character" w:customStyle="1" w:styleId="275">
    <w:name w:val="正文文本 Char"/>
    <w:qFormat/>
    <w:uiPriority w:val="0"/>
    <w:rPr>
      <w:sz w:val="26"/>
      <w:szCs w:val="24"/>
    </w:rPr>
  </w:style>
  <w:style w:type="character" w:customStyle="1" w:styleId="276">
    <w:name w:val="明显引用 字符"/>
    <w:link w:val="82"/>
    <w:qFormat/>
    <w:uiPriority w:val="0"/>
    <w:rPr>
      <w:b/>
      <w:bCs/>
      <w:i/>
      <w:iCs/>
      <w:color w:val="4F81BD"/>
      <w:kern w:val="2"/>
      <w:sz w:val="21"/>
      <w:szCs w:val="22"/>
      <w:lang w:bidi="ar-SA"/>
    </w:rPr>
  </w:style>
  <w:style w:type="character" w:customStyle="1" w:styleId="277">
    <w:name w:val="Char Char12"/>
    <w:qFormat/>
    <w:uiPriority w:val="0"/>
    <w:rPr>
      <w:rFonts w:eastAsia="黑体"/>
      <w:kern w:val="2"/>
      <w:sz w:val="44"/>
      <w:szCs w:val="44"/>
      <w:lang w:val="en-US" w:eastAsia="zh-CN" w:bidi="ar-SA"/>
    </w:rPr>
  </w:style>
  <w:style w:type="character" w:customStyle="1" w:styleId="278">
    <w:name w:val="标题 4 Char"/>
    <w:qFormat/>
    <w:uiPriority w:val="0"/>
    <w:rPr>
      <w:rFonts w:ascii="仿宋_GB2312" w:hAnsi="Calibri" w:eastAsia="仿宋_GB2312" w:cs="Times New Roman"/>
      <w:b/>
      <w:kern w:val="0"/>
      <w:sz w:val="24"/>
      <w:szCs w:val="28"/>
    </w:rPr>
  </w:style>
  <w:style w:type="character" w:customStyle="1" w:styleId="279">
    <w:name w:val="明显引用 Char3"/>
    <w:qFormat/>
    <w:uiPriority w:val="30"/>
    <w:rPr>
      <w:rFonts w:ascii="Calibri" w:hAnsi="Calibri" w:eastAsia="宋体" w:cs="Times New Roman"/>
      <w:b/>
      <w:bCs/>
      <w:i/>
      <w:iCs/>
      <w:color w:val="4F81BD"/>
      <w:szCs w:val="24"/>
    </w:rPr>
  </w:style>
  <w:style w:type="character" w:customStyle="1" w:styleId="280">
    <w:name w:val="引用 Char2"/>
    <w:qFormat/>
    <w:uiPriority w:val="99"/>
    <w:rPr>
      <w:i/>
      <w:iCs/>
      <w:color w:val="000000"/>
      <w:kern w:val="2"/>
      <w:sz w:val="21"/>
      <w:szCs w:val="24"/>
    </w:rPr>
  </w:style>
  <w:style w:type="character" w:customStyle="1" w:styleId="281">
    <w:name w:val="批注主题 字符"/>
    <w:link w:val="44"/>
    <w:qFormat/>
    <w:uiPriority w:val="0"/>
    <w:rPr>
      <w:rFonts w:eastAsia="宋体"/>
      <w:b/>
      <w:bCs/>
      <w:kern w:val="2"/>
      <w:sz w:val="21"/>
      <w:szCs w:val="24"/>
      <w:lang w:val="en-US" w:eastAsia="zh-CN" w:bidi="ar-SA"/>
    </w:rPr>
  </w:style>
  <w:style w:type="character" w:customStyle="1" w:styleId="282">
    <w:name w:val="不明显强调1"/>
    <w:qFormat/>
    <w:uiPriority w:val="0"/>
    <w:rPr>
      <w:i/>
      <w:iCs/>
      <w:color w:val="808080"/>
    </w:rPr>
  </w:style>
  <w:style w:type="character" w:customStyle="1" w:styleId="283">
    <w:name w:val="color_red1"/>
    <w:qFormat/>
    <w:uiPriority w:val="0"/>
    <w:rPr>
      <w:color w:val="FA0004"/>
    </w:rPr>
  </w:style>
  <w:style w:type="character" w:customStyle="1" w:styleId="284">
    <w:name w:val="标题 7 字符"/>
    <w:link w:val="10"/>
    <w:qFormat/>
    <w:uiPriority w:val="0"/>
    <w:rPr>
      <w:rFonts w:eastAsia="仿宋_GB2312"/>
      <w:sz w:val="30"/>
      <w:lang w:val="en-US" w:eastAsia="zh-CN" w:bidi="ar-SA"/>
    </w:rPr>
  </w:style>
  <w:style w:type="character" w:customStyle="1" w:styleId="285">
    <w:name w:val="标题5 Char Char"/>
    <w:link w:val="122"/>
    <w:qFormat/>
    <w:uiPriority w:val="0"/>
    <w:rPr>
      <w:rFonts w:ascii="Arial" w:hAnsi="Arial"/>
      <w:b/>
      <w:bCs/>
      <w:sz w:val="24"/>
      <w:szCs w:val="32"/>
      <w:lang w:bidi="ar-SA"/>
    </w:rPr>
  </w:style>
  <w:style w:type="character" w:customStyle="1" w:styleId="286">
    <w:name w:val="脚注文本 字符"/>
    <w:link w:val="34"/>
    <w:qFormat/>
    <w:uiPriority w:val="0"/>
    <w:rPr>
      <w:rFonts w:ascii="Arial" w:hAnsi="Arial" w:eastAsia="宋体" w:cs="Arial"/>
      <w:sz w:val="18"/>
      <w:szCs w:val="18"/>
      <w:lang w:val="en-US" w:eastAsia="en-US" w:bidi="ar-SA"/>
    </w:rPr>
  </w:style>
  <w:style w:type="character" w:customStyle="1" w:styleId="287">
    <w:name w:val="标题4 Char Char"/>
    <w:link w:val="92"/>
    <w:qFormat/>
    <w:uiPriority w:val="0"/>
    <w:rPr>
      <w:rFonts w:ascii="Arial" w:hAnsi="Arial"/>
      <w:b/>
      <w:bCs/>
      <w:sz w:val="24"/>
      <w:szCs w:val="32"/>
      <w:lang w:bidi="ar-SA"/>
    </w:rPr>
  </w:style>
  <w:style w:type="character" w:customStyle="1" w:styleId="288">
    <w:name w:val="Char Char13"/>
    <w:qFormat/>
    <w:uiPriority w:val="0"/>
    <w:rPr>
      <w:kern w:val="2"/>
      <w:sz w:val="18"/>
      <w:szCs w:val="18"/>
    </w:rPr>
  </w:style>
  <w:style w:type="character" w:customStyle="1" w:styleId="289">
    <w:name w:val="文档结构图 Char2"/>
    <w:qFormat/>
    <w:uiPriority w:val="99"/>
    <w:rPr>
      <w:kern w:val="2"/>
      <w:sz w:val="21"/>
      <w:szCs w:val="24"/>
      <w:shd w:val="clear" w:color="auto" w:fill="000080"/>
    </w:rPr>
  </w:style>
  <w:style w:type="character" w:customStyle="1" w:styleId="290">
    <w:name w:val="批注文字 Char2"/>
    <w:qFormat/>
    <w:uiPriority w:val="0"/>
    <w:rPr>
      <w:rFonts w:ascii="Calibri" w:hAnsi="Calibri" w:eastAsia="宋体" w:cs="Times New Roman"/>
      <w:szCs w:val="24"/>
    </w:rPr>
  </w:style>
  <w:style w:type="character" w:customStyle="1" w:styleId="291">
    <w:name w:val="标题 8 Char1"/>
    <w:qFormat/>
    <w:uiPriority w:val="0"/>
    <w:rPr>
      <w:rFonts w:ascii="Times New Roman" w:hAnsi="Arial" w:eastAsia="仿宋_GB2312" w:cs="Times New Roman"/>
      <w:sz w:val="30"/>
      <w:szCs w:val="20"/>
    </w:rPr>
  </w:style>
  <w:style w:type="character" w:customStyle="1" w:styleId="292">
    <w:name w:val="页眉 字符"/>
    <w:link w:val="30"/>
    <w:qFormat/>
    <w:uiPriority w:val="0"/>
    <w:rPr>
      <w:rFonts w:eastAsia="宋体"/>
      <w:kern w:val="2"/>
      <w:sz w:val="18"/>
      <w:szCs w:val="18"/>
      <w:lang w:val="en-US" w:eastAsia="zh-CN" w:bidi="ar-SA"/>
    </w:rPr>
  </w:style>
  <w:style w:type="character" w:customStyle="1" w:styleId="293">
    <w:name w:val="Char Char21"/>
    <w:qFormat/>
    <w:uiPriority w:val="0"/>
    <w:rPr>
      <w:rFonts w:ascii="宋体" w:hAnsi="宋体" w:cs="宋体"/>
      <w:b/>
      <w:bCs/>
      <w:sz w:val="24"/>
      <w:szCs w:val="24"/>
    </w:rPr>
  </w:style>
  <w:style w:type="character" w:customStyle="1" w:styleId="294">
    <w:name w:val="标题 6 Char1"/>
    <w:qFormat/>
    <w:uiPriority w:val="0"/>
    <w:rPr>
      <w:rFonts w:ascii="Times New Roman" w:hAnsi="Arial" w:eastAsia="仿宋_GB2312" w:cs="Times New Roman"/>
      <w:sz w:val="30"/>
      <w:szCs w:val="20"/>
    </w:rPr>
  </w:style>
  <w:style w:type="character" w:customStyle="1" w:styleId="295">
    <w:name w:val="_Style 293"/>
    <w:qFormat/>
    <w:uiPriority w:val="0"/>
    <w:rPr>
      <w:smallCaps/>
      <w:color w:val="C0504D"/>
      <w:u w:val="single"/>
    </w:rPr>
  </w:style>
  <w:style w:type="character" w:customStyle="1" w:styleId="296">
    <w:name w:val="副标题 Char1"/>
    <w:qFormat/>
    <w:uiPriority w:val="0"/>
    <w:rPr>
      <w:szCs w:val="24"/>
      <w:u w:val="single"/>
      <w:lang w:eastAsia="en-US"/>
    </w:rPr>
  </w:style>
  <w:style w:type="character" w:customStyle="1" w:styleId="297">
    <w:name w:val="正文文本 Char3"/>
    <w:semiHidden/>
    <w:qFormat/>
    <w:uiPriority w:val="99"/>
    <w:rPr>
      <w:rFonts w:ascii="Calibri" w:hAnsi="Calibri" w:eastAsia="宋体" w:cs="Times New Roman"/>
      <w:szCs w:val="24"/>
    </w:rPr>
  </w:style>
  <w:style w:type="character" w:customStyle="1" w:styleId="298">
    <w:name w:val="标题 4 Char1"/>
    <w:qFormat/>
    <w:uiPriority w:val="0"/>
    <w:rPr>
      <w:rFonts w:ascii="宋体" w:hAnsi="宋体" w:eastAsia="宋体" w:cs="宋体"/>
      <w:b/>
      <w:bCs/>
      <w:sz w:val="24"/>
      <w:szCs w:val="24"/>
    </w:rPr>
  </w:style>
  <w:style w:type="character" w:customStyle="1" w:styleId="299">
    <w:name w:val="文档结构图 Char3"/>
    <w:semiHidden/>
    <w:qFormat/>
    <w:uiPriority w:val="99"/>
    <w:rPr>
      <w:rFonts w:ascii="宋体" w:hAnsi="Calibri" w:eastAsia="宋体" w:cs="Times New Roman"/>
      <w:sz w:val="18"/>
      <w:szCs w:val="18"/>
    </w:rPr>
  </w:style>
  <w:style w:type="character" w:customStyle="1" w:styleId="300">
    <w:name w:val="标题 3 字符"/>
    <w:link w:val="5"/>
    <w:qFormat/>
    <w:uiPriority w:val="0"/>
    <w:rPr>
      <w:rFonts w:eastAsia="宋体"/>
      <w:b/>
      <w:bCs/>
      <w:kern w:val="2"/>
      <w:sz w:val="32"/>
      <w:szCs w:val="32"/>
      <w:lang w:val="en-US" w:eastAsia="zh-CN" w:bidi="ar-SA"/>
    </w:rPr>
  </w:style>
  <w:style w:type="character" w:customStyle="1" w:styleId="301">
    <w:name w:val="正文文本 3 Char2"/>
    <w:semiHidden/>
    <w:qFormat/>
    <w:uiPriority w:val="99"/>
    <w:rPr>
      <w:rFonts w:ascii="Calibri" w:hAnsi="Calibri" w:eastAsia="宋体" w:cs="Times New Roman"/>
      <w:sz w:val="16"/>
      <w:szCs w:val="16"/>
    </w:rPr>
  </w:style>
  <w:style w:type="character" w:customStyle="1" w:styleId="302">
    <w:name w:val="Char Char23"/>
    <w:qFormat/>
    <w:uiPriority w:val="0"/>
    <w:rPr>
      <w:rFonts w:ascii="Cambria" w:hAnsi="Cambria" w:eastAsia="宋体" w:cs="Times New Roman"/>
      <w:b/>
      <w:bCs/>
      <w:kern w:val="2"/>
      <w:sz w:val="32"/>
      <w:szCs w:val="32"/>
    </w:rPr>
  </w:style>
  <w:style w:type="character" w:customStyle="1" w:styleId="303">
    <w:name w:val="尾注文本 Char2"/>
    <w:semiHidden/>
    <w:qFormat/>
    <w:uiPriority w:val="99"/>
    <w:rPr>
      <w:rFonts w:ascii="Calibri" w:hAnsi="Calibri" w:eastAsia="宋体" w:cs="Times New Roman"/>
      <w:szCs w:val="24"/>
    </w:rPr>
  </w:style>
  <w:style w:type="character" w:customStyle="1" w:styleId="304">
    <w:name w:val="书籍标题1"/>
    <w:qFormat/>
    <w:uiPriority w:val="0"/>
    <w:rPr>
      <w:b/>
      <w:bCs/>
      <w:smallCaps/>
      <w:spacing w:val="5"/>
    </w:rPr>
  </w:style>
  <w:style w:type="character" w:customStyle="1" w:styleId="305">
    <w:name w:val="ITTHEADER2 Char"/>
    <w:qFormat/>
    <w:uiPriority w:val="0"/>
    <w:rPr>
      <w:rFonts w:ascii="仿宋_GB2312" w:eastAsia="仿宋_GB2312" w:cs="MingLiU"/>
      <w:b/>
      <w:spacing w:val="1"/>
      <w:w w:val="99"/>
      <w:sz w:val="28"/>
      <w:szCs w:val="32"/>
      <w:lang w:val="en-US" w:eastAsia="zh-CN" w:bidi="ar-SA"/>
    </w:rPr>
  </w:style>
  <w:style w:type="character" w:customStyle="1" w:styleId="306">
    <w:name w:val="批注文字 字符"/>
    <w:link w:val="16"/>
    <w:qFormat/>
    <w:uiPriority w:val="99"/>
    <w:rPr>
      <w:rFonts w:eastAsia="宋体"/>
      <w:kern w:val="2"/>
      <w:sz w:val="21"/>
      <w:szCs w:val="24"/>
      <w:lang w:val="en-US" w:eastAsia="zh-CN" w:bidi="ar-SA"/>
    </w:rPr>
  </w:style>
  <w:style w:type="character" w:customStyle="1" w:styleId="307">
    <w:name w:val="批注文字 Char Char"/>
    <w:qFormat/>
    <w:uiPriority w:val="0"/>
    <w:rPr>
      <w:rFonts w:ascii="宋体" w:hAnsi="Times New Roman" w:eastAsia="宋体" w:cs="Times New Roman"/>
      <w:sz w:val="28"/>
      <w:szCs w:val="20"/>
    </w:rPr>
  </w:style>
  <w:style w:type="character" w:customStyle="1" w:styleId="308">
    <w:name w:val="副标题 字符"/>
    <w:link w:val="33"/>
    <w:qFormat/>
    <w:uiPriority w:val="0"/>
    <w:rPr>
      <w:rFonts w:eastAsia="宋体"/>
      <w:szCs w:val="24"/>
      <w:u w:val="single"/>
      <w:lang w:val="en-US" w:eastAsia="en-US" w:bidi="ar-SA"/>
    </w:rPr>
  </w:style>
  <w:style w:type="character" w:customStyle="1" w:styleId="309">
    <w:name w:val="批注主题 Char2"/>
    <w:qFormat/>
    <w:uiPriority w:val="99"/>
    <w:rPr>
      <w:b/>
      <w:bCs/>
      <w:kern w:val="2"/>
      <w:sz w:val="21"/>
      <w:szCs w:val="24"/>
    </w:rPr>
  </w:style>
  <w:style w:type="character" w:customStyle="1" w:styleId="310">
    <w:name w:val="normaltext1"/>
    <w:qFormat/>
    <w:uiPriority w:val="0"/>
    <w:rPr>
      <w:rFonts w:hint="default" w:ascii="ˎ̥" w:hAnsi="ˎ̥"/>
      <w:sz w:val="9"/>
      <w:szCs w:val="9"/>
    </w:rPr>
  </w:style>
  <w:style w:type="character" w:customStyle="1" w:styleId="311">
    <w:name w:val="不明显参考1"/>
    <w:qFormat/>
    <w:uiPriority w:val="0"/>
    <w:rPr>
      <w:smallCaps/>
      <w:color w:val="C0504D"/>
      <w:u w:val="single"/>
    </w:rPr>
  </w:style>
  <w:style w:type="character" w:customStyle="1" w:styleId="312">
    <w:name w:val="标题 6 Char"/>
    <w:qFormat/>
    <w:uiPriority w:val="0"/>
    <w:rPr>
      <w:rFonts w:ascii="Arial" w:hAnsi="Arial" w:eastAsia="黑体" w:cs="Times New Roman"/>
      <w:b/>
      <w:bCs/>
      <w:sz w:val="24"/>
      <w:szCs w:val="24"/>
    </w:rPr>
  </w:style>
  <w:style w:type="paragraph" w:customStyle="1" w:styleId="313">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314">
    <w:name w:val="_Style 1"/>
    <w:basedOn w:val="1"/>
    <w:qFormat/>
    <w:uiPriority w:val="34"/>
    <w:pPr>
      <w:ind w:firstLine="420" w:firstLineChars="200"/>
    </w:pPr>
  </w:style>
  <w:style w:type="paragraph" w:customStyle="1" w:styleId="315">
    <w:name w:val="列出段落111"/>
    <w:basedOn w:val="1"/>
    <w:qFormat/>
    <w:uiPriority w:val="0"/>
    <w:pPr>
      <w:ind w:firstLine="420" w:firstLineChars="200"/>
    </w:pPr>
    <w:rPr>
      <w:sz w:val="28"/>
      <w:szCs w:val="28"/>
    </w:rPr>
  </w:style>
  <w:style w:type="paragraph" w:customStyle="1" w:styleId="316">
    <w:name w:val="明显引用12"/>
    <w:basedOn w:val="1"/>
    <w:next w:val="1"/>
    <w:qFormat/>
    <w:uiPriority w:val="30"/>
    <w:pPr>
      <w:pBdr>
        <w:bottom w:val="single" w:color="4F81BD" w:sz="4" w:space="4"/>
      </w:pBdr>
      <w:spacing w:before="200" w:after="280"/>
      <w:ind w:left="936" w:right="936"/>
    </w:pPr>
    <w:rPr>
      <w:b/>
      <w:bCs/>
      <w:i/>
      <w:iCs/>
      <w:color w:val="4F81BD"/>
      <w:szCs w:val="20"/>
    </w:rPr>
  </w:style>
  <w:style w:type="paragraph" w:customStyle="1" w:styleId="317">
    <w:name w:val="引用11"/>
    <w:basedOn w:val="1"/>
    <w:next w:val="1"/>
    <w:qFormat/>
    <w:uiPriority w:val="29"/>
    <w:rPr>
      <w:i/>
      <w:iCs/>
      <w:color w:val="000000"/>
      <w:szCs w:val="20"/>
    </w:rPr>
  </w:style>
  <w:style w:type="paragraph" w:customStyle="1" w:styleId="318">
    <w:name w:val="Table Paragraph"/>
    <w:basedOn w:val="1"/>
    <w:qFormat/>
    <w:uiPriority w:val="1"/>
    <w:pPr>
      <w:autoSpaceDE w:val="0"/>
      <w:autoSpaceDN w:val="0"/>
      <w:jc w:val="left"/>
    </w:pPr>
    <w:rPr>
      <w:rFonts w:ascii="宋体" w:hAnsi="宋体" w:cs="宋体"/>
      <w:kern w:val="0"/>
      <w:sz w:val="22"/>
      <w:szCs w:val="22"/>
    </w:rPr>
  </w:style>
  <w:style w:type="paragraph" w:styleId="319">
    <w:name w:val="List Paragraph"/>
    <w:basedOn w:val="1"/>
    <w:qFormat/>
    <w:uiPriority w:val="99"/>
    <w:pPr>
      <w:ind w:firstLine="420" w:firstLineChars="200"/>
    </w:pPr>
  </w:style>
  <w:style w:type="character" w:customStyle="1" w:styleId="320">
    <w:name w:val="正文文本首行缩进 2 字符"/>
    <w:basedOn w:val="241"/>
    <w:link w:val="45"/>
    <w:qFormat/>
    <w:uiPriority w:val="0"/>
    <w:rPr>
      <w:rFonts w:eastAsia="宋体"/>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wmf"/><Relationship Id="rId8" Type="http://schemas.openxmlformats.org/officeDocument/2006/relationships/oleObject" Target="embeddings/oleObject1.bin"/><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5.wmf"/><Relationship Id="rId16" Type="http://schemas.openxmlformats.org/officeDocument/2006/relationships/oleObject" Target="embeddings/oleObject5.bin"/><Relationship Id="rId15" Type="http://schemas.openxmlformats.org/officeDocument/2006/relationships/image" Target="media/image4.wmf"/><Relationship Id="rId14" Type="http://schemas.openxmlformats.org/officeDocument/2006/relationships/oleObject" Target="embeddings/oleObject4.bin"/><Relationship Id="rId13" Type="http://schemas.openxmlformats.org/officeDocument/2006/relationships/image" Target="media/image3.wmf"/><Relationship Id="rId12" Type="http://schemas.openxmlformats.org/officeDocument/2006/relationships/oleObject" Target="embeddings/oleObject3.bin"/><Relationship Id="rId11" Type="http://schemas.openxmlformats.org/officeDocument/2006/relationships/image" Target="media/image2.wmf"/><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81196E1-87FF-4E48-BD01-655B38EF27DB}">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226</Pages>
  <Words>1390</Words>
  <Characters>1648</Characters>
  <Lines>1185</Lines>
  <Paragraphs>333</Paragraphs>
  <TotalTime>35</TotalTime>
  <ScaleCrop>false</ScaleCrop>
  <LinksUpToDate>false</LinksUpToDate>
  <CharactersWithSpaces>1919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2021-12-17T10:44:00Z</dcterms:created>
  <dc:creator>USER</dc:creator>
  <cp:lastModifiedBy>DELL0108</cp:lastModifiedBy>
  <cp:lastPrinted>2019-02-01T08:39:00Z</cp:lastPrinted>
  <dcterms:modified xsi:type="dcterms:W3CDTF">2025-04-30T07:32:01Z</dcterms:modified>
  <dc:title>第一卷</dc:title>
  <cp:revision>291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E1393665BFC74FB587F197378C18F2EE</vt:lpwstr>
  </property>
  <property fmtid="{D5CDD505-2E9C-101B-9397-08002B2CF9AE}" pid="4" name="KSOTemplateDocerSaveRecord">
    <vt:lpwstr>eyJoZGlkIjoiNmMyN2VmMzI0N2RhNjNkYjFiZmM2ZWY4MDVhZDNiY2IiLCJ1c2VySWQiOiIyNDI2ODUwMzIifQ==</vt:lpwstr>
  </property>
</Properties>
</file>