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olor w:val="auto"/>
          <w:sz w:val="112"/>
          <w:szCs w:val="112"/>
          <w:highlight w:val="none"/>
        </w:rPr>
      </w:pPr>
    </w:p>
    <w:p>
      <w:pPr>
        <w:ind w:firstLine="1120" w:firstLineChars="100"/>
        <w:rPr>
          <w:rFonts w:ascii="宋体" w:hAnsi="宋体" w:eastAsia="宋体"/>
          <w:color w:val="auto"/>
          <w:sz w:val="112"/>
          <w:szCs w:val="112"/>
          <w:highlight w:val="none"/>
        </w:rPr>
      </w:pPr>
      <w:bookmarkStart w:id="0" w:name="_Toc25448"/>
      <w:r>
        <w:rPr>
          <w:rFonts w:hint="eastAsia" w:ascii="宋体" w:hAnsi="宋体" w:eastAsia="宋体"/>
          <w:color w:val="auto"/>
          <w:sz w:val="112"/>
          <w:szCs w:val="112"/>
          <w:highlight w:val="none"/>
        </w:rPr>
        <w:t>竞争性磋商文件</w:t>
      </w:r>
      <w:bookmarkEnd w:id="0"/>
    </w:p>
    <w:p>
      <w:pPr>
        <w:spacing w:line="700" w:lineRule="exact"/>
        <w:jc w:val="center"/>
        <w:rPr>
          <w:rFonts w:ascii="宋体" w:hAnsi="宋体" w:eastAsia="宋体"/>
          <w:color w:val="auto"/>
          <w:sz w:val="32"/>
          <w:highlight w:val="none"/>
        </w:rPr>
      </w:pPr>
    </w:p>
    <w:p>
      <w:pPr>
        <w:spacing w:line="700" w:lineRule="exact"/>
        <w:jc w:val="center"/>
        <w:rPr>
          <w:rFonts w:ascii="宋体" w:hAnsi="宋体" w:eastAsia="宋体"/>
          <w:color w:val="auto"/>
          <w:sz w:val="32"/>
          <w:highlight w:val="none"/>
        </w:rPr>
      </w:pPr>
    </w:p>
    <w:p>
      <w:pPr>
        <w:spacing w:line="700" w:lineRule="exact"/>
        <w:jc w:val="center"/>
        <w:rPr>
          <w:rFonts w:ascii="宋体" w:hAnsi="宋体" w:eastAsia="宋体"/>
          <w:color w:val="auto"/>
          <w:sz w:val="32"/>
          <w:highlight w:val="none"/>
        </w:rPr>
      </w:pPr>
    </w:p>
    <w:p>
      <w:pPr>
        <w:spacing w:line="700" w:lineRule="exact"/>
        <w:ind w:firstLine="723" w:firstLineChars="200"/>
        <w:rPr>
          <w:rFonts w:hint="eastAsia" w:ascii="宋体" w:hAnsi="宋体" w:eastAsia="宋体"/>
          <w:b/>
          <w:color w:val="auto"/>
          <w:sz w:val="36"/>
          <w:szCs w:val="30"/>
          <w:highlight w:val="none"/>
        </w:rPr>
      </w:pPr>
      <w:r>
        <w:rPr>
          <w:rFonts w:hint="eastAsia" w:ascii="宋体" w:hAnsi="宋体" w:eastAsia="宋体"/>
          <w:b/>
          <w:color w:val="auto"/>
          <w:sz w:val="36"/>
          <w:szCs w:val="30"/>
          <w:highlight w:val="none"/>
        </w:rPr>
        <w:t xml:space="preserve">项   目   号： </w:t>
      </w:r>
    </w:p>
    <w:p>
      <w:pPr>
        <w:spacing w:line="700" w:lineRule="exact"/>
        <w:ind w:firstLine="723" w:firstLineChars="200"/>
        <w:rPr>
          <w:rFonts w:hint="default" w:ascii="宋体" w:hAnsi="宋体" w:eastAsia="宋体"/>
          <w:b/>
          <w:color w:val="auto"/>
          <w:sz w:val="36"/>
          <w:szCs w:val="30"/>
          <w:highlight w:val="none"/>
          <w:lang w:val="en-US" w:eastAsia="zh-CN"/>
        </w:rPr>
      </w:pPr>
      <w:r>
        <w:rPr>
          <w:rFonts w:hint="eastAsia" w:ascii="宋体" w:hAnsi="宋体" w:eastAsia="宋体"/>
          <w:b/>
          <w:color w:val="auto"/>
          <w:sz w:val="36"/>
          <w:szCs w:val="30"/>
          <w:highlight w:val="none"/>
        </w:rPr>
        <w:t>磋商项目编号：TZC-（招）-咨字-2022-A0</w:t>
      </w:r>
      <w:r>
        <w:rPr>
          <w:rFonts w:hint="eastAsia" w:ascii="宋体" w:hAnsi="宋体" w:eastAsia="宋体"/>
          <w:b/>
          <w:color w:val="auto"/>
          <w:sz w:val="36"/>
          <w:szCs w:val="30"/>
          <w:highlight w:val="none"/>
          <w:lang w:val="en-US" w:eastAsia="zh-CN"/>
        </w:rPr>
        <w:t>29</w:t>
      </w:r>
    </w:p>
    <w:p>
      <w:pPr>
        <w:pStyle w:val="2"/>
        <w:rPr>
          <w:color w:val="auto"/>
        </w:rPr>
      </w:pPr>
    </w:p>
    <w:p>
      <w:pPr>
        <w:keepNext/>
        <w:keepLines/>
        <w:spacing w:line="413" w:lineRule="auto"/>
        <w:ind w:left="2527" w:leftChars="300" w:hanging="1807" w:hangingChars="500"/>
        <w:rPr>
          <w:rFonts w:ascii="宋体" w:hAnsi="宋体" w:eastAsia="宋体"/>
          <w:b/>
          <w:color w:val="auto"/>
          <w:sz w:val="36"/>
          <w:szCs w:val="30"/>
          <w:highlight w:val="none"/>
        </w:rPr>
      </w:pPr>
      <w:r>
        <w:rPr>
          <w:rFonts w:hint="eastAsia" w:ascii="宋体" w:hAnsi="宋体" w:eastAsia="宋体"/>
          <w:b/>
          <w:color w:val="auto"/>
          <w:sz w:val="36"/>
          <w:szCs w:val="30"/>
          <w:highlight w:val="none"/>
        </w:rPr>
        <w:t>采购项目名称：</w:t>
      </w:r>
      <w:bookmarkStart w:id="1" w:name="_Toc23588"/>
      <w:r>
        <w:rPr>
          <w:rFonts w:hint="eastAsia" w:ascii="宋体" w:hAnsi="宋体" w:eastAsia="宋体"/>
          <w:b/>
          <w:color w:val="auto"/>
          <w:sz w:val="36"/>
          <w:szCs w:val="30"/>
          <w:highlight w:val="none"/>
          <w:lang w:val="en-US" w:eastAsia="zh-CN"/>
        </w:rPr>
        <w:t>市竞训中心A栋转训楼维修工程</w:t>
      </w:r>
    </w:p>
    <w:p>
      <w:pPr>
        <w:spacing w:line="700" w:lineRule="exact"/>
        <w:ind w:firstLine="723" w:firstLineChars="200"/>
        <w:rPr>
          <w:rFonts w:ascii="宋体" w:hAnsi="宋体" w:eastAsia="宋体"/>
          <w:b/>
          <w:color w:val="auto"/>
          <w:sz w:val="36"/>
          <w:szCs w:val="30"/>
          <w:highlight w:val="none"/>
        </w:rPr>
      </w:pPr>
    </w:p>
    <w:p>
      <w:pPr>
        <w:spacing w:line="700" w:lineRule="exact"/>
        <w:ind w:firstLine="723" w:firstLineChars="200"/>
        <w:rPr>
          <w:rFonts w:ascii="宋体" w:hAnsi="宋体" w:eastAsia="宋体"/>
          <w:b/>
          <w:color w:val="auto"/>
          <w:sz w:val="36"/>
          <w:szCs w:val="30"/>
          <w:highlight w:val="none"/>
        </w:rPr>
      </w:pPr>
    </w:p>
    <w:p>
      <w:pPr>
        <w:pStyle w:val="60"/>
        <w:spacing w:after="0"/>
        <w:rPr>
          <w:color w:val="auto"/>
          <w:highlight w:val="none"/>
        </w:rPr>
      </w:pPr>
    </w:p>
    <w:p>
      <w:pPr>
        <w:spacing w:line="700" w:lineRule="exact"/>
        <w:rPr>
          <w:rFonts w:ascii="宋体" w:hAnsi="宋体" w:eastAsia="宋体"/>
          <w:b/>
          <w:color w:val="auto"/>
          <w:sz w:val="36"/>
          <w:szCs w:val="30"/>
          <w:highlight w:val="none"/>
        </w:rPr>
      </w:pPr>
    </w:p>
    <w:p>
      <w:pPr>
        <w:spacing w:line="700" w:lineRule="exact"/>
        <w:ind w:firstLine="723" w:firstLineChars="200"/>
        <w:rPr>
          <w:rFonts w:hint="eastAsia" w:ascii="宋体" w:hAnsi="宋体" w:eastAsia="宋体"/>
          <w:b/>
          <w:color w:val="auto"/>
          <w:sz w:val="36"/>
          <w:szCs w:val="30"/>
          <w:highlight w:val="none"/>
        </w:rPr>
      </w:pPr>
      <w:r>
        <w:rPr>
          <w:rFonts w:hint="eastAsia" w:ascii="宋体" w:hAnsi="宋体" w:eastAsia="宋体"/>
          <w:b/>
          <w:color w:val="auto"/>
          <w:sz w:val="36"/>
          <w:szCs w:val="30"/>
          <w:highlight w:val="none"/>
        </w:rPr>
        <w:t>采购人：</w:t>
      </w:r>
      <w:bookmarkEnd w:id="1"/>
      <w:bookmarkStart w:id="2" w:name="_Toc13689"/>
      <w:r>
        <w:rPr>
          <w:rFonts w:hint="eastAsia" w:ascii="宋体" w:hAnsi="宋体" w:eastAsia="宋体" w:cs="宋体"/>
          <w:b/>
          <w:color w:val="auto"/>
          <w:sz w:val="36"/>
          <w:highlight w:val="none"/>
          <w:lang w:eastAsia="zh-CN"/>
        </w:rPr>
        <w:t>重庆市体育设施建设维护中心</w:t>
      </w:r>
    </w:p>
    <w:p>
      <w:pPr>
        <w:spacing w:line="700" w:lineRule="exact"/>
        <w:ind w:firstLine="723" w:firstLineChars="200"/>
        <w:rPr>
          <w:rFonts w:hint="eastAsia" w:ascii="宋体" w:hAnsi="宋体" w:eastAsia="宋体"/>
          <w:b/>
          <w:color w:val="auto"/>
          <w:sz w:val="36"/>
          <w:szCs w:val="30"/>
          <w:highlight w:val="none"/>
          <w:lang w:eastAsia="zh-CN"/>
        </w:rPr>
      </w:pPr>
      <w:r>
        <w:rPr>
          <w:rFonts w:hint="eastAsia" w:ascii="宋体" w:hAnsi="宋体" w:eastAsia="宋体"/>
          <w:b/>
          <w:color w:val="auto"/>
          <w:sz w:val="36"/>
          <w:szCs w:val="30"/>
          <w:highlight w:val="none"/>
        </w:rPr>
        <w:t>采购代理机构：</w:t>
      </w:r>
      <w:bookmarkEnd w:id="2"/>
      <w:r>
        <w:rPr>
          <w:rFonts w:hint="eastAsia" w:ascii="宋体" w:hAnsi="宋体" w:eastAsia="宋体" w:cs="宋体"/>
          <w:b/>
          <w:color w:val="auto"/>
          <w:sz w:val="36"/>
          <w:highlight w:val="none"/>
          <w:lang w:eastAsia="zh-CN"/>
        </w:rPr>
        <w:t>同致诚工程咨询有限公司</w:t>
      </w:r>
    </w:p>
    <w:p>
      <w:pPr>
        <w:spacing w:line="700" w:lineRule="exact"/>
        <w:rPr>
          <w:rFonts w:ascii="宋体" w:hAnsi="宋体" w:eastAsia="宋体"/>
          <w:b/>
          <w:color w:val="auto"/>
          <w:sz w:val="36"/>
          <w:szCs w:val="30"/>
          <w:highlight w:val="none"/>
        </w:rPr>
      </w:pPr>
      <w:bookmarkStart w:id="3" w:name="_Toc4428"/>
    </w:p>
    <w:p>
      <w:pPr>
        <w:jc w:val="center"/>
        <w:rPr>
          <w:rFonts w:hint="eastAsia" w:ascii="宋体" w:hAnsi="宋体" w:eastAsia="宋体"/>
          <w:b/>
          <w:color w:val="auto"/>
          <w:sz w:val="36"/>
          <w:szCs w:val="30"/>
          <w:highlight w:val="none"/>
        </w:rPr>
        <w:sectPr>
          <w:headerReference r:id="rId4" w:type="first"/>
          <w:headerReference r:id="rId3" w:type="default"/>
          <w:footerReference r:id="rId5" w:type="default"/>
          <w:footerReference r:id="rId6" w:type="even"/>
          <w:pgSz w:w="11907" w:h="16840"/>
          <w:pgMar w:top="1134" w:right="1191" w:bottom="1134" w:left="1584" w:header="964" w:footer="992" w:gutter="0"/>
          <w:pgNumType w:fmt="decimal" w:start="0"/>
          <w:cols w:space="720" w:num="1"/>
          <w:titlePg/>
          <w:docGrid w:linePitch="381" w:charSpace="0"/>
        </w:sectPr>
      </w:pPr>
      <w:r>
        <w:rPr>
          <w:rFonts w:hint="eastAsia" w:ascii="宋体" w:hAnsi="宋体" w:eastAsia="宋体"/>
          <w:b/>
          <w:color w:val="auto"/>
          <w:sz w:val="36"/>
          <w:szCs w:val="30"/>
          <w:highlight w:val="none"/>
        </w:rPr>
        <w:t>二〇二</w:t>
      </w:r>
      <w:r>
        <w:rPr>
          <w:rFonts w:hint="eastAsia" w:ascii="宋体" w:hAnsi="宋体" w:eastAsia="宋体"/>
          <w:b/>
          <w:color w:val="auto"/>
          <w:sz w:val="36"/>
          <w:szCs w:val="30"/>
          <w:highlight w:val="none"/>
          <w:lang w:eastAsia="zh-CN"/>
        </w:rPr>
        <w:t>二</w:t>
      </w:r>
      <w:r>
        <w:rPr>
          <w:rFonts w:hint="eastAsia" w:ascii="宋体" w:hAnsi="宋体" w:eastAsia="宋体"/>
          <w:b/>
          <w:color w:val="auto"/>
          <w:sz w:val="36"/>
          <w:szCs w:val="30"/>
          <w:highlight w:val="none"/>
        </w:rPr>
        <w:t>年</w:t>
      </w:r>
      <w:r>
        <w:rPr>
          <w:rFonts w:hint="eastAsia" w:ascii="宋体" w:hAnsi="宋体" w:eastAsia="宋体"/>
          <w:b/>
          <w:color w:val="auto"/>
          <w:sz w:val="36"/>
          <w:szCs w:val="30"/>
          <w:highlight w:val="none"/>
          <w:lang w:val="en-US" w:eastAsia="zh-CN"/>
        </w:rPr>
        <w:t>四</w:t>
      </w:r>
      <w:r>
        <w:rPr>
          <w:rFonts w:hint="eastAsia" w:ascii="宋体" w:hAnsi="宋体" w:eastAsia="宋体"/>
          <w:b/>
          <w:color w:val="auto"/>
          <w:sz w:val="36"/>
          <w:szCs w:val="30"/>
          <w:highlight w:val="none"/>
        </w:rPr>
        <w:t>月</w:t>
      </w:r>
      <w:bookmarkEnd w:id="3"/>
    </w:p>
    <w:p>
      <w:pPr>
        <w:jc w:val="center"/>
        <w:rPr>
          <w:rFonts w:ascii="宋体" w:hAnsi="宋体" w:eastAsia="宋体" w:cs="方正仿宋_GBK"/>
          <w:color w:val="auto"/>
          <w:sz w:val="44"/>
          <w:szCs w:val="44"/>
          <w:highlight w:val="none"/>
        </w:rPr>
      </w:pPr>
      <w:r>
        <w:rPr>
          <w:rFonts w:hint="eastAsia" w:ascii="宋体" w:hAnsi="宋体" w:eastAsia="宋体" w:cs="方正仿宋_GBK"/>
          <w:color w:val="auto"/>
          <w:kern w:val="0"/>
          <w:sz w:val="44"/>
          <w:szCs w:val="44"/>
          <w:highlight w:val="none"/>
        </w:rPr>
        <w:t>目录</w:t>
      </w:r>
    </w:p>
    <w:p>
      <w:pPr>
        <w:pStyle w:val="49"/>
        <w:tabs>
          <w:tab w:val="right" w:leader="dot" w:pos="9132"/>
        </w:tabs>
        <w:rPr>
          <w:color w:val="auto"/>
        </w:rPr>
      </w:pPr>
      <w:r>
        <w:rPr>
          <w:rFonts w:ascii="宋体" w:hAnsi="宋体" w:eastAsia="宋体" w:cs="方正仿宋_GBK"/>
          <w:color w:val="auto"/>
          <w:kern w:val="0"/>
          <w:sz w:val="44"/>
          <w:szCs w:val="44"/>
          <w:highlight w:val="none"/>
        </w:rPr>
        <w:fldChar w:fldCharType="begin"/>
      </w:r>
      <w:r>
        <w:rPr>
          <w:rFonts w:ascii="宋体" w:hAnsi="宋体" w:eastAsia="宋体" w:cs="方正仿宋_GBK"/>
          <w:color w:val="auto"/>
          <w:kern w:val="0"/>
          <w:sz w:val="44"/>
          <w:szCs w:val="44"/>
          <w:highlight w:val="none"/>
        </w:rPr>
        <w:instrText xml:space="preserve">TOC \o "1-3" \h \u </w:instrText>
      </w:r>
      <w:r>
        <w:rPr>
          <w:rFonts w:ascii="宋体" w:hAnsi="宋体" w:eastAsia="宋体" w:cs="方正仿宋_GBK"/>
          <w:color w:val="auto"/>
          <w:kern w:val="0"/>
          <w:sz w:val="44"/>
          <w:szCs w:val="44"/>
          <w:highlight w:val="none"/>
        </w:rPr>
        <w:fldChar w:fldCharType="separate"/>
      </w:r>
      <w:r>
        <w:rPr>
          <w:rFonts w:ascii="宋体" w:hAnsi="宋体" w:eastAsia="宋体" w:cs="方正仿宋_GBK"/>
          <w:color w:val="auto"/>
          <w:kern w:val="0"/>
          <w:szCs w:val="44"/>
          <w:highlight w:val="none"/>
        </w:rPr>
        <w:fldChar w:fldCharType="begin"/>
      </w:r>
      <w:r>
        <w:rPr>
          <w:rFonts w:ascii="宋体" w:hAnsi="宋体" w:eastAsia="宋体" w:cs="方正仿宋_GBK"/>
          <w:color w:val="auto"/>
          <w:kern w:val="0"/>
          <w:szCs w:val="44"/>
          <w:highlight w:val="none"/>
        </w:rPr>
        <w:instrText xml:space="preserve"> HYPERLINK \l _Toc7839 </w:instrText>
      </w:r>
      <w:r>
        <w:rPr>
          <w:rFonts w:ascii="宋体" w:hAnsi="宋体" w:eastAsia="宋体" w:cs="方正仿宋_GBK"/>
          <w:color w:val="auto"/>
          <w:kern w:val="0"/>
          <w:szCs w:val="44"/>
          <w:highlight w:val="none"/>
        </w:rPr>
        <w:fldChar w:fldCharType="separate"/>
      </w:r>
      <w:r>
        <w:rPr>
          <w:rFonts w:hint="default" w:cs="Times New Roman"/>
          <w:bCs/>
          <w:color w:val="auto"/>
          <w:szCs w:val="30"/>
        </w:rPr>
        <w:t xml:space="preserve">第一篇 </w:t>
      </w:r>
      <w:r>
        <w:rPr>
          <w:rFonts w:hint="eastAsia" w:cs="方正仿宋_GBK"/>
          <w:bCs/>
          <w:color w:val="auto"/>
          <w:szCs w:val="30"/>
          <w:highlight w:val="none"/>
          <w:lang w:val="en-US" w:eastAsia="zh-CN"/>
        </w:rPr>
        <w:t>采购邀请书</w:t>
      </w:r>
      <w:r>
        <w:rPr>
          <w:color w:val="auto"/>
        </w:rPr>
        <w:tab/>
      </w:r>
      <w:r>
        <w:rPr>
          <w:color w:val="auto"/>
        </w:rPr>
        <w:fldChar w:fldCharType="begin"/>
      </w:r>
      <w:r>
        <w:rPr>
          <w:color w:val="auto"/>
        </w:rPr>
        <w:instrText xml:space="preserve"> PAGEREF _Toc7839 \h </w:instrText>
      </w:r>
      <w:r>
        <w:rPr>
          <w:color w:val="auto"/>
        </w:rPr>
        <w:fldChar w:fldCharType="separate"/>
      </w:r>
      <w:r>
        <w:rPr>
          <w:color w:val="auto"/>
        </w:rPr>
        <w:t>3</w:t>
      </w:r>
      <w:r>
        <w:rPr>
          <w:color w:val="auto"/>
        </w:rPr>
        <w:fldChar w:fldCharType="end"/>
      </w:r>
      <w:r>
        <w:rPr>
          <w:rFonts w:ascii="宋体" w:hAnsi="宋体" w:eastAsia="宋体" w:cs="方正仿宋_GBK"/>
          <w:color w:val="auto"/>
          <w:kern w:val="0"/>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_Toc5019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一、项目概况与招标范围</w:t>
      </w:r>
      <w:r>
        <w:rPr>
          <w:color w:val="auto"/>
        </w:rPr>
        <w:tab/>
      </w:r>
      <w:r>
        <w:rPr>
          <w:color w:val="auto"/>
        </w:rPr>
        <w:fldChar w:fldCharType="begin"/>
      </w:r>
      <w:r>
        <w:rPr>
          <w:color w:val="auto"/>
        </w:rPr>
        <w:instrText xml:space="preserve"> PAGEREF _Toc5019 \h </w:instrText>
      </w:r>
      <w:r>
        <w:rPr>
          <w:color w:val="auto"/>
        </w:rPr>
        <w:fldChar w:fldCharType="separate"/>
      </w:r>
      <w:r>
        <w:rPr>
          <w:color w:val="auto"/>
        </w:rPr>
        <w:t>3</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_Toc12026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二、资金来源</w:t>
      </w:r>
      <w:r>
        <w:rPr>
          <w:color w:val="auto"/>
        </w:rPr>
        <w:tab/>
      </w:r>
      <w:r>
        <w:rPr>
          <w:color w:val="auto"/>
        </w:rPr>
        <w:fldChar w:fldCharType="begin"/>
      </w:r>
      <w:r>
        <w:rPr>
          <w:color w:val="auto"/>
        </w:rPr>
        <w:instrText xml:space="preserve"> PAGEREF _Toc12026 \h </w:instrText>
      </w:r>
      <w:r>
        <w:rPr>
          <w:color w:val="auto"/>
        </w:rPr>
        <w:fldChar w:fldCharType="separate"/>
      </w:r>
      <w:r>
        <w:rPr>
          <w:color w:val="auto"/>
        </w:rPr>
        <w:t>3</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_Toc13141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三、磋商资格</w:t>
      </w:r>
      <w:r>
        <w:rPr>
          <w:color w:val="auto"/>
        </w:rPr>
        <w:tab/>
      </w:r>
      <w:r>
        <w:rPr>
          <w:color w:val="auto"/>
        </w:rPr>
        <w:fldChar w:fldCharType="begin"/>
      </w:r>
      <w:r>
        <w:rPr>
          <w:color w:val="auto"/>
        </w:rPr>
        <w:instrText xml:space="preserve"> PAGEREF _Toc13141 \h </w:instrText>
      </w:r>
      <w:r>
        <w:rPr>
          <w:color w:val="auto"/>
        </w:rPr>
        <w:fldChar w:fldCharType="separate"/>
      </w:r>
      <w:r>
        <w:rPr>
          <w:color w:val="auto"/>
        </w:rPr>
        <w:t>3</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_Toc4748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四、磋商有关说明</w:t>
      </w:r>
      <w:r>
        <w:rPr>
          <w:color w:val="auto"/>
        </w:rPr>
        <w:tab/>
      </w:r>
      <w:r>
        <w:rPr>
          <w:color w:val="auto"/>
        </w:rPr>
        <w:fldChar w:fldCharType="begin"/>
      </w:r>
      <w:r>
        <w:rPr>
          <w:color w:val="auto"/>
        </w:rPr>
        <w:instrText xml:space="preserve"> PAGEREF _Toc4748 \h </w:instrText>
      </w:r>
      <w:r>
        <w:rPr>
          <w:color w:val="auto"/>
        </w:rPr>
        <w:fldChar w:fldCharType="separate"/>
      </w:r>
      <w:r>
        <w:rPr>
          <w:color w:val="auto"/>
        </w:rPr>
        <w:t>4</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_Toc8450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五、保证金缴纳</w:t>
      </w:r>
      <w:r>
        <w:rPr>
          <w:color w:val="auto"/>
        </w:rPr>
        <w:tab/>
      </w:r>
      <w:r>
        <w:rPr>
          <w:color w:val="auto"/>
        </w:rPr>
        <w:fldChar w:fldCharType="begin"/>
      </w:r>
      <w:r>
        <w:rPr>
          <w:color w:val="auto"/>
        </w:rPr>
        <w:instrText xml:space="preserve"> PAGEREF _Toc8450 \h </w:instrText>
      </w:r>
      <w:r>
        <w:rPr>
          <w:color w:val="auto"/>
        </w:rPr>
        <w:fldChar w:fldCharType="separate"/>
      </w:r>
      <w:r>
        <w:rPr>
          <w:color w:val="auto"/>
        </w:rPr>
        <w:t>4</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_Toc24193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六、采购项目需落实的政府采购政策</w:t>
      </w:r>
      <w:r>
        <w:rPr>
          <w:color w:val="auto"/>
        </w:rPr>
        <w:tab/>
      </w:r>
      <w:r>
        <w:rPr>
          <w:color w:val="auto"/>
        </w:rPr>
        <w:fldChar w:fldCharType="begin"/>
      </w:r>
      <w:r>
        <w:rPr>
          <w:color w:val="auto"/>
        </w:rPr>
        <w:instrText xml:space="preserve"> PAGEREF _Toc24193 \h </w:instrText>
      </w:r>
      <w:r>
        <w:rPr>
          <w:color w:val="auto"/>
        </w:rPr>
        <w:fldChar w:fldCharType="separate"/>
      </w:r>
      <w:r>
        <w:rPr>
          <w:color w:val="auto"/>
        </w:rPr>
        <w:t>5</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_Toc25546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七、其它有关规定</w:t>
      </w:r>
      <w:r>
        <w:rPr>
          <w:color w:val="auto"/>
        </w:rPr>
        <w:tab/>
      </w:r>
      <w:r>
        <w:rPr>
          <w:color w:val="auto"/>
        </w:rPr>
        <w:fldChar w:fldCharType="begin"/>
      </w:r>
      <w:r>
        <w:rPr>
          <w:color w:val="auto"/>
        </w:rPr>
        <w:instrText xml:space="preserve"> PAGEREF _Toc25546 \h </w:instrText>
      </w:r>
      <w:r>
        <w:rPr>
          <w:color w:val="auto"/>
        </w:rPr>
        <w:fldChar w:fldCharType="separate"/>
      </w:r>
      <w:r>
        <w:rPr>
          <w:color w:val="auto"/>
        </w:rPr>
        <w:t>6</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_Toc29006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八、联系方式</w:t>
      </w:r>
      <w:r>
        <w:rPr>
          <w:color w:val="auto"/>
        </w:rPr>
        <w:tab/>
      </w:r>
      <w:r>
        <w:rPr>
          <w:color w:val="auto"/>
        </w:rPr>
        <w:fldChar w:fldCharType="begin"/>
      </w:r>
      <w:r>
        <w:rPr>
          <w:color w:val="auto"/>
        </w:rPr>
        <w:instrText xml:space="preserve"> PAGEREF _Toc29006 \h </w:instrText>
      </w:r>
      <w:r>
        <w:rPr>
          <w:color w:val="auto"/>
        </w:rPr>
        <w:fldChar w:fldCharType="separate"/>
      </w:r>
      <w:r>
        <w:rPr>
          <w:color w:val="auto"/>
        </w:rPr>
        <w:t>6</w:t>
      </w:r>
      <w:r>
        <w:rPr>
          <w:color w:val="auto"/>
        </w:rPr>
        <w:fldChar w:fldCharType="end"/>
      </w:r>
      <w:r>
        <w:rPr>
          <w:rFonts w:ascii="宋体" w:hAnsi="宋体" w:cs="方正仿宋_GBK"/>
          <w:color w:val="auto"/>
          <w:szCs w:val="44"/>
          <w:highlight w:val="none"/>
        </w:rPr>
        <w:fldChar w:fldCharType="end"/>
      </w:r>
    </w:p>
    <w:p>
      <w:pPr>
        <w:pStyle w:val="49"/>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_Toc11417 </w:instrText>
      </w:r>
      <w:r>
        <w:rPr>
          <w:rFonts w:ascii="宋体" w:hAnsi="宋体" w:cs="方正仿宋_GBK"/>
          <w:color w:val="auto"/>
          <w:szCs w:val="44"/>
          <w:highlight w:val="none"/>
        </w:rPr>
        <w:fldChar w:fldCharType="separate"/>
      </w:r>
      <w:r>
        <w:rPr>
          <w:rFonts w:hint="default" w:cs="Times New Roman"/>
          <w:bCs/>
          <w:color w:val="auto"/>
          <w:szCs w:val="30"/>
        </w:rPr>
        <w:t xml:space="preserve">第二篇 </w:t>
      </w:r>
      <w:r>
        <w:rPr>
          <w:rFonts w:hint="eastAsia" w:cs="方正仿宋_GBK"/>
          <w:bCs/>
          <w:color w:val="auto"/>
          <w:szCs w:val="30"/>
          <w:highlight w:val="none"/>
          <w:lang w:val="en-US" w:eastAsia="zh-CN"/>
        </w:rPr>
        <w:t>工程技术规范、报价要求和结算原则</w:t>
      </w:r>
      <w:r>
        <w:rPr>
          <w:color w:val="auto"/>
        </w:rPr>
        <w:tab/>
      </w:r>
      <w:r>
        <w:rPr>
          <w:color w:val="auto"/>
        </w:rPr>
        <w:fldChar w:fldCharType="begin"/>
      </w:r>
      <w:r>
        <w:rPr>
          <w:color w:val="auto"/>
        </w:rPr>
        <w:instrText xml:space="preserve"> PAGEREF _Toc11417 \h </w:instrText>
      </w:r>
      <w:r>
        <w:rPr>
          <w:color w:val="auto"/>
        </w:rPr>
        <w:fldChar w:fldCharType="separate"/>
      </w:r>
      <w:r>
        <w:rPr>
          <w:color w:val="auto"/>
        </w:rPr>
        <w:t>8</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_Toc23400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一、技术规范</w:t>
      </w:r>
      <w:r>
        <w:rPr>
          <w:color w:val="auto"/>
        </w:rPr>
        <w:tab/>
      </w:r>
      <w:r>
        <w:rPr>
          <w:color w:val="auto"/>
        </w:rPr>
        <w:fldChar w:fldCharType="begin"/>
      </w:r>
      <w:r>
        <w:rPr>
          <w:color w:val="auto"/>
        </w:rPr>
        <w:instrText xml:space="preserve"> PAGEREF _Toc23400 \h </w:instrText>
      </w:r>
      <w:r>
        <w:rPr>
          <w:color w:val="auto"/>
        </w:rPr>
        <w:fldChar w:fldCharType="separate"/>
      </w:r>
      <w:r>
        <w:rPr>
          <w:color w:val="auto"/>
        </w:rPr>
        <w:t>8</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_Toc18521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二、报价原则</w:t>
      </w:r>
      <w:r>
        <w:rPr>
          <w:color w:val="auto"/>
        </w:rPr>
        <w:tab/>
      </w:r>
      <w:r>
        <w:rPr>
          <w:color w:val="auto"/>
        </w:rPr>
        <w:fldChar w:fldCharType="begin"/>
      </w:r>
      <w:r>
        <w:rPr>
          <w:color w:val="auto"/>
        </w:rPr>
        <w:instrText xml:space="preserve"> PAGEREF _Toc18521 \h </w:instrText>
      </w:r>
      <w:r>
        <w:rPr>
          <w:color w:val="auto"/>
        </w:rPr>
        <w:fldChar w:fldCharType="separate"/>
      </w:r>
      <w:r>
        <w:rPr>
          <w:color w:val="auto"/>
        </w:rPr>
        <w:t>8</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_Toc791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三、结算原则</w:t>
      </w:r>
      <w:r>
        <w:rPr>
          <w:color w:val="auto"/>
        </w:rPr>
        <w:tab/>
      </w:r>
      <w:r>
        <w:rPr>
          <w:color w:val="auto"/>
        </w:rPr>
        <w:fldChar w:fldCharType="begin"/>
      </w:r>
      <w:r>
        <w:rPr>
          <w:color w:val="auto"/>
        </w:rPr>
        <w:instrText xml:space="preserve"> PAGEREF _Toc791 \h </w:instrText>
      </w:r>
      <w:r>
        <w:rPr>
          <w:color w:val="auto"/>
        </w:rPr>
        <w:fldChar w:fldCharType="separate"/>
      </w:r>
      <w:r>
        <w:rPr>
          <w:color w:val="auto"/>
        </w:rPr>
        <w:t>11</w:t>
      </w:r>
      <w:r>
        <w:rPr>
          <w:color w:val="auto"/>
        </w:rPr>
        <w:fldChar w:fldCharType="end"/>
      </w:r>
      <w:r>
        <w:rPr>
          <w:rFonts w:ascii="宋体" w:hAnsi="宋体" w:cs="方正仿宋_GBK"/>
          <w:color w:val="auto"/>
          <w:szCs w:val="44"/>
          <w:highlight w:val="none"/>
        </w:rPr>
        <w:fldChar w:fldCharType="end"/>
      </w:r>
    </w:p>
    <w:p>
      <w:pPr>
        <w:pStyle w:val="49"/>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_Toc17689 </w:instrText>
      </w:r>
      <w:r>
        <w:rPr>
          <w:rFonts w:ascii="宋体" w:hAnsi="宋体" w:cs="方正仿宋_GBK"/>
          <w:color w:val="auto"/>
          <w:szCs w:val="44"/>
          <w:highlight w:val="none"/>
        </w:rPr>
        <w:fldChar w:fldCharType="separate"/>
      </w:r>
      <w:r>
        <w:rPr>
          <w:rFonts w:hint="eastAsia" w:cs="方正仿宋_GBK"/>
          <w:bCs/>
          <w:color w:val="auto"/>
          <w:szCs w:val="30"/>
          <w:highlight w:val="none"/>
        </w:rPr>
        <w:t>第三篇</w:t>
      </w:r>
      <w:r>
        <w:rPr>
          <w:rFonts w:cs="方正仿宋_GBK"/>
          <w:bCs/>
          <w:color w:val="auto"/>
          <w:szCs w:val="30"/>
          <w:highlight w:val="none"/>
        </w:rPr>
        <w:t xml:space="preserve"> </w:t>
      </w:r>
      <w:r>
        <w:rPr>
          <w:rFonts w:hint="eastAsia" w:cs="方正仿宋_GBK"/>
          <w:bCs/>
          <w:color w:val="auto"/>
          <w:szCs w:val="30"/>
          <w:highlight w:val="none"/>
        </w:rPr>
        <w:t>采购商务需求</w:t>
      </w:r>
      <w:r>
        <w:rPr>
          <w:color w:val="auto"/>
        </w:rPr>
        <w:tab/>
      </w:r>
      <w:r>
        <w:rPr>
          <w:color w:val="auto"/>
        </w:rPr>
        <w:fldChar w:fldCharType="begin"/>
      </w:r>
      <w:r>
        <w:rPr>
          <w:color w:val="auto"/>
        </w:rPr>
        <w:instrText xml:space="preserve"> PAGEREF _Toc17689 \h </w:instrText>
      </w:r>
      <w:r>
        <w:rPr>
          <w:color w:val="auto"/>
        </w:rPr>
        <w:fldChar w:fldCharType="separate"/>
      </w:r>
      <w:r>
        <w:rPr>
          <w:color w:val="auto"/>
        </w:rPr>
        <w:t>14</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_Toc909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一、工期和建设地点</w:t>
      </w:r>
      <w:r>
        <w:rPr>
          <w:color w:val="auto"/>
        </w:rPr>
        <w:tab/>
      </w:r>
      <w:r>
        <w:rPr>
          <w:color w:val="auto"/>
        </w:rPr>
        <w:fldChar w:fldCharType="begin"/>
      </w:r>
      <w:r>
        <w:rPr>
          <w:color w:val="auto"/>
        </w:rPr>
        <w:instrText xml:space="preserve"> PAGEREF _Toc909 \h </w:instrText>
      </w:r>
      <w:r>
        <w:rPr>
          <w:color w:val="auto"/>
        </w:rPr>
        <w:fldChar w:fldCharType="separate"/>
      </w:r>
      <w:r>
        <w:rPr>
          <w:color w:val="auto"/>
        </w:rPr>
        <w:t>14</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_Toc26935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二、质量标准</w:t>
      </w:r>
      <w:r>
        <w:rPr>
          <w:color w:val="auto"/>
        </w:rPr>
        <w:tab/>
      </w:r>
      <w:r>
        <w:rPr>
          <w:color w:val="auto"/>
        </w:rPr>
        <w:fldChar w:fldCharType="begin"/>
      </w:r>
      <w:r>
        <w:rPr>
          <w:color w:val="auto"/>
        </w:rPr>
        <w:instrText xml:space="preserve"> PAGEREF _Toc26935 \h </w:instrText>
      </w:r>
      <w:r>
        <w:rPr>
          <w:color w:val="auto"/>
        </w:rPr>
        <w:fldChar w:fldCharType="separate"/>
      </w:r>
      <w:r>
        <w:rPr>
          <w:color w:val="auto"/>
        </w:rPr>
        <w:t>14</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_Toc2521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三、质量保障及售后服务</w:t>
      </w:r>
      <w:r>
        <w:rPr>
          <w:color w:val="auto"/>
        </w:rPr>
        <w:tab/>
      </w:r>
      <w:r>
        <w:rPr>
          <w:color w:val="auto"/>
        </w:rPr>
        <w:fldChar w:fldCharType="begin"/>
      </w:r>
      <w:r>
        <w:rPr>
          <w:color w:val="auto"/>
        </w:rPr>
        <w:instrText xml:space="preserve"> PAGEREF _Toc2521 \h </w:instrText>
      </w:r>
      <w:r>
        <w:rPr>
          <w:color w:val="auto"/>
        </w:rPr>
        <w:fldChar w:fldCharType="separate"/>
      </w:r>
      <w:r>
        <w:rPr>
          <w:color w:val="auto"/>
        </w:rPr>
        <w:t>14</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_Toc21765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四、人员</w:t>
      </w:r>
      <w:r>
        <w:rPr>
          <w:rFonts w:hint="eastAsia" w:ascii="宋体" w:hAnsi="宋体" w:cs="方正仿宋_GBK"/>
          <w:color w:val="auto"/>
          <w:szCs w:val="28"/>
          <w:highlight w:val="none"/>
          <w:lang w:eastAsia="zh-CN"/>
        </w:rPr>
        <w:t>及其他</w:t>
      </w:r>
      <w:r>
        <w:rPr>
          <w:rFonts w:hint="eastAsia" w:ascii="宋体" w:hAnsi="宋体" w:cs="方正仿宋_GBK"/>
          <w:color w:val="auto"/>
          <w:szCs w:val="28"/>
          <w:highlight w:val="none"/>
        </w:rPr>
        <w:t>要求</w:t>
      </w:r>
      <w:r>
        <w:rPr>
          <w:color w:val="auto"/>
        </w:rPr>
        <w:tab/>
      </w:r>
      <w:r>
        <w:rPr>
          <w:color w:val="auto"/>
        </w:rPr>
        <w:fldChar w:fldCharType="begin"/>
      </w:r>
      <w:r>
        <w:rPr>
          <w:color w:val="auto"/>
        </w:rPr>
        <w:instrText xml:space="preserve"> PAGEREF _Toc21765 \h </w:instrText>
      </w:r>
      <w:r>
        <w:rPr>
          <w:color w:val="auto"/>
        </w:rPr>
        <w:fldChar w:fldCharType="separate"/>
      </w:r>
      <w:r>
        <w:rPr>
          <w:color w:val="auto"/>
        </w:rPr>
        <w:t>15</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_Toc18046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五、付款方式</w:t>
      </w:r>
      <w:r>
        <w:rPr>
          <w:color w:val="auto"/>
        </w:rPr>
        <w:tab/>
      </w:r>
      <w:r>
        <w:rPr>
          <w:color w:val="auto"/>
        </w:rPr>
        <w:fldChar w:fldCharType="begin"/>
      </w:r>
      <w:r>
        <w:rPr>
          <w:color w:val="auto"/>
        </w:rPr>
        <w:instrText xml:space="preserve"> PAGEREF _Toc18046 \h </w:instrText>
      </w:r>
      <w:r>
        <w:rPr>
          <w:color w:val="auto"/>
        </w:rPr>
        <w:fldChar w:fldCharType="separate"/>
      </w:r>
      <w:r>
        <w:rPr>
          <w:color w:val="auto"/>
        </w:rPr>
        <w:t>15</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_Toc142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lang w:val="en-US" w:eastAsia="zh-CN"/>
        </w:rPr>
        <w:t>六、履约保证金</w:t>
      </w:r>
      <w:r>
        <w:rPr>
          <w:color w:val="auto"/>
        </w:rPr>
        <w:tab/>
      </w:r>
      <w:r>
        <w:rPr>
          <w:color w:val="auto"/>
        </w:rPr>
        <w:fldChar w:fldCharType="begin"/>
      </w:r>
      <w:r>
        <w:rPr>
          <w:color w:val="auto"/>
        </w:rPr>
        <w:instrText xml:space="preserve"> PAGEREF _Toc142 \h </w:instrText>
      </w:r>
      <w:r>
        <w:rPr>
          <w:color w:val="auto"/>
        </w:rPr>
        <w:fldChar w:fldCharType="separate"/>
      </w:r>
      <w:r>
        <w:rPr>
          <w:color w:val="auto"/>
        </w:rPr>
        <w:t>15</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_Toc2854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七、其他</w:t>
      </w:r>
      <w:r>
        <w:rPr>
          <w:color w:val="auto"/>
        </w:rPr>
        <w:tab/>
      </w:r>
      <w:r>
        <w:rPr>
          <w:color w:val="auto"/>
        </w:rPr>
        <w:fldChar w:fldCharType="begin"/>
      </w:r>
      <w:r>
        <w:rPr>
          <w:color w:val="auto"/>
        </w:rPr>
        <w:instrText xml:space="preserve"> PAGEREF _Toc2854 \h </w:instrText>
      </w:r>
      <w:r>
        <w:rPr>
          <w:color w:val="auto"/>
        </w:rPr>
        <w:fldChar w:fldCharType="separate"/>
      </w:r>
      <w:r>
        <w:rPr>
          <w:color w:val="auto"/>
        </w:rPr>
        <w:t>16</w:t>
      </w:r>
      <w:r>
        <w:rPr>
          <w:color w:val="auto"/>
        </w:rPr>
        <w:fldChar w:fldCharType="end"/>
      </w:r>
      <w:r>
        <w:rPr>
          <w:rFonts w:ascii="宋体" w:hAnsi="宋体" w:cs="方正仿宋_GBK"/>
          <w:color w:val="auto"/>
          <w:szCs w:val="44"/>
          <w:highlight w:val="none"/>
        </w:rPr>
        <w:fldChar w:fldCharType="end"/>
      </w:r>
    </w:p>
    <w:p>
      <w:pPr>
        <w:pStyle w:val="49"/>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_Toc28592 </w:instrText>
      </w:r>
      <w:r>
        <w:rPr>
          <w:rFonts w:ascii="宋体" w:hAnsi="宋体" w:cs="方正仿宋_GBK"/>
          <w:color w:val="auto"/>
          <w:szCs w:val="44"/>
          <w:highlight w:val="none"/>
        </w:rPr>
        <w:fldChar w:fldCharType="separate"/>
      </w:r>
      <w:r>
        <w:rPr>
          <w:rFonts w:hint="eastAsia" w:cs="方正仿宋_GBK"/>
          <w:bCs/>
          <w:color w:val="auto"/>
          <w:szCs w:val="30"/>
          <w:highlight w:val="none"/>
        </w:rPr>
        <w:t>第四篇</w:t>
      </w:r>
      <w:r>
        <w:rPr>
          <w:rFonts w:cs="方正仿宋_GBK"/>
          <w:bCs/>
          <w:color w:val="auto"/>
          <w:szCs w:val="30"/>
          <w:highlight w:val="none"/>
        </w:rPr>
        <w:t xml:space="preserve"> </w:t>
      </w:r>
      <w:r>
        <w:rPr>
          <w:rFonts w:hint="eastAsia" w:cs="方正仿宋_GBK"/>
          <w:bCs/>
          <w:color w:val="auto"/>
          <w:szCs w:val="30"/>
          <w:highlight w:val="none"/>
        </w:rPr>
        <w:t>磋商程序及方法、评审标准、无效响应和采购终止</w:t>
      </w:r>
      <w:r>
        <w:rPr>
          <w:color w:val="auto"/>
        </w:rPr>
        <w:tab/>
      </w:r>
      <w:r>
        <w:rPr>
          <w:color w:val="auto"/>
        </w:rPr>
        <w:fldChar w:fldCharType="begin"/>
      </w:r>
      <w:r>
        <w:rPr>
          <w:color w:val="auto"/>
        </w:rPr>
        <w:instrText xml:space="preserve"> PAGEREF _Toc28592 \h </w:instrText>
      </w:r>
      <w:r>
        <w:rPr>
          <w:color w:val="auto"/>
        </w:rPr>
        <w:fldChar w:fldCharType="separate"/>
      </w:r>
      <w:r>
        <w:rPr>
          <w:color w:val="auto"/>
        </w:rPr>
        <w:t>17</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_Toc32016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一、磋商程序及方法</w:t>
      </w:r>
      <w:r>
        <w:rPr>
          <w:color w:val="auto"/>
        </w:rPr>
        <w:tab/>
      </w:r>
      <w:r>
        <w:rPr>
          <w:color w:val="auto"/>
        </w:rPr>
        <w:fldChar w:fldCharType="begin"/>
      </w:r>
      <w:r>
        <w:rPr>
          <w:color w:val="auto"/>
        </w:rPr>
        <w:instrText xml:space="preserve"> PAGEREF _Toc32016 \h </w:instrText>
      </w:r>
      <w:r>
        <w:rPr>
          <w:color w:val="auto"/>
        </w:rPr>
        <w:fldChar w:fldCharType="separate"/>
      </w:r>
      <w:r>
        <w:rPr>
          <w:color w:val="auto"/>
        </w:rPr>
        <w:t>17</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_Toc3113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二、评标标准</w:t>
      </w:r>
      <w:r>
        <w:rPr>
          <w:color w:val="auto"/>
        </w:rPr>
        <w:tab/>
      </w:r>
      <w:r>
        <w:rPr>
          <w:color w:val="auto"/>
        </w:rPr>
        <w:fldChar w:fldCharType="begin"/>
      </w:r>
      <w:r>
        <w:rPr>
          <w:color w:val="auto"/>
        </w:rPr>
        <w:instrText xml:space="preserve"> PAGEREF _Toc3113 \h </w:instrText>
      </w:r>
      <w:r>
        <w:rPr>
          <w:color w:val="auto"/>
        </w:rPr>
        <w:fldChar w:fldCharType="separate"/>
      </w:r>
      <w:r>
        <w:rPr>
          <w:color w:val="auto"/>
        </w:rPr>
        <w:t>19</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_Toc16543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三、无效响应</w:t>
      </w:r>
      <w:r>
        <w:rPr>
          <w:color w:val="auto"/>
        </w:rPr>
        <w:tab/>
      </w:r>
      <w:r>
        <w:rPr>
          <w:color w:val="auto"/>
        </w:rPr>
        <w:fldChar w:fldCharType="begin"/>
      </w:r>
      <w:r>
        <w:rPr>
          <w:color w:val="auto"/>
        </w:rPr>
        <w:instrText xml:space="preserve"> PAGEREF _Toc16543 \h </w:instrText>
      </w:r>
      <w:r>
        <w:rPr>
          <w:color w:val="auto"/>
        </w:rPr>
        <w:fldChar w:fldCharType="separate"/>
      </w:r>
      <w:r>
        <w:rPr>
          <w:color w:val="auto"/>
        </w:rPr>
        <w:t>22</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_Toc10160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四、采购终止</w:t>
      </w:r>
      <w:r>
        <w:rPr>
          <w:color w:val="auto"/>
        </w:rPr>
        <w:tab/>
      </w:r>
      <w:r>
        <w:rPr>
          <w:color w:val="auto"/>
        </w:rPr>
        <w:fldChar w:fldCharType="begin"/>
      </w:r>
      <w:r>
        <w:rPr>
          <w:color w:val="auto"/>
        </w:rPr>
        <w:instrText xml:space="preserve"> PAGEREF _Toc10160 \h </w:instrText>
      </w:r>
      <w:r>
        <w:rPr>
          <w:color w:val="auto"/>
        </w:rPr>
        <w:fldChar w:fldCharType="separate"/>
      </w:r>
      <w:r>
        <w:rPr>
          <w:color w:val="auto"/>
        </w:rPr>
        <w:t>23</w:t>
      </w:r>
      <w:r>
        <w:rPr>
          <w:color w:val="auto"/>
        </w:rPr>
        <w:fldChar w:fldCharType="end"/>
      </w:r>
      <w:r>
        <w:rPr>
          <w:rFonts w:ascii="宋体" w:hAnsi="宋体" w:cs="方正仿宋_GBK"/>
          <w:color w:val="auto"/>
          <w:szCs w:val="44"/>
          <w:highlight w:val="none"/>
        </w:rPr>
        <w:fldChar w:fldCharType="end"/>
      </w:r>
    </w:p>
    <w:p>
      <w:pPr>
        <w:pStyle w:val="49"/>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_Toc10256 </w:instrText>
      </w:r>
      <w:r>
        <w:rPr>
          <w:rFonts w:ascii="宋体" w:hAnsi="宋体" w:cs="方正仿宋_GBK"/>
          <w:color w:val="auto"/>
          <w:szCs w:val="44"/>
          <w:highlight w:val="none"/>
        </w:rPr>
        <w:fldChar w:fldCharType="separate"/>
      </w:r>
      <w:r>
        <w:rPr>
          <w:rFonts w:hint="eastAsia" w:cs="方正仿宋_GBK"/>
          <w:bCs/>
          <w:color w:val="auto"/>
          <w:szCs w:val="30"/>
          <w:highlight w:val="none"/>
        </w:rPr>
        <w:t>第五篇</w:t>
      </w:r>
      <w:r>
        <w:rPr>
          <w:rFonts w:cs="方正仿宋_GBK"/>
          <w:bCs/>
          <w:color w:val="auto"/>
          <w:szCs w:val="30"/>
          <w:highlight w:val="none"/>
        </w:rPr>
        <w:t xml:space="preserve">  </w:t>
      </w:r>
      <w:r>
        <w:rPr>
          <w:rFonts w:hint="eastAsia" w:cs="方正仿宋_GBK"/>
          <w:bCs/>
          <w:color w:val="auto"/>
          <w:szCs w:val="30"/>
          <w:highlight w:val="none"/>
          <w:lang w:eastAsia="zh-CN"/>
        </w:rPr>
        <w:t>投标人</w:t>
      </w:r>
      <w:r>
        <w:rPr>
          <w:rFonts w:hint="eastAsia" w:cs="方正仿宋_GBK"/>
          <w:bCs/>
          <w:color w:val="auto"/>
          <w:szCs w:val="30"/>
          <w:highlight w:val="none"/>
        </w:rPr>
        <w:t>须知</w:t>
      </w:r>
      <w:r>
        <w:rPr>
          <w:color w:val="auto"/>
        </w:rPr>
        <w:tab/>
      </w:r>
      <w:r>
        <w:rPr>
          <w:color w:val="auto"/>
        </w:rPr>
        <w:fldChar w:fldCharType="begin"/>
      </w:r>
      <w:r>
        <w:rPr>
          <w:color w:val="auto"/>
        </w:rPr>
        <w:instrText xml:space="preserve"> PAGEREF _Toc10256 \h </w:instrText>
      </w:r>
      <w:r>
        <w:rPr>
          <w:color w:val="auto"/>
        </w:rPr>
        <w:fldChar w:fldCharType="separate"/>
      </w:r>
      <w:r>
        <w:rPr>
          <w:color w:val="auto"/>
        </w:rPr>
        <w:t>24</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_Toc32100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一、磋商费用</w:t>
      </w:r>
      <w:r>
        <w:rPr>
          <w:color w:val="auto"/>
        </w:rPr>
        <w:tab/>
      </w:r>
      <w:r>
        <w:rPr>
          <w:color w:val="auto"/>
        </w:rPr>
        <w:fldChar w:fldCharType="begin"/>
      </w:r>
      <w:r>
        <w:rPr>
          <w:color w:val="auto"/>
        </w:rPr>
        <w:instrText xml:space="preserve"> PAGEREF _Toc32100 \h </w:instrText>
      </w:r>
      <w:r>
        <w:rPr>
          <w:color w:val="auto"/>
        </w:rPr>
        <w:fldChar w:fldCharType="separate"/>
      </w:r>
      <w:r>
        <w:rPr>
          <w:color w:val="auto"/>
        </w:rPr>
        <w:t>24</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_Toc21629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二、竞争性磋商文件</w:t>
      </w:r>
      <w:r>
        <w:rPr>
          <w:color w:val="auto"/>
        </w:rPr>
        <w:tab/>
      </w:r>
      <w:r>
        <w:rPr>
          <w:color w:val="auto"/>
        </w:rPr>
        <w:fldChar w:fldCharType="begin"/>
      </w:r>
      <w:r>
        <w:rPr>
          <w:color w:val="auto"/>
        </w:rPr>
        <w:instrText xml:space="preserve"> PAGEREF _Toc21629 \h </w:instrText>
      </w:r>
      <w:r>
        <w:rPr>
          <w:color w:val="auto"/>
        </w:rPr>
        <w:fldChar w:fldCharType="separate"/>
      </w:r>
      <w:r>
        <w:rPr>
          <w:color w:val="auto"/>
        </w:rPr>
        <w:t>24</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_Toc31398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三、磋商要求</w:t>
      </w:r>
      <w:r>
        <w:rPr>
          <w:color w:val="auto"/>
        </w:rPr>
        <w:tab/>
      </w:r>
      <w:r>
        <w:rPr>
          <w:color w:val="auto"/>
        </w:rPr>
        <w:fldChar w:fldCharType="begin"/>
      </w:r>
      <w:r>
        <w:rPr>
          <w:color w:val="auto"/>
        </w:rPr>
        <w:instrText xml:space="preserve"> PAGEREF _Toc31398 \h </w:instrText>
      </w:r>
      <w:r>
        <w:rPr>
          <w:color w:val="auto"/>
        </w:rPr>
        <w:fldChar w:fldCharType="separate"/>
      </w:r>
      <w:r>
        <w:rPr>
          <w:color w:val="auto"/>
        </w:rPr>
        <w:t>24</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_Toc13249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四、</w:t>
      </w:r>
      <w:r>
        <w:rPr>
          <w:rFonts w:hint="eastAsia" w:ascii="宋体" w:hAnsi="宋体" w:cs="方正仿宋_GBK"/>
          <w:bCs/>
          <w:color w:val="auto"/>
          <w:szCs w:val="28"/>
          <w:highlight w:val="none"/>
          <w:lang w:eastAsia="zh-CN"/>
        </w:rPr>
        <w:t>中标人</w:t>
      </w:r>
      <w:r>
        <w:rPr>
          <w:rFonts w:hint="eastAsia" w:ascii="宋体" w:hAnsi="宋体" w:cs="方正仿宋_GBK"/>
          <w:bCs/>
          <w:color w:val="auto"/>
          <w:szCs w:val="28"/>
          <w:highlight w:val="none"/>
        </w:rPr>
        <w:t>的确认和变更</w:t>
      </w:r>
      <w:r>
        <w:rPr>
          <w:color w:val="auto"/>
        </w:rPr>
        <w:tab/>
      </w:r>
      <w:r>
        <w:rPr>
          <w:color w:val="auto"/>
        </w:rPr>
        <w:fldChar w:fldCharType="begin"/>
      </w:r>
      <w:r>
        <w:rPr>
          <w:color w:val="auto"/>
        </w:rPr>
        <w:instrText xml:space="preserve"> PAGEREF _Toc13249 \h </w:instrText>
      </w:r>
      <w:r>
        <w:rPr>
          <w:color w:val="auto"/>
        </w:rPr>
        <w:fldChar w:fldCharType="separate"/>
      </w:r>
      <w:r>
        <w:rPr>
          <w:color w:val="auto"/>
        </w:rPr>
        <w:t>25</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_Toc15320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五、成交通知</w:t>
      </w:r>
      <w:r>
        <w:rPr>
          <w:color w:val="auto"/>
        </w:rPr>
        <w:tab/>
      </w:r>
      <w:r>
        <w:rPr>
          <w:color w:val="auto"/>
        </w:rPr>
        <w:fldChar w:fldCharType="begin"/>
      </w:r>
      <w:r>
        <w:rPr>
          <w:color w:val="auto"/>
        </w:rPr>
        <w:instrText xml:space="preserve"> PAGEREF _Toc15320 \h </w:instrText>
      </w:r>
      <w:r>
        <w:rPr>
          <w:color w:val="auto"/>
        </w:rPr>
        <w:fldChar w:fldCharType="separate"/>
      </w:r>
      <w:r>
        <w:rPr>
          <w:color w:val="auto"/>
        </w:rPr>
        <w:t>25</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_Toc9929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六、关于质疑和投诉</w:t>
      </w:r>
      <w:r>
        <w:rPr>
          <w:color w:val="auto"/>
        </w:rPr>
        <w:tab/>
      </w:r>
      <w:r>
        <w:rPr>
          <w:color w:val="auto"/>
        </w:rPr>
        <w:fldChar w:fldCharType="begin"/>
      </w:r>
      <w:r>
        <w:rPr>
          <w:color w:val="auto"/>
        </w:rPr>
        <w:instrText xml:space="preserve"> PAGEREF _Toc9929 \h </w:instrText>
      </w:r>
      <w:r>
        <w:rPr>
          <w:color w:val="auto"/>
        </w:rPr>
        <w:fldChar w:fldCharType="separate"/>
      </w:r>
      <w:r>
        <w:rPr>
          <w:color w:val="auto"/>
        </w:rPr>
        <w:t>26</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_Toc17412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七、签订合同</w:t>
      </w:r>
      <w:r>
        <w:rPr>
          <w:color w:val="auto"/>
        </w:rPr>
        <w:tab/>
      </w:r>
      <w:r>
        <w:rPr>
          <w:color w:val="auto"/>
        </w:rPr>
        <w:fldChar w:fldCharType="begin"/>
      </w:r>
      <w:r>
        <w:rPr>
          <w:color w:val="auto"/>
        </w:rPr>
        <w:instrText xml:space="preserve"> PAGEREF _Toc17412 \h </w:instrText>
      </w:r>
      <w:r>
        <w:rPr>
          <w:color w:val="auto"/>
        </w:rPr>
        <w:fldChar w:fldCharType="separate"/>
      </w:r>
      <w:r>
        <w:rPr>
          <w:color w:val="auto"/>
        </w:rPr>
        <w:t>26</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_Toc23323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八、政府采购信用融资</w:t>
      </w:r>
      <w:r>
        <w:rPr>
          <w:color w:val="auto"/>
        </w:rPr>
        <w:tab/>
      </w:r>
      <w:r>
        <w:rPr>
          <w:color w:val="auto"/>
        </w:rPr>
        <w:fldChar w:fldCharType="begin"/>
      </w:r>
      <w:r>
        <w:rPr>
          <w:color w:val="auto"/>
        </w:rPr>
        <w:instrText xml:space="preserve"> PAGEREF _Toc23323 \h </w:instrText>
      </w:r>
      <w:r>
        <w:rPr>
          <w:color w:val="auto"/>
        </w:rPr>
        <w:fldChar w:fldCharType="separate"/>
      </w:r>
      <w:r>
        <w:rPr>
          <w:color w:val="auto"/>
        </w:rPr>
        <w:t>27</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_Toc28337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九、采购代理服务费</w:t>
      </w:r>
      <w:r>
        <w:rPr>
          <w:color w:val="auto"/>
        </w:rPr>
        <w:tab/>
      </w:r>
      <w:r>
        <w:rPr>
          <w:color w:val="auto"/>
        </w:rPr>
        <w:fldChar w:fldCharType="begin"/>
      </w:r>
      <w:r>
        <w:rPr>
          <w:color w:val="auto"/>
        </w:rPr>
        <w:instrText xml:space="preserve"> PAGEREF _Toc23323 \h </w:instrText>
      </w:r>
      <w:r>
        <w:rPr>
          <w:color w:val="auto"/>
        </w:rPr>
        <w:fldChar w:fldCharType="separate"/>
      </w:r>
      <w:r>
        <w:rPr>
          <w:color w:val="auto"/>
        </w:rPr>
        <w:t>27</w:t>
      </w:r>
      <w:r>
        <w:rPr>
          <w:color w:val="auto"/>
        </w:rPr>
        <w:fldChar w:fldCharType="end"/>
      </w:r>
      <w:r>
        <w:rPr>
          <w:rFonts w:ascii="宋体" w:hAnsi="宋体" w:cs="方正仿宋_GBK"/>
          <w:color w:val="auto"/>
          <w:szCs w:val="44"/>
          <w:highlight w:val="none"/>
        </w:rPr>
        <w:fldChar w:fldCharType="end"/>
      </w:r>
    </w:p>
    <w:p>
      <w:pPr>
        <w:pStyle w:val="49"/>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_Toc31186 </w:instrText>
      </w:r>
      <w:r>
        <w:rPr>
          <w:rFonts w:ascii="宋体" w:hAnsi="宋体" w:cs="方正仿宋_GBK"/>
          <w:color w:val="auto"/>
          <w:szCs w:val="44"/>
          <w:highlight w:val="none"/>
        </w:rPr>
        <w:fldChar w:fldCharType="separate"/>
      </w:r>
      <w:r>
        <w:rPr>
          <w:rFonts w:hint="eastAsia" w:cs="Times New Roman"/>
          <w:bCs/>
          <w:color w:val="auto"/>
          <w:szCs w:val="30"/>
        </w:rPr>
        <w:t xml:space="preserve">第六篇 </w:t>
      </w:r>
      <w:r>
        <w:rPr>
          <w:rFonts w:hint="eastAsia" w:cs="方正仿宋_GBK"/>
          <w:bCs/>
          <w:color w:val="auto"/>
          <w:szCs w:val="30"/>
          <w:highlight w:val="none"/>
        </w:rPr>
        <w:t>合同主要条款和格式合同（样本）</w:t>
      </w:r>
      <w:r>
        <w:rPr>
          <w:color w:val="auto"/>
        </w:rPr>
        <w:tab/>
      </w:r>
      <w:r>
        <w:rPr>
          <w:color w:val="auto"/>
        </w:rPr>
        <w:fldChar w:fldCharType="begin"/>
      </w:r>
      <w:r>
        <w:rPr>
          <w:color w:val="auto"/>
        </w:rPr>
        <w:instrText xml:space="preserve"> PAGEREF _Toc31186 \h </w:instrText>
      </w:r>
      <w:r>
        <w:rPr>
          <w:color w:val="auto"/>
        </w:rPr>
        <w:fldChar w:fldCharType="separate"/>
      </w:r>
      <w:r>
        <w:rPr>
          <w:color w:val="auto"/>
        </w:rPr>
        <w:t>- 28 -</w:t>
      </w:r>
      <w:r>
        <w:rPr>
          <w:color w:val="auto"/>
        </w:rPr>
        <w:fldChar w:fldCharType="end"/>
      </w:r>
      <w:r>
        <w:rPr>
          <w:rFonts w:ascii="宋体" w:hAnsi="宋体" w:cs="方正仿宋_GBK"/>
          <w:color w:val="auto"/>
          <w:szCs w:val="44"/>
          <w:highlight w:val="none"/>
        </w:rPr>
        <w:fldChar w:fldCharType="end"/>
      </w:r>
    </w:p>
    <w:p>
      <w:pPr>
        <w:pStyle w:val="49"/>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_Toc27434 </w:instrText>
      </w:r>
      <w:r>
        <w:rPr>
          <w:rFonts w:ascii="宋体" w:hAnsi="宋体" w:cs="方正仿宋_GBK"/>
          <w:color w:val="auto"/>
          <w:szCs w:val="44"/>
          <w:highlight w:val="none"/>
        </w:rPr>
        <w:fldChar w:fldCharType="separate"/>
      </w:r>
      <w:r>
        <w:rPr>
          <w:rFonts w:hint="eastAsia" w:cs="方正仿宋_GBK"/>
          <w:bCs/>
          <w:color w:val="auto"/>
          <w:szCs w:val="30"/>
          <w:highlight w:val="none"/>
        </w:rPr>
        <w:t>第七篇</w:t>
      </w:r>
      <w:r>
        <w:rPr>
          <w:rFonts w:cs="方正仿宋_GBK"/>
          <w:bCs/>
          <w:color w:val="auto"/>
          <w:szCs w:val="30"/>
          <w:highlight w:val="none"/>
        </w:rPr>
        <w:t xml:space="preserve"> </w:t>
      </w:r>
      <w:r>
        <w:rPr>
          <w:rFonts w:hint="eastAsia" w:cs="方正仿宋_GBK"/>
          <w:bCs/>
          <w:color w:val="auto"/>
          <w:szCs w:val="30"/>
          <w:highlight w:val="none"/>
        </w:rPr>
        <w:t>响应文件编制要求</w:t>
      </w:r>
      <w:r>
        <w:rPr>
          <w:color w:val="auto"/>
        </w:rPr>
        <w:tab/>
      </w:r>
      <w:r>
        <w:rPr>
          <w:color w:val="auto"/>
        </w:rPr>
        <w:fldChar w:fldCharType="begin"/>
      </w:r>
      <w:r>
        <w:rPr>
          <w:color w:val="auto"/>
        </w:rPr>
        <w:instrText xml:space="preserve"> PAGEREF _Toc27434 \h </w:instrText>
      </w:r>
      <w:r>
        <w:rPr>
          <w:color w:val="auto"/>
        </w:rPr>
        <w:fldChar w:fldCharType="separate"/>
      </w:r>
      <w:r>
        <w:rPr>
          <w:color w:val="auto"/>
        </w:rPr>
        <w:t>28</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_Toc7113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一、经济部分</w:t>
      </w:r>
      <w:r>
        <w:rPr>
          <w:color w:val="auto"/>
        </w:rPr>
        <w:tab/>
      </w:r>
      <w:r>
        <w:rPr>
          <w:color w:val="auto"/>
        </w:rPr>
        <w:fldChar w:fldCharType="begin"/>
      </w:r>
      <w:r>
        <w:rPr>
          <w:color w:val="auto"/>
        </w:rPr>
        <w:instrText xml:space="preserve"> PAGEREF _Toc7113 \h </w:instrText>
      </w:r>
      <w:r>
        <w:rPr>
          <w:color w:val="auto"/>
        </w:rPr>
        <w:fldChar w:fldCharType="separate"/>
      </w:r>
      <w:r>
        <w:rPr>
          <w:color w:val="auto"/>
        </w:rPr>
        <w:t>73</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_Toc10647 </w:instrText>
      </w:r>
      <w:r>
        <w:rPr>
          <w:rFonts w:ascii="宋体" w:hAnsi="宋体" w:cs="方正仿宋_GBK"/>
          <w:color w:val="auto"/>
          <w:szCs w:val="44"/>
          <w:highlight w:val="none"/>
        </w:rPr>
        <w:fldChar w:fldCharType="separate"/>
      </w:r>
      <w:r>
        <w:rPr>
          <w:rFonts w:hint="eastAsia" w:ascii="宋体" w:hAnsi="宋体" w:cs="方正仿宋_GBK"/>
          <w:color w:val="auto"/>
          <w:szCs w:val="28"/>
          <w:highlight w:val="none"/>
        </w:rPr>
        <w:t>二、技术部分</w:t>
      </w:r>
      <w:r>
        <w:rPr>
          <w:color w:val="auto"/>
        </w:rPr>
        <w:tab/>
      </w:r>
      <w:r>
        <w:rPr>
          <w:color w:val="auto"/>
        </w:rPr>
        <w:fldChar w:fldCharType="begin"/>
      </w:r>
      <w:r>
        <w:rPr>
          <w:color w:val="auto"/>
        </w:rPr>
        <w:instrText xml:space="preserve"> PAGEREF _Toc10647 \h </w:instrText>
      </w:r>
      <w:r>
        <w:rPr>
          <w:color w:val="auto"/>
        </w:rPr>
        <w:fldChar w:fldCharType="separate"/>
      </w:r>
      <w:r>
        <w:rPr>
          <w:color w:val="auto"/>
        </w:rPr>
        <w:t>75</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_Toc13404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三、商务部分</w:t>
      </w:r>
      <w:r>
        <w:rPr>
          <w:color w:val="auto"/>
        </w:rPr>
        <w:tab/>
      </w:r>
      <w:r>
        <w:rPr>
          <w:color w:val="auto"/>
        </w:rPr>
        <w:fldChar w:fldCharType="begin"/>
      </w:r>
      <w:r>
        <w:rPr>
          <w:color w:val="auto"/>
        </w:rPr>
        <w:instrText xml:space="preserve"> PAGEREF _Toc13404 \h </w:instrText>
      </w:r>
      <w:r>
        <w:rPr>
          <w:color w:val="auto"/>
        </w:rPr>
        <w:fldChar w:fldCharType="separate"/>
      </w:r>
      <w:r>
        <w:rPr>
          <w:color w:val="auto"/>
        </w:rPr>
        <w:t>76</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_Toc32242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四、资格文件</w:t>
      </w:r>
      <w:r>
        <w:rPr>
          <w:color w:val="auto"/>
        </w:rPr>
        <w:tab/>
      </w:r>
      <w:r>
        <w:rPr>
          <w:color w:val="auto"/>
        </w:rPr>
        <w:fldChar w:fldCharType="begin"/>
      </w:r>
      <w:r>
        <w:rPr>
          <w:color w:val="auto"/>
        </w:rPr>
        <w:instrText xml:space="preserve"> PAGEREF _Toc32242 \h </w:instrText>
      </w:r>
      <w:r>
        <w:rPr>
          <w:color w:val="auto"/>
        </w:rPr>
        <w:fldChar w:fldCharType="separate"/>
      </w:r>
      <w:r>
        <w:rPr>
          <w:color w:val="auto"/>
        </w:rPr>
        <w:t>78</w:t>
      </w:r>
      <w:r>
        <w:rPr>
          <w:color w:val="auto"/>
        </w:rPr>
        <w:fldChar w:fldCharType="end"/>
      </w:r>
      <w:r>
        <w:rPr>
          <w:rFonts w:ascii="宋体" w:hAnsi="宋体" w:cs="方正仿宋_GBK"/>
          <w:color w:val="auto"/>
          <w:szCs w:val="44"/>
          <w:highlight w:val="none"/>
        </w:rPr>
        <w:fldChar w:fldCharType="end"/>
      </w:r>
    </w:p>
    <w:p>
      <w:pPr>
        <w:pStyle w:val="31"/>
        <w:tabs>
          <w:tab w:val="right" w:leader="dot" w:pos="9132"/>
        </w:tabs>
        <w:rPr>
          <w:color w:val="auto"/>
        </w:rPr>
      </w:pPr>
      <w:r>
        <w:rPr>
          <w:rFonts w:ascii="宋体" w:hAnsi="宋体" w:cs="方正仿宋_GBK"/>
          <w:color w:val="auto"/>
          <w:szCs w:val="44"/>
          <w:highlight w:val="none"/>
        </w:rPr>
        <w:fldChar w:fldCharType="begin"/>
      </w:r>
      <w:r>
        <w:rPr>
          <w:rFonts w:ascii="宋体" w:hAnsi="宋体" w:cs="方正仿宋_GBK"/>
          <w:color w:val="auto"/>
          <w:szCs w:val="44"/>
          <w:highlight w:val="none"/>
        </w:rPr>
        <w:instrText xml:space="preserve"> HYPERLINK \l _Toc4149 </w:instrText>
      </w:r>
      <w:r>
        <w:rPr>
          <w:rFonts w:ascii="宋体" w:hAnsi="宋体" w:cs="方正仿宋_GBK"/>
          <w:color w:val="auto"/>
          <w:szCs w:val="44"/>
          <w:highlight w:val="none"/>
        </w:rPr>
        <w:fldChar w:fldCharType="separate"/>
      </w:r>
      <w:r>
        <w:rPr>
          <w:rFonts w:hint="eastAsia" w:ascii="宋体" w:hAnsi="宋体" w:cs="方正仿宋_GBK"/>
          <w:bCs/>
          <w:color w:val="auto"/>
          <w:szCs w:val="28"/>
          <w:highlight w:val="none"/>
        </w:rPr>
        <w:t>五、其他文件</w:t>
      </w:r>
      <w:r>
        <w:rPr>
          <w:color w:val="auto"/>
        </w:rPr>
        <w:tab/>
      </w:r>
      <w:r>
        <w:rPr>
          <w:color w:val="auto"/>
        </w:rPr>
        <w:fldChar w:fldCharType="begin"/>
      </w:r>
      <w:r>
        <w:rPr>
          <w:color w:val="auto"/>
        </w:rPr>
        <w:instrText xml:space="preserve"> PAGEREF _Toc4149 \h </w:instrText>
      </w:r>
      <w:r>
        <w:rPr>
          <w:color w:val="auto"/>
        </w:rPr>
        <w:fldChar w:fldCharType="separate"/>
      </w:r>
      <w:r>
        <w:rPr>
          <w:color w:val="auto"/>
        </w:rPr>
        <w:t>84</w:t>
      </w:r>
      <w:r>
        <w:rPr>
          <w:color w:val="auto"/>
        </w:rPr>
        <w:fldChar w:fldCharType="end"/>
      </w:r>
      <w:r>
        <w:rPr>
          <w:rFonts w:ascii="宋体" w:hAnsi="宋体" w:cs="方正仿宋_GBK"/>
          <w:color w:val="auto"/>
          <w:szCs w:val="44"/>
          <w:highlight w:val="none"/>
        </w:rPr>
        <w:fldChar w:fldCharType="end"/>
      </w:r>
    </w:p>
    <w:p>
      <w:pPr>
        <w:pStyle w:val="286"/>
        <w:tabs>
          <w:tab w:val="right" w:leader="dot" w:pos="9132"/>
        </w:tabs>
        <w:rPr>
          <w:rFonts w:ascii="宋体" w:hAnsi="宋体" w:cs="方正仿宋_GBK"/>
          <w:color w:val="auto"/>
          <w:sz w:val="44"/>
          <w:szCs w:val="44"/>
          <w:highlight w:val="none"/>
        </w:rPr>
      </w:pPr>
      <w:r>
        <w:rPr>
          <w:rFonts w:ascii="宋体" w:hAnsi="宋体" w:cs="方正仿宋_GBK"/>
          <w:color w:val="auto"/>
          <w:szCs w:val="44"/>
          <w:highlight w:val="none"/>
        </w:rPr>
        <w:fldChar w:fldCharType="end"/>
      </w:r>
    </w:p>
    <w:p>
      <w:pPr>
        <w:pStyle w:val="286"/>
        <w:numPr>
          <w:ilvl w:val="0"/>
          <w:numId w:val="1"/>
        </w:numPr>
        <w:tabs>
          <w:tab w:val="right" w:leader="dot" w:pos="9132"/>
        </w:tabs>
        <w:ind w:left="425" w:leftChars="0" w:hanging="425" w:firstLineChars="0"/>
        <w:outlineLvl w:val="2"/>
        <w:rPr>
          <w:rFonts w:ascii="宋体" w:hAnsi="宋体" w:cs="方正仿宋_GBK"/>
          <w:color w:val="auto"/>
          <w:sz w:val="28"/>
          <w:szCs w:val="28"/>
          <w:highlight w:val="none"/>
        </w:rPr>
        <w:sectPr>
          <w:footerReference r:id="rId8" w:type="first"/>
          <w:footerReference r:id="rId7" w:type="default"/>
          <w:pgSz w:w="11907" w:h="16840"/>
          <w:pgMar w:top="1134" w:right="1191" w:bottom="1134" w:left="1584" w:header="964" w:footer="992" w:gutter="0"/>
          <w:pgNumType w:fmt="decimal" w:start="1"/>
          <w:cols w:space="720" w:num="1"/>
          <w:titlePg/>
          <w:docGrid w:linePitch="381" w:charSpace="0"/>
        </w:sectPr>
      </w:pPr>
    </w:p>
    <w:p>
      <w:pPr>
        <w:pStyle w:val="4"/>
        <w:numPr>
          <w:ilvl w:val="0"/>
          <w:numId w:val="2"/>
        </w:numPr>
        <w:spacing w:before="0" w:after="0" w:line="360" w:lineRule="auto"/>
        <w:ind w:left="0"/>
        <w:jc w:val="center"/>
        <w:rPr>
          <w:rFonts w:cs="方正仿宋_GBK"/>
          <w:bCs/>
          <w:color w:val="auto"/>
          <w:sz w:val="36"/>
          <w:szCs w:val="30"/>
          <w:highlight w:val="none"/>
        </w:rPr>
      </w:pPr>
      <w:bookmarkStart w:id="4" w:name="_Toc7839"/>
      <w:bookmarkStart w:id="5" w:name="_Toc7421871"/>
      <w:bookmarkStart w:id="6" w:name="_Toc20762"/>
      <w:r>
        <w:rPr>
          <w:rFonts w:hint="eastAsia" w:cs="方正仿宋_GBK"/>
          <w:bCs/>
          <w:color w:val="auto"/>
          <w:sz w:val="36"/>
          <w:szCs w:val="30"/>
          <w:highlight w:val="none"/>
          <w:lang w:val="en-US" w:eastAsia="zh-CN"/>
        </w:rPr>
        <w:t>采购邀请书</w:t>
      </w:r>
      <w:bookmarkEnd w:id="4"/>
      <w:bookmarkEnd w:id="5"/>
      <w:bookmarkEnd w:id="6"/>
    </w:p>
    <w:p>
      <w:pPr>
        <w:snapToGrid w:val="0"/>
        <w:spacing w:line="440" w:lineRule="exact"/>
        <w:ind w:firstLine="424" w:firstLineChars="200"/>
        <w:rPr>
          <w:rFonts w:ascii="宋体" w:hAnsi="宋体" w:eastAsia="宋体" w:cs="方正仿宋_GBK"/>
          <w:color w:val="auto"/>
          <w:szCs w:val="28"/>
          <w:highlight w:val="none"/>
        </w:rPr>
      </w:pPr>
      <w:bookmarkStart w:id="7" w:name="_Toc7421872"/>
      <w:bookmarkStart w:id="8" w:name="_Toc23682"/>
      <w:r>
        <w:rPr>
          <w:rFonts w:hint="eastAsia" w:ascii="宋体" w:hAnsi="宋体" w:eastAsia="宋体" w:cs="方正仿宋_GBK"/>
          <w:color w:val="auto"/>
          <w:szCs w:val="28"/>
          <w:highlight w:val="none"/>
          <w:lang w:eastAsia="zh-CN"/>
        </w:rPr>
        <w:t>同致诚工程咨询有限公司</w:t>
      </w:r>
      <w:r>
        <w:rPr>
          <w:rFonts w:hint="eastAsia" w:ascii="宋体" w:hAnsi="宋体" w:eastAsia="宋体" w:cs="方正仿宋_GBK"/>
          <w:color w:val="auto"/>
          <w:szCs w:val="28"/>
          <w:highlight w:val="none"/>
        </w:rPr>
        <w:t>（以下简称：采购代理机构）受</w:t>
      </w:r>
      <w:r>
        <w:rPr>
          <w:rFonts w:hint="eastAsia" w:ascii="宋体" w:hAnsi="宋体" w:eastAsia="宋体" w:cs="方正仿宋_GBK"/>
          <w:color w:val="auto"/>
          <w:szCs w:val="28"/>
          <w:highlight w:val="none"/>
          <w:lang w:eastAsia="zh-CN"/>
        </w:rPr>
        <w:t>重庆市体育设施建设维护中心（以下简称：采购人）</w:t>
      </w:r>
      <w:r>
        <w:rPr>
          <w:rFonts w:hint="eastAsia" w:ascii="宋体" w:hAnsi="宋体" w:eastAsia="宋体" w:cs="方正仿宋_GBK"/>
          <w:color w:val="auto"/>
          <w:szCs w:val="28"/>
          <w:highlight w:val="none"/>
        </w:rPr>
        <w:t>的委托，对</w:t>
      </w:r>
      <w:r>
        <w:rPr>
          <w:rFonts w:hint="eastAsia" w:ascii="宋体" w:hAnsi="宋体" w:eastAsia="宋体" w:cs="方正仿宋_GBK"/>
          <w:color w:val="auto"/>
          <w:szCs w:val="28"/>
          <w:highlight w:val="none"/>
          <w:lang w:eastAsia="zh-CN"/>
        </w:rPr>
        <w:t>市竞训中心A栋转训楼维修工程</w:t>
      </w:r>
      <w:r>
        <w:rPr>
          <w:rFonts w:hint="eastAsia" w:ascii="宋体" w:hAnsi="宋体" w:eastAsia="宋体" w:cs="方正仿宋_GBK"/>
          <w:color w:val="auto"/>
          <w:szCs w:val="28"/>
          <w:highlight w:val="none"/>
        </w:rPr>
        <w:t>进行竞争性磋商采购。欢迎有资格的</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前来参加磋商。</w:t>
      </w:r>
    </w:p>
    <w:p>
      <w:pPr>
        <w:pStyle w:val="5"/>
        <w:spacing w:before="0" w:after="0" w:line="440" w:lineRule="exact"/>
        <w:rPr>
          <w:rFonts w:ascii="宋体" w:hAnsi="宋体" w:cs="方正仿宋_GBK"/>
          <w:bCs/>
          <w:color w:val="auto"/>
          <w:sz w:val="28"/>
          <w:szCs w:val="28"/>
          <w:highlight w:val="none"/>
        </w:rPr>
      </w:pPr>
      <w:bookmarkStart w:id="9" w:name="_Toc5019"/>
      <w:r>
        <w:rPr>
          <w:rFonts w:hint="eastAsia" w:ascii="宋体" w:hAnsi="宋体" w:cs="方正仿宋_GBK"/>
          <w:bCs/>
          <w:color w:val="auto"/>
          <w:sz w:val="28"/>
          <w:szCs w:val="28"/>
          <w:highlight w:val="none"/>
        </w:rPr>
        <w:t>一、项目概况与招标范围</w:t>
      </w:r>
      <w:bookmarkEnd w:id="7"/>
      <w:bookmarkEnd w:id="8"/>
      <w:bookmarkEnd w:id="9"/>
    </w:p>
    <w:tbl>
      <w:tblPr>
        <w:tblStyle w:val="62"/>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4"/>
        <w:gridCol w:w="1276"/>
        <w:gridCol w:w="1418"/>
        <w:gridCol w:w="1443"/>
        <w:gridCol w:w="124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7" w:hRule="atLeast"/>
          <w:jc w:val="center"/>
        </w:trPr>
        <w:tc>
          <w:tcPr>
            <w:tcW w:w="2224" w:type="dxa"/>
            <w:vAlign w:val="center"/>
          </w:tcPr>
          <w:p>
            <w:pPr>
              <w:spacing w:line="520" w:lineRule="exact"/>
              <w:jc w:val="center"/>
              <w:rPr>
                <w:rFonts w:ascii="宋体" w:hAnsi="宋体" w:eastAsia="宋体" w:cs="方正仿宋_GBK"/>
                <w:color w:val="auto"/>
                <w:szCs w:val="18"/>
                <w:highlight w:val="none"/>
              </w:rPr>
            </w:pPr>
            <w:bookmarkStart w:id="10" w:name="_Toc1464"/>
            <w:bookmarkStart w:id="11" w:name="_Toc7421873"/>
            <w:bookmarkStart w:id="12" w:name="_Toc373860293"/>
            <w:bookmarkStart w:id="13" w:name="_Toc317775178"/>
            <w:r>
              <w:rPr>
                <w:rFonts w:hint="eastAsia" w:ascii="宋体" w:hAnsi="宋体" w:eastAsia="宋体" w:cs="方正仿宋_GBK"/>
                <w:color w:val="auto"/>
                <w:szCs w:val="18"/>
                <w:highlight w:val="none"/>
              </w:rPr>
              <w:t>项目名称</w:t>
            </w:r>
          </w:p>
        </w:tc>
        <w:tc>
          <w:tcPr>
            <w:tcW w:w="1276" w:type="dxa"/>
            <w:vAlign w:val="center"/>
          </w:tcPr>
          <w:p>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最高限价</w:t>
            </w:r>
          </w:p>
          <w:p>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（元）</w:t>
            </w:r>
          </w:p>
        </w:tc>
        <w:tc>
          <w:tcPr>
            <w:tcW w:w="1418" w:type="dxa"/>
            <w:vAlign w:val="center"/>
          </w:tcPr>
          <w:p>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磋商保证金</w:t>
            </w:r>
          </w:p>
          <w:p>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（万元）</w:t>
            </w:r>
          </w:p>
        </w:tc>
        <w:tc>
          <w:tcPr>
            <w:tcW w:w="1443" w:type="dxa"/>
          </w:tcPr>
          <w:p>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安全文明施工费暂定金额</w:t>
            </w:r>
            <w:r>
              <w:rPr>
                <w:rFonts w:ascii="宋体" w:hAnsi="宋体" w:eastAsia="宋体" w:cs="方正仿宋_GBK"/>
                <w:color w:val="auto"/>
                <w:szCs w:val="18"/>
                <w:highlight w:val="none"/>
              </w:rPr>
              <w:t>(</w:t>
            </w:r>
            <w:r>
              <w:rPr>
                <w:rFonts w:hint="eastAsia" w:ascii="宋体" w:hAnsi="宋体" w:eastAsia="宋体" w:cs="方正仿宋_GBK"/>
                <w:color w:val="auto"/>
                <w:szCs w:val="18"/>
                <w:highlight w:val="none"/>
              </w:rPr>
              <w:t>元</w:t>
            </w:r>
            <w:r>
              <w:rPr>
                <w:rFonts w:ascii="宋体" w:hAnsi="宋体" w:eastAsia="宋体" w:cs="方正仿宋_GBK"/>
                <w:color w:val="auto"/>
                <w:szCs w:val="18"/>
                <w:highlight w:val="none"/>
              </w:rPr>
              <w:t>)</w:t>
            </w:r>
          </w:p>
        </w:tc>
        <w:tc>
          <w:tcPr>
            <w:tcW w:w="1244" w:type="dxa"/>
            <w:vAlign w:val="center"/>
          </w:tcPr>
          <w:p>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中标</w:t>
            </w:r>
            <w:r>
              <w:rPr>
                <w:rFonts w:hint="eastAsia" w:ascii="宋体" w:hAnsi="宋体" w:eastAsia="宋体" w:cs="方正仿宋_GBK"/>
                <w:color w:val="auto"/>
                <w:szCs w:val="18"/>
                <w:highlight w:val="none"/>
                <w:lang w:eastAsia="zh-CN"/>
              </w:rPr>
              <w:t>投标人</w:t>
            </w:r>
            <w:r>
              <w:rPr>
                <w:rFonts w:hint="eastAsia" w:ascii="宋体" w:hAnsi="宋体" w:eastAsia="宋体" w:cs="方正仿宋_GBK"/>
                <w:color w:val="auto"/>
                <w:szCs w:val="18"/>
                <w:highlight w:val="none"/>
              </w:rPr>
              <w:t>数量</w:t>
            </w:r>
          </w:p>
        </w:tc>
        <w:tc>
          <w:tcPr>
            <w:tcW w:w="2268" w:type="dxa"/>
            <w:vAlign w:val="center"/>
          </w:tcPr>
          <w:p>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2224" w:type="dxa"/>
            <w:vAlign w:val="center"/>
          </w:tcPr>
          <w:p>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lang w:eastAsia="zh-CN"/>
              </w:rPr>
              <w:t>市竞训中心A栋转训楼维修工程</w:t>
            </w:r>
          </w:p>
        </w:tc>
        <w:tc>
          <w:tcPr>
            <w:tcW w:w="1276" w:type="dxa"/>
            <w:vAlign w:val="center"/>
          </w:tcPr>
          <w:p>
            <w:pPr>
              <w:spacing w:line="520" w:lineRule="exact"/>
              <w:jc w:val="center"/>
              <w:rPr>
                <w:rFonts w:hint="default" w:ascii="宋体" w:hAnsi="宋体" w:eastAsia="宋体" w:cs="方正仿宋_GBK"/>
                <w:color w:val="auto"/>
                <w:szCs w:val="18"/>
                <w:highlight w:val="none"/>
                <w:lang w:val="en-US" w:eastAsia="zh-CN"/>
              </w:rPr>
            </w:pPr>
            <w:r>
              <w:rPr>
                <w:rFonts w:hint="eastAsia" w:ascii="宋体" w:hAnsi="宋体" w:eastAsia="宋体" w:cs="方正仿宋_GBK"/>
                <w:color w:val="auto"/>
                <w:szCs w:val="18"/>
                <w:highlight w:val="none"/>
                <w:lang w:val="en-US" w:eastAsia="zh-CN"/>
              </w:rPr>
              <w:t>3545017.01</w:t>
            </w:r>
          </w:p>
        </w:tc>
        <w:tc>
          <w:tcPr>
            <w:tcW w:w="1418" w:type="dxa"/>
            <w:vAlign w:val="center"/>
          </w:tcPr>
          <w:p>
            <w:pPr>
              <w:spacing w:line="520" w:lineRule="exact"/>
              <w:jc w:val="center"/>
              <w:rPr>
                <w:rFonts w:hint="default" w:ascii="宋体" w:hAnsi="宋体" w:eastAsia="宋体" w:cs="方正仿宋_GBK"/>
                <w:color w:val="auto"/>
                <w:szCs w:val="18"/>
                <w:highlight w:val="none"/>
                <w:lang w:val="en-US" w:eastAsia="zh-CN"/>
              </w:rPr>
            </w:pPr>
            <w:r>
              <w:rPr>
                <w:rFonts w:hint="eastAsia" w:ascii="宋体" w:hAnsi="宋体" w:eastAsia="宋体" w:cs="方正仿宋_GBK"/>
                <w:color w:val="auto"/>
                <w:szCs w:val="18"/>
                <w:highlight w:val="none"/>
                <w:lang w:val="en-US" w:eastAsia="zh-CN"/>
              </w:rPr>
              <w:t>7</w:t>
            </w:r>
          </w:p>
        </w:tc>
        <w:tc>
          <w:tcPr>
            <w:tcW w:w="1443" w:type="dxa"/>
            <w:vAlign w:val="center"/>
          </w:tcPr>
          <w:p>
            <w:pPr>
              <w:spacing w:line="520" w:lineRule="exact"/>
              <w:jc w:val="center"/>
              <w:rPr>
                <w:rFonts w:hint="default" w:ascii="宋体" w:hAnsi="宋体" w:eastAsia="宋体" w:cs="方正仿宋_GBK"/>
                <w:color w:val="auto"/>
                <w:szCs w:val="18"/>
                <w:highlight w:val="none"/>
                <w:lang w:val="en-US" w:eastAsia="zh-CN"/>
              </w:rPr>
            </w:pPr>
            <w:r>
              <w:rPr>
                <w:rFonts w:hint="eastAsia" w:ascii="宋体" w:hAnsi="宋体" w:eastAsia="宋体" w:cs="方正仿宋_GBK"/>
                <w:color w:val="auto"/>
                <w:szCs w:val="18"/>
                <w:highlight w:val="none"/>
                <w:lang w:val="en-US" w:eastAsia="zh-CN"/>
              </w:rPr>
              <w:t>114235.39</w:t>
            </w:r>
          </w:p>
        </w:tc>
        <w:tc>
          <w:tcPr>
            <w:tcW w:w="1244" w:type="dxa"/>
            <w:vAlign w:val="center"/>
          </w:tcPr>
          <w:p>
            <w:pPr>
              <w:spacing w:line="520" w:lineRule="exact"/>
              <w:jc w:val="center"/>
              <w:rPr>
                <w:rFonts w:ascii="宋体" w:hAnsi="宋体" w:eastAsia="宋体" w:cs="方正仿宋_GBK"/>
                <w:color w:val="auto"/>
                <w:szCs w:val="18"/>
                <w:highlight w:val="none"/>
              </w:rPr>
            </w:pPr>
            <w:r>
              <w:rPr>
                <w:rFonts w:ascii="宋体" w:hAnsi="宋体" w:eastAsia="宋体" w:cs="方正仿宋_GBK"/>
                <w:color w:val="auto"/>
                <w:szCs w:val="18"/>
                <w:highlight w:val="none"/>
              </w:rPr>
              <w:t>1</w:t>
            </w:r>
          </w:p>
        </w:tc>
        <w:tc>
          <w:tcPr>
            <w:tcW w:w="2268" w:type="dxa"/>
            <w:vAlign w:val="center"/>
          </w:tcPr>
          <w:p>
            <w:pPr>
              <w:spacing w:line="520" w:lineRule="exact"/>
              <w:jc w:val="center"/>
              <w:rPr>
                <w:rFonts w:ascii="宋体" w:hAnsi="宋体" w:eastAsia="宋体" w:cs="方正仿宋_GBK"/>
                <w:color w:val="auto"/>
                <w:szCs w:val="18"/>
                <w:highlight w:val="none"/>
              </w:rPr>
            </w:pPr>
            <w:r>
              <w:rPr>
                <w:rFonts w:hint="eastAsia" w:ascii="宋体" w:hAnsi="宋体" w:eastAsia="宋体" w:cs="方正仿宋_GBK"/>
                <w:color w:val="auto"/>
                <w:szCs w:val="18"/>
                <w:highlight w:val="none"/>
              </w:rPr>
              <w:t>建筑业</w:t>
            </w:r>
          </w:p>
        </w:tc>
      </w:tr>
    </w:tbl>
    <w:p>
      <w:pPr>
        <w:pStyle w:val="5"/>
        <w:spacing w:before="0" w:after="0" w:line="440" w:lineRule="exact"/>
        <w:rPr>
          <w:rFonts w:ascii="宋体" w:hAnsi="宋体" w:cs="方正仿宋_GBK"/>
          <w:bCs/>
          <w:color w:val="auto"/>
          <w:sz w:val="28"/>
          <w:szCs w:val="28"/>
          <w:highlight w:val="none"/>
        </w:rPr>
      </w:pPr>
    </w:p>
    <w:p>
      <w:pPr>
        <w:pStyle w:val="5"/>
        <w:spacing w:before="0" w:after="0" w:line="440" w:lineRule="exact"/>
        <w:rPr>
          <w:rFonts w:ascii="宋体" w:hAnsi="宋体"/>
          <w:color w:val="auto"/>
          <w:highlight w:val="none"/>
        </w:rPr>
      </w:pPr>
      <w:bookmarkStart w:id="14" w:name="_Toc12026"/>
      <w:r>
        <w:rPr>
          <w:rFonts w:hint="eastAsia" w:ascii="宋体" w:hAnsi="宋体" w:cs="方正仿宋_GBK"/>
          <w:bCs/>
          <w:color w:val="auto"/>
          <w:sz w:val="28"/>
          <w:szCs w:val="28"/>
          <w:highlight w:val="none"/>
        </w:rPr>
        <w:t>二、资金来源</w:t>
      </w:r>
      <w:bookmarkEnd w:id="10"/>
      <w:bookmarkEnd w:id="11"/>
      <w:bookmarkEnd w:id="14"/>
    </w:p>
    <w:p>
      <w:pPr>
        <w:pStyle w:val="283"/>
        <w:spacing w:line="440" w:lineRule="exact"/>
        <w:ind w:firstLine="424" w:firstLineChars="200"/>
        <w:rPr>
          <w:rFonts w:hAnsi="宋体" w:eastAsia="宋体" w:cs="方正仿宋_GBK"/>
          <w:color w:val="auto"/>
          <w:sz w:val="24"/>
          <w:szCs w:val="24"/>
          <w:highlight w:val="none"/>
        </w:rPr>
      </w:pPr>
      <w:bookmarkStart w:id="15" w:name="_Toc23259"/>
      <w:bookmarkStart w:id="16" w:name="_Toc7421874"/>
      <w:r>
        <w:rPr>
          <w:rFonts w:hint="eastAsia" w:hAnsi="宋体" w:eastAsia="宋体" w:cs="方正仿宋_GBK"/>
          <w:color w:val="auto"/>
          <w:sz w:val="24"/>
          <w:szCs w:val="24"/>
          <w:highlight w:val="none"/>
          <w:lang w:eastAsia="zh-CN"/>
        </w:rPr>
        <w:t>财政资金</w:t>
      </w:r>
      <w:r>
        <w:rPr>
          <w:rFonts w:hint="eastAsia" w:hAnsi="宋体" w:eastAsia="宋体" w:cs="方正仿宋_GBK"/>
          <w:color w:val="auto"/>
          <w:sz w:val="24"/>
          <w:szCs w:val="24"/>
          <w:highlight w:val="none"/>
        </w:rPr>
        <w:t>。</w:t>
      </w:r>
    </w:p>
    <w:p>
      <w:pPr>
        <w:pStyle w:val="5"/>
        <w:spacing w:before="0" w:after="0" w:line="440" w:lineRule="exact"/>
        <w:rPr>
          <w:rFonts w:ascii="宋体" w:hAnsi="宋体" w:cs="方正仿宋_GBK"/>
          <w:bCs/>
          <w:color w:val="auto"/>
          <w:sz w:val="28"/>
          <w:szCs w:val="28"/>
          <w:highlight w:val="none"/>
        </w:rPr>
      </w:pPr>
      <w:bookmarkStart w:id="17" w:name="_Toc13141"/>
      <w:r>
        <w:rPr>
          <w:rFonts w:hint="eastAsia" w:ascii="宋体" w:hAnsi="宋体" w:cs="方正仿宋_GBK"/>
          <w:bCs/>
          <w:color w:val="auto"/>
          <w:sz w:val="28"/>
          <w:szCs w:val="28"/>
          <w:highlight w:val="none"/>
        </w:rPr>
        <w:t>三、磋商资格</w:t>
      </w:r>
      <w:bookmarkEnd w:id="15"/>
      <w:bookmarkEnd w:id="16"/>
      <w:bookmarkEnd w:id="17"/>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磋商</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是指向采购人提供货物、工程或者服务的法人、其他组织或者自然人。以下简称</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。合格的</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应符合政府采购法第二十二条规定的基本条件。</w:t>
      </w:r>
    </w:p>
    <w:p>
      <w:pPr>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（一）一般资格条件</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1</w:t>
      </w:r>
      <w:r>
        <w:rPr>
          <w:rFonts w:hint="eastAsia" w:hAnsi="宋体" w:eastAsia="宋体" w:cs="方正仿宋_GBK"/>
          <w:color w:val="auto"/>
          <w:sz w:val="24"/>
          <w:szCs w:val="24"/>
          <w:highlight w:val="none"/>
        </w:rPr>
        <w:t>、具有独立承担民事责任的能力；</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2</w:t>
      </w:r>
      <w:r>
        <w:rPr>
          <w:rFonts w:hint="eastAsia" w:hAnsi="宋体" w:eastAsia="宋体" w:cs="方正仿宋_GBK"/>
          <w:color w:val="auto"/>
          <w:sz w:val="24"/>
          <w:szCs w:val="24"/>
          <w:highlight w:val="none"/>
        </w:rPr>
        <w:t>、具有良好的商业信誉和健全的财务会计制度；</w:t>
      </w:r>
    </w:p>
    <w:p>
      <w:pPr>
        <w:spacing w:line="440" w:lineRule="exact"/>
        <w:ind w:firstLine="424" w:firstLineChars="200"/>
        <w:rPr>
          <w:rFonts w:ascii="宋体" w:hAnsi="宋体" w:eastAsia="宋体" w:cs="方正仿宋_GBK"/>
          <w:color w:val="auto"/>
          <w:szCs w:val="24"/>
          <w:highlight w:val="none"/>
        </w:rPr>
      </w:pPr>
      <w:r>
        <w:rPr>
          <w:rFonts w:ascii="宋体" w:hAnsi="宋体" w:eastAsia="宋体" w:cs="方正仿宋_GBK"/>
          <w:color w:val="auto"/>
          <w:szCs w:val="24"/>
          <w:highlight w:val="none"/>
        </w:rPr>
        <w:t>3</w:t>
      </w:r>
      <w:r>
        <w:rPr>
          <w:rFonts w:hint="eastAsia" w:ascii="宋体" w:hAnsi="宋体" w:eastAsia="宋体" w:cs="方正仿宋_GBK"/>
          <w:color w:val="auto"/>
          <w:szCs w:val="24"/>
          <w:highlight w:val="none"/>
        </w:rPr>
        <w:t>、具有履行合同所必需的设备和专业技术能力；</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4</w:t>
      </w:r>
      <w:r>
        <w:rPr>
          <w:rFonts w:hint="eastAsia" w:hAnsi="宋体" w:eastAsia="宋体" w:cs="方正仿宋_GBK"/>
          <w:color w:val="auto"/>
          <w:sz w:val="24"/>
          <w:szCs w:val="24"/>
          <w:highlight w:val="none"/>
        </w:rPr>
        <w:t>、有依法缴纳税收和社会保障资金的良好记录；</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5</w:t>
      </w:r>
      <w:r>
        <w:rPr>
          <w:rFonts w:hint="eastAsia" w:hAnsi="宋体" w:eastAsia="宋体" w:cs="方正仿宋_GBK"/>
          <w:color w:val="auto"/>
          <w:sz w:val="24"/>
          <w:szCs w:val="24"/>
          <w:highlight w:val="none"/>
        </w:rPr>
        <w:t>、参加政府采购活动前三年内，在经营活动中没有重大违法记录；</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6</w:t>
      </w:r>
      <w:r>
        <w:rPr>
          <w:rFonts w:hint="eastAsia" w:hAnsi="宋体" w:eastAsia="宋体" w:cs="方正仿宋_GBK"/>
          <w:color w:val="auto"/>
          <w:sz w:val="24"/>
          <w:szCs w:val="24"/>
          <w:highlight w:val="none"/>
        </w:rPr>
        <w:t>、法律、行政法规规定的其他条件</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（二）特定资格条件</w:t>
      </w:r>
    </w:p>
    <w:bookmarkEnd w:id="12"/>
    <w:bookmarkEnd w:id="13"/>
    <w:p>
      <w:pPr>
        <w:pStyle w:val="283"/>
        <w:spacing w:line="440" w:lineRule="exact"/>
        <w:ind w:firstLine="424" w:firstLineChars="200"/>
        <w:rPr>
          <w:rFonts w:hAnsi="宋体" w:eastAsia="宋体" w:cs="方正仿宋_GBK"/>
          <w:color w:val="auto"/>
          <w:sz w:val="24"/>
          <w:szCs w:val="24"/>
          <w:highlight w:val="none"/>
        </w:rPr>
      </w:pPr>
      <w:bookmarkStart w:id="18" w:name="_Toc6289"/>
      <w:bookmarkStart w:id="19" w:name="_Toc7421875"/>
      <w:r>
        <w:rPr>
          <w:rFonts w:hAnsi="宋体" w:eastAsia="宋体" w:cs="方正仿宋_GBK"/>
          <w:color w:val="auto"/>
          <w:sz w:val="24"/>
          <w:szCs w:val="24"/>
          <w:highlight w:val="none"/>
        </w:rPr>
        <w:t>1</w:t>
      </w:r>
      <w:r>
        <w:rPr>
          <w:rFonts w:hint="eastAsia" w:hAnsi="宋体" w:eastAsia="宋体" w:cs="方正仿宋_GBK"/>
          <w:color w:val="auto"/>
          <w:sz w:val="24"/>
          <w:szCs w:val="24"/>
          <w:highlight w:val="none"/>
        </w:rPr>
        <w:t>、</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需具备建设行政主管部门颁发的有效的建筑工程施工总承包三级及以上资质或建筑装修装饰工程专业承包二级及以上资质。（提供有效的资质证书副本复印件加盖</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公章）。</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2</w:t>
      </w:r>
      <w:r>
        <w:rPr>
          <w:rFonts w:hint="eastAsia" w:hAnsi="宋体" w:eastAsia="宋体" w:cs="方正仿宋_GBK"/>
          <w:color w:val="auto"/>
          <w:sz w:val="24"/>
          <w:szCs w:val="24"/>
          <w:highlight w:val="none"/>
        </w:rPr>
        <w:t>、具备建设行政主管部门颁发的有效的安全生产许可证，企业负责人具备行政主管部门颁发的相应安全生产考核合格证书（须提供有效的企业安全生产许可证和企业负责人安全生产考核合格证</w:t>
      </w:r>
      <w:r>
        <w:rPr>
          <w:rFonts w:hAnsi="宋体" w:eastAsia="宋体" w:cs="方正仿宋_GBK"/>
          <w:color w:val="auto"/>
          <w:sz w:val="24"/>
          <w:szCs w:val="24"/>
          <w:highlight w:val="none"/>
        </w:rPr>
        <w:t>A</w:t>
      </w:r>
      <w:r>
        <w:rPr>
          <w:rFonts w:hint="eastAsia" w:hAnsi="宋体" w:eastAsia="宋体" w:cs="方正仿宋_GBK"/>
          <w:color w:val="auto"/>
          <w:sz w:val="24"/>
          <w:szCs w:val="24"/>
          <w:highlight w:val="none"/>
        </w:rPr>
        <w:t>证复印件并加盖</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公章）；</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3</w:t>
      </w:r>
      <w:r>
        <w:rPr>
          <w:rFonts w:hint="eastAsia" w:hAnsi="宋体" w:eastAsia="宋体" w:cs="方正仿宋_GBK"/>
          <w:color w:val="auto"/>
          <w:sz w:val="24"/>
          <w:szCs w:val="24"/>
          <w:highlight w:val="none"/>
        </w:rPr>
        <w:t>、授权代理人</w:t>
      </w:r>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4"/>
          <w:highlight w:val="none"/>
        </w:rPr>
        <w:t>本项目授权代理人必须为</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本单位职工。</w:t>
      </w:r>
      <w:r>
        <w:rPr>
          <w:rFonts w:hint="eastAsia" w:ascii="宋体" w:hAnsi="宋体" w:eastAsia="宋体" w:cs="方正仿宋_GBK"/>
          <w:color w:val="auto"/>
          <w:szCs w:val="28"/>
          <w:highlight w:val="none"/>
        </w:rPr>
        <w:t>须提供授权代理人的</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本单位为其缴纳的</w:t>
      </w:r>
      <w:r>
        <w:rPr>
          <w:rFonts w:ascii="宋体" w:hAnsi="宋体" w:eastAsia="宋体" w:cs="方正仿宋_GBK"/>
          <w:color w:val="auto"/>
          <w:szCs w:val="28"/>
          <w:highlight w:val="none"/>
        </w:rPr>
        <w:t>2021</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11</w:t>
      </w:r>
      <w:r>
        <w:rPr>
          <w:rFonts w:hint="eastAsia" w:ascii="宋体" w:hAnsi="宋体" w:eastAsia="宋体" w:cs="方正仿宋_GBK"/>
          <w:color w:val="auto"/>
          <w:szCs w:val="28"/>
          <w:highlight w:val="none"/>
        </w:rPr>
        <w:t>月至</w:t>
      </w:r>
      <w:r>
        <w:rPr>
          <w:rFonts w:ascii="宋体" w:hAnsi="宋体" w:eastAsia="宋体" w:cs="方正仿宋_GBK"/>
          <w:color w:val="auto"/>
          <w:szCs w:val="28"/>
          <w:highlight w:val="none"/>
        </w:rPr>
        <w:t>202</w:t>
      </w:r>
      <w:r>
        <w:rPr>
          <w:rFonts w:hint="eastAsia" w:ascii="宋体" w:hAnsi="宋体" w:eastAsia="宋体" w:cs="方正仿宋_GBK"/>
          <w:color w:val="auto"/>
          <w:szCs w:val="28"/>
          <w:highlight w:val="none"/>
          <w:lang w:val="en-US" w:eastAsia="zh-CN"/>
        </w:rPr>
        <w:t>2</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4</w:t>
      </w:r>
      <w:r>
        <w:rPr>
          <w:rFonts w:hint="eastAsia" w:ascii="宋体" w:hAnsi="宋体" w:eastAsia="宋体" w:cs="方正仿宋_GBK"/>
          <w:color w:val="auto"/>
          <w:szCs w:val="28"/>
          <w:highlight w:val="none"/>
        </w:rPr>
        <w:t>月养老保险证明材料复印件。</w:t>
      </w:r>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注：以上所有证照必须年审合格，且在有效期内；函件必须为加盖鲜章的原件；复印件必须清晰可见，且加盖</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单位鲜章（原件备查）。</w:t>
      </w:r>
    </w:p>
    <w:p>
      <w:pPr>
        <w:snapToGrid w:val="0"/>
        <w:spacing w:line="440" w:lineRule="exact"/>
        <w:ind w:firstLine="424" w:firstLineChars="200"/>
        <w:rPr>
          <w:rFonts w:ascii="宋体" w:hAnsi="宋体" w:eastAsia="宋体"/>
          <w:color w:val="auto"/>
          <w:highlight w:val="none"/>
        </w:rPr>
      </w:pPr>
      <w:r>
        <w:rPr>
          <w:rFonts w:hint="eastAsia" w:ascii="宋体" w:hAnsi="宋体" w:eastAsia="宋体" w:cs="方正仿宋_GBK"/>
          <w:color w:val="auto"/>
          <w:szCs w:val="28"/>
          <w:highlight w:val="none"/>
        </w:rPr>
        <w:t>上述资格条件佐证材料具体要求</w:t>
      </w:r>
      <w:r>
        <w:rPr>
          <w:rFonts w:hint="eastAsia" w:ascii="宋体" w:hAnsi="宋体" w:eastAsia="宋体"/>
          <w:color w:val="auto"/>
          <w:highlight w:val="none"/>
        </w:rPr>
        <w:t>详见《磋商文件</w:t>
      </w:r>
      <w:r>
        <w:rPr>
          <w:rFonts w:ascii="宋体" w:hAnsi="宋体" w:eastAsia="宋体"/>
          <w:color w:val="auto"/>
          <w:highlight w:val="none"/>
        </w:rPr>
        <w:t xml:space="preserve"> </w:t>
      </w:r>
      <w:r>
        <w:rPr>
          <w:rFonts w:hint="eastAsia" w:ascii="宋体" w:hAnsi="宋体" w:eastAsia="宋体"/>
          <w:color w:val="auto"/>
          <w:highlight w:val="none"/>
        </w:rPr>
        <w:t>第四篇第一条》。</w:t>
      </w:r>
    </w:p>
    <w:p>
      <w:pPr>
        <w:pStyle w:val="5"/>
        <w:spacing w:before="0" w:after="0" w:line="440" w:lineRule="exact"/>
        <w:rPr>
          <w:rFonts w:ascii="宋体" w:hAnsi="宋体" w:cs="方正仿宋_GBK"/>
          <w:bCs/>
          <w:color w:val="auto"/>
          <w:sz w:val="28"/>
          <w:szCs w:val="28"/>
          <w:highlight w:val="none"/>
        </w:rPr>
      </w:pPr>
      <w:bookmarkStart w:id="20" w:name="_Toc4748"/>
      <w:r>
        <w:rPr>
          <w:rFonts w:hint="eastAsia" w:ascii="宋体" w:hAnsi="宋体" w:cs="方正仿宋_GBK"/>
          <w:bCs/>
          <w:color w:val="auto"/>
          <w:sz w:val="28"/>
          <w:szCs w:val="28"/>
          <w:highlight w:val="none"/>
        </w:rPr>
        <w:t>四、磋商有关说明</w:t>
      </w:r>
      <w:bookmarkEnd w:id="18"/>
      <w:bookmarkEnd w:id="19"/>
      <w:bookmarkEnd w:id="20"/>
    </w:p>
    <w:p>
      <w:pPr>
        <w:snapToGrid w:val="0"/>
        <w:spacing w:line="440" w:lineRule="exact"/>
        <w:ind w:firstLine="573"/>
        <w:rPr>
          <w:rFonts w:ascii="宋体" w:hAnsi="宋体" w:eastAsia="宋体" w:cs="方正仿宋_GBK"/>
          <w:color w:val="auto"/>
          <w:szCs w:val="28"/>
          <w:highlight w:val="none"/>
        </w:rPr>
      </w:pPr>
      <w:bookmarkStart w:id="21" w:name="_Toc495592636"/>
      <w:bookmarkStart w:id="22" w:name="_Toc375516667"/>
      <w:r>
        <w:rPr>
          <w:rFonts w:hint="eastAsia" w:ascii="宋体" w:hAnsi="宋体" w:eastAsia="宋体" w:cs="方正仿宋_GBK"/>
          <w:color w:val="auto"/>
          <w:szCs w:val="28"/>
          <w:highlight w:val="none"/>
        </w:rPr>
        <w:t>（一）投标人应通过重庆市政府采购网（www.ccgp-chongqing.gov.cn）登记加入“重庆市政府采购</w:t>
      </w:r>
      <w:r>
        <w:rPr>
          <w:rFonts w:hint="eastAsia" w:ascii="宋体" w:hAnsi="宋体" w:eastAsia="宋体" w:cs="方正仿宋_GBK"/>
          <w:color w:val="auto"/>
          <w:szCs w:val="28"/>
          <w:highlight w:val="none"/>
          <w:lang w:eastAsia="zh-CN"/>
        </w:rPr>
        <w:t>供应商</w:t>
      </w:r>
      <w:r>
        <w:rPr>
          <w:rFonts w:hint="eastAsia" w:ascii="宋体" w:hAnsi="宋体" w:eastAsia="宋体" w:cs="方正仿宋_GBK"/>
          <w:color w:val="auto"/>
          <w:szCs w:val="28"/>
          <w:highlight w:val="none"/>
        </w:rPr>
        <w:t>库”。</w:t>
      </w:r>
    </w:p>
    <w:bookmarkEnd w:id="21"/>
    <w:p>
      <w:pPr>
        <w:snapToGrid w:val="0"/>
        <w:spacing w:line="400" w:lineRule="exact"/>
        <w:ind w:firstLine="424" w:firstLineChars="200"/>
        <w:rPr>
          <w:rFonts w:hint="eastAsia" w:asciiTheme="minorEastAsia" w:hAnsiTheme="minorEastAsia" w:eastAsiaTheme="minorEastAsia"/>
          <w:color w:val="auto"/>
          <w:sz w:val="24"/>
          <w:szCs w:val="24"/>
          <w:highlight w:val="none"/>
        </w:rPr>
      </w:pPr>
      <w:bookmarkStart w:id="23" w:name="_Toc8450"/>
      <w:r>
        <w:rPr>
          <w:rFonts w:hint="eastAsia" w:asciiTheme="minorEastAsia" w:hAnsiTheme="minorEastAsia" w:eastAsiaTheme="minorEastAsia"/>
          <w:color w:val="auto"/>
          <w:sz w:val="24"/>
          <w:szCs w:val="24"/>
          <w:highlight w:val="none"/>
        </w:rPr>
        <w:t>（二）凡有意参加磋商的</w:t>
      </w:r>
      <w:r>
        <w:rPr>
          <w:rFonts w:hint="eastAsia" w:asciiTheme="minorEastAsia" w:hAnsiTheme="minorEastAsia" w:eastAsiaTheme="minorEastAsia"/>
          <w:color w:val="auto"/>
          <w:sz w:val="24"/>
          <w:szCs w:val="24"/>
          <w:highlight w:val="none"/>
          <w:lang w:eastAsia="zh-CN"/>
        </w:rPr>
        <w:t>投标人</w:t>
      </w:r>
      <w:r>
        <w:rPr>
          <w:rFonts w:hint="eastAsia" w:asciiTheme="minorEastAsia" w:hAnsiTheme="minorEastAsia" w:eastAsiaTheme="minorEastAsia"/>
          <w:color w:val="auto"/>
          <w:sz w:val="24"/>
          <w:szCs w:val="24"/>
          <w:highlight w:val="none"/>
        </w:rPr>
        <w:t>，请于公告发布之日（2020年 月 日）起至提交首次响应文件截止时间之前，在重庆市政府采购网上下载或到同致诚工程咨询有限公司领取本项目竞争性磋商文件以及图纸、澄清等磋商前公布的所有项目资料，无论</w:t>
      </w:r>
      <w:r>
        <w:rPr>
          <w:rFonts w:hint="eastAsia" w:asciiTheme="minorEastAsia" w:hAnsiTheme="minorEastAsia" w:eastAsiaTheme="minorEastAsia"/>
          <w:color w:val="auto"/>
          <w:sz w:val="24"/>
          <w:szCs w:val="24"/>
          <w:highlight w:val="none"/>
          <w:lang w:eastAsia="zh-CN"/>
        </w:rPr>
        <w:t>投标人</w:t>
      </w:r>
      <w:r>
        <w:rPr>
          <w:rFonts w:hint="eastAsia" w:asciiTheme="minorEastAsia" w:hAnsiTheme="minorEastAsia" w:eastAsiaTheme="minorEastAsia"/>
          <w:color w:val="auto"/>
          <w:sz w:val="24"/>
          <w:szCs w:val="24"/>
          <w:highlight w:val="none"/>
        </w:rPr>
        <w:t>下载或领取与否，均视为已知晓所有磋商实质性要求内容。</w:t>
      </w:r>
    </w:p>
    <w:p>
      <w:pPr>
        <w:snapToGrid w:val="0"/>
        <w:spacing w:line="400" w:lineRule="exact"/>
        <w:ind w:firstLine="424"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（三）竞争性磋商文件公告期限：自采购公告发布之日（202</w:t>
      </w:r>
      <w:r>
        <w:rPr>
          <w:rFonts w:hint="eastAsia" w:asciiTheme="minorEastAsia" w:hAnsiTheme="minorEastAsia" w:eastAsiaTheme="minorEastAsia"/>
          <w:color w:val="auto"/>
          <w:sz w:val="24"/>
          <w:szCs w:val="24"/>
          <w:highlight w:val="none"/>
          <w:lang w:val="en-US" w:eastAsia="zh-CN"/>
        </w:rPr>
        <w:t>2</w:t>
      </w:r>
      <w:r>
        <w:rPr>
          <w:rFonts w:hint="eastAsia" w:asciiTheme="minorEastAsia" w:hAnsiTheme="minorEastAsia" w:eastAsiaTheme="minorEastAsia"/>
          <w:color w:val="auto"/>
          <w:sz w:val="24"/>
          <w:szCs w:val="24"/>
          <w:highlight w:val="none"/>
        </w:rPr>
        <w:t>年</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月</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日）起</w:t>
      </w:r>
      <w:r>
        <w:rPr>
          <w:rFonts w:hint="eastAsia" w:asciiTheme="minorEastAsia" w:hAnsiTheme="minorEastAsia" w:eastAsiaTheme="minorEastAsia"/>
          <w:color w:val="auto"/>
          <w:sz w:val="24"/>
          <w:szCs w:val="24"/>
          <w:highlight w:val="none"/>
          <w:lang w:eastAsia="zh-CN"/>
        </w:rPr>
        <w:t>五</w:t>
      </w:r>
      <w:r>
        <w:rPr>
          <w:rFonts w:hint="eastAsia" w:asciiTheme="minorEastAsia" w:hAnsiTheme="minorEastAsia" w:eastAsiaTheme="minorEastAsia"/>
          <w:color w:val="auto"/>
          <w:sz w:val="24"/>
          <w:szCs w:val="24"/>
          <w:highlight w:val="none"/>
        </w:rPr>
        <w:t>个工作日。</w:t>
      </w:r>
    </w:p>
    <w:p>
      <w:pPr>
        <w:spacing w:line="38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（四）报名及竞争性磋商文件发售</w:t>
      </w:r>
    </w:p>
    <w:p>
      <w:pPr>
        <w:spacing w:line="38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1.报名和竞争性磋商文件发售期：202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日17:00（工作时间）</w:t>
      </w:r>
    </w:p>
    <w:p>
      <w:pPr>
        <w:spacing w:line="38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竞争性磋商文件售价：人民币300元/份（售后不退）。</w:t>
      </w:r>
    </w:p>
    <w:p>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2.1报名及竞争性磋商文件的购买方式</w:t>
      </w:r>
    </w:p>
    <w:p>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2.1.1现场报名及购买竞争性磋商文件</w:t>
      </w:r>
    </w:p>
    <w:p>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在报名及竞争性磋商文件发售期内（工作时间：工作日内每天上午9：00-12:00时，下午14：00-17：00时），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到重庆市渝北区星光大道土星A2栋11楼（同致诚工程咨询有限公司）递交《同致诚工程咨询有限公司竞争性磋商文件发售登记表》（加盖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公章）并以现金方式购买竞争性磋商文件。</w:t>
      </w:r>
    </w:p>
    <w:p>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2.1.2非现场报名及购买竞争性磋商文件</w:t>
      </w:r>
    </w:p>
    <w:p>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在报名及竞争性磋商文件发售期内，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将竞争性磋商文件购买费用汇至以下账户，并将竞争性磋商文件汇款凭证（注明项目编号）、《同致诚工程咨询有限公司竞争性磋商文件发售登记表》（加盖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公章）扫描后发送至邮箱：504544633 @qq.com。通过汇款方式购买竞争性磋商文件的，汇款后凭汇款凭证（原件或复印件）到重庆市渝北区星光大道土星A2栋11楼（同致诚工程咨询有限公司）换取发票。</w:t>
      </w:r>
    </w:p>
    <w:p>
      <w:pPr>
        <w:snapToGrid w:val="0"/>
        <w:spacing w:line="400" w:lineRule="exact"/>
        <w:ind w:firstLine="424"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户  名：同致诚工程咨询有限公司 </w:t>
      </w:r>
    </w:p>
    <w:p>
      <w:pPr>
        <w:snapToGrid w:val="0"/>
        <w:spacing w:line="400" w:lineRule="exact"/>
        <w:ind w:firstLine="424"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开户行：中国光大银行观音桥支行</w:t>
      </w:r>
    </w:p>
    <w:p>
      <w:pPr>
        <w:snapToGrid w:val="0"/>
        <w:spacing w:line="400" w:lineRule="exact"/>
        <w:ind w:firstLine="424"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账号：087854120100304015025</w:t>
      </w:r>
    </w:p>
    <w:p>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须满足以下二种要件，其响应文件才被接受：</w:t>
      </w:r>
    </w:p>
    <w:p>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1、按时递交了响应文件；</w:t>
      </w:r>
    </w:p>
    <w:p>
      <w:pPr>
        <w:snapToGrid w:val="0"/>
        <w:spacing w:line="400" w:lineRule="exact"/>
        <w:ind w:firstLine="424"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2、按时报名签到。</w:t>
      </w:r>
    </w:p>
    <w:p>
      <w:pPr>
        <w:spacing w:line="380" w:lineRule="exact"/>
        <w:ind w:firstLine="424"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（六）递交响应文件地点：重庆市公共资源交易中心（地址：重庆市渝北区青枫北路6号渝兴广场B9栋7楼）</w:t>
      </w:r>
    </w:p>
    <w:p>
      <w:pPr>
        <w:spacing w:line="380" w:lineRule="exact"/>
        <w:ind w:firstLine="424"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（七）响应文件递交截止时间：202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日北京时间1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p>
    <w:p>
      <w:pPr>
        <w:spacing w:line="380" w:lineRule="exact"/>
        <w:ind w:firstLine="424"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（八）响应文件开启时间：202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日北京时间1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p>
    <w:p>
      <w:pPr>
        <w:pStyle w:val="5"/>
        <w:spacing w:before="0" w:after="0" w:line="440" w:lineRule="exact"/>
        <w:rPr>
          <w:rFonts w:ascii="宋体" w:hAnsi="宋体" w:cs="方正仿宋_GBK"/>
          <w:bCs/>
          <w:color w:val="auto"/>
          <w:sz w:val="28"/>
          <w:szCs w:val="28"/>
          <w:highlight w:val="none"/>
        </w:rPr>
      </w:pPr>
      <w:r>
        <w:rPr>
          <w:rFonts w:hint="eastAsia" w:ascii="宋体" w:hAnsi="宋体" w:cs="方正仿宋_GBK"/>
          <w:bCs/>
          <w:color w:val="auto"/>
          <w:sz w:val="28"/>
          <w:szCs w:val="28"/>
          <w:highlight w:val="none"/>
        </w:rPr>
        <w:t>五、保证金缴纳</w:t>
      </w:r>
      <w:bookmarkEnd w:id="23"/>
    </w:p>
    <w:bookmarkEnd w:id="22"/>
    <w:p>
      <w:pPr>
        <w:spacing w:line="400" w:lineRule="exact"/>
        <w:ind w:firstLine="424" w:firstLineChars="200"/>
        <w:rPr>
          <w:rFonts w:hint="eastAsia" w:ascii="宋体" w:hAnsi="宋体" w:eastAsia="宋体" w:cs="宋体"/>
          <w:color w:val="auto"/>
          <w:sz w:val="24"/>
          <w:szCs w:val="24"/>
        </w:rPr>
      </w:pPr>
      <w:bookmarkStart w:id="24" w:name="_Toc24193"/>
      <w:bookmarkStart w:id="25" w:name="_Toc21054"/>
      <w:bookmarkStart w:id="26" w:name="_Toc375516668"/>
      <w:bookmarkStart w:id="27" w:name="_Toc7421877"/>
      <w:r>
        <w:rPr>
          <w:rFonts w:hint="eastAsia" w:ascii="宋体" w:hAnsi="宋体" w:eastAsia="宋体" w:cs="宋体"/>
          <w:color w:val="auto"/>
          <w:sz w:val="24"/>
          <w:szCs w:val="24"/>
        </w:rPr>
        <w:t>（一）投标保证金递交</w:t>
      </w:r>
    </w:p>
    <w:p>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应当按照《重庆市政府采购集中交易监督管理暂行规定》、重庆市公共资源交易中心《关于投标单位银行基本账户登记的说明》和《重庆市公共资源交易中心关于开展公共资源交易市场主体信息登记工作的公告》的要求进行基本账户登记工作。</w:t>
      </w:r>
    </w:p>
    <w:p>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重庆市公共资源交易中心基本账户登记工作咨询电话：023-63625633。</w:t>
      </w:r>
    </w:p>
    <w:p>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查询网站：重庆市公共资源交易网（https://www.cqggzy.com/）</w:t>
      </w:r>
    </w:p>
    <w:p>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2.投标人应足额缴纳投标保证金（保证金金额详见本篇，一、项目概况与招标范围），并汇至以下任一账户，投标保证金的到账截止时间同投标截止时间。</w:t>
      </w:r>
    </w:p>
    <w:p>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投标保证金账户：</w:t>
      </w:r>
    </w:p>
    <w:tbl>
      <w:tblPr>
        <w:tblStyle w:val="62"/>
        <w:tblW w:w="9929" w:type="dxa"/>
        <w:tblInd w:w="0" w:type="dxa"/>
        <w:tblLayout w:type="fixed"/>
        <w:tblCellMar>
          <w:top w:w="0" w:type="dxa"/>
          <w:left w:w="0" w:type="dxa"/>
          <w:bottom w:w="0" w:type="dxa"/>
          <w:right w:w="0" w:type="dxa"/>
        </w:tblCellMar>
      </w:tblPr>
      <w:tblGrid>
        <w:gridCol w:w="2249"/>
        <w:gridCol w:w="1247"/>
        <w:gridCol w:w="1691"/>
        <w:gridCol w:w="4742"/>
      </w:tblGrid>
      <w:tr>
        <w:tblPrEx>
          <w:tblCellMar>
            <w:top w:w="0" w:type="dxa"/>
            <w:left w:w="0" w:type="dxa"/>
            <w:bottom w:w="0" w:type="dxa"/>
            <w:right w:w="0" w:type="dxa"/>
          </w:tblCellMar>
        </w:tblPrEx>
        <w:trPr>
          <w:trHeight w:val="558" w:hRule="exact"/>
        </w:trPr>
        <w:tc>
          <w:tcPr>
            <w:tcW w:w="992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32" w:lineRule="auto"/>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 xml:space="preserve">  户名: 重庆联合产权交易所集团股份有限公司</w:t>
            </w:r>
          </w:p>
        </w:tc>
      </w:tr>
      <w:tr>
        <w:tblPrEx>
          <w:tblCellMar>
            <w:top w:w="0" w:type="dxa"/>
            <w:left w:w="0" w:type="dxa"/>
            <w:bottom w:w="0" w:type="dxa"/>
            <w:right w:w="0" w:type="dxa"/>
          </w:tblCellMar>
        </w:tblPrEx>
        <w:trPr>
          <w:trHeight w:val="574" w:hRule="exact"/>
        </w:trPr>
        <w:tc>
          <w:tcPr>
            <w:tcW w:w="2249" w:type="dxa"/>
            <w:tcBorders>
              <w:top w:val="single" w:color="000000" w:sz="4" w:space="0"/>
              <w:left w:val="single" w:color="000000" w:sz="4" w:space="0"/>
              <w:bottom w:val="single" w:color="696969" w:sz="4" w:space="0"/>
              <w:right w:val="single" w:color="000000"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分包号</w:t>
            </w:r>
          </w:p>
        </w:tc>
        <w:tc>
          <w:tcPr>
            <w:tcW w:w="7680" w:type="dxa"/>
            <w:gridSpan w:val="3"/>
            <w:tcBorders>
              <w:top w:val="single" w:color="000000" w:sz="4" w:space="0"/>
              <w:left w:val="single" w:color="000000" w:sz="4" w:space="0"/>
              <w:bottom w:val="single" w:color="696969" w:sz="4" w:space="0"/>
              <w:right w:val="single" w:color="000000"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银行信息</w:t>
            </w:r>
          </w:p>
        </w:tc>
      </w:tr>
      <w:tr>
        <w:tblPrEx>
          <w:tblCellMar>
            <w:top w:w="0" w:type="dxa"/>
            <w:left w:w="0" w:type="dxa"/>
            <w:bottom w:w="0" w:type="dxa"/>
            <w:right w:w="0" w:type="dxa"/>
          </w:tblCellMar>
        </w:tblPrEx>
        <w:trPr>
          <w:trHeight w:val="688" w:hRule="exact"/>
        </w:trPr>
        <w:tc>
          <w:tcPr>
            <w:tcW w:w="2249" w:type="dxa"/>
            <w:vMerge w:val="restart"/>
            <w:tcBorders>
              <w:top w:val="single" w:color="696969" w:sz="4" w:space="0"/>
              <w:left w:val="single" w:color="696969" w:sz="4" w:space="0"/>
              <w:right w:val="single" w:color="696969" w:sz="4" w:space="0"/>
            </w:tcBorders>
            <w:shd w:val="clear" w:color="auto" w:fill="FFFFFF"/>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47" w:type="dxa"/>
            <w:vMerge w:val="restart"/>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账号 1</w:t>
            </w:r>
          </w:p>
        </w:tc>
        <w:tc>
          <w:tcPr>
            <w:tcW w:w="1691"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开户行</w:t>
            </w:r>
          </w:p>
        </w:tc>
        <w:tc>
          <w:tcPr>
            <w:tcW w:w="4742"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shd w:val="clear" w:color="auto" w:fill="auto"/>
              </w:rPr>
            </w:pPr>
            <w:r>
              <w:rPr>
                <w:rFonts w:hint="eastAsia" w:ascii="宋体" w:hAnsi="宋体" w:eastAsia="宋体" w:cs="宋体"/>
                <w:color w:val="auto"/>
                <w:sz w:val="21"/>
                <w:szCs w:val="21"/>
                <w:shd w:val="clear" w:color="auto" w:fill="auto"/>
              </w:rPr>
              <w:t>中国农业银行重庆自由贸易试验区分行（行号：103653026011）</w:t>
            </w:r>
          </w:p>
        </w:tc>
      </w:tr>
      <w:tr>
        <w:tblPrEx>
          <w:tblCellMar>
            <w:top w:w="0" w:type="dxa"/>
            <w:left w:w="0" w:type="dxa"/>
            <w:bottom w:w="0" w:type="dxa"/>
            <w:right w:w="0" w:type="dxa"/>
          </w:tblCellMar>
        </w:tblPrEx>
        <w:trPr>
          <w:trHeight w:val="444" w:hRule="exact"/>
        </w:trPr>
        <w:tc>
          <w:tcPr>
            <w:tcW w:w="2249"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rPr>
                <w:rFonts w:hint="eastAsia" w:ascii="宋体" w:hAnsi="宋体" w:eastAsia="宋体" w:cs="宋体"/>
                <w:color w:val="auto"/>
                <w:sz w:val="21"/>
                <w:szCs w:val="21"/>
              </w:rPr>
            </w:pPr>
          </w:p>
        </w:tc>
        <w:tc>
          <w:tcPr>
            <w:tcW w:w="1247"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rPr>
                <w:rFonts w:hint="eastAsia" w:ascii="宋体" w:hAnsi="宋体" w:eastAsia="宋体" w:cs="宋体"/>
                <w:color w:val="auto"/>
                <w:sz w:val="21"/>
                <w:szCs w:val="21"/>
              </w:rPr>
            </w:pPr>
          </w:p>
        </w:tc>
        <w:tc>
          <w:tcPr>
            <w:tcW w:w="1691"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账    号</w:t>
            </w:r>
          </w:p>
        </w:tc>
        <w:tc>
          <w:tcPr>
            <w:tcW w:w="4742"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shd w:val="clear" w:color="auto" w:fill="auto"/>
              </w:rPr>
            </w:pPr>
          </w:p>
        </w:tc>
      </w:tr>
      <w:tr>
        <w:tblPrEx>
          <w:tblCellMar>
            <w:top w:w="0" w:type="dxa"/>
            <w:left w:w="0" w:type="dxa"/>
            <w:bottom w:w="0" w:type="dxa"/>
            <w:right w:w="0" w:type="dxa"/>
          </w:tblCellMar>
        </w:tblPrEx>
        <w:trPr>
          <w:trHeight w:val="673" w:hRule="exact"/>
        </w:trPr>
        <w:tc>
          <w:tcPr>
            <w:tcW w:w="2249"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rPr>
                <w:rFonts w:hint="eastAsia" w:ascii="宋体" w:hAnsi="宋体" w:eastAsia="宋体" w:cs="宋体"/>
                <w:color w:val="auto"/>
                <w:sz w:val="21"/>
                <w:szCs w:val="21"/>
              </w:rPr>
            </w:pPr>
          </w:p>
        </w:tc>
        <w:tc>
          <w:tcPr>
            <w:tcW w:w="1247" w:type="dxa"/>
            <w:vMerge w:val="restart"/>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账号 2</w:t>
            </w:r>
          </w:p>
        </w:tc>
        <w:tc>
          <w:tcPr>
            <w:tcW w:w="1691"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开户行</w:t>
            </w:r>
          </w:p>
        </w:tc>
        <w:tc>
          <w:tcPr>
            <w:tcW w:w="4742"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shd w:val="clear" w:color="auto" w:fill="auto"/>
              </w:rPr>
            </w:pPr>
            <w:r>
              <w:rPr>
                <w:rFonts w:hint="eastAsia" w:ascii="宋体" w:hAnsi="宋体" w:eastAsia="宋体" w:cs="宋体"/>
                <w:color w:val="auto"/>
                <w:sz w:val="21"/>
                <w:szCs w:val="21"/>
                <w:shd w:val="clear" w:color="auto" w:fill="auto"/>
              </w:rPr>
              <w:t>重庆银行七星岗支行（行号：313653000329）</w:t>
            </w:r>
          </w:p>
        </w:tc>
      </w:tr>
      <w:tr>
        <w:tblPrEx>
          <w:tblCellMar>
            <w:top w:w="0" w:type="dxa"/>
            <w:left w:w="0" w:type="dxa"/>
            <w:bottom w:w="0" w:type="dxa"/>
            <w:right w:w="0" w:type="dxa"/>
          </w:tblCellMar>
        </w:tblPrEx>
        <w:trPr>
          <w:trHeight w:val="459" w:hRule="exact"/>
        </w:trPr>
        <w:tc>
          <w:tcPr>
            <w:tcW w:w="2249"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rPr>
                <w:rFonts w:hint="eastAsia" w:ascii="宋体" w:hAnsi="宋体" w:eastAsia="宋体" w:cs="宋体"/>
                <w:color w:val="auto"/>
                <w:sz w:val="21"/>
                <w:szCs w:val="21"/>
              </w:rPr>
            </w:pPr>
          </w:p>
        </w:tc>
        <w:tc>
          <w:tcPr>
            <w:tcW w:w="1247"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rPr>
                <w:rFonts w:hint="eastAsia" w:ascii="宋体" w:hAnsi="宋体" w:eastAsia="宋体" w:cs="宋体"/>
                <w:color w:val="auto"/>
                <w:sz w:val="21"/>
                <w:szCs w:val="21"/>
              </w:rPr>
            </w:pPr>
          </w:p>
        </w:tc>
        <w:tc>
          <w:tcPr>
            <w:tcW w:w="1691"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账    号</w:t>
            </w:r>
          </w:p>
        </w:tc>
        <w:tc>
          <w:tcPr>
            <w:tcW w:w="4742"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shd w:val="clear" w:color="auto" w:fill="auto"/>
              </w:rPr>
            </w:pPr>
          </w:p>
        </w:tc>
      </w:tr>
      <w:tr>
        <w:tblPrEx>
          <w:tblCellMar>
            <w:top w:w="0" w:type="dxa"/>
            <w:left w:w="0" w:type="dxa"/>
            <w:bottom w:w="0" w:type="dxa"/>
            <w:right w:w="0" w:type="dxa"/>
          </w:tblCellMar>
        </w:tblPrEx>
        <w:trPr>
          <w:trHeight w:val="673" w:hRule="exact"/>
        </w:trPr>
        <w:tc>
          <w:tcPr>
            <w:tcW w:w="2249"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rPr>
                <w:rFonts w:hint="eastAsia" w:ascii="宋体" w:hAnsi="宋体" w:eastAsia="宋体" w:cs="宋体"/>
                <w:color w:val="auto"/>
                <w:sz w:val="21"/>
                <w:szCs w:val="21"/>
              </w:rPr>
            </w:pPr>
          </w:p>
        </w:tc>
        <w:tc>
          <w:tcPr>
            <w:tcW w:w="1247" w:type="dxa"/>
            <w:vMerge w:val="restart"/>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 xml:space="preserve">账号 3 </w:t>
            </w:r>
          </w:p>
        </w:tc>
        <w:tc>
          <w:tcPr>
            <w:tcW w:w="1691"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开户行</w:t>
            </w:r>
          </w:p>
        </w:tc>
        <w:tc>
          <w:tcPr>
            <w:tcW w:w="4742"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shd w:val="clear" w:color="auto" w:fill="auto"/>
              </w:rPr>
            </w:pPr>
            <w:r>
              <w:rPr>
                <w:rFonts w:hint="eastAsia" w:ascii="宋体" w:hAnsi="宋体" w:eastAsia="宋体" w:cs="宋体"/>
                <w:color w:val="auto"/>
                <w:sz w:val="21"/>
                <w:szCs w:val="21"/>
                <w:shd w:val="clear" w:color="auto" w:fill="auto"/>
              </w:rPr>
              <w:t>上海浦东发展银行股份有限公司重庆分行营业部（行号:310653000017）</w:t>
            </w:r>
          </w:p>
        </w:tc>
      </w:tr>
      <w:tr>
        <w:tblPrEx>
          <w:tblCellMar>
            <w:top w:w="0" w:type="dxa"/>
            <w:left w:w="0" w:type="dxa"/>
            <w:bottom w:w="0" w:type="dxa"/>
            <w:right w:w="0" w:type="dxa"/>
          </w:tblCellMar>
        </w:tblPrEx>
        <w:trPr>
          <w:trHeight w:val="459" w:hRule="exact"/>
        </w:trPr>
        <w:tc>
          <w:tcPr>
            <w:tcW w:w="2249"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rPr>
                <w:rFonts w:hint="eastAsia" w:ascii="宋体" w:hAnsi="宋体" w:eastAsia="宋体" w:cs="宋体"/>
                <w:color w:val="auto"/>
                <w:sz w:val="21"/>
                <w:szCs w:val="21"/>
              </w:rPr>
            </w:pPr>
          </w:p>
        </w:tc>
        <w:tc>
          <w:tcPr>
            <w:tcW w:w="1247" w:type="dxa"/>
            <w:vMerge w:val="continue"/>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rPr>
                <w:rFonts w:hint="eastAsia" w:ascii="宋体" w:hAnsi="宋体" w:eastAsia="宋体" w:cs="宋体"/>
                <w:color w:val="auto"/>
                <w:sz w:val="21"/>
                <w:szCs w:val="21"/>
              </w:rPr>
            </w:pPr>
          </w:p>
        </w:tc>
        <w:tc>
          <w:tcPr>
            <w:tcW w:w="1691"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账    号</w:t>
            </w:r>
          </w:p>
        </w:tc>
        <w:tc>
          <w:tcPr>
            <w:tcW w:w="4742"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32" w:lineRule="auto"/>
              <w:jc w:val="center"/>
              <w:rPr>
                <w:rFonts w:hint="eastAsia" w:ascii="宋体" w:hAnsi="宋体" w:eastAsia="宋体" w:cs="宋体"/>
                <w:color w:val="auto"/>
                <w:spacing w:val="-2"/>
                <w:sz w:val="21"/>
                <w:szCs w:val="21"/>
              </w:rPr>
            </w:pPr>
          </w:p>
        </w:tc>
      </w:tr>
    </w:tbl>
    <w:p>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3.各投标人在银行转账（电汇）时，须充分考虑银行转账（电汇）的时间差风险，如同城转账、异地转账或汇款、跨行转账或电汇的时间要求。</w:t>
      </w:r>
    </w:p>
    <w:p>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（二）保证金退还方式</w:t>
      </w:r>
    </w:p>
    <w:p>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1.未中标投标人的保证金，在中标通知书发放后，重庆市公共资源交易中心在五个工作日内按来款渠道直接退还。</w:t>
      </w:r>
    </w:p>
    <w:p>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2.中标人的投标保证金，在中标人与采购人签订合同后，重庆市公共资源交易中心在五个工作日内按资金来款渠道直接退还。</w:t>
      </w:r>
    </w:p>
    <w:p>
      <w:pPr>
        <w:snapToGrid w:val="0"/>
        <w:spacing w:line="44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重庆市公共资源交易中心咨询电话：023-63625633</w:t>
      </w:r>
    </w:p>
    <w:p>
      <w:pPr>
        <w:pStyle w:val="5"/>
        <w:spacing w:before="0" w:after="0" w:line="440" w:lineRule="exact"/>
        <w:rPr>
          <w:rFonts w:ascii="宋体" w:hAnsi="宋体" w:cs="方正仿宋_GBK"/>
          <w:bCs/>
          <w:color w:val="auto"/>
          <w:sz w:val="28"/>
          <w:szCs w:val="28"/>
          <w:highlight w:val="none"/>
        </w:rPr>
      </w:pPr>
      <w:r>
        <w:rPr>
          <w:rFonts w:hint="eastAsia" w:ascii="宋体" w:hAnsi="宋体" w:cs="方正仿宋_GBK"/>
          <w:bCs/>
          <w:color w:val="auto"/>
          <w:sz w:val="28"/>
          <w:szCs w:val="28"/>
          <w:highlight w:val="none"/>
        </w:rPr>
        <w:t>六、采购项目需落实的政府采购政策</w:t>
      </w:r>
      <w:bookmarkEnd w:id="24"/>
    </w:p>
    <w:p>
      <w:pPr>
        <w:pStyle w:val="283"/>
        <w:spacing w:line="440" w:lineRule="exact"/>
        <w:ind w:firstLine="424" w:firstLineChars="200"/>
        <w:rPr>
          <w:rFonts w:hint="eastAsia" w:hAnsi="宋体" w:eastAsia="宋体" w:cs="方正仿宋_GBK"/>
          <w:color w:val="auto"/>
          <w:sz w:val="24"/>
          <w:szCs w:val="24"/>
          <w:highlight w:val="none"/>
        </w:rPr>
      </w:pPr>
      <w:bookmarkStart w:id="28" w:name="_Toc25546"/>
      <w:r>
        <w:rPr>
          <w:rFonts w:hint="eastAsia" w:hAnsi="宋体" w:eastAsia="宋体" w:cs="方正仿宋_GBK"/>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pPr>
        <w:pStyle w:val="283"/>
        <w:spacing w:line="440" w:lineRule="exact"/>
        <w:ind w:firstLine="424" w:firstLineChars="200"/>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（二）按照财政部、工业和信息化部关于印发《政府采购促进中小企业发展管理办法》的通知（财库〔2020〕46号）的规定，落实促进中小企业发展政策。</w:t>
      </w:r>
    </w:p>
    <w:p>
      <w:pPr>
        <w:pStyle w:val="283"/>
        <w:spacing w:line="440" w:lineRule="exact"/>
        <w:ind w:firstLine="424" w:firstLineChars="200"/>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（三）按照《财政部、司法部关于政府采购支持监狱企业发展有关问题的通知》（财库〔2014〕68号）的规定，落实支持监狱企业发展政策。</w:t>
      </w:r>
    </w:p>
    <w:p>
      <w:pPr>
        <w:pStyle w:val="283"/>
        <w:spacing w:line="440" w:lineRule="exact"/>
        <w:ind w:firstLine="424" w:firstLineChars="200"/>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（四）按照《三部门联合发布关于促进残疾人就业政府采购政策的通知》（财库〔2017〕 141号）的规定，落实支持残疾人福利性单位发展政策。</w:t>
      </w:r>
    </w:p>
    <w:p>
      <w:pPr>
        <w:pStyle w:val="5"/>
        <w:spacing w:before="0" w:after="0" w:line="440" w:lineRule="exact"/>
        <w:rPr>
          <w:rFonts w:hint="eastAsia" w:ascii="宋体" w:hAnsi="宋体" w:cs="方正仿宋_GBK"/>
          <w:bCs/>
          <w:color w:val="auto"/>
          <w:sz w:val="28"/>
          <w:szCs w:val="28"/>
          <w:highlight w:val="none"/>
        </w:rPr>
      </w:pPr>
      <w:r>
        <w:rPr>
          <w:rFonts w:hint="eastAsia" w:ascii="宋体" w:hAnsi="宋体" w:cs="方正仿宋_GBK"/>
          <w:bCs/>
          <w:color w:val="auto"/>
          <w:sz w:val="28"/>
          <w:szCs w:val="28"/>
          <w:highlight w:val="none"/>
        </w:rPr>
        <w:t>七、其它有关规定</w:t>
      </w:r>
      <w:bookmarkEnd w:id="28"/>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（一）单位负责人为同一人或者存在直接控股、管理关系的不同</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，不得参加同一合同项（分包）下的政府采购活动，否则均为无效磋商。</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（二）为采购项目提供整体设计、规范编制或者项目管理、监理、检测等服务的</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，不得再参加该采购项目的其他采购活动。</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（三）本项目在响应文件提交截止时间前发布的竞争性磋商文件及补遗文件（如果有）一律在重庆市政府采购网（</w:t>
      </w:r>
      <w:r>
        <w:rPr>
          <w:rFonts w:hAnsi="宋体" w:eastAsia="宋体" w:cs="方正仿宋_GBK"/>
          <w:color w:val="auto"/>
          <w:sz w:val="24"/>
          <w:szCs w:val="24"/>
          <w:highlight w:val="none"/>
        </w:rPr>
        <w:t>https://www.ccgp-chongqing.gov.cn//</w:t>
      </w:r>
      <w:r>
        <w:rPr>
          <w:rFonts w:hint="eastAsia" w:hAnsi="宋体" w:eastAsia="宋体" w:cs="方正仿宋_GBK"/>
          <w:color w:val="auto"/>
          <w:sz w:val="24"/>
          <w:szCs w:val="24"/>
          <w:highlight w:val="none"/>
        </w:rPr>
        <w:t>）上发布，请各</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注意下载；无论</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下载与否，均视同</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已知晓本项目竞争性磋商文件、补遗文件（如果有）的内容。</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（四）超过响应文件截止时间递交的响应文件，恕不接收。</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（五）磋商费用：无论磋商结果如何，</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参与本项目磋商的所有费用均应由</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自行承担。</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（六）本项目不接受联合体参与投标。</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（七）本项目严禁围标串标、挂靠、转包和违法分包。</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（八）中小企业参加政府采购活动，应当出具身份证明文件《中小企业声明函》（格式详见第七篇</w:t>
      </w:r>
      <w:r>
        <w:rPr>
          <w:rFonts w:hAnsi="宋体" w:eastAsia="宋体" w:cs="方正仿宋_GBK"/>
          <w:color w:val="auto"/>
          <w:sz w:val="24"/>
          <w:szCs w:val="24"/>
          <w:highlight w:val="none"/>
        </w:rPr>
        <w:t xml:space="preserve"> </w:t>
      </w:r>
      <w:r>
        <w:rPr>
          <w:rFonts w:hint="eastAsia" w:hAnsi="宋体" w:eastAsia="宋体" w:cs="方正仿宋_GBK"/>
          <w:color w:val="auto"/>
          <w:sz w:val="24"/>
          <w:szCs w:val="24"/>
          <w:highlight w:val="none"/>
        </w:rPr>
        <w:t>投标文件格式），否则不得享受中小企业扶持政策。</w:t>
      </w:r>
    </w:p>
    <w:p>
      <w:pPr>
        <w:pStyle w:val="5"/>
        <w:spacing w:before="0" w:after="0" w:line="440" w:lineRule="exact"/>
        <w:rPr>
          <w:rFonts w:ascii="宋体" w:hAnsi="宋体" w:cs="方正仿宋_GBK"/>
          <w:bCs/>
          <w:color w:val="auto"/>
          <w:sz w:val="28"/>
          <w:szCs w:val="28"/>
          <w:highlight w:val="none"/>
        </w:rPr>
      </w:pPr>
      <w:bookmarkStart w:id="29" w:name="_Toc29006"/>
      <w:r>
        <w:rPr>
          <w:rFonts w:hint="eastAsia" w:ascii="宋体" w:hAnsi="宋体" w:cs="方正仿宋_GBK"/>
          <w:bCs/>
          <w:color w:val="auto"/>
          <w:sz w:val="28"/>
          <w:szCs w:val="28"/>
          <w:highlight w:val="none"/>
        </w:rPr>
        <w:t>八、联系方式</w:t>
      </w:r>
      <w:bookmarkEnd w:id="25"/>
      <w:bookmarkEnd w:id="26"/>
      <w:bookmarkEnd w:id="27"/>
      <w:bookmarkEnd w:id="29"/>
    </w:p>
    <w:p>
      <w:pPr>
        <w:pStyle w:val="283"/>
        <w:spacing w:line="440" w:lineRule="exact"/>
        <w:ind w:firstLine="424" w:firstLineChars="200"/>
        <w:rPr>
          <w:rFonts w:hint="eastAsia" w:hAnsi="宋体" w:eastAsia="宋体" w:cs="方正仿宋_GBK"/>
          <w:color w:val="auto"/>
          <w:sz w:val="24"/>
          <w:szCs w:val="24"/>
          <w:highlight w:val="none"/>
          <w:lang w:eastAsia="zh-CN"/>
        </w:rPr>
      </w:pPr>
      <w:r>
        <w:rPr>
          <w:rFonts w:hint="eastAsia" w:hAnsi="宋体" w:eastAsia="宋体" w:cs="方正仿宋_GBK"/>
          <w:color w:val="auto"/>
          <w:sz w:val="24"/>
          <w:szCs w:val="24"/>
          <w:highlight w:val="none"/>
        </w:rPr>
        <w:t>（一）采购代理机构：</w:t>
      </w:r>
      <w:r>
        <w:rPr>
          <w:rFonts w:hint="eastAsia" w:hAnsi="宋体" w:eastAsia="宋体" w:cs="方正仿宋_GBK"/>
          <w:color w:val="auto"/>
          <w:sz w:val="24"/>
          <w:szCs w:val="24"/>
          <w:highlight w:val="none"/>
          <w:lang w:eastAsia="zh-CN"/>
        </w:rPr>
        <w:t>同致诚工程咨询有限公司</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联系人：</w:t>
      </w:r>
      <w:r>
        <w:rPr>
          <w:rFonts w:hint="eastAsia" w:hAnsi="宋体" w:eastAsia="宋体" w:cs="方正仿宋_GBK"/>
          <w:color w:val="auto"/>
          <w:sz w:val="24"/>
          <w:szCs w:val="24"/>
          <w:highlight w:val="none"/>
          <w:lang w:eastAsia="zh-CN"/>
        </w:rPr>
        <w:t>张老师</w:t>
      </w:r>
      <w:r>
        <w:rPr>
          <w:rFonts w:hint="eastAsia" w:hAnsi="宋体" w:eastAsia="宋体" w:cs="方正仿宋_GBK"/>
          <w:color w:val="auto"/>
          <w:sz w:val="24"/>
          <w:szCs w:val="24"/>
          <w:highlight w:val="none"/>
        </w:rPr>
        <w:tab/>
      </w:r>
      <w:r>
        <w:rPr>
          <w:rFonts w:hint="eastAsia" w:hAnsi="宋体" w:eastAsia="宋体" w:cs="方正仿宋_GBK"/>
          <w:color w:val="auto"/>
          <w:sz w:val="24"/>
          <w:szCs w:val="24"/>
          <w:highlight w:val="none"/>
        </w:rPr>
        <w:tab/>
      </w:r>
      <w:r>
        <w:rPr>
          <w:rFonts w:hint="eastAsia" w:hAnsi="宋体" w:eastAsia="宋体" w:cs="方正仿宋_GBK"/>
          <w:color w:val="auto"/>
          <w:sz w:val="24"/>
          <w:szCs w:val="24"/>
          <w:highlight w:val="none"/>
        </w:rPr>
        <w:t xml:space="preserve">  </w:t>
      </w:r>
    </w:p>
    <w:p>
      <w:pPr>
        <w:pStyle w:val="283"/>
        <w:spacing w:line="440" w:lineRule="exact"/>
        <w:ind w:firstLine="424" w:firstLineChars="200"/>
        <w:rPr>
          <w:rFonts w:hint="default" w:hAnsi="宋体" w:eastAsia="宋体" w:cs="方正仿宋_GBK"/>
          <w:color w:val="auto"/>
          <w:sz w:val="24"/>
          <w:szCs w:val="24"/>
          <w:highlight w:val="none"/>
          <w:lang w:val="en-US" w:eastAsia="zh-CN"/>
        </w:rPr>
      </w:pPr>
      <w:r>
        <w:rPr>
          <w:rFonts w:hint="eastAsia" w:hAnsi="宋体" w:eastAsia="宋体" w:cs="方正仿宋_GBK"/>
          <w:color w:val="auto"/>
          <w:sz w:val="24"/>
          <w:szCs w:val="24"/>
          <w:highlight w:val="none"/>
        </w:rPr>
        <w:t>电  话：</w:t>
      </w:r>
      <w:r>
        <w:rPr>
          <w:rFonts w:hint="eastAsia" w:hAnsi="宋体" w:eastAsia="宋体" w:cs="方正仿宋_GBK"/>
          <w:color w:val="auto"/>
          <w:sz w:val="24"/>
          <w:szCs w:val="24"/>
          <w:highlight w:val="none"/>
          <w:lang w:val="en-US" w:eastAsia="zh-CN"/>
        </w:rPr>
        <w:t>023-88602519</w:t>
      </w:r>
    </w:p>
    <w:p>
      <w:pPr>
        <w:pStyle w:val="283"/>
        <w:spacing w:line="440" w:lineRule="exact"/>
        <w:ind w:firstLine="424" w:firstLineChars="200"/>
        <w:rPr>
          <w:rFonts w:hint="default" w:hAnsi="宋体" w:eastAsia="宋体" w:cs="方正仿宋_GBK"/>
          <w:color w:val="auto"/>
          <w:sz w:val="24"/>
          <w:szCs w:val="24"/>
          <w:highlight w:val="none"/>
          <w:lang w:val="en-US" w:eastAsia="zh-CN"/>
        </w:rPr>
      </w:pPr>
      <w:r>
        <w:rPr>
          <w:rFonts w:hint="eastAsia" w:hAnsi="宋体" w:eastAsia="宋体" w:cs="方正仿宋_GBK"/>
          <w:color w:val="auto"/>
          <w:sz w:val="24"/>
          <w:szCs w:val="24"/>
          <w:highlight w:val="none"/>
        </w:rPr>
        <w:t>地址：重庆市渝北区星光大道土星A2栋11楼</w:t>
      </w:r>
    </w:p>
    <w:p>
      <w:pPr>
        <w:pStyle w:val="283"/>
        <w:spacing w:line="440" w:lineRule="exact"/>
        <w:ind w:firstLine="424" w:firstLineChars="200"/>
        <w:rPr>
          <w:rFonts w:hint="eastAsia" w:hAnsi="宋体" w:eastAsia="宋体" w:cs="方正仿宋_GBK"/>
          <w:color w:val="auto"/>
          <w:sz w:val="24"/>
          <w:szCs w:val="24"/>
          <w:highlight w:val="none"/>
          <w:lang w:eastAsia="zh-CN"/>
        </w:rPr>
      </w:pPr>
      <w:r>
        <w:rPr>
          <w:rFonts w:hint="eastAsia" w:hAnsi="宋体" w:eastAsia="宋体" w:cs="方正仿宋_GBK"/>
          <w:color w:val="auto"/>
          <w:sz w:val="24"/>
          <w:szCs w:val="24"/>
          <w:highlight w:val="none"/>
        </w:rPr>
        <w:t>（二）采购人：</w:t>
      </w:r>
      <w:r>
        <w:rPr>
          <w:rFonts w:hint="eastAsia" w:hAnsi="宋体" w:eastAsia="宋体" w:cs="方正仿宋_GBK"/>
          <w:color w:val="auto"/>
          <w:sz w:val="24"/>
          <w:szCs w:val="24"/>
          <w:highlight w:val="none"/>
          <w:lang w:eastAsia="zh-CN"/>
        </w:rPr>
        <w:t>重庆市体育设施建设维护中心</w:t>
      </w:r>
    </w:p>
    <w:p>
      <w:pPr>
        <w:pStyle w:val="283"/>
        <w:spacing w:line="440" w:lineRule="exact"/>
        <w:ind w:firstLine="424" w:firstLineChars="200"/>
        <w:rPr>
          <w:rFonts w:hint="eastAsia" w:hAnsi="宋体" w:eastAsia="宋体" w:cs="方正仿宋_GBK"/>
          <w:color w:val="auto"/>
          <w:sz w:val="24"/>
          <w:szCs w:val="24"/>
          <w:highlight w:val="none"/>
          <w:lang w:eastAsia="zh-CN"/>
        </w:rPr>
      </w:pPr>
      <w:r>
        <w:rPr>
          <w:rFonts w:hint="eastAsia" w:hAnsi="宋体" w:eastAsia="宋体" w:cs="方正仿宋_GBK"/>
          <w:color w:val="auto"/>
          <w:sz w:val="24"/>
          <w:szCs w:val="24"/>
          <w:highlight w:val="none"/>
        </w:rPr>
        <w:t>联系人：</w:t>
      </w:r>
      <w:r>
        <w:rPr>
          <w:rFonts w:hint="eastAsia" w:hAnsi="宋体" w:eastAsia="宋体" w:cs="方正仿宋_GBK"/>
          <w:color w:val="auto"/>
          <w:sz w:val="24"/>
          <w:szCs w:val="24"/>
          <w:highlight w:val="none"/>
          <w:lang w:val="en-US" w:eastAsia="zh-CN"/>
        </w:rPr>
        <w:t xml:space="preserve"> 杨明</w:t>
      </w:r>
    </w:p>
    <w:p>
      <w:pPr>
        <w:pStyle w:val="283"/>
        <w:spacing w:line="440" w:lineRule="exact"/>
        <w:ind w:firstLine="424" w:firstLineChars="200"/>
        <w:rPr>
          <w:rFonts w:hint="eastAsia" w:hAnsi="宋体" w:eastAsia="宋体" w:cs="方正仿宋_GBK"/>
          <w:color w:val="auto"/>
          <w:sz w:val="24"/>
          <w:szCs w:val="24"/>
          <w:highlight w:val="none"/>
          <w:lang w:val="en-US" w:eastAsia="zh-CN"/>
        </w:rPr>
      </w:pPr>
      <w:r>
        <w:rPr>
          <w:rFonts w:hint="eastAsia" w:hAnsi="宋体" w:eastAsia="宋体" w:cs="方正仿宋_GBK"/>
          <w:color w:val="auto"/>
          <w:sz w:val="24"/>
          <w:szCs w:val="24"/>
          <w:highlight w:val="none"/>
        </w:rPr>
        <w:t>电  话：</w:t>
      </w:r>
      <w:r>
        <w:rPr>
          <w:rFonts w:hint="eastAsia" w:hAnsi="宋体" w:eastAsia="宋体" w:cs="方正仿宋_GBK"/>
          <w:color w:val="auto"/>
          <w:sz w:val="24"/>
          <w:szCs w:val="24"/>
          <w:highlight w:val="none"/>
          <w:lang w:val="en-US" w:eastAsia="zh-CN"/>
        </w:rPr>
        <w:t>023-</w:t>
      </w:r>
      <w:r>
        <w:rPr>
          <w:rFonts w:hint="eastAsia" w:hAnsi="宋体" w:eastAsia="宋体" w:cs="方正仿宋_GBK"/>
          <w:color w:val="auto"/>
          <w:sz w:val="24"/>
          <w:szCs w:val="24"/>
          <w:highlight w:val="none"/>
        </w:rPr>
        <w:t>63005905</w:t>
      </w:r>
      <w:r>
        <w:rPr>
          <w:rFonts w:hint="eastAsia" w:hAnsi="宋体" w:eastAsia="宋体" w:cs="方正仿宋_GBK"/>
          <w:color w:val="auto"/>
          <w:sz w:val="24"/>
          <w:szCs w:val="24"/>
          <w:highlight w:val="none"/>
          <w:lang w:val="en-US" w:eastAsia="zh-CN"/>
        </w:rPr>
        <w:t xml:space="preserve"> </w:t>
      </w:r>
    </w:p>
    <w:p>
      <w:pPr>
        <w:pStyle w:val="283"/>
        <w:spacing w:line="440" w:lineRule="exact"/>
        <w:ind w:firstLine="424" w:firstLineChars="200"/>
        <w:rPr>
          <w:rFonts w:hint="eastAsia" w:hAnsi="宋体" w:eastAsia="宋体" w:cs="方正仿宋_GBK"/>
          <w:color w:val="auto"/>
          <w:sz w:val="24"/>
          <w:szCs w:val="24"/>
          <w:highlight w:val="none"/>
          <w:lang w:eastAsia="zh-CN"/>
        </w:rPr>
      </w:pPr>
      <w:r>
        <w:rPr>
          <w:rFonts w:hint="eastAsia" w:hAnsi="宋体" w:eastAsia="宋体" w:cs="方正仿宋_GBK"/>
          <w:color w:val="auto"/>
          <w:sz w:val="24"/>
          <w:szCs w:val="24"/>
          <w:highlight w:val="none"/>
        </w:rPr>
        <w:t>地  址：</w:t>
      </w:r>
      <w:r>
        <w:rPr>
          <w:rFonts w:hint="eastAsia" w:hAnsi="宋体" w:eastAsia="宋体" w:cs="方正仿宋_GBK"/>
          <w:color w:val="auto"/>
          <w:sz w:val="24"/>
          <w:szCs w:val="24"/>
          <w:highlight w:val="none"/>
          <w:lang w:val="en-US" w:eastAsia="zh-CN"/>
        </w:rPr>
        <w:t>重庆市渝中区两路口体育村3号</w:t>
      </w:r>
    </w:p>
    <w:p>
      <w:pPr>
        <w:pStyle w:val="283"/>
        <w:spacing w:line="440" w:lineRule="exact"/>
        <w:ind w:firstLine="1272" w:firstLineChars="600"/>
        <w:rPr>
          <w:rFonts w:hAnsi="宋体" w:eastAsia="宋体" w:cs="方正仿宋_GBK"/>
          <w:color w:val="auto"/>
          <w:sz w:val="24"/>
          <w:szCs w:val="24"/>
          <w:highlight w:val="none"/>
        </w:rPr>
      </w:pPr>
      <w:r>
        <w:rPr>
          <w:rFonts w:hAnsi="宋体" w:eastAsia="宋体" w:cs="方正仿宋_GBK"/>
          <w:color w:val="auto"/>
          <w:sz w:val="24"/>
          <w:szCs w:val="24"/>
          <w:highlight w:val="none"/>
        </w:rPr>
        <w:br w:type="page"/>
      </w:r>
      <w:bookmarkStart w:id="30" w:name="_Toc29657"/>
      <w:bookmarkStart w:id="31" w:name="_Toc7421878"/>
      <w:bookmarkStart w:id="32" w:name="_Toc102227313"/>
    </w:p>
    <w:p>
      <w:pPr>
        <w:pStyle w:val="4"/>
        <w:numPr>
          <w:ilvl w:val="0"/>
          <w:numId w:val="2"/>
        </w:numPr>
        <w:spacing w:before="0" w:after="0" w:line="360" w:lineRule="auto"/>
        <w:ind w:left="0"/>
        <w:jc w:val="center"/>
        <w:rPr>
          <w:rFonts w:cs="方正仿宋_GBK"/>
          <w:bCs/>
          <w:color w:val="auto"/>
          <w:sz w:val="36"/>
          <w:szCs w:val="30"/>
          <w:highlight w:val="none"/>
        </w:rPr>
      </w:pPr>
      <w:bookmarkStart w:id="33" w:name="_Toc11417"/>
      <w:r>
        <w:rPr>
          <w:rFonts w:hint="eastAsia" w:ascii="宋体" w:hAnsi="宋体" w:eastAsia="宋体" w:cs="方正仿宋_GBK"/>
          <w:b/>
          <w:bCs/>
          <w:color w:val="auto"/>
          <w:kern w:val="0"/>
          <w:sz w:val="36"/>
          <w:szCs w:val="30"/>
          <w:highlight w:val="none"/>
          <w:lang w:val="en-US" w:eastAsia="zh-CN" w:bidi="ar-SA"/>
        </w:rPr>
        <w:t>工程技术规范、报价要求和结算原则</w:t>
      </w:r>
      <w:bookmarkEnd w:id="33"/>
    </w:p>
    <w:bookmarkEnd w:id="30"/>
    <w:bookmarkEnd w:id="31"/>
    <w:p>
      <w:pPr>
        <w:pStyle w:val="5"/>
        <w:spacing w:before="0" w:after="0" w:line="440" w:lineRule="exact"/>
        <w:rPr>
          <w:rFonts w:ascii="宋体" w:hAnsi="宋体" w:cs="方正仿宋_GBK"/>
          <w:bCs/>
          <w:color w:val="auto"/>
          <w:sz w:val="28"/>
          <w:szCs w:val="28"/>
          <w:highlight w:val="none"/>
        </w:rPr>
      </w:pPr>
      <w:bookmarkStart w:id="34" w:name="_Toc28704"/>
      <w:bookmarkStart w:id="35" w:name="_Toc7421879"/>
      <w:bookmarkStart w:id="36" w:name="_Toc23400"/>
      <w:r>
        <w:rPr>
          <w:rFonts w:hint="eastAsia" w:ascii="宋体" w:hAnsi="宋体" w:cs="方正仿宋_GBK"/>
          <w:bCs/>
          <w:color w:val="auto"/>
          <w:sz w:val="28"/>
          <w:szCs w:val="28"/>
          <w:highlight w:val="none"/>
        </w:rPr>
        <w:t>一、</w:t>
      </w:r>
      <w:bookmarkEnd w:id="34"/>
      <w:bookmarkEnd w:id="35"/>
      <w:bookmarkStart w:id="37" w:name="_Toc7421884"/>
      <w:bookmarkStart w:id="38" w:name="_Toc22528"/>
      <w:r>
        <w:rPr>
          <w:rFonts w:hint="eastAsia" w:ascii="宋体" w:hAnsi="宋体" w:cs="方正仿宋_GBK"/>
          <w:bCs/>
          <w:color w:val="auto"/>
          <w:sz w:val="28"/>
          <w:szCs w:val="28"/>
          <w:highlight w:val="none"/>
        </w:rPr>
        <w:t>技术规范</w:t>
      </w:r>
      <w:bookmarkEnd w:id="36"/>
    </w:p>
    <w:p>
      <w:pPr>
        <w:pStyle w:val="283"/>
        <w:spacing w:line="440" w:lineRule="exact"/>
        <w:ind w:firstLine="424" w:firstLineChars="200"/>
        <w:rPr>
          <w:rFonts w:hAnsi="宋体" w:eastAsia="宋体" w:cs="方正仿宋_GBK"/>
          <w:color w:val="auto"/>
          <w:sz w:val="24"/>
          <w:szCs w:val="24"/>
          <w:highlight w:val="none"/>
        </w:rPr>
      </w:pPr>
      <w:bookmarkStart w:id="39" w:name="_Toc4281"/>
      <w:bookmarkStart w:id="40" w:name="_Toc7421880"/>
      <w:r>
        <w:rPr>
          <w:rFonts w:hint="eastAsia" w:hAnsi="宋体" w:eastAsia="宋体" w:cs="方正仿宋_GBK"/>
          <w:color w:val="auto"/>
          <w:sz w:val="24"/>
          <w:szCs w:val="24"/>
          <w:highlight w:val="none"/>
        </w:rPr>
        <w:t>本工程技术要求详见设计图纸和设计说明书（详见本项目公告附件）。依据设计施工图纸和技术文件的要求，本工程项目的材料、设备、施工必须达到现行规范及标准规定的要求。</w:t>
      </w:r>
    </w:p>
    <w:p>
      <w:pPr>
        <w:pStyle w:val="5"/>
        <w:spacing w:before="0" w:after="0" w:line="440" w:lineRule="exact"/>
        <w:rPr>
          <w:rFonts w:ascii="宋体" w:hAnsi="宋体" w:cs="方正仿宋_GBK"/>
          <w:bCs/>
          <w:color w:val="auto"/>
          <w:sz w:val="28"/>
          <w:szCs w:val="28"/>
          <w:highlight w:val="none"/>
        </w:rPr>
      </w:pPr>
      <w:bookmarkStart w:id="41" w:name="_Toc18521"/>
      <w:r>
        <w:rPr>
          <w:rFonts w:hint="eastAsia" w:ascii="宋体" w:hAnsi="宋体" w:cs="方正仿宋_GBK"/>
          <w:bCs/>
          <w:color w:val="auto"/>
          <w:sz w:val="28"/>
          <w:szCs w:val="28"/>
          <w:highlight w:val="none"/>
        </w:rPr>
        <w:t>二、</w:t>
      </w:r>
      <w:bookmarkEnd w:id="39"/>
      <w:bookmarkEnd w:id="40"/>
      <w:r>
        <w:rPr>
          <w:rFonts w:hint="eastAsia" w:ascii="宋体" w:hAnsi="宋体" w:cs="方正仿宋_GBK"/>
          <w:bCs/>
          <w:color w:val="auto"/>
          <w:sz w:val="28"/>
          <w:szCs w:val="28"/>
          <w:highlight w:val="none"/>
        </w:rPr>
        <w:t>报价原则</w:t>
      </w:r>
      <w:bookmarkEnd w:id="41"/>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（一）计价方式：工程量清单计价。</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（二）本项目由</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以竞争性磋商文件、合同条件、工程量清单、本次招标范围的施工设计图纸、现场踏勘、国家技术和经济规范及标准、《建设工程工程量清单计价规范》（</w:t>
      </w:r>
      <w:r>
        <w:rPr>
          <w:rFonts w:hAnsi="宋体" w:eastAsia="宋体" w:cs="方正仿宋_GBK"/>
          <w:color w:val="auto"/>
          <w:sz w:val="24"/>
          <w:szCs w:val="24"/>
          <w:highlight w:val="none"/>
        </w:rPr>
        <w:t>GB50500-2013</w:t>
      </w:r>
      <w:r>
        <w:rPr>
          <w:rFonts w:hint="eastAsia" w:hAnsi="宋体" w:eastAsia="宋体" w:cs="方正仿宋_GBK"/>
          <w:color w:val="auto"/>
          <w:sz w:val="24"/>
          <w:szCs w:val="24"/>
          <w:highlight w:val="none"/>
        </w:rPr>
        <w:t>）、《重庆市建设工程工程量清单计价规则》（</w:t>
      </w:r>
      <w:r>
        <w:rPr>
          <w:rFonts w:hAnsi="宋体" w:eastAsia="宋体" w:cs="方正仿宋_GBK"/>
          <w:color w:val="auto"/>
          <w:sz w:val="24"/>
          <w:szCs w:val="24"/>
          <w:highlight w:val="none"/>
        </w:rPr>
        <w:t>CQJJGZ-2013</w:t>
      </w:r>
      <w:r>
        <w:rPr>
          <w:rFonts w:hint="eastAsia" w:hAnsi="宋体" w:eastAsia="宋体" w:cs="方正仿宋_GBK"/>
          <w:color w:val="auto"/>
          <w:sz w:val="24"/>
          <w:szCs w:val="24"/>
          <w:highlight w:val="none"/>
        </w:rPr>
        <w:t>）、《重庆市建设工程工程量计算规则》（</w:t>
      </w:r>
      <w:r>
        <w:rPr>
          <w:rFonts w:hAnsi="宋体" w:eastAsia="宋体" w:cs="方正仿宋_GBK"/>
          <w:color w:val="auto"/>
          <w:sz w:val="24"/>
          <w:szCs w:val="24"/>
          <w:highlight w:val="none"/>
        </w:rPr>
        <w:t>CQJLGZ-2013</w:t>
      </w:r>
      <w:r>
        <w:rPr>
          <w:rFonts w:hint="eastAsia" w:hAnsi="宋体" w:eastAsia="宋体" w:cs="方正仿宋_GBK"/>
          <w:color w:val="auto"/>
          <w:sz w:val="24"/>
          <w:szCs w:val="24"/>
          <w:highlight w:val="none"/>
        </w:rPr>
        <w:t>）、《重庆市房屋建筑与装饰工程计价定额》（</w:t>
      </w:r>
      <w:r>
        <w:rPr>
          <w:rFonts w:hAnsi="宋体" w:eastAsia="宋体" w:cs="方正仿宋_GBK"/>
          <w:color w:val="auto"/>
          <w:sz w:val="24"/>
          <w:szCs w:val="24"/>
          <w:highlight w:val="none"/>
        </w:rPr>
        <w:t>CQJZZSDE-2018</w:t>
      </w:r>
      <w:r>
        <w:rPr>
          <w:rFonts w:hint="eastAsia" w:hAnsi="宋体" w:eastAsia="宋体" w:cs="方正仿宋_GBK"/>
          <w:color w:val="auto"/>
          <w:sz w:val="24"/>
          <w:szCs w:val="24"/>
          <w:highlight w:val="none"/>
        </w:rPr>
        <w:t>）、《重庆市通用安装工程计价定额》（</w:t>
      </w:r>
      <w:r>
        <w:rPr>
          <w:rFonts w:hAnsi="宋体" w:eastAsia="宋体" w:cs="方正仿宋_GBK"/>
          <w:color w:val="auto"/>
          <w:sz w:val="24"/>
          <w:szCs w:val="24"/>
          <w:highlight w:val="none"/>
        </w:rPr>
        <w:t>CQAZDE-2018</w:t>
      </w:r>
      <w:r>
        <w:rPr>
          <w:rFonts w:hint="eastAsia" w:hAnsi="宋体" w:eastAsia="宋体" w:cs="方正仿宋_GBK"/>
          <w:color w:val="auto"/>
          <w:sz w:val="24"/>
          <w:szCs w:val="24"/>
          <w:highlight w:val="none"/>
        </w:rPr>
        <w:t>）、《重庆市市政工程计价定额》（</w:t>
      </w:r>
      <w:r>
        <w:rPr>
          <w:rFonts w:hAnsi="宋体" w:eastAsia="宋体" w:cs="方正仿宋_GBK"/>
          <w:color w:val="auto"/>
          <w:sz w:val="24"/>
          <w:szCs w:val="24"/>
          <w:highlight w:val="none"/>
        </w:rPr>
        <w:t>CQSZDE-2018</w:t>
      </w:r>
      <w:r>
        <w:rPr>
          <w:rFonts w:hint="eastAsia" w:hAnsi="宋体" w:eastAsia="宋体" w:cs="方正仿宋_GBK"/>
          <w:color w:val="auto"/>
          <w:sz w:val="24"/>
          <w:szCs w:val="24"/>
          <w:highlight w:val="none"/>
        </w:rPr>
        <w:t>）、《重庆市园林绿化工程计价定额》（</w:t>
      </w:r>
      <w:r>
        <w:rPr>
          <w:rFonts w:hAnsi="宋体" w:eastAsia="宋体" w:cs="方正仿宋_GBK"/>
          <w:color w:val="auto"/>
          <w:sz w:val="24"/>
          <w:szCs w:val="24"/>
          <w:highlight w:val="none"/>
        </w:rPr>
        <w:t>CQYLLHDE-2018</w:t>
      </w:r>
      <w:r>
        <w:rPr>
          <w:rFonts w:hint="eastAsia" w:hAnsi="宋体" w:eastAsia="宋体" w:cs="方正仿宋_GBK"/>
          <w:color w:val="auto"/>
          <w:sz w:val="24"/>
          <w:szCs w:val="24"/>
          <w:highlight w:val="none"/>
        </w:rPr>
        <w:t>）、《重庆市绿色建筑工程计价定额》（</w:t>
      </w:r>
      <w:r>
        <w:rPr>
          <w:rFonts w:hAnsi="宋体" w:eastAsia="宋体" w:cs="方正仿宋_GBK"/>
          <w:color w:val="auto"/>
          <w:sz w:val="24"/>
          <w:szCs w:val="24"/>
          <w:highlight w:val="none"/>
        </w:rPr>
        <w:t>CQLSJZDE-2018</w:t>
      </w:r>
      <w:r>
        <w:rPr>
          <w:rFonts w:hint="eastAsia" w:hAnsi="宋体" w:eastAsia="宋体" w:cs="方正仿宋_GBK"/>
          <w:color w:val="auto"/>
          <w:sz w:val="24"/>
          <w:szCs w:val="24"/>
          <w:highlight w:val="none"/>
        </w:rPr>
        <w:t>）、《重庆市建设工程施工机械台班定额》（</w:t>
      </w:r>
      <w:r>
        <w:rPr>
          <w:rFonts w:hAnsi="宋体" w:eastAsia="宋体" w:cs="方正仿宋_GBK"/>
          <w:color w:val="auto"/>
          <w:sz w:val="24"/>
          <w:szCs w:val="24"/>
          <w:highlight w:val="none"/>
        </w:rPr>
        <w:t>CQJXDE-2018</w:t>
      </w:r>
      <w:r>
        <w:rPr>
          <w:rFonts w:hint="eastAsia" w:hAnsi="宋体" w:eastAsia="宋体" w:cs="方正仿宋_GBK"/>
          <w:color w:val="auto"/>
          <w:sz w:val="24"/>
          <w:szCs w:val="24"/>
          <w:highlight w:val="none"/>
        </w:rPr>
        <w:t>）、《重庆市建设工程施工仪器仪表台班定额》（</w:t>
      </w:r>
      <w:r>
        <w:rPr>
          <w:rFonts w:hAnsi="宋体" w:eastAsia="宋体" w:cs="方正仿宋_GBK"/>
          <w:color w:val="auto"/>
          <w:sz w:val="24"/>
          <w:szCs w:val="24"/>
          <w:highlight w:val="none"/>
        </w:rPr>
        <w:t>CQYQYBDE-2018</w:t>
      </w:r>
      <w:r>
        <w:rPr>
          <w:rFonts w:hint="eastAsia" w:hAnsi="宋体" w:eastAsia="宋体" w:cs="方正仿宋_GBK"/>
          <w:color w:val="auto"/>
          <w:sz w:val="24"/>
          <w:szCs w:val="24"/>
          <w:highlight w:val="none"/>
        </w:rPr>
        <w:t>）、《重庆市建设工程混凝土及砂浆配合比表》（</w:t>
      </w:r>
      <w:r>
        <w:rPr>
          <w:rFonts w:hAnsi="宋体" w:eastAsia="宋体" w:cs="方正仿宋_GBK"/>
          <w:color w:val="auto"/>
          <w:sz w:val="24"/>
          <w:szCs w:val="24"/>
          <w:highlight w:val="none"/>
        </w:rPr>
        <w:t>CQPHBB-2018</w:t>
      </w:r>
      <w:r>
        <w:rPr>
          <w:rFonts w:hint="eastAsia" w:hAnsi="宋体" w:eastAsia="宋体" w:cs="方正仿宋_GBK"/>
          <w:color w:val="auto"/>
          <w:sz w:val="24"/>
          <w:szCs w:val="24"/>
          <w:highlight w:val="none"/>
        </w:rPr>
        <w:t>）、《重庆市建设工程费用定额》（</w:t>
      </w:r>
      <w:r>
        <w:rPr>
          <w:rFonts w:hAnsi="宋体" w:eastAsia="宋体" w:cs="方正仿宋_GBK"/>
          <w:color w:val="auto"/>
          <w:sz w:val="24"/>
          <w:szCs w:val="24"/>
          <w:highlight w:val="none"/>
        </w:rPr>
        <w:t>CQFYDE-2018</w:t>
      </w:r>
      <w:r>
        <w:rPr>
          <w:rFonts w:hint="eastAsia" w:hAnsi="宋体" w:eastAsia="宋体" w:cs="方正仿宋_GBK"/>
          <w:color w:val="auto"/>
          <w:sz w:val="24"/>
          <w:szCs w:val="24"/>
          <w:highlight w:val="none"/>
        </w:rPr>
        <w:t>）及相关配套文件，由投标人结合自身实力及市场行情自主合理报价。投标报价应包括完成招标范围内明示或暗示的工程项目的人工费、材料费、施工机具使用费、企业管理费、利润、风险费用、措施费、规费、税金、政策性文件规定的所有费用。</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应认真填写工程量清单中所列的本合同各工程子目的单价或总价。</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没有填入单价或总价的工程子目，采购人将认为该子目的价款已包括在工程量清单其他子目的单价和总价中。</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在工程量清单中多报的子目和单价或总价发包人将不予接受，并将被视为重大偏差，按废标处理。若评标时未发现，结算时按最不利于</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的原则执行。</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（三）人工费：由各</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结合市场行情自主测算计入各分部分项综合单价中，中标后不再调整。且不得高于竞争性磋商文件发布当期重庆市建设工程造价总站主办的《重庆工程造价信息》公布的人工工日单价，当期没有的采用上一季度的人工工日单价。</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（四）材料费：本工程所需的全部材料由各</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参照且不高于竞争性磋商文件发布当期重庆市建设工程造价总站主办的《重庆工程造价信息》公布的信息价（不含税），并结合市场行情以及的自身实力自主报价。同一种材料，同规格、型号材料报价必须一致，若评标时未发现，结算时按报价最低值计取。</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1</w:t>
      </w:r>
      <w:r>
        <w:rPr>
          <w:rFonts w:hint="eastAsia" w:hAnsi="宋体" w:eastAsia="宋体" w:cs="方正仿宋_GBK"/>
          <w:color w:val="auto"/>
          <w:sz w:val="24"/>
          <w:szCs w:val="24"/>
          <w:highlight w:val="none"/>
        </w:rPr>
        <w:t>、中标后，</w:t>
      </w:r>
      <w:r>
        <w:rPr>
          <w:rFonts w:hint="eastAsia" w:hAnsi="宋体" w:eastAsia="宋体" w:cs="方正仿宋_GBK"/>
          <w:color w:val="auto"/>
          <w:sz w:val="24"/>
          <w:szCs w:val="24"/>
          <w:highlight w:val="none"/>
          <w:lang w:eastAsia="zh-CN"/>
        </w:rPr>
        <w:t>中标人</w:t>
      </w:r>
      <w:r>
        <w:rPr>
          <w:rFonts w:hint="eastAsia" w:hAnsi="宋体" w:eastAsia="宋体" w:cs="方正仿宋_GBK"/>
          <w:color w:val="auto"/>
          <w:sz w:val="24"/>
          <w:szCs w:val="24"/>
          <w:highlight w:val="none"/>
        </w:rPr>
        <w:t>自行承担其它材料价格涨跌风险，材料价格不调整。</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2</w:t>
      </w:r>
      <w:r>
        <w:rPr>
          <w:rFonts w:hint="eastAsia" w:hAnsi="宋体" w:eastAsia="宋体" w:cs="方正仿宋_GBK"/>
          <w:color w:val="auto"/>
          <w:sz w:val="24"/>
          <w:szCs w:val="24"/>
          <w:highlight w:val="none"/>
        </w:rPr>
        <w:t>、本工程所需材料、设备由</w:t>
      </w:r>
      <w:r>
        <w:rPr>
          <w:rFonts w:hint="eastAsia" w:hAnsi="宋体" w:eastAsia="宋体" w:cs="方正仿宋_GBK"/>
          <w:color w:val="auto"/>
          <w:sz w:val="24"/>
          <w:szCs w:val="24"/>
          <w:highlight w:val="none"/>
          <w:lang w:eastAsia="zh-CN"/>
        </w:rPr>
        <w:t>中标人</w:t>
      </w:r>
      <w:r>
        <w:rPr>
          <w:rFonts w:hint="eastAsia" w:hAnsi="宋体" w:eastAsia="宋体" w:cs="方正仿宋_GBK"/>
          <w:color w:val="auto"/>
          <w:sz w:val="24"/>
          <w:szCs w:val="24"/>
          <w:highlight w:val="none"/>
        </w:rPr>
        <w:t>采购，但所采购的材料必须符合国家规范标准及设计文件、竞争性磋商文件要求，并提供相应合格证明资料、质保书，同时须报监理单位和采购人批准同意后方可采购。</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3</w:t>
      </w:r>
      <w:r>
        <w:rPr>
          <w:rFonts w:hint="eastAsia" w:hAnsi="宋体" w:eastAsia="宋体" w:cs="方正仿宋_GBK"/>
          <w:color w:val="auto"/>
          <w:sz w:val="24"/>
          <w:szCs w:val="24"/>
          <w:highlight w:val="none"/>
        </w:rPr>
        <w:t>、本工程材料、设备、构件、成品及半成品的运输距离、仓储、保管、库损、二次及多次转运等由</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根据自身情况及踏勘现场情况自行确定并综合考虑到报价中</w:t>
      </w:r>
      <w:r>
        <w:rPr>
          <w:rFonts w:hAnsi="宋体" w:eastAsia="宋体" w:cs="方正仿宋_GBK"/>
          <w:color w:val="auto"/>
          <w:sz w:val="24"/>
          <w:szCs w:val="24"/>
          <w:highlight w:val="none"/>
        </w:rPr>
        <w:t>,</w:t>
      </w:r>
      <w:r>
        <w:rPr>
          <w:rFonts w:hint="eastAsia" w:hAnsi="宋体" w:eastAsia="宋体" w:cs="方正仿宋_GBK"/>
          <w:color w:val="auto"/>
          <w:sz w:val="24"/>
          <w:szCs w:val="24"/>
          <w:highlight w:val="none"/>
        </w:rPr>
        <w:t>不再另行计取。</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4 </w:t>
      </w:r>
      <w:r>
        <w:rPr>
          <w:rFonts w:hint="eastAsia" w:hAnsi="宋体" w:eastAsia="宋体" w:cs="方正仿宋_GBK"/>
          <w:color w:val="auto"/>
          <w:sz w:val="24"/>
          <w:szCs w:val="24"/>
          <w:highlight w:val="none"/>
        </w:rPr>
        <w:t>、使用缺陷材料引起的返工、报废、工期延误等损失，由</w:t>
      </w:r>
      <w:r>
        <w:rPr>
          <w:rFonts w:hint="eastAsia" w:hAnsi="宋体" w:eastAsia="宋体" w:cs="方正仿宋_GBK"/>
          <w:color w:val="auto"/>
          <w:sz w:val="24"/>
          <w:szCs w:val="24"/>
          <w:highlight w:val="none"/>
          <w:lang w:eastAsia="zh-CN"/>
        </w:rPr>
        <w:t>中标人</w:t>
      </w:r>
      <w:r>
        <w:rPr>
          <w:rFonts w:hint="eastAsia" w:hAnsi="宋体" w:eastAsia="宋体" w:cs="方正仿宋_GBK"/>
          <w:color w:val="auto"/>
          <w:sz w:val="24"/>
          <w:szCs w:val="24"/>
          <w:highlight w:val="none"/>
        </w:rPr>
        <w:t>自行承担。</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5 </w:t>
      </w:r>
      <w:r>
        <w:rPr>
          <w:rFonts w:hint="eastAsia" w:hAnsi="宋体" w:eastAsia="宋体" w:cs="方正仿宋_GBK"/>
          <w:color w:val="auto"/>
          <w:sz w:val="24"/>
          <w:szCs w:val="24"/>
          <w:highlight w:val="none"/>
        </w:rPr>
        <w:t>、本工程最高限价中计价材料和未计价材料均按不含进项税计入。</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（五）余方弃置（若有），渣场由采购人指定的位置或由</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自行确定，招标清单中</w:t>
      </w:r>
      <w:r>
        <w:rPr>
          <w:rFonts w:hint="eastAsia" w:hAnsi="宋体" w:eastAsia="宋体" w:cs="方正仿宋_GBK"/>
          <w:color w:val="auto"/>
          <w:sz w:val="24"/>
          <w:szCs w:val="24"/>
          <w:highlight w:val="none"/>
          <w:lang w:eastAsia="zh-CN"/>
        </w:rPr>
        <w:t>建渣</w:t>
      </w:r>
      <w:r>
        <w:rPr>
          <w:rFonts w:hint="eastAsia" w:hAnsi="宋体" w:eastAsia="宋体" w:cs="方正仿宋_GBK"/>
          <w:color w:val="auto"/>
          <w:sz w:val="24"/>
          <w:szCs w:val="24"/>
          <w:highlight w:val="none"/>
        </w:rPr>
        <w:t>和土石方外运距离均为暂估运距，结算时根据采购人、监理单位</w:t>
      </w:r>
      <w:r>
        <w:rPr>
          <w:rFonts w:hint="eastAsia" w:hAnsi="宋体" w:eastAsia="宋体" w:cs="方正仿宋_GBK"/>
          <w:color w:val="auto"/>
          <w:sz w:val="24"/>
          <w:szCs w:val="24"/>
          <w:highlight w:val="none"/>
          <w:lang w:eastAsia="zh-CN"/>
        </w:rPr>
        <w:t>、</w:t>
      </w:r>
      <w:r>
        <w:rPr>
          <w:rFonts w:hint="eastAsia" w:hAnsi="宋体" w:eastAsia="宋体" w:cs="方正仿宋_GBK"/>
          <w:color w:val="auto"/>
          <w:sz w:val="24"/>
          <w:szCs w:val="24"/>
          <w:highlight w:val="none"/>
          <w:lang w:val="en-US" w:eastAsia="zh-CN"/>
        </w:rPr>
        <w:t>跟审单位</w:t>
      </w:r>
      <w:r>
        <w:rPr>
          <w:rFonts w:hint="eastAsia" w:hAnsi="宋体" w:eastAsia="宋体" w:cs="方正仿宋_GBK"/>
          <w:color w:val="auto"/>
          <w:sz w:val="24"/>
          <w:szCs w:val="24"/>
          <w:highlight w:val="none"/>
        </w:rPr>
        <w:t>共同确认的实际运距计算。</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（六）措施项目费：措施项目费清单包括施工组织措施项目清单和施工技术措施项目清单两部分。</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1 </w:t>
      </w:r>
      <w:r>
        <w:rPr>
          <w:rFonts w:hint="eastAsia" w:hAnsi="宋体" w:eastAsia="宋体" w:cs="方正仿宋_GBK"/>
          <w:color w:val="auto"/>
          <w:sz w:val="24"/>
          <w:szCs w:val="24"/>
          <w:highlight w:val="none"/>
        </w:rPr>
        <w:t>、施工组织措施项目清单（除安全文明施工费）：施工组织措施项目清单：</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按采购人给出的施工组织措施项目清单并结合本工程的实际情况和国家及重庆市相关管理规定自主报价。如果漏项或不报价，视为已包含在其他项目清单综合单价内。如中标费率低于规定费率，按中标费率结算，若中标费率高于规定费率，则按规定费率进行结算。</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2 </w:t>
      </w:r>
      <w:r>
        <w:rPr>
          <w:rFonts w:hint="eastAsia" w:hAnsi="宋体" w:eastAsia="宋体" w:cs="方正仿宋_GBK"/>
          <w:color w:val="auto"/>
          <w:sz w:val="24"/>
          <w:szCs w:val="24"/>
          <w:highlight w:val="none"/>
        </w:rPr>
        <w:t>、施工技术措施项目清单：技术措施清单中在本次招标范围内以项计列的项目，由</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自行现场勘察，现场复核图纸中地形地貌、地下管线和隐蔽物、地下水位、三通一平、施工临时路口、安全防护设施搭建、检查现有的建筑物以及可作为储存和施工用途的空间等与现场实际情况是否符合，由</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根据现场踏勘情况及本工程的实际情况结合自身施工组织设计，自行报价，包干使用，结算时不再调整。技术措施清单中以项目编码、项目名称、项目特征、工作内容、工程量及计量单位列项的项目，</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必须按采购人给出的施工技术措施项目清单进行报价，不得擅自变改采购人提供的施工技术措施项目清单中的序号、项目编码、项目名称、项目特征、工作内容、工程量及计量单位，否则视为对竞争性磋商文件不作实质性响应，其投标文件按废标处理。中标后不论何种因素影响，相应的综合单价不作调整，工程量按《建设工程工程量清单计价规范》（</w:t>
      </w:r>
      <w:r>
        <w:rPr>
          <w:rFonts w:hAnsi="宋体" w:eastAsia="宋体" w:cs="方正仿宋_GBK"/>
          <w:color w:val="auto"/>
          <w:sz w:val="24"/>
          <w:szCs w:val="24"/>
          <w:highlight w:val="none"/>
        </w:rPr>
        <w:t>GB50500-2013</w:t>
      </w:r>
      <w:r>
        <w:rPr>
          <w:rFonts w:hint="eastAsia" w:hAnsi="宋体" w:eastAsia="宋体" w:cs="方正仿宋_GBK"/>
          <w:color w:val="auto"/>
          <w:sz w:val="24"/>
          <w:szCs w:val="24"/>
          <w:highlight w:val="none"/>
        </w:rPr>
        <w:t>）、《重庆市建设工程工程量计算规则》（</w:t>
      </w:r>
      <w:r>
        <w:rPr>
          <w:rFonts w:hAnsi="宋体" w:eastAsia="宋体" w:cs="方正仿宋_GBK"/>
          <w:color w:val="auto"/>
          <w:sz w:val="24"/>
          <w:szCs w:val="24"/>
          <w:highlight w:val="none"/>
        </w:rPr>
        <w:t>CQJLGZ-2013</w:t>
      </w:r>
      <w:r>
        <w:rPr>
          <w:rFonts w:hint="eastAsia" w:hAnsi="宋体" w:eastAsia="宋体" w:cs="方正仿宋_GBK"/>
          <w:color w:val="auto"/>
          <w:sz w:val="24"/>
          <w:szCs w:val="24"/>
          <w:highlight w:val="none"/>
        </w:rPr>
        <w:t>）规定的计量规则及工程量清单说明按实计量。</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根据企业自身情况和项目特点认为需在采购人提供的招标清单外增加的措施项目费，投标报价时可综合考虑到其他措施项目清单中，不单独报价。</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（七）工程量清单项、量、价</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1 </w:t>
      </w:r>
      <w:r>
        <w:rPr>
          <w:rFonts w:hint="eastAsia" w:hAnsi="宋体" w:eastAsia="宋体" w:cs="方正仿宋_GBK"/>
          <w:color w:val="auto"/>
          <w:sz w:val="24"/>
          <w:szCs w:val="24"/>
          <w:highlight w:val="none"/>
        </w:rPr>
        <w:t>、如果采购人提供的工程量清单中的清单项和工程量与施工图中工程量不一致，</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应于磋商文件中规定的时间前通知采购人核查，除采购人对工程量清单主动补遗或对</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质疑作修改外，应以工程量清单中列出的工程量为准。</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在编制投标报价时不得擅自变改采购人提供的分部分项工程量清单中的序号、项目编码、项目名称、项目特征、工程内容、工程量及计量单位，否则视为对竞争性磋商文件不作实质性响应，其投标文件按废标处理；若评标时未发现的修改，在实施时将按有利于采购人的原则进行修正。</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2 </w:t>
      </w:r>
      <w:r>
        <w:rPr>
          <w:rFonts w:hint="eastAsia" w:hAnsi="宋体" w:eastAsia="宋体" w:cs="方正仿宋_GBK"/>
          <w:color w:val="auto"/>
          <w:sz w:val="24"/>
          <w:szCs w:val="24"/>
          <w:highlight w:val="none"/>
        </w:rPr>
        <w:t>、工程量清单中给出的工程量是估算量或暂定量，是为投标报价确定的共同的基础，不能作为最终结算的依据。实际工程量应是按《重庆市建设工程工程量清单计价规则》（</w:t>
      </w:r>
      <w:r>
        <w:rPr>
          <w:rFonts w:hAnsi="宋体" w:eastAsia="宋体" w:cs="方正仿宋_GBK"/>
          <w:color w:val="auto"/>
          <w:sz w:val="24"/>
          <w:szCs w:val="24"/>
          <w:highlight w:val="none"/>
        </w:rPr>
        <w:t>CQJJGZ-2013</w:t>
      </w:r>
      <w:r>
        <w:rPr>
          <w:rFonts w:hint="eastAsia" w:hAnsi="宋体" w:eastAsia="宋体" w:cs="方正仿宋_GBK"/>
          <w:color w:val="auto"/>
          <w:sz w:val="24"/>
          <w:szCs w:val="24"/>
          <w:highlight w:val="none"/>
        </w:rPr>
        <w:t>）、《重庆市建设工程工程量计算规则》（</w:t>
      </w:r>
      <w:r>
        <w:rPr>
          <w:rFonts w:hAnsi="宋体" w:eastAsia="宋体" w:cs="方正仿宋_GBK"/>
          <w:color w:val="auto"/>
          <w:sz w:val="24"/>
          <w:szCs w:val="24"/>
          <w:highlight w:val="none"/>
        </w:rPr>
        <w:t>CQJLGZ-2013</w:t>
      </w:r>
      <w:r>
        <w:rPr>
          <w:rFonts w:hint="eastAsia" w:hAnsi="宋体" w:eastAsia="宋体" w:cs="方正仿宋_GBK"/>
          <w:color w:val="auto"/>
          <w:sz w:val="24"/>
          <w:szCs w:val="24"/>
          <w:highlight w:val="none"/>
        </w:rPr>
        <w:t>）及其配套的计量规范约定的计量规则计算的实际合格工程量。</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特别说明：采购人有权根据自身的计划安排调整工程量，</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应无条件接受，工程量变化后按工程变更处理，结算办法详见</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须知前附表条款号</w:t>
      </w:r>
      <w:r>
        <w:rPr>
          <w:rFonts w:hAnsi="宋体" w:eastAsia="宋体" w:cs="方正仿宋_GBK"/>
          <w:color w:val="auto"/>
          <w:sz w:val="24"/>
          <w:szCs w:val="24"/>
          <w:highlight w:val="none"/>
        </w:rPr>
        <w:t>10.4</w:t>
      </w:r>
      <w:r>
        <w:rPr>
          <w:rFonts w:hint="eastAsia" w:hAnsi="宋体" w:eastAsia="宋体" w:cs="方正仿宋_GBK"/>
          <w:color w:val="auto"/>
          <w:sz w:val="24"/>
          <w:szCs w:val="24"/>
          <w:highlight w:val="none"/>
        </w:rPr>
        <w:t>中工程结算原则，</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自行考虑采购人可能调整工程量造成的风险并纳入投标报价中，因工程量增减造成的损失由</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自行承担。</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3 </w:t>
      </w:r>
      <w:r>
        <w:rPr>
          <w:rFonts w:hint="eastAsia" w:hAnsi="宋体" w:eastAsia="宋体" w:cs="方正仿宋_GBK"/>
          <w:color w:val="auto"/>
          <w:sz w:val="24"/>
          <w:szCs w:val="24"/>
          <w:highlight w:val="none"/>
        </w:rPr>
        <w:t>、本工程各分部分项工程量清单子项不论其对应的项目特征和工作内容是否描述完整，都将被认为已包括《建设工程工程量清单计价规范》（</w:t>
      </w:r>
      <w:r>
        <w:rPr>
          <w:rFonts w:hAnsi="宋体" w:eastAsia="宋体" w:cs="方正仿宋_GBK"/>
          <w:color w:val="auto"/>
          <w:sz w:val="24"/>
          <w:szCs w:val="24"/>
          <w:highlight w:val="none"/>
        </w:rPr>
        <w:t>CQJJGZ -2013</w:t>
      </w:r>
      <w:r>
        <w:rPr>
          <w:rFonts w:hint="eastAsia" w:hAnsi="宋体" w:eastAsia="宋体" w:cs="方正仿宋_GBK"/>
          <w:color w:val="auto"/>
          <w:sz w:val="24"/>
          <w:szCs w:val="24"/>
          <w:highlight w:val="none"/>
        </w:rPr>
        <w:t>）中相应项目编码和项目名称及施工图纸、相关规范、标准、政策性文件、规定、限制和禁止使用通告等所有工程内容及完成此工作内容而必须的各种主要、辅助工作；其综合单价应包括完成该子项所需的人工费、材料费、施工机具使用费、管理费、利润、风险费用等除税金、安全文明施工费、措施费、规费外的所有费用以及合同文件中明示或暗示的应由</w:t>
      </w:r>
      <w:r>
        <w:rPr>
          <w:rFonts w:hint="eastAsia" w:hAnsi="宋体" w:eastAsia="宋体" w:cs="方正仿宋_GBK"/>
          <w:color w:val="auto"/>
          <w:sz w:val="24"/>
          <w:szCs w:val="24"/>
          <w:highlight w:val="none"/>
          <w:lang w:eastAsia="zh-CN"/>
        </w:rPr>
        <w:t>中标人</w:t>
      </w:r>
      <w:r>
        <w:rPr>
          <w:rFonts w:hint="eastAsia" w:hAnsi="宋体" w:eastAsia="宋体" w:cs="方正仿宋_GBK"/>
          <w:color w:val="auto"/>
          <w:sz w:val="24"/>
          <w:szCs w:val="24"/>
          <w:highlight w:val="none"/>
        </w:rPr>
        <w:t>承担的所有责任、义务、风险及相应的费用。</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4 </w:t>
      </w:r>
      <w:r>
        <w:rPr>
          <w:rFonts w:hint="eastAsia" w:hAnsi="宋体" w:eastAsia="宋体" w:cs="方正仿宋_GBK"/>
          <w:color w:val="auto"/>
          <w:sz w:val="24"/>
          <w:szCs w:val="24"/>
          <w:highlight w:val="none"/>
        </w:rPr>
        <w:t>、竞争性磋商文件及相关补遗文件规定了暂定材料单价或暂列金额项目或专业工程暂定价、安全文明施工费，</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必须按规定的暂定价格进行报价，</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不得修改，否则视为对竞争性磋商文件不作实质性响应，其投标文件按废标处理；若评标时未发现的修改，在实施时将按有利于采购人的原则进行修正。</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5 </w:t>
      </w:r>
      <w:r>
        <w:rPr>
          <w:rFonts w:hint="eastAsia" w:hAnsi="宋体" w:eastAsia="宋体" w:cs="方正仿宋_GBK"/>
          <w:color w:val="auto"/>
          <w:sz w:val="24"/>
          <w:szCs w:val="24"/>
          <w:highlight w:val="none"/>
        </w:rPr>
        <w:t>、</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必须严格按采购人提供的《工程量清单》格式内所有项目进行报价；不得出现漏项或增项，否则视为对竞争性磋商文件不作实质性响应，其投标文件按废标处理。报价空白或报价为零，则视为该子项的价款已包括在工程量清单其他子目的单价和合价中，中标后必须完成该子项工作内容，采购人不对该子项进行结算与支付。施工过程中，因采购人原因需要对报价空白或报价为零的项目减少实施工程量或不予实施，采购人将按投标报价时计价原则计算出该项的综合单价以及相应的规费、安全文明施工费用、措施费和税金，并据此从结算价中扣除。</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6 </w:t>
      </w:r>
      <w:r>
        <w:rPr>
          <w:rFonts w:hint="eastAsia" w:hAnsi="宋体" w:eastAsia="宋体" w:cs="方正仿宋_GBK"/>
          <w:color w:val="auto"/>
          <w:sz w:val="24"/>
          <w:szCs w:val="24"/>
          <w:highlight w:val="none"/>
        </w:rPr>
        <w:t>、本工程量清单中“项目特征及工作内容”描述不作为投标报价的唯一依据，</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应根据分部分项工程量清单计价表中“项目特征和工作内容”的描述结合竞争性磋商文件中的</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须知、通用合同条款、专用合同条款、技术标准和要求、施工设计图纸和对现场的勘察情况等一起阅读和理解并确定报价。</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7 </w:t>
      </w:r>
      <w:r>
        <w:rPr>
          <w:rFonts w:hint="eastAsia" w:hAnsi="宋体" w:eastAsia="宋体" w:cs="方正仿宋_GBK"/>
          <w:color w:val="auto"/>
          <w:sz w:val="24"/>
          <w:szCs w:val="24"/>
          <w:highlight w:val="none"/>
        </w:rPr>
        <w:t>、</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的报价中各单位工程项目名称、项目特征、工作内容相同清单项的综合单价必须相同，否则按废标处理。</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（八）安全文明施工费：</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本工程安全文明施工费由采购人根据《建设工程工程量清单计价规范》（</w:t>
      </w:r>
      <w:r>
        <w:rPr>
          <w:rFonts w:hAnsi="宋体" w:eastAsia="宋体" w:cs="方正仿宋_GBK"/>
          <w:color w:val="auto"/>
          <w:sz w:val="24"/>
          <w:szCs w:val="24"/>
          <w:highlight w:val="none"/>
        </w:rPr>
        <w:t>GB50500-2013)</w:t>
      </w:r>
      <w:r>
        <w:rPr>
          <w:rFonts w:hint="eastAsia" w:hAnsi="宋体" w:eastAsia="宋体" w:cs="方正仿宋_GBK"/>
          <w:color w:val="auto"/>
          <w:sz w:val="24"/>
          <w:szCs w:val="24"/>
          <w:highlight w:val="none"/>
        </w:rPr>
        <w:t>、《重庆市建设工程工程量清单计价规则》（</w:t>
      </w:r>
      <w:r>
        <w:rPr>
          <w:rFonts w:hAnsi="宋体" w:eastAsia="宋体" w:cs="方正仿宋_GBK"/>
          <w:color w:val="auto"/>
          <w:sz w:val="24"/>
          <w:szCs w:val="24"/>
          <w:highlight w:val="none"/>
        </w:rPr>
        <w:t>CQJJGZ-2013)</w:t>
      </w:r>
      <w:r>
        <w:rPr>
          <w:rFonts w:hint="eastAsia" w:hAnsi="宋体" w:eastAsia="宋体" w:cs="方正仿宋_GBK"/>
          <w:color w:val="auto"/>
          <w:sz w:val="24"/>
          <w:szCs w:val="24"/>
          <w:highlight w:val="none"/>
        </w:rPr>
        <w:t>、</w:t>
      </w:r>
      <w:r>
        <w:rPr>
          <w:rFonts w:hAnsi="宋体" w:eastAsia="宋体" w:cs="方正仿宋_GBK"/>
          <w:color w:val="auto"/>
          <w:sz w:val="24"/>
          <w:szCs w:val="24"/>
          <w:highlight w:val="none"/>
        </w:rPr>
        <w:t xml:space="preserve"> </w:t>
      </w:r>
      <w:r>
        <w:rPr>
          <w:rFonts w:hint="eastAsia" w:hAnsi="宋体" w:eastAsia="宋体" w:cs="方正仿宋_GBK"/>
          <w:color w:val="auto"/>
          <w:sz w:val="24"/>
          <w:szCs w:val="24"/>
          <w:highlight w:val="none"/>
        </w:rPr>
        <w:t>《重庆市建设工程费用定额》（</w:t>
      </w:r>
      <w:r>
        <w:rPr>
          <w:rFonts w:hAnsi="宋体" w:eastAsia="宋体" w:cs="方正仿宋_GBK"/>
          <w:color w:val="auto"/>
          <w:sz w:val="24"/>
          <w:szCs w:val="24"/>
          <w:highlight w:val="none"/>
        </w:rPr>
        <w:t>CQFYDE-2018</w:t>
      </w:r>
      <w:r>
        <w:rPr>
          <w:rFonts w:hint="eastAsia" w:hAnsi="宋体" w:eastAsia="宋体" w:cs="方正仿宋_GBK"/>
          <w:color w:val="auto"/>
          <w:sz w:val="24"/>
          <w:szCs w:val="24"/>
          <w:highlight w:val="none"/>
        </w:rPr>
        <w:t>）的相关规定和费用标准单列计算，安全文明施工费为暂定金额，与最高限价一起公布。</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的《投标函》及工程量清单报价中的安全文明施工费必须按照采购人给出的暂定金额填报，否则视为对竞争性磋商文件不作实质性响应，其投标文件按废标处理。</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（九）规费、税金、竣工档案编制费：</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1</w:t>
      </w:r>
      <w:r>
        <w:rPr>
          <w:rFonts w:hint="eastAsia" w:hAnsi="宋体" w:eastAsia="宋体" w:cs="方正仿宋_GBK"/>
          <w:color w:val="auto"/>
          <w:sz w:val="24"/>
          <w:szCs w:val="24"/>
          <w:highlight w:val="none"/>
        </w:rPr>
        <w:t>、</w:t>
      </w:r>
      <w:r>
        <w:rPr>
          <w:rFonts w:hAnsi="宋体" w:eastAsia="宋体" w:cs="方正仿宋_GBK"/>
          <w:color w:val="auto"/>
          <w:sz w:val="24"/>
          <w:szCs w:val="24"/>
          <w:highlight w:val="none"/>
        </w:rPr>
        <w:t xml:space="preserve"> </w:t>
      </w:r>
      <w:r>
        <w:rPr>
          <w:rFonts w:hint="eastAsia" w:hAnsi="宋体" w:eastAsia="宋体" w:cs="方正仿宋_GBK"/>
          <w:color w:val="auto"/>
          <w:sz w:val="24"/>
          <w:szCs w:val="24"/>
          <w:highlight w:val="none"/>
        </w:rPr>
        <w:t>规费：按</w:t>
      </w:r>
      <w:r>
        <w:rPr>
          <w:rFonts w:hAnsi="宋体" w:eastAsia="宋体" w:cs="方正仿宋_GBK"/>
          <w:color w:val="auto"/>
          <w:sz w:val="24"/>
          <w:szCs w:val="24"/>
          <w:highlight w:val="none"/>
        </w:rPr>
        <w:t xml:space="preserve"> </w:t>
      </w:r>
      <w:r>
        <w:rPr>
          <w:rFonts w:hint="eastAsia" w:hAnsi="宋体" w:eastAsia="宋体" w:cs="方正仿宋_GBK"/>
          <w:color w:val="auto"/>
          <w:sz w:val="24"/>
          <w:szCs w:val="24"/>
          <w:highlight w:val="none"/>
        </w:rPr>
        <w:t>《重庆市建设工程费用定额》（</w:t>
      </w:r>
      <w:r>
        <w:rPr>
          <w:rFonts w:hAnsi="宋体" w:eastAsia="宋体" w:cs="方正仿宋_GBK"/>
          <w:color w:val="auto"/>
          <w:sz w:val="24"/>
          <w:szCs w:val="24"/>
          <w:highlight w:val="none"/>
        </w:rPr>
        <w:t>CQFYDE-2018</w:t>
      </w:r>
      <w:r>
        <w:rPr>
          <w:rFonts w:hint="eastAsia" w:hAnsi="宋体" w:eastAsia="宋体" w:cs="方正仿宋_GBK"/>
          <w:color w:val="auto"/>
          <w:sz w:val="24"/>
          <w:szCs w:val="24"/>
          <w:highlight w:val="none"/>
        </w:rPr>
        <w:t>）及相关规定执行。</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2 </w:t>
      </w:r>
      <w:r>
        <w:rPr>
          <w:rFonts w:hint="eastAsia" w:hAnsi="宋体" w:eastAsia="宋体" w:cs="方正仿宋_GBK"/>
          <w:color w:val="auto"/>
          <w:sz w:val="24"/>
          <w:szCs w:val="24"/>
          <w:highlight w:val="none"/>
        </w:rPr>
        <w:t>、税金：按</w:t>
      </w:r>
      <w:r>
        <w:rPr>
          <w:rFonts w:hAnsi="宋体" w:eastAsia="宋体" w:cs="方正仿宋_GBK"/>
          <w:color w:val="auto"/>
          <w:sz w:val="24"/>
          <w:szCs w:val="24"/>
          <w:highlight w:val="none"/>
        </w:rPr>
        <w:t xml:space="preserve"> </w:t>
      </w:r>
      <w:r>
        <w:rPr>
          <w:rFonts w:hint="eastAsia" w:hAnsi="宋体" w:eastAsia="宋体" w:cs="方正仿宋_GBK"/>
          <w:color w:val="auto"/>
          <w:sz w:val="24"/>
          <w:szCs w:val="24"/>
          <w:highlight w:val="none"/>
        </w:rPr>
        <w:t>《重庆市建设工程费用定额》（</w:t>
      </w:r>
      <w:r>
        <w:rPr>
          <w:rFonts w:hAnsi="宋体" w:eastAsia="宋体" w:cs="方正仿宋_GBK"/>
          <w:color w:val="auto"/>
          <w:sz w:val="24"/>
          <w:szCs w:val="24"/>
          <w:highlight w:val="none"/>
        </w:rPr>
        <w:t>CQFYDE-2018</w:t>
      </w:r>
      <w:r>
        <w:rPr>
          <w:rFonts w:hint="eastAsia" w:hAnsi="宋体" w:eastAsia="宋体" w:cs="方正仿宋_GBK"/>
          <w:color w:val="auto"/>
          <w:sz w:val="24"/>
          <w:szCs w:val="24"/>
          <w:highlight w:val="none"/>
        </w:rPr>
        <w:t>）及相关规定执行，暂按增值税一般计税方法计取。</w:t>
      </w:r>
    </w:p>
    <w:p>
      <w:pPr>
        <w:pStyle w:val="283"/>
        <w:spacing w:line="440" w:lineRule="exact"/>
        <w:ind w:firstLine="424" w:firstLineChars="200"/>
        <w:rPr>
          <w:rFonts w:hAnsi="宋体" w:eastAsia="宋体" w:cs="方正仿宋_GBK"/>
          <w:color w:val="auto"/>
          <w:sz w:val="24"/>
          <w:szCs w:val="24"/>
          <w:highlight w:val="none"/>
        </w:rPr>
      </w:pPr>
      <w:r>
        <w:rPr>
          <w:rFonts w:hAnsi="宋体" w:eastAsia="宋体" w:cs="方正仿宋_GBK"/>
          <w:color w:val="auto"/>
          <w:sz w:val="24"/>
          <w:szCs w:val="24"/>
          <w:highlight w:val="none"/>
        </w:rPr>
        <w:t xml:space="preserve">3 </w:t>
      </w:r>
      <w:r>
        <w:rPr>
          <w:rFonts w:hint="eastAsia" w:hAnsi="宋体" w:eastAsia="宋体" w:cs="方正仿宋_GBK"/>
          <w:color w:val="auto"/>
          <w:sz w:val="24"/>
          <w:szCs w:val="24"/>
          <w:highlight w:val="none"/>
        </w:rPr>
        <w:t>、竣工档案编制费：按</w:t>
      </w:r>
      <w:r>
        <w:rPr>
          <w:rFonts w:hAnsi="宋体" w:eastAsia="宋体" w:cs="方正仿宋_GBK"/>
          <w:color w:val="auto"/>
          <w:sz w:val="24"/>
          <w:szCs w:val="24"/>
          <w:highlight w:val="none"/>
        </w:rPr>
        <w:t xml:space="preserve"> </w:t>
      </w:r>
      <w:r>
        <w:rPr>
          <w:rFonts w:hint="eastAsia" w:hAnsi="宋体" w:eastAsia="宋体" w:cs="方正仿宋_GBK"/>
          <w:color w:val="auto"/>
          <w:sz w:val="24"/>
          <w:szCs w:val="24"/>
          <w:highlight w:val="none"/>
        </w:rPr>
        <w:t>《重庆市建设工程费用定额》（</w:t>
      </w:r>
      <w:r>
        <w:rPr>
          <w:rFonts w:hAnsi="宋体" w:eastAsia="宋体" w:cs="方正仿宋_GBK"/>
          <w:color w:val="auto"/>
          <w:sz w:val="24"/>
          <w:szCs w:val="24"/>
          <w:highlight w:val="none"/>
        </w:rPr>
        <w:t>CQFYDE-2018</w:t>
      </w:r>
      <w:r>
        <w:rPr>
          <w:rFonts w:hint="eastAsia" w:hAnsi="宋体" w:eastAsia="宋体" w:cs="方正仿宋_GBK"/>
          <w:color w:val="auto"/>
          <w:sz w:val="24"/>
          <w:szCs w:val="24"/>
          <w:highlight w:val="none"/>
        </w:rPr>
        <w:t>）及相关规定执行。</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（十）根据渝建【</w:t>
      </w:r>
      <w:r>
        <w:rPr>
          <w:rFonts w:hAnsi="宋体" w:eastAsia="宋体" w:cs="方正仿宋_GBK"/>
          <w:color w:val="auto"/>
          <w:sz w:val="24"/>
          <w:szCs w:val="24"/>
          <w:highlight w:val="none"/>
        </w:rPr>
        <w:t>2015</w:t>
      </w:r>
      <w:r>
        <w:rPr>
          <w:rFonts w:hint="eastAsia" w:hAnsi="宋体" w:eastAsia="宋体" w:cs="方正仿宋_GBK"/>
          <w:color w:val="auto"/>
          <w:sz w:val="24"/>
          <w:szCs w:val="24"/>
          <w:highlight w:val="none"/>
        </w:rPr>
        <w:t>】</w:t>
      </w:r>
      <w:r>
        <w:rPr>
          <w:rFonts w:hAnsi="宋体" w:eastAsia="宋体" w:cs="方正仿宋_GBK"/>
          <w:color w:val="auto"/>
          <w:sz w:val="24"/>
          <w:szCs w:val="24"/>
          <w:highlight w:val="none"/>
        </w:rPr>
        <w:t>420</w:t>
      </w:r>
      <w:r>
        <w:rPr>
          <w:rFonts w:hint="eastAsia" w:hAnsi="宋体" w:eastAsia="宋体" w:cs="方正仿宋_GBK"/>
          <w:color w:val="auto"/>
          <w:sz w:val="24"/>
          <w:szCs w:val="24"/>
          <w:highlight w:val="none"/>
        </w:rPr>
        <w:t>号文件规定“从</w:t>
      </w:r>
      <w:r>
        <w:rPr>
          <w:rFonts w:hAnsi="宋体" w:eastAsia="宋体" w:cs="方正仿宋_GBK"/>
          <w:color w:val="auto"/>
          <w:sz w:val="24"/>
          <w:szCs w:val="24"/>
          <w:highlight w:val="none"/>
        </w:rPr>
        <w:t>2016</w:t>
      </w:r>
      <w:r>
        <w:rPr>
          <w:rFonts w:hint="eastAsia" w:hAnsi="宋体" w:eastAsia="宋体" w:cs="方正仿宋_GBK"/>
          <w:color w:val="auto"/>
          <w:sz w:val="24"/>
          <w:szCs w:val="24"/>
          <w:highlight w:val="none"/>
        </w:rPr>
        <w:t>年</w:t>
      </w:r>
      <w:r>
        <w:rPr>
          <w:rFonts w:hAnsi="宋体" w:eastAsia="宋体" w:cs="方正仿宋_GBK"/>
          <w:color w:val="auto"/>
          <w:sz w:val="24"/>
          <w:szCs w:val="24"/>
          <w:highlight w:val="none"/>
        </w:rPr>
        <w:t>1</w:t>
      </w:r>
      <w:r>
        <w:rPr>
          <w:rFonts w:hint="eastAsia" w:hAnsi="宋体" w:eastAsia="宋体" w:cs="方正仿宋_GBK"/>
          <w:color w:val="auto"/>
          <w:sz w:val="24"/>
          <w:szCs w:val="24"/>
          <w:highlight w:val="none"/>
        </w:rPr>
        <w:t>月</w:t>
      </w:r>
      <w:r>
        <w:rPr>
          <w:rFonts w:hAnsi="宋体" w:eastAsia="宋体" w:cs="方正仿宋_GBK"/>
          <w:color w:val="auto"/>
          <w:sz w:val="24"/>
          <w:szCs w:val="24"/>
          <w:highlight w:val="none"/>
        </w:rPr>
        <w:t>1</w:t>
      </w:r>
      <w:r>
        <w:rPr>
          <w:rFonts w:hint="eastAsia" w:hAnsi="宋体" w:eastAsia="宋体" w:cs="方正仿宋_GBK"/>
          <w:color w:val="auto"/>
          <w:sz w:val="24"/>
          <w:szCs w:val="24"/>
          <w:highlight w:val="none"/>
        </w:rPr>
        <w:t>日起，我市新开工的房屋建筑工程和市政基础设施工程的质量检测业务应由工程项目建设单位委托，委托单位不是建设单位的质量检测报告不得作为竣工验收资料”，本次招标工程投标报价中不再计取检验试验费用。</w:t>
      </w:r>
    </w:p>
    <w:p>
      <w:pPr>
        <w:pStyle w:val="283"/>
        <w:spacing w:line="440" w:lineRule="exact"/>
        <w:ind w:firstLine="318" w:firstLineChars="15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（十一）本项目设有投标总报价最高限价：￥</w:t>
      </w:r>
      <w:r>
        <w:rPr>
          <w:rFonts w:hint="eastAsia" w:hAnsi="宋体" w:eastAsia="宋体" w:cs="方正仿宋_GBK"/>
          <w:color w:val="auto"/>
          <w:sz w:val="24"/>
          <w:szCs w:val="24"/>
          <w:highlight w:val="none"/>
          <w:lang w:val="en-US" w:eastAsia="zh-CN"/>
        </w:rPr>
        <w:t>3545017.01</w:t>
      </w:r>
      <w:r>
        <w:rPr>
          <w:rFonts w:hint="eastAsia" w:hAnsi="宋体" w:eastAsia="宋体" w:cs="方正仿宋_GBK"/>
          <w:color w:val="auto"/>
          <w:sz w:val="24"/>
          <w:szCs w:val="24"/>
          <w:highlight w:val="none"/>
        </w:rPr>
        <w:t>元，其中安全文明施工费暂定金额￥</w:t>
      </w:r>
      <w:r>
        <w:rPr>
          <w:rFonts w:hint="eastAsia" w:hAnsi="宋体" w:eastAsia="宋体" w:cs="方正仿宋_GBK"/>
          <w:color w:val="auto"/>
          <w:sz w:val="24"/>
          <w:szCs w:val="24"/>
          <w:highlight w:val="none"/>
          <w:lang w:val="en-US" w:eastAsia="zh-CN"/>
        </w:rPr>
        <w:t>114235.39</w:t>
      </w:r>
      <w:r>
        <w:rPr>
          <w:rFonts w:hint="eastAsia" w:hAnsi="宋体" w:eastAsia="宋体" w:cs="方正仿宋_GBK"/>
          <w:color w:val="auto"/>
          <w:sz w:val="24"/>
          <w:szCs w:val="24"/>
          <w:highlight w:val="none"/>
        </w:rPr>
        <w:t>元，</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的投标总报价不得超过投标总报价最高限价，否则由磋商小组成员作废标处理。安全文明施工费必须按照采购人给出的暂定金额填报，否则由磋商小组成员作废标处理。</w:t>
      </w:r>
    </w:p>
    <w:p>
      <w:pPr>
        <w:pStyle w:val="283"/>
        <w:spacing w:line="440" w:lineRule="exact"/>
        <w:ind w:firstLine="424" w:firstLineChars="200"/>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本工程将设置全部工程量清单综合单价最高限价，全部清单综合单价最高限价详见附件，</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的每项清单综合单价报价不得超过相对应的每项清单综合单价最高限价，否则作废标处理。</w:t>
      </w:r>
    </w:p>
    <w:p>
      <w:pPr>
        <w:pStyle w:val="283"/>
        <w:spacing w:line="440" w:lineRule="exact"/>
        <w:ind w:firstLine="424" w:firstLineChars="200"/>
        <w:rPr>
          <w:rFonts w:hint="eastAsia" w:hAnsi="宋体" w:eastAsia="宋体" w:cs="方正仿宋_GBK"/>
          <w:color w:val="auto"/>
          <w:sz w:val="24"/>
          <w:szCs w:val="24"/>
          <w:highlight w:val="none"/>
          <w:lang w:eastAsia="zh-CN"/>
        </w:rPr>
      </w:pP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承诺满足以下内容：</w:t>
      </w:r>
      <w:r>
        <w:rPr>
          <w:rFonts w:hint="eastAsia" w:hAnsi="宋体" w:eastAsia="宋体" w:cs="方正仿宋_GBK"/>
          <w:color w:val="auto"/>
          <w:sz w:val="24"/>
          <w:szCs w:val="24"/>
          <w:highlight w:val="none"/>
          <w:lang w:eastAsia="zh-CN"/>
        </w:rPr>
        <w:t>（提供承诺函）</w:t>
      </w:r>
    </w:p>
    <w:p>
      <w:pPr>
        <w:pStyle w:val="283"/>
        <w:spacing w:line="440" w:lineRule="exact"/>
        <w:ind w:firstLine="424" w:firstLineChars="200"/>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1.符合“工程量清单”给出的范围及数量。</w:t>
      </w:r>
    </w:p>
    <w:p>
      <w:pPr>
        <w:pStyle w:val="283"/>
        <w:spacing w:line="440" w:lineRule="exact"/>
        <w:ind w:firstLine="424" w:firstLineChars="200"/>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2.</w:t>
      </w:r>
      <w:r>
        <w:rPr>
          <w:rFonts w:hint="eastAsia" w:hAnsi="宋体" w:eastAsia="宋体" w:cs="方正仿宋_GBK"/>
          <w:color w:val="auto"/>
          <w:sz w:val="24"/>
          <w:szCs w:val="24"/>
          <w:highlight w:val="none"/>
          <w:lang w:eastAsia="zh-CN"/>
        </w:rPr>
        <w:t>磋商</w:t>
      </w:r>
      <w:r>
        <w:rPr>
          <w:rFonts w:hint="eastAsia" w:hAnsi="宋体" w:eastAsia="宋体" w:cs="方正仿宋_GBK"/>
          <w:color w:val="auto"/>
          <w:sz w:val="24"/>
          <w:szCs w:val="24"/>
          <w:highlight w:val="none"/>
        </w:rPr>
        <w:t>文件中规定工程量清单不允许修改的内容不得修改。</w:t>
      </w:r>
    </w:p>
    <w:p>
      <w:pPr>
        <w:pStyle w:val="283"/>
        <w:spacing w:line="440" w:lineRule="exact"/>
        <w:ind w:firstLine="424" w:firstLineChars="200"/>
        <w:rPr>
          <w:rFonts w:hint="default" w:hAnsi="宋体" w:eastAsia="宋体" w:cs="方正仿宋_GBK"/>
          <w:color w:val="auto"/>
          <w:sz w:val="24"/>
          <w:szCs w:val="24"/>
          <w:highlight w:val="none"/>
          <w:lang w:val="en-US" w:eastAsia="zh-CN"/>
        </w:rPr>
      </w:pPr>
      <w:r>
        <w:rPr>
          <w:rFonts w:hint="eastAsia" w:hAnsi="宋体" w:eastAsia="宋体" w:cs="方正仿宋_GBK"/>
          <w:color w:val="auto"/>
          <w:sz w:val="24"/>
          <w:szCs w:val="24"/>
          <w:highlight w:val="none"/>
        </w:rPr>
        <w:t>3.每项工程量清单综合单价报价不得高于对应工程量清单综合单价最高限价。</w:t>
      </w:r>
    </w:p>
    <w:p>
      <w:pPr>
        <w:pStyle w:val="283"/>
        <w:spacing w:line="440" w:lineRule="exact"/>
        <w:ind w:firstLine="424" w:firstLineChars="200"/>
        <w:rPr>
          <w:rFonts w:hAnsi="宋体" w:eastAsia="宋体" w:cs="方正仿宋_GBK"/>
          <w:color w:val="auto"/>
          <w:sz w:val="24"/>
          <w:szCs w:val="24"/>
          <w:highlight w:val="none"/>
        </w:rPr>
      </w:pPr>
      <w:r>
        <w:rPr>
          <w:rFonts w:hint="eastAsia" w:hAnsi="宋体" w:eastAsia="宋体" w:cs="方正仿宋_GBK"/>
          <w:color w:val="auto"/>
          <w:sz w:val="24"/>
          <w:szCs w:val="24"/>
          <w:highlight w:val="none"/>
        </w:rPr>
        <w:t>（十二）工程变更引起价格调整的，变更部分的计价、结算需要考虑成交价（第二次报价）与第一次报价的浮动比例。</w:t>
      </w:r>
    </w:p>
    <w:p>
      <w:pPr>
        <w:pStyle w:val="5"/>
        <w:spacing w:before="0" w:after="0" w:line="440" w:lineRule="exact"/>
        <w:rPr>
          <w:rFonts w:ascii="宋体" w:hAnsi="宋体" w:cs="方正仿宋_GBK"/>
          <w:bCs/>
          <w:color w:val="auto"/>
          <w:sz w:val="28"/>
          <w:szCs w:val="28"/>
          <w:highlight w:val="none"/>
        </w:rPr>
      </w:pPr>
      <w:bookmarkStart w:id="42" w:name="_Toc791"/>
      <w:r>
        <w:rPr>
          <w:rFonts w:hint="eastAsia" w:ascii="宋体" w:hAnsi="宋体" w:cs="方正仿宋_GBK"/>
          <w:bCs/>
          <w:color w:val="auto"/>
          <w:sz w:val="28"/>
          <w:szCs w:val="28"/>
          <w:highlight w:val="none"/>
        </w:rPr>
        <w:t>三、结算原则</w:t>
      </w:r>
      <w:bookmarkEnd w:id="42"/>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结算总价=分部分项工程量清单结算价+工程变更或增减部分结算+措施费+安全文明施工费+规费+税金+合同约定其它费用，最终竣工结算以市体育局委托的第三方审计机构审定的结果为准。</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1.分部分项工程量清单结算价</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分部分项工程量清单综合单价（结算单价）的确定：在申请人首次响应文件中的各分项单价的基础上，按照第一次总报价与第二次总报价（即最后报价）的差额比例同比例下浮作为结算单价。</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分部分项工程量清单结算价=</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分部分项工程量清单中子项综合单价×子项工程量</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1.1子项工程量：按《房屋建筑与装饰工程工程量计算规范》(GB50854-2013)约定的计量规则计算的实际完成且经验收合格的工程量。</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1.2子项综合单价以</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成交总价小于各工程量清单报价之和，则结算总价按成交总价与工程量清单报价之和相比的同比例进行下浮。如两种情形均存在，则先按成交总价与工程量清单报价之和相比的同比例下浮该子项总价，再用下浮后的合价报价除以相应子项工程量清单量所得的单价为相应子项的结算单价，即申请人报价中有误差或歧义的，均按有利于采购人的方式进行计算。</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1.3设计变更及调整工程变更项目价款的结算：设计变更、施工变更或施工过程中出现新增项目、合同范围外的零星项目等均属工程变更。按采购人和</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共同认定的实际发生工程量据实结算。子项组价原则：</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1.3.1清单中有适用于设计变更及调整工程变更项目价款的，采用该工程量清单的单价；</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1.3.2清单中没有适用但有类似于变更工程项目的，在合理范围内参照类似工程量清单的单价；</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1.3.3清单中没有适用也没有类似于变更工程项目的，组价按《建设工程工程量清单计价规范》（GB50500-2013）、《重庆市建设工程工程量清单计价规则》（CQJJGZ-2013）、《房屋建筑与装饰工程量计算规范》（GB50854-2013）、《通用安装工程工程量计算规范》（GB50856-2013）、《市政工程工程量计算规范》（GB50857-2013）、《园林绿化工程工程量计算规范》（GB50858-2013）、《重庆市建设工程量计算规则》（CQJLGZ-2013）、《重庆市房屋建筑与装饰工程计价定额》（CQJZZSDE-2018）、《重庆市市政工程计价定额》（CQSZDE-2018）、《重庆市园林绿化工程计价定额》（CQYLLHDE-2018）、《重庆市绿色建筑工程计价定额》（CQLSJZDE-2018）、《重庆市仿古建筑工程计价定额》（CQFGDE-2018）、《重庆市房屋修缮工程计价定额》（CQXSDE-2018）、《重庆市构筑物工程计价定额》（CQGZWDE-2018）、《重庆市通用安装工程计价定额》（CQAZDE-2018）、《重庆市建设工程费用定额》（CQFYDE-2018）、《重庆市建设工程施工机械台班定额》（CQJXDE-2018）、《重庆市建设工程仪器仪表台班定额》（CQYQYBDE-2018）、《重庆市建设工程混凝土及砂浆配合比表》（CQPHBB-2018）以及相关配套文件的规定重新组价并按第二次总报价（即最后报价）与最高限价的差额同比例下浮，并经采购人、监理人审核后作为结算综合单价，其中：人工工日单价、材料价格按投标截止日前最新《重庆工程造价信息》中的信息价执行，造价信息中没有的材料价格由采购人、监理人</w:t>
      </w:r>
      <w:r>
        <w:rPr>
          <w:rFonts w:hint="eastAsia" w:hAnsi="宋体" w:eastAsia="宋体" w:cs="方正仿宋_GBK"/>
          <w:color w:val="auto"/>
          <w:sz w:val="24"/>
          <w:szCs w:val="24"/>
          <w:highlight w:val="none"/>
          <w:lang w:eastAsia="zh-CN"/>
        </w:rPr>
        <w:t>、跟审单位</w:t>
      </w:r>
      <w:r>
        <w:rPr>
          <w:rFonts w:hint="eastAsia" w:hAnsi="宋体" w:eastAsia="宋体" w:cs="方正仿宋_GBK"/>
          <w:color w:val="auto"/>
          <w:sz w:val="24"/>
          <w:szCs w:val="24"/>
          <w:highlight w:val="none"/>
        </w:rPr>
        <w:t>核质核价（核质核价材料价格不下浮）</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2.措施项目费</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2.1施工组织措施项目费</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2.1.1施工组织措施费：无论因设计变更或施工工艺变化等任何因素而引起实际措施费的变化，均按最后成交时施工组织措施项目费（除安全文明施工费外）的报价作为结算价包干使用。</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2.1.2安全文明施工费用：按渝建发〔2014〕25号文结合渝建〔2019〕143号文等相关配套规定标准进行结算。安全文明施工综合评定结果为不合格，则不计取。</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2.2施工技术措施项目费：</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技术措施清单中以项计列的项目，无论因设计变更或施工工艺变化等任何因素而引起实际措施费的变化，均按最后成交时施工技术措施项目费的报价作为结算价包干使用。技术措施清单中以项目编码、项目名称、项目特征、工程内容、工程量及计量单位列项的项目，按实计量结算。</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3、规费：按现行规定费率结算。</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4、税金：按投标费率结算，若成交人的投标报价中税金费率高于规定费率，则以规定费率结算。</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5、</w:t>
      </w:r>
      <w:r>
        <w:rPr>
          <w:rFonts w:hint="eastAsia" w:hAnsi="宋体" w:eastAsia="宋体" w:cs="方正仿宋_GBK"/>
          <w:color w:val="auto"/>
          <w:sz w:val="24"/>
          <w:szCs w:val="24"/>
          <w:highlight w:val="none"/>
          <w:lang w:eastAsia="zh-CN"/>
        </w:rPr>
        <w:t>投标人</w:t>
      </w:r>
      <w:r>
        <w:rPr>
          <w:rFonts w:hint="eastAsia" w:hAnsi="宋体" w:eastAsia="宋体" w:cs="方正仿宋_GBK"/>
          <w:color w:val="auto"/>
          <w:sz w:val="24"/>
          <w:szCs w:val="24"/>
          <w:highlight w:val="none"/>
        </w:rPr>
        <w:t>须如实申报工程结算，不得高估冒算。如工程结算由重庆市体育局委托的第三方审计机构进行审核，若审减率在5%（含）以内，审计机构收取的审核费由采购人承担，若审减率超过5%，则审计机构收取审减效益费全部由申请人承担。</w:t>
      </w:r>
    </w:p>
    <w:p>
      <w:pPr>
        <w:ind w:firstLine="428" w:firstLineChars="202"/>
        <w:rPr>
          <w:rFonts w:hint="eastAsia" w:hAnsi="宋体" w:eastAsia="宋体" w:cs="方正仿宋_GBK"/>
          <w:color w:val="auto"/>
          <w:sz w:val="24"/>
          <w:szCs w:val="24"/>
          <w:highlight w:val="none"/>
        </w:rPr>
      </w:pPr>
      <w:r>
        <w:rPr>
          <w:rFonts w:hint="eastAsia" w:hAnsi="宋体" w:eastAsia="宋体" w:cs="方正仿宋_GBK"/>
          <w:color w:val="auto"/>
          <w:sz w:val="24"/>
          <w:szCs w:val="24"/>
          <w:highlight w:val="none"/>
        </w:rPr>
        <w:t>6、申请人根据报价完成所有建设工作内容，包括完成招标范围内明示或暗示的工程项目的人工费、材料费、施工机具使用费、企业管理费、利润、风险费用、措施费、安全文明施工费、规费、税金、政策性文件规定的所有费用。申请人不得因低价成交等因素而要求增加工程内容、提高相关费用等事项。</w:t>
      </w:r>
    </w:p>
    <w:p>
      <w:pPr>
        <w:ind w:firstLine="428" w:firstLineChars="202"/>
        <w:rPr>
          <w:rFonts w:ascii="宋体" w:hAnsi="宋体" w:eastAsia="宋体" w:cs="方正仿宋_GBK"/>
          <w:color w:val="auto"/>
          <w:szCs w:val="28"/>
          <w:highlight w:val="none"/>
        </w:rPr>
      </w:pPr>
      <w:r>
        <w:rPr>
          <w:rFonts w:hint="eastAsia" w:hAnsi="宋体" w:eastAsia="宋体" w:cs="方正仿宋_GBK"/>
          <w:color w:val="auto"/>
          <w:sz w:val="24"/>
          <w:szCs w:val="24"/>
          <w:highlight w:val="none"/>
        </w:rPr>
        <w:t>7、本工程的最终结算总价以重庆市体育局委托的跟踪审计单位审定金额为准，作为双方结算依据。</w:t>
      </w:r>
      <w:r>
        <w:rPr>
          <w:rFonts w:ascii="宋体" w:hAnsi="宋体" w:eastAsia="宋体" w:cs="方正仿宋_GBK"/>
          <w:bCs/>
          <w:color w:val="auto"/>
          <w:sz w:val="36"/>
          <w:szCs w:val="30"/>
          <w:highlight w:val="none"/>
        </w:rPr>
        <w:br w:type="page"/>
      </w:r>
    </w:p>
    <w:p>
      <w:pPr>
        <w:pStyle w:val="4"/>
        <w:spacing w:before="0" w:after="0" w:line="440" w:lineRule="exact"/>
        <w:jc w:val="center"/>
        <w:rPr>
          <w:rFonts w:cs="方正仿宋_GBK"/>
          <w:bCs/>
          <w:color w:val="auto"/>
          <w:sz w:val="36"/>
          <w:szCs w:val="30"/>
          <w:highlight w:val="none"/>
        </w:rPr>
      </w:pPr>
      <w:bookmarkStart w:id="43" w:name="_Toc17689"/>
      <w:r>
        <w:rPr>
          <w:rFonts w:hint="eastAsia" w:cs="方正仿宋_GBK"/>
          <w:bCs/>
          <w:color w:val="auto"/>
          <w:sz w:val="36"/>
          <w:szCs w:val="30"/>
          <w:highlight w:val="none"/>
        </w:rPr>
        <w:t>第三篇</w:t>
      </w:r>
      <w:r>
        <w:rPr>
          <w:rFonts w:cs="方正仿宋_GBK"/>
          <w:bCs/>
          <w:color w:val="auto"/>
          <w:sz w:val="36"/>
          <w:szCs w:val="30"/>
          <w:highlight w:val="none"/>
        </w:rPr>
        <w:t xml:space="preserve"> </w:t>
      </w:r>
      <w:r>
        <w:rPr>
          <w:rFonts w:hint="eastAsia" w:cs="方正仿宋_GBK"/>
          <w:bCs/>
          <w:color w:val="auto"/>
          <w:sz w:val="36"/>
          <w:szCs w:val="30"/>
          <w:highlight w:val="none"/>
        </w:rPr>
        <w:t>采购商务需求</w:t>
      </w:r>
      <w:bookmarkEnd w:id="37"/>
      <w:bookmarkEnd w:id="38"/>
      <w:bookmarkEnd w:id="43"/>
    </w:p>
    <w:p>
      <w:pPr>
        <w:pStyle w:val="5"/>
        <w:spacing w:before="0" w:after="0" w:line="440" w:lineRule="exact"/>
        <w:rPr>
          <w:rFonts w:ascii="宋体" w:hAnsi="宋体" w:cs="方正仿宋_GBK"/>
          <w:color w:val="auto"/>
          <w:sz w:val="28"/>
          <w:szCs w:val="28"/>
          <w:highlight w:val="none"/>
        </w:rPr>
      </w:pPr>
      <w:bookmarkStart w:id="44" w:name="_Toc7421885"/>
      <w:bookmarkStart w:id="45" w:name="_Toc909"/>
      <w:bookmarkStart w:id="46" w:name="_Toc12337"/>
      <w:r>
        <w:rPr>
          <w:rFonts w:hint="eastAsia" w:ascii="宋体" w:hAnsi="宋体" w:cs="方正仿宋_GBK"/>
          <w:color w:val="auto"/>
          <w:sz w:val="28"/>
          <w:szCs w:val="28"/>
          <w:highlight w:val="none"/>
        </w:rPr>
        <w:t>一、工期和建设地点</w:t>
      </w:r>
      <w:bookmarkEnd w:id="44"/>
      <w:bookmarkEnd w:id="45"/>
      <w:bookmarkEnd w:id="46"/>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（一）工期</w:t>
      </w:r>
    </w:p>
    <w:p>
      <w:pPr>
        <w:snapToGrid w:val="0"/>
        <w:spacing w:line="360" w:lineRule="auto"/>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施工工期</w:t>
      </w:r>
      <w:r>
        <w:rPr>
          <w:rFonts w:hint="eastAsia" w:ascii="宋体" w:hAnsi="宋体" w:eastAsia="宋体" w:cs="方正仿宋_GBK"/>
          <w:color w:val="auto"/>
          <w:szCs w:val="28"/>
          <w:highlight w:val="none"/>
          <w:u w:val="single"/>
        </w:rPr>
        <w:t xml:space="preserve"> </w:t>
      </w:r>
      <w:r>
        <w:rPr>
          <w:rFonts w:hint="eastAsia" w:ascii="宋体" w:hAnsi="宋体" w:eastAsia="宋体" w:cs="方正仿宋_GBK"/>
          <w:color w:val="auto"/>
          <w:szCs w:val="28"/>
          <w:highlight w:val="none"/>
          <w:u w:val="single"/>
          <w:lang w:val="en-US" w:eastAsia="zh-CN"/>
        </w:rPr>
        <w:t>90</w:t>
      </w:r>
      <w:r>
        <w:rPr>
          <w:rFonts w:hint="eastAsia" w:ascii="宋体" w:hAnsi="宋体" w:eastAsia="宋体" w:cs="方正仿宋_GBK"/>
          <w:color w:val="auto"/>
          <w:szCs w:val="28"/>
          <w:highlight w:val="none"/>
          <w:u w:val="single"/>
        </w:rPr>
        <w:t xml:space="preserve"> </w:t>
      </w:r>
      <w:r>
        <w:rPr>
          <w:rFonts w:hint="eastAsia" w:ascii="宋体" w:hAnsi="宋体" w:eastAsia="宋体" w:cs="方正仿宋_GBK"/>
          <w:color w:val="auto"/>
          <w:szCs w:val="28"/>
          <w:highlight w:val="none"/>
        </w:rPr>
        <w:t>日历天，缺陷责任期</w:t>
      </w:r>
      <w:r>
        <w:rPr>
          <w:rFonts w:hint="eastAsia" w:ascii="宋体" w:hAnsi="宋体" w:eastAsia="宋体" w:cs="方正仿宋_GBK"/>
          <w:color w:val="auto"/>
          <w:szCs w:val="28"/>
          <w:highlight w:val="none"/>
          <w:u w:val="single"/>
          <w:lang w:val="en-US" w:eastAsia="zh-CN"/>
        </w:rPr>
        <w:t>24</w:t>
      </w:r>
      <w:r>
        <w:rPr>
          <w:rFonts w:hint="eastAsia" w:ascii="宋体" w:hAnsi="宋体" w:eastAsia="宋体" w:cs="方正仿宋_GBK"/>
          <w:color w:val="auto"/>
          <w:szCs w:val="28"/>
          <w:highlight w:val="none"/>
        </w:rPr>
        <w:t>个月。</w:t>
      </w:r>
    </w:p>
    <w:p>
      <w:pPr>
        <w:pStyle w:val="2"/>
        <w:spacing w:line="360" w:lineRule="auto"/>
        <w:rPr>
          <w:rFonts w:hint="eastAsia" w:ascii="宋体" w:hAnsi="宋体" w:eastAsia="宋体" w:cs="方正仿宋_GBK"/>
          <w:color w:val="auto"/>
          <w:kern w:val="2"/>
          <w:sz w:val="24"/>
          <w:szCs w:val="28"/>
          <w:highlight w:val="none"/>
          <w:lang w:val="en-US" w:eastAsia="zh-CN" w:bidi="ar-SA"/>
        </w:rPr>
      </w:pPr>
      <w:r>
        <w:rPr>
          <w:rFonts w:hint="eastAsia" w:ascii="宋体" w:hAnsi="宋体" w:eastAsia="宋体" w:cs="方正仿宋_GBK"/>
          <w:color w:val="auto"/>
          <w:kern w:val="2"/>
          <w:sz w:val="24"/>
          <w:szCs w:val="28"/>
          <w:highlight w:val="none"/>
          <w:lang w:val="en-US" w:eastAsia="zh-CN" w:bidi="ar-SA"/>
        </w:rPr>
        <w:t>注：</w:t>
      </w:r>
      <w:r>
        <w:rPr>
          <w:rFonts w:hint="eastAsia" w:ascii="宋体" w:hAnsi="宋体" w:cs="方正仿宋_GBK"/>
          <w:color w:val="auto"/>
          <w:kern w:val="2"/>
          <w:sz w:val="24"/>
          <w:szCs w:val="28"/>
          <w:highlight w:val="none"/>
          <w:lang w:val="en-US" w:eastAsia="zh-CN" w:bidi="ar-SA"/>
        </w:rPr>
        <w:t>因</w:t>
      </w:r>
      <w:r>
        <w:rPr>
          <w:rFonts w:hint="eastAsia" w:ascii="宋体" w:hAnsi="宋体" w:eastAsia="宋体" w:cs="方正仿宋_GBK"/>
          <w:color w:val="auto"/>
          <w:kern w:val="2"/>
          <w:sz w:val="24"/>
          <w:szCs w:val="28"/>
          <w:highlight w:val="none"/>
          <w:lang w:val="en-US" w:eastAsia="zh-CN" w:bidi="ar-SA"/>
        </w:rPr>
        <w:t>转训楼为运动员公寓，为兼顾运动员作息时间，施工期间有噪音施工需控制在9:00-12:00、15:00-18:00时段进行,请供应商合理安排施工作息时间。</w:t>
      </w:r>
    </w:p>
    <w:p>
      <w:pPr>
        <w:numPr>
          <w:ilvl w:val="0"/>
          <w:numId w:val="3"/>
        </w:numPr>
        <w:snapToGrid w:val="0"/>
        <w:spacing w:line="360" w:lineRule="auto"/>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建设地点</w:t>
      </w:r>
    </w:p>
    <w:p>
      <w:pPr>
        <w:snapToGrid w:val="0"/>
        <w:spacing w:line="360" w:lineRule="auto"/>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lang w:eastAsia="zh-CN"/>
        </w:rPr>
        <w:t>重庆市沙坪坝区大学城北一路36号，重庆市竞技体育训练中心内。</w:t>
      </w:r>
      <w:bookmarkStart w:id="47" w:name="_Toc2120"/>
      <w:bookmarkStart w:id="48" w:name="_Toc7421887"/>
    </w:p>
    <w:p>
      <w:pPr>
        <w:snapToGrid w:val="0"/>
        <w:spacing w:line="360" w:lineRule="auto"/>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（三）建设规模</w:t>
      </w:r>
    </w:p>
    <w:p>
      <w:pPr>
        <w:snapToGrid w:val="0"/>
        <w:spacing w:line="360" w:lineRule="auto"/>
        <w:ind w:firstLine="424" w:firstLineChars="200"/>
        <w:rPr>
          <w:color w:val="auto"/>
          <w:highlight w:val="none"/>
        </w:rPr>
      </w:pPr>
      <w:r>
        <w:rPr>
          <w:rFonts w:hint="eastAsia" w:ascii="宋体" w:hAnsi="宋体" w:eastAsia="宋体" w:cs="方正仿宋_GBK"/>
          <w:color w:val="auto"/>
          <w:szCs w:val="28"/>
          <w:highlight w:val="none"/>
        </w:rPr>
        <w:t>本次主要改造内容： 1、原转训楼二层套间、三至五层房间室内装修升级改造。此方案将原二、三、四层套间及五层新增 套间改造后定义为A类房间，三、四、五层其余房间改造后定义为B类房间，总计58间（A类房间4间，B 类房间54间）。 2、门厅、门头、室外台阶装修升级改造。 3、本次总改造面积约为2600㎡。</w:t>
      </w:r>
      <w:r>
        <w:rPr>
          <w:rFonts w:hint="eastAsia" w:ascii="宋体" w:hAnsi="宋体" w:eastAsia="宋体" w:cs="方正仿宋_GBK"/>
          <w:color w:val="auto"/>
          <w:kern w:val="2"/>
          <w:sz w:val="24"/>
          <w:szCs w:val="28"/>
          <w:highlight w:val="none"/>
          <w:lang w:val="en-US" w:eastAsia="zh-CN" w:bidi="ar-SA"/>
        </w:rPr>
        <w:t>（具体内容详见工程量清单和施工图及图说所示范围内的所有内容）。</w:t>
      </w:r>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（四）招标范围</w:t>
      </w:r>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施工图所示的全部工程内容，包括但不限于土建改造工程、装饰工程、室外环境工程、电气工程、给排水工程、弱电工程、空调工程、消防工程、应急照明工程等内容。具体详见施工图及工程量清单。</w:t>
      </w:r>
    </w:p>
    <w:p>
      <w:pPr>
        <w:pStyle w:val="5"/>
        <w:spacing w:before="0" w:after="0" w:line="440" w:lineRule="exact"/>
        <w:rPr>
          <w:rFonts w:ascii="宋体" w:hAnsi="宋体" w:cs="方正仿宋_GBK"/>
          <w:color w:val="auto"/>
          <w:sz w:val="28"/>
          <w:szCs w:val="28"/>
          <w:highlight w:val="none"/>
        </w:rPr>
      </w:pPr>
      <w:bookmarkStart w:id="49" w:name="_Toc26935"/>
      <w:r>
        <w:rPr>
          <w:rFonts w:hint="eastAsia" w:ascii="宋体" w:hAnsi="宋体" w:cs="方正仿宋_GBK"/>
          <w:color w:val="auto"/>
          <w:sz w:val="28"/>
          <w:szCs w:val="28"/>
          <w:highlight w:val="none"/>
        </w:rPr>
        <w:t>二、质量标准</w:t>
      </w:r>
      <w:bookmarkEnd w:id="49"/>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工程质量符合国家和重庆市现行有关施工质量验收规范和标准要求，并达到合格标准。</w:t>
      </w:r>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安全要求达到国家现行施工安全规范标准。</w:t>
      </w:r>
    </w:p>
    <w:p>
      <w:pPr>
        <w:pStyle w:val="5"/>
        <w:spacing w:before="0" w:after="0" w:line="440" w:lineRule="exact"/>
        <w:rPr>
          <w:rFonts w:ascii="宋体" w:hAnsi="宋体" w:cs="方正仿宋_GBK"/>
          <w:color w:val="auto"/>
          <w:sz w:val="28"/>
          <w:szCs w:val="28"/>
          <w:highlight w:val="none"/>
        </w:rPr>
      </w:pPr>
      <w:bookmarkStart w:id="50" w:name="_Toc2521"/>
      <w:r>
        <w:rPr>
          <w:rFonts w:hint="eastAsia" w:ascii="宋体" w:hAnsi="宋体" w:cs="方正仿宋_GBK"/>
          <w:color w:val="auto"/>
          <w:sz w:val="28"/>
          <w:szCs w:val="28"/>
          <w:highlight w:val="none"/>
        </w:rPr>
        <w:t>三、</w:t>
      </w:r>
      <w:bookmarkStart w:id="51" w:name="_Toc511812888"/>
      <w:r>
        <w:rPr>
          <w:rFonts w:hint="eastAsia" w:ascii="宋体" w:hAnsi="宋体" w:cs="方正仿宋_GBK"/>
          <w:color w:val="auto"/>
          <w:sz w:val="28"/>
          <w:szCs w:val="28"/>
          <w:highlight w:val="none"/>
        </w:rPr>
        <w:t>质量保障及售后服务</w:t>
      </w:r>
      <w:bookmarkEnd w:id="47"/>
      <w:bookmarkEnd w:id="48"/>
      <w:bookmarkEnd w:id="50"/>
    </w:p>
    <w:p>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一）设备和材料质量总体要求：所供相关设备和材料必须货真价实，符合环保节能要求，假冒伪劣产品不得参与政府采购；所供设备和材料的各项手续、文件必须真实完整有效；其他材料各项技术参数、质量指标必须符合国家技术质量监督机构及有关管理部门和行业的规定和标准，主要技术数据和性能要详细描述，满足磋商文件全部要求。</w:t>
      </w:r>
    </w:p>
    <w:p>
      <w:pPr>
        <w:snapToGrid w:val="0"/>
        <w:spacing w:line="440" w:lineRule="exact"/>
        <w:ind w:firstLine="424" w:firstLineChars="200"/>
        <w:jc w:val="center"/>
        <w:rPr>
          <w:rFonts w:ascii="宋体" w:hAnsi="宋体" w:eastAsia="宋体" w:cs="方正仿宋_GBK"/>
          <w:color w:val="auto"/>
          <w:szCs w:val="28"/>
          <w:highlight w:val="none"/>
        </w:rPr>
      </w:pPr>
      <w:r>
        <w:rPr>
          <w:rFonts w:hint="eastAsia" w:ascii="宋体" w:hAnsi="宋体" w:eastAsia="宋体" w:cs="方正仿宋_GBK"/>
          <w:color w:val="auto"/>
          <w:szCs w:val="28"/>
          <w:highlight w:val="none"/>
          <w:lang w:val="en-US" w:eastAsia="zh-CN"/>
        </w:rPr>
        <w:t>材料品牌推荐表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128"/>
        <w:gridCol w:w="6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color w:val="auto"/>
                <w:sz w:val="21"/>
                <w:szCs w:val="21"/>
                <w:vertAlign w:val="baseline"/>
                <w:lang w:val="en-US" w:eastAsia="zh-CN"/>
              </w:rPr>
            </w:pPr>
            <w:r>
              <w:rPr>
                <w:rFonts w:hint="eastAsia"/>
                <w:color w:val="auto"/>
                <w:sz w:val="21"/>
                <w:szCs w:val="21"/>
                <w:vertAlign w:val="baseline"/>
                <w:lang w:val="en-US" w:eastAsia="zh-CN"/>
              </w:rPr>
              <w:t>序号</w:t>
            </w:r>
          </w:p>
        </w:tc>
        <w:tc>
          <w:tcPr>
            <w:tcW w:w="2128"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材料</w:t>
            </w:r>
          </w:p>
        </w:tc>
        <w:tc>
          <w:tcPr>
            <w:tcW w:w="6285" w:type="dxa"/>
          </w:tcPr>
          <w:p>
            <w:pPr>
              <w:pStyle w:val="2"/>
              <w:jc w:val="center"/>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灯具</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佼佼者、雷士照明、三雄极光等同等档次品牌；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磁砖</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诺贝尔、马可波罗、</w:t>
            </w:r>
            <w:r>
              <w:rPr>
                <w:rFonts w:hint="eastAsia" w:ascii="宋体" w:hAnsi="宋体"/>
                <w:color w:val="auto"/>
                <w:sz w:val="21"/>
                <w:szCs w:val="21"/>
              </w:rPr>
              <w:t>蒙娜丽莎</w:t>
            </w:r>
            <w:r>
              <w:rPr>
                <w:rFonts w:hint="eastAsia" w:ascii="宋体" w:hAnsi="宋体"/>
                <w:color w:val="auto"/>
                <w:sz w:val="21"/>
                <w:szCs w:val="21"/>
                <w:lang w:eastAsia="zh-CN"/>
              </w:rPr>
              <w:t>等</w:t>
            </w:r>
            <w:r>
              <w:rPr>
                <w:rFonts w:hint="eastAsia" w:ascii="宋体" w:hAnsi="宋体"/>
                <w:color w:val="auto"/>
                <w:sz w:val="21"/>
                <w:szCs w:val="21"/>
                <w:lang w:val="en-US" w:eastAsia="zh-CN"/>
              </w:rPr>
              <w:t>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3</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木饰面</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千年舟、平安树、</w:t>
            </w:r>
            <w:r>
              <w:rPr>
                <w:rFonts w:hint="eastAsia" w:ascii="宋体" w:hAnsi="宋体"/>
                <w:color w:val="auto"/>
                <w:sz w:val="21"/>
                <w:szCs w:val="21"/>
              </w:rPr>
              <w:t>莫干山</w:t>
            </w:r>
            <w:r>
              <w:rPr>
                <w:rFonts w:hint="eastAsia" w:ascii="宋体" w:hAnsi="宋体"/>
                <w:color w:val="auto"/>
                <w:sz w:val="21"/>
                <w:szCs w:val="21"/>
                <w:lang w:val="en-US" w:eastAsia="zh-CN"/>
              </w:rPr>
              <w:t>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4</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石膏板</w:t>
            </w:r>
            <w:r>
              <w:rPr>
                <w:rFonts w:hint="eastAsia" w:ascii="宋体" w:hAnsi="宋体"/>
                <w:color w:val="auto"/>
                <w:sz w:val="21"/>
                <w:szCs w:val="21"/>
                <w:lang w:eastAsia="zh-CN"/>
              </w:rPr>
              <w:t>、</w:t>
            </w:r>
            <w:r>
              <w:rPr>
                <w:rFonts w:hint="eastAsia" w:ascii="宋体" w:hAnsi="宋体"/>
                <w:color w:val="auto"/>
                <w:sz w:val="21"/>
                <w:szCs w:val="21"/>
              </w:rPr>
              <w:t>轻钢龙骨</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泰山、</w:t>
            </w:r>
            <w:r>
              <w:rPr>
                <w:rFonts w:hint="eastAsia" w:ascii="宋体" w:hAnsi="宋体"/>
                <w:color w:val="auto"/>
                <w:sz w:val="21"/>
                <w:szCs w:val="21"/>
              </w:rPr>
              <w:t>龙牌、</w:t>
            </w:r>
            <w:r>
              <w:rPr>
                <w:rFonts w:hint="eastAsia" w:ascii="宋体" w:hAnsi="宋体"/>
                <w:color w:val="auto"/>
                <w:sz w:val="21"/>
                <w:szCs w:val="21"/>
                <w:lang w:eastAsia="zh-CN"/>
              </w:rPr>
              <w:t>施</w:t>
            </w:r>
            <w:r>
              <w:rPr>
                <w:rFonts w:hint="eastAsia" w:ascii="宋体" w:hAnsi="宋体"/>
                <w:color w:val="auto"/>
                <w:sz w:val="21"/>
                <w:szCs w:val="21"/>
              </w:rPr>
              <w:t>耐福</w:t>
            </w:r>
            <w:r>
              <w:rPr>
                <w:rFonts w:hint="eastAsia" w:ascii="宋体" w:hAnsi="宋体"/>
                <w:color w:val="auto"/>
                <w:sz w:val="21"/>
                <w:szCs w:val="21"/>
                <w:lang w:val="en-US" w:eastAsia="zh-CN"/>
              </w:rPr>
              <w:t>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5</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乳胶漆</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立邦、多乐士、</w:t>
            </w:r>
            <w:r>
              <w:rPr>
                <w:rFonts w:hint="eastAsia" w:ascii="宋体" w:hAnsi="宋体"/>
                <w:color w:val="auto"/>
                <w:sz w:val="21"/>
                <w:szCs w:val="21"/>
              </w:rPr>
              <w:t>三棵树</w:t>
            </w:r>
            <w:r>
              <w:rPr>
                <w:rFonts w:hint="eastAsia" w:ascii="宋体" w:hAnsi="宋体"/>
                <w:color w:val="auto"/>
                <w:sz w:val="21"/>
                <w:szCs w:val="21"/>
                <w:lang w:val="en-US" w:eastAsia="zh-CN"/>
              </w:rPr>
              <w:t>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6</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阻燃板</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rPr>
              <w:t>龙牌、泰山、</w:t>
            </w:r>
            <w:r>
              <w:rPr>
                <w:rFonts w:hint="eastAsia" w:ascii="宋体" w:hAnsi="宋体"/>
                <w:color w:val="auto"/>
                <w:sz w:val="21"/>
                <w:szCs w:val="21"/>
                <w:lang w:eastAsia="zh-CN"/>
              </w:rPr>
              <w:t>施</w:t>
            </w:r>
            <w:r>
              <w:rPr>
                <w:rFonts w:hint="eastAsia" w:ascii="宋体" w:hAnsi="宋体"/>
                <w:color w:val="auto"/>
                <w:sz w:val="21"/>
                <w:szCs w:val="21"/>
              </w:rPr>
              <w:t>耐福</w:t>
            </w:r>
            <w:r>
              <w:rPr>
                <w:rFonts w:hint="eastAsia" w:ascii="宋体" w:hAnsi="宋体"/>
                <w:color w:val="auto"/>
                <w:sz w:val="21"/>
                <w:szCs w:val="21"/>
                <w:lang w:val="en-US" w:eastAsia="zh-CN"/>
              </w:rPr>
              <w:t>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7</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内外墙</w:t>
            </w:r>
            <w:r>
              <w:rPr>
                <w:rFonts w:hint="eastAsia" w:ascii="宋体" w:hAnsi="宋体"/>
                <w:color w:val="auto"/>
                <w:sz w:val="21"/>
                <w:szCs w:val="21"/>
              </w:rPr>
              <w:t>涂料</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多乐士、嘉宝莉、</w:t>
            </w:r>
            <w:r>
              <w:rPr>
                <w:rFonts w:hint="eastAsia" w:ascii="宋体" w:hAnsi="宋体"/>
                <w:color w:val="auto"/>
                <w:sz w:val="21"/>
                <w:szCs w:val="21"/>
              </w:rPr>
              <w:t>立邦</w:t>
            </w:r>
            <w:r>
              <w:rPr>
                <w:rFonts w:hint="eastAsia" w:ascii="宋体" w:hAnsi="宋体"/>
                <w:color w:val="auto"/>
                <w:sz w:val="21"/>
                <w:szCs w:val="21"/>
                <w:lang w:val="en-US" w:eastAsia="zh-CN"/>
              </w:rPr>
              <w:t>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8</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腻子</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eastAsia="zh-CN"/>
              </w:rPr>
              <w:t>德高、</w:t>
            </w:r>
            <w:r>
              <w:rPr>
                <w:rFonts w:hint="eastAsia" w:ascii="宋体" w:hAnsi="宋体"/>
                <w:color w:val="auto"/>
                <w:sz w:val="21"/>
                <w:szCs w:val="21"/>
                <w:lang w:val="en-US" w:eastAsia="zh-CN"/>
              </w:rPr>
              <w:t>美巢、立邦等同等档次品牌；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9</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防水</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东方雨虹、万和、卓宝等同等档次品牌；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10</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套装门</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美心、TATA（门含五金、锁具）、</w:t>
            </w:r>
            <w:r>
              <w:rPr>
                <w:rFonts w:hint="eastAsia" w:ascii="宋体" w:hAnsi="宋体"/>
                <w:color w:val="auto"/>
                <w:sz w:val="21"/>
                <w:szCs w:val="21"/>
              </w:rPr>
              <w:t>青田</w:t>
            </w:r>
            <w:r>
              <w:rPr>
                <w:rFonts w:hint="eastAsia" w:ascii="宋体" w:hAnsi="宋体"/>
                <w:color w:val="auto"/>
                <w:sz w:val="21"/>
                <w:szCs w:val="21"/>
                <w:lang w:val="en-US" w:eastAsia="zh-CN"/>
              </w:rPr>
              <w:t>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11</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钢化玻璃地弹簧门</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美驰、皇派、荣高等同等档次品牌；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12</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铝合金窗</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美驰、皇派、飞宇等同等档次品牌；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13</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洁具</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科勒、TOTO、九牧等同等档次品牌；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14</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水五金</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科勒、TOTO、九牧等同等档次品牌；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15</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成品钢化玻璃、镜子</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台玻、南玻、</w:t>
            </w:r>
            <w:r>
              <w:rPr>
                <w:rFonts w:hint="eastAsia" w:ascii="宋体" w:hAnsi="宋体"/>
                <w:color w:val="auto"/>
                <w:sz w:val="21"/>
                <w:szCs w:val="21"/>
              </w:rPr>
              <w:t>信义</w:t>
            </w:r>
            <w:r>
              <w:rPr>
                <w:rFonts w:hint="eastAsia" w:ascii="宋体" w:hAnsi="宋体"/>
                <w:color w:val="auto"/>
                <w:sz w:val="21"/>
                <w:szCs w:val="21"/>
                <w:lang w:val="en-US" w:eastAsia="zh-CN"/>
              </w:rPr>
              <w:t>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16</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塑胶管道管件</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金牛、伟星、</w:t>
            </w:r>
            <w:r>
              <w:rPr>
                <w:rFonts w:hint="eastAsia" w:ascii="宋体" w:hAnsi="宋体"/>
                <w:color w:val="auto"/>
                <w:sz w:val="21"/>
                <w:szCs w:val="21"/>
              </w:rPr>
              <w:t>公元</w:t>
            </w:r>
            <w:r>
              <w:rPr>
                <w:rFonts w:hint="eastAsia" w:ascii="宋体" w:hAnsi="宋体"/>
                <w:color w:val="auto"/>
                <w:sz w:val="21"/>
                <w:szCs w:val="21"/>
                <w:lang w:val="en-US" w:eastAsia="zh-CN"/>
              </w:rPr>
              <w:t>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17</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型钢</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重钢、安钢、鞍钢等同等档次品牌；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18</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铝型材</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阳光、三星、</w:t>
            </w:r>
            <w:r>
              <w:rPr>
                <w:rFonts w:hint="eastAsia" w:ascii="宋体" w:hAnsi="宋体"/>
                <w:color w:val="auto"/>
                <w:sz w:val="21"/>
                <w:szCs w:val="21"/>
              </w:rPr>
              <w:t>美鱼</w:t>
            </w:r>
            <w:r>
              <w:rPr>
                <w:rFonts w:hint="eastAsia" w:ascii="宋体" w:hAnsi="宋体"/>
                <w:color w:val="auto"/>
                <w:sz w:val="21"/>
                <w:szCs w:val="21"/>
                <w:lang w:val="en-US" w:eastAsia="zh-CN"/>
              </w:rPr>
              <w:t>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19</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配电箱</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rPr>
              <w:t>正泰、德力西、施耐德</w:t>
            </w:r>
            <w:r>
              <w:rPr>
                <w:rFonts w:hint="eastAsia" w:ascii="宋体" w:hAnsi="宋体"/>
                <w:color w:val="auto"/>
                <w:sz w:val="21"/>
                <w:szCs w:val="21"/>
                <w:lang w:val="en-US" w:eastAsia="zh-CN"/>
              </w:rPr>
              <w:t>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20</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电线电缆</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eastAsia="zh-CN"/>
              </w:rPr>
              <w:t>正泰、德力西</w:t>
            </w:r>
            <w:r>
              <w:rPr>
                <w:rFonts w:hint="eastAsia" w:ascii="宋体" w:hAnsi="宋体"/>
                <w:color w:val="auto"/>
                <w:sz w:val="21"/>
                <w:szCs w:val="21"/>
              </w:rPr>
              <w:t>、鸽牌</w:t>
            </w:r>
            <w:r>
              <w:rPr>
                <w:rFonts w:hint="eastAsia" w:ascii="宋体" w:hAnsi="宋体"/>
                <w:color w:val="auto"/>
                <w:sz w:val="21"/>
                <w:szCs w:val="21"/>
                <w:lang w:val="en-US" w:eastAsia="zh-CN"/>
              </w:rPr>
              <w:t>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21</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开关面板、插座</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TCL、西蒙、施耐德等同等档次品牌；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22</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rPr>
              <w:t>弱电铺设</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清华同方、秋叶原、爱谱华顿网线等同等档次品牌；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23</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空调</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格力、美的、海尔等同等档次品牌；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24</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集成板</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声博士、塞拉维、鼎美等同等档次品牌；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25</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木纹栅格</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心相惜、塞拉维、威利斯等同等档次品牌；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26</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窗帘</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阿黎、诺罗、摩力克等同等档次品牌；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tcPr>
          <w:p>
            <w:pPr>
              <w:pStyle w:val="2"/>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27</w:t>
            </w:r>
          </w:p>
        </w:tc>
        <w:tc>
          <w:tcPr>
            <w:tcW w:w="2128" w:type="dxa"/>
          </w:tcPr>
          <w:p>
            <w:pPr>
              <w:pStyle w:val="2"/>
              <w:jc w:val="center"/>
              <w:rPr>
                <w:rFonts w:hint="eastAsia" w:eastAsia="宋体"/>
                <w:color w:val="auto"/>
                <w:sz w:val="21"/>
                <w:szCs w:val="21"/>
                <w:vertAlign w:val="baseline"/>
                <w:lang w:val="en-US" w:eastAsia="zh-CN"/>
              </w:rPr>
            </w:pPr>
            <w:r>
              <w:rPr>
                <w:rFonts w:hint="eastAsia" w:ascii="宋体" w:hAnsi="宋体"/>
                <w:color w:val="auto"/>
                <w:sz w:val="21"/>
                <w:szCs w:val="21"/>
                <w:lang w:val="en-US" w:eastAsia="zh-CN"/>
              </w:rPr>
              <w:t>电子门锁</w:t>
            </w:r>
          </w:p>
        </w:tc>
        <w:tc>
          <w:tcPr>
            <w:tcW w:w="6285" w:type="dxa"/>
          </w:tcPr>
          <w:p>
            <w:pPr>
              <w:pStyle w:val="2"/>
              <w:jc w:val="center"/>
              <w:rPr>
                <w:rFonts w:hint="eastAsia" w:ascii="宋体" w:hAnsi="宋体"/>
                <w:color w:val="auto"/>
                <w:sz w:val="21"/>
                <w:szCs w:val="21"/>
                <w:lang w:val="en-US" w:eastAsia="zh-CN"/>
              </w:rPr>
            </w:pPr>
            <w:r>
              <w:rPr>
                <w:rFonts w:hint="eastAsia" w:ascii="宋体" w:hAnsi="宋体"/>
                <w:color w:val="auto"/>
                <w:sz w:val="21"/>
                <w:szCs w:val="21"/>
                <w:lang w:val="en-US" w:eastAsia="zh-CN"/>
              </w:rPr>
              <w:t>必达，科裕、顶固等同等档次品牌。</w:t>
            </w:r>
          </w:p>
        </w:tc>
      </w:tr>
    </w:tbl>
    <w:p>
      <w:pPr>
        <w:pStyle w:val="2"/>
        <w:rPr>
          <w:rFonts w:hint="default" w:eastAsia="宋体"/>
          <w:color w:val="auto"/>
          <w:lang w:val="en-US" w:eastAsia="zh-CN"/>
        </w:rPr>
      </w:pPr>
      <w:r>
        <w:rPr>
          <w:rFonts w:hint="eastAsia"/>
          <w:color w:val="auto"/>
          <w:lang w:val="en-US" w:eastAsia="zh-CN"/>
        </w:rPr>
        <w:t>注：投标人应自行承诺提供的材料档次不得低于本表中的相应内容。</w:t>
      </w:r>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（二）质保期：</w:t>
      </w:r>
    </w:p>
    <w:p>
      <w:pPr>
        <w:snapToGrid w:val="0"/>
        <w:spacing w:line="440" w:lineRule="exact"/>
        <w:ind w:firstLine="424" w:firstLineChars="200"/>
        <w:rPr>
          <w:rFonts w:ascii="宋体" w:hAnsi="宋体" w:eastAsia="宋体" w:cs="方正仿宋_GBK"/>
          <w:color w:val="auto"/>
          <w:szCs w:val="28"/>
          <w:highlight w:val="none"/>
        </w:rPr>
      </w:pPr>
      <w:r>
        <w:rPr>
          <w:rFonts w:ascii="宋体" w:hAnsi="宋体" w:eastAsia="宋体" w:cs="方正仿宋_GBK"/>
          <w:color w:val="auto"/>
          <w:szCs w:val="28"/>
          <w:highlight w:val="none"/>
        </w:rPr>
        <w:t>1</w:t>
      </w:r>
      <w:r>
        <w:rPr>
          <w:rFonts w:hint="eastAsia" w:ascii="宋体" w:hAnsi="宋体" w:eastAsia="宋体" w:cs="方正仿宋_GBK"/>
          <w:color w:val="auto"/>
          <w:szCs w:val="28"/>
          <w:highlight w:val="none"/>
        </w:rPr>
        <w:t>、工程质量保修期限：竣工验收合格之日质保期为</w:t>
      </w:r>
      <w:r>
        <w:rPr>
          <w:rFonts w:hint="eastAsia" w:ascii="宋体" w:hAnsi="宋体" w:eastAsia="宋体" w:cs="方正仿宋_GBK"/>
          <w:color w:val="auto"/>
          <w:szCs w:val="28"/>
          <w:highlight w:val="none"/>
          <w:lang w:val="en-US" w:eastAsia="zh-CN"/>
        </w:rPr>
        <w:t>2</w:t>
      </w:r>
      <w:r>
        <w:rPr>
          <w:rFonts w:hint="eastAsia" w:ascii="宋体" w:hAnsi="宋体" w:eastAsia="宋体" w:cs="方正仿宋_GBK"/>
          <w:color w:val="auto"/>
          <w:szCs w:val="28"/>
          <w:highlight w:val="none"/>
        </w:rPr>
        <w:t>年。</w:t>
      </w:r>
    </w:p>
    <w:p>
      <w:pPr>
        <w:snapToGrid w:val="0"/>
        <w:spacing w:line="440" w:lineRule="exact"/>
        <w:ind w:firstLine="424" w:firstLineChars="200"/>
        <w:rPr>
          <w:rFonts w:ascii="宋体" w:hAnsi="宋体" w:eastAsia="宋体" w:cs="方正仿宋_GBK"/>
          <w:color w:val="auto"/>
          <w:szCs w:val="28"/>
          <w:highlight w:val="none"/>
        </w:rPr>
      </w:pPr>
      <w:r>
        <w:rPr>
          <w:rFonts w:ascii="宋体" w:hAnsi="宋体" w:eastAsia="宋体" w:cs="方正仿宋_GBK"/>
          <w:color w:val="auto"/>
          <w:szCs w:val="28"/>
          <w:highlight w:val="none"/>
        </w:rPr>
        <w:t>2</w:t>
      </w:r>
      <w:r>
        <w:rPr>
          <w:rFonts w:hint="eastAsia" w:ascii="宋体" w:hAnsi="宋体" w:eastAsia="宋体" w:cs="方正仿宋_GBK"/>
          <w:color w:val="auto"/>
          <w:szCs w:val="28"/>
          <w:highlight w:val="none"/>
        </w:rPr>
        <w:t>、保修期内，所有</w:t>
      </w:r>
      <w:r>
        <w:rPr>
          <w:rFonts w:hint="eastAsia" w:ascii="宋体" w:hAnsi="宋体" w:eastAsia="宋体" w:cs="方正仿宋_GBK"/>
          <w:color w:val="auto"/>
          <w:szCs w:val="28"/>
          <w:highlight w:val="none"/>
          <w:lang w:eastAsia="zh-CN"/>
        </w:rPr>
        <w:t>施工范围内的</w:t>
      </w:r>
      <w:r>
        <w:rPr>
          <w:rFonts w:hint="eastAsia" w:ascii="宋体" w:hAnsi="宋体" w:eastAsia="宋体" w:cs="方正仿宋_GBK"/>
          <w:color w:val="auto"/>
          <w:szCs w:val="28"/>
          <w:highlight w:val="none"/>
        </w:rPr>
        <w:t>维护及维修（非人为损坏）均为免费。</w:t>
      </w:r>
    </w:p>
    <w:p>
      <w:pPr>
        <w:snapToGrid w:val="0"/>
        <w:spacing w:line="440" w:lineRule="exact"/>
        <w:ind w:firstLine="424" w:firstLineChars="200"/>
        <w:rPr>
          <w:rFonts w:hint="eastAsia" w:ascii="宋体" w:hAnsi="宋体" w:eastAsia="宋体" w:cs="方正仿宋_GBK"/>
          <w:color w:val="auto"/>
          <w:szCs w:val="28"/>
          <w:highlight w:val="none"/>
        </w:rPr>
      </w:pPr>
      <w:r>
        <w:rPr>
          <w:rFonts w:ascii="宋体" w:hAnsi="宋体" w:eastAsia="宋体" w:cs="方正仿宋_GBK"/>
          <w:color w:val="auto"/>
          <w:szCs w:val="28"/>
          <w:highlight w:val="none"/>
        </w:rPr>
        <w:t>3</w:t>
      </w:r>
      <w:r>
        <w:rPr>
          <w:rFonts w:hint="eastAsia" w:ascii="宋体" w:hAnsi="宋体" w:eastAsia="宋体" w:cs="方正仿宋_GBK"/>
          <w:color w:val="auto"/>
          <w:szCs w:val="28"/>
          <w:highlight w:val="none"/>
        </w:rPr>
        <w:t>、保修期内，所有</w:t>
      </w:r>
      <w:r>
        <w:rPr>
          <w:rFonts w:hint="eastAsia" w:ascii="宋体" w:hAnsi="宋体" w:eastAsia="宋体" w:cs="方正仿宋_GBK"/>
          <w:color w:val="auto"/>
          <w:szCs w:val="28"/>
          <w:highlight w:val="none"/>
          <w:lang w:eastAsia="zh-CN"/>
        </w:rPr>
        <w:t>施工范围内的</w:t>
      </w:r>
      <w:r>
        <w:rPr>
          <w:rFonts w:hint="eastAsia" w:ascii="宋体" w:hAnsi="宋体" w:eastAsia="宋体" w:cs="方正仿宋_GBK"/>
          <w:color w:val="auto"/>
          <w:szCs w:val="28"/>
          <w:highlight w:val="none"/>
        </w:rPr>
        <w:t>维护</w:t>
      </w:r>
      <w:r>
        <w:rPr>
          <w:rFonts w:hint="eastAsia" w:ascii="宋体" w:hAnsi="宋体" w:eastAsia="宋体" w:cs="方正仿宋_GBK"/>
          <w:color w:val="auto"/>
          <w:szCs w:val="28"/>
          <w:highlight w:val="none"/>
          <w:lang w:eastAsia="zh-CN"/>
        </w:rPr>
        <w:t>及</w:t>
      </w:r>
      <w:r>
        <w:rPr>
          <w:rFonts w:hint="eastAsia" w:ascii="宋体" w:hAnsi="宋体" w:eastAsia="宋体" w:cs="方正仿宋_GBK"/>
          <w:color w:val="auto"/>
          <w:szCs w:val="28"/>
          <w:highlight w:val="none"/>
        </w:rPr>
        <w:t>维修均为现场服务，由此产生的费用均不再收取。</w:t>
      </w:r>
    </w:p>
    <w:p>
      <w:pPr>
        <w:pStyle w:val="2"/>
        <w:ind w:firstLine="424" w:firstLineChars="200"/>
        <w:rPr>
          <w:rFonts w:hint="eastAsia" w:ascii="宋体" w:hAnsi="宋体" w:cs="方正仿宋_GBK"/>
          <w:color w:val="auto"/>
          <w:szCs w:val="28"/>
          <w:highlight w:val="none"/>
          <w:lang w:eastAsia="zh-CN"/>
        </w:rPr>
      </w:pPr>
      <w:r>
        <w:rPr>
          <w:rFonts w:hint="eastAsia" w:ascii="宋体" w:hAnsi="宋体" w:cs="方正仿宋_GBK"/>
          <w:color w:val="auto"/>
          <w:szCs w:val="28"/>
          <w:highlight w:val="none"/>
          <w:lang w:eastAsia="zh-CN"/>
        </w:rPr>
        <w:t>（三）质保期间的响应</w:t>
      </w:r>
    </w:p>
    <w:p>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lang w:eastAsia="zh-CN"/>
        </w:rPr>
        <w:t>在保修期内，</w:t>
      </w:r>
      <w:r>
        <w:rPr>
          <w:rFonts w:hint="eastAsia" w:ascii="宋体" w:hAnsi="宋体" w:eastAsia="宋体" w:cs="方正仿宋_GBK"/>
          <w:color w:val="auto"/>
          <w:szCs w:val="28"/>
          <w:highlight w:val="none"/>
        </w:rPr>
        <w:t>所有</w:t>
      </w:r>
      <w:r>
        <w:rPr>
          <w:rFonts w:hint="eastAsia" w:ascii="宋体" w:hAnsi="宋体" w:eastAsia="宋体" w:cs="方正仿宋_GBK"/>
          <w:color w:val="auto"/>
          <w:szCs w:val="28"/>
          <w:highlight w:val="none"/>
          <w:lang w:eastAsia="zh-CN"/>
        </w:rPr>
        <w:t>施工范围内的</w:t>
      </w:r>
      <w:r>
        <w:rPr>
          <w:rFonts w:hint="eastAsia" w:ascii="宋体" w:hAnsi="宋体" w:eastAsia="宋体" w:cs="方正仿宋_GBK"/>
          <w:color w:val="auto"/>
          <w:szCs w:val="28"/>
          <w:highlight w:val="none"/>
        </w:rPr>
        <w:t>维护</w:t>
      </w:r>
      <w:r>
        <w:rPr>
          <w:rFonts w:hint="eastAsia" w:ascii="宋体" w:hAnsi="宋体" w:eastAsia="宋体" w:cs="方正仿宋_GBK"/>
          <w:color w:val="auto"/>
          <w:szCs w:val="28"/>
          <w:highlight w:val="none"/>
          <w:lang w:eastAsia="zh-CN"/>
        </w:rPr>
        <w:t>及</w:t>
      </w:r>
      <w:r>
        <w:rPr>
          <w:rFonts w:hint="eastAsia" w:ascii="宋体" w:hAnsi="宋体" w:eastAsia="宋体" w:cs="方正仿宋_GBK"/>
          <w:color w:val="auto"/>
          <w:szCs w:val="28"/>
          <w:highlight w:val="none"/>
        </w:rPr>
        <w:t>维修</w:t>
      </w:r>
      <w:r>
        <w:rPr>
          <w:rFonts w:hint="eastAsia" w:ascii="宋体" w:hAnsi="宋体" w:eastAsia="宋体" w:cs="方正仿宋_GBK"/>
          <w:color w:val="auto"/>
          <w:szCs w:val="28"/>
          <w:highlight w:val="none"/>
          <w:lang w:eastAsia="zh-CN"/>
        </w:rPr>
        <w:t>，</w:t>
      </w:r>
      <w:r>
        <w:rPr>
          <w:rFonts w:hint="eastAsia" w:ascii="宋体" w:hAnsi="宋体" w:eastAsia="宋体" w:cs="方正仿宋_GBK"/>
          <w:color w:val="auto"/>
          <w:szCs w:val="28"/>
          <w:highlight w:val="none"/>
        </w:rPr>
        <w:t>成交人</w:t>
      </w:r>
      <w:r>
        <w:rPr>
          <w:rFonts w:hint="eastAsia" w:ascii="宋体" w:hAnsi="宋体" w:eastAsia="宋体" w:cs="方正仿宋_GBK"/>
          <w:color w:val="auto"/>
          <w:szCs w:val="28"/>
          <w:highlight w:val="none"/>
          <w:lang w:eastAsia="zh-CN"/>
        </w:rPr>
        <w:t>应在</w:t>
      </w:r>
      <w:r>
        <w:rPr>
          <w:rFonts w:hint="eastAsia" w:ascii="宋体" w:hAnsi="宋体" w:eastAsia="宋体" w:cs="方正仿宋_GBK"/>
          <w:color w:val="auto"/>
          <w:szCs w:val="28"/>
          <w:highlight w:val="none"/>
          <w:lang w:val="en-US" w:eastAsia="zh-CN"/>
        </w:rPr>
        <w:t>12小时内提出响应方案，并应在48小时内到达维护维修现场，若超出响应时间，采购人可自行维护，其费用在质保金内进行扣除。</w:t>
      </w:r>
    </w:p>
    <w:p>
      <w:pPr>
        <w:rPr>
          <w:rFonts w:hint="eastAsia"/>
          <w:color w:val="auto"/>
          <w:lang w:eastAsia="zh-CN"/>
        </w:rPr>
      </w:pPr>
    </w:p>
    <w:p>
      <w:pPr>
        <w:pStyle w:val="5"/>
        <w:spacing w:before="0" w:after="0" w:line="440" w:lineRule="exact"/>
        <w:rPr>
          <w:rFonts w:ascii="宋体" w:hAnsi="宋体" w:cs="方正仿宋_GBK"/>
          <w:color w:val="auto"/>
          <w:sz w:val="28"/>
          <w:szCs w:val="28"/>
          <w:highlight w:val="none"/>
        </w:rPr>
      </w:pPr>
      <w:bookmarkStart w:id="52" w:name="_Toc21765"/>
      <w:r>
        <w:rPr>
          <w:rFonts w:hint="eastAsia" w:ascii="宋体" w:hAnsi="宋体" w:cs="方正仿宋_GBK"/>
          <w:color w:val="auto"/>
          <w:sz w:val="28"/>
          <w:szCs w:val="28"/>
          <w:highlight w:val="none"/>
        </w:rPr>
        <w:t>四、人员</w:t>
      </w:r>
      <w:r>
        <w:rPr>
          <w:rFonts w:hint="eastAsia" w:ascii="宋体" w:hAnsi="宋体" w:cs="方正仿宋_GBK"/>
          <w:color w:val="auto"/>
          <w:sz w:val="28"/>
          <w:szCs w:val="28"/>
          <w:highlight w:val="none"/>
          <w:lang w:eastAsia="zh-CN"/>
        </w:rPr>
        <w:t>及其他</w:t>
      </w:r>
      <w:r>
        <w:rPr>
          <w:rFonts w:hint="eastAsia" w:ascii="宋体" w:hAnsi="宋体" w:cs="方正仿宋_GBK"/>
          <w:color w:val="auto"/>
          <w:sz w:val="28"/>
          <w:szCs w:val="28"/>
          <w:highlight w:val="none"/>
        </w:rPr>
        <w:t>要求</w:t>
      </w:r>
      <w:bookmarkEnd w:id="52"/>
    </w:p>
    <w:p>
      <w:pPr>
        <w:snapToGrid w:val="0"/>
        <w:spacing w:line="440" w:lineRule="exact"/>
        <w:ind w:firstLine="424" w:firstLineChars="200"/>
        <w:rPr>
          <w:rFonts w:ascii="宋体" w:hAnsi="宋体" w:eastAsia="宋体" w:cs="方正仿宋_GBK"/>
          <w:color w:val="auto"/>
          <w:szCs w:val="28"/>
          <w:highlight w:val="none"/>
        </w:rPr>
      </w:pPr>
      <w:bookmarkStart w:id="53" w:name="_Toc17393"/>
      <w:bookmarkStart w:id="54" w:name="_Toc7421888"/>
      <w:r>
        <w:rPr>
          <w:rFonts w:hint="eastAsia" w:ascii="宋体" w:hAnsi="宋体" w:eastAsia="宋体" w:cs="方正仿宋_GBK"/>
          <w:color w:val="auto"/>
          <w:szCs w:val="28"/>
          <w:highlight w:val="none"/>
        </w:rPr>
        <w:t>（</w:t>
      </w:r>
      <w:r>
        <w:rPr>
          <w:rFonts w:ascii="宋体" w:hAnsi="宋体" w:eastAsia="宋体" w:cs="方正仿宋_GBK"/>
          <w:color w:val="auto"/>
          <w:szCs w:val="28"/>
          <w:highlight w:val="none"/>
        </w:rPr>
        <w:t>1</w:t>
      </w:r>
      <w:r>
        <w:rPr>
          <w:rFonts w:hint="eastAsia" w:ascii="宋体" w:hAnsi="宋体" w:eastAsia="宋体" w:cs="方正仿宋_GBK"/>
          <w:color w:val="auto"/>
          <w:szCs w:val="28"/>
          <w:highlight w:val="none"/>
        </w:rPr>
        <w:t>）项目经理</w:t>
      </w:r>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项目经理须为本单位员工</w:t>
      </w:r>
      <w:r>
        <w:rPr>
          <w:rFonts w:ascii="宋体" w:hAnsi="宋体" w:eastAsia="宋体" w:cs="方正仿宋_GBK"/>
          <w:color w:val="auto"/>
          <w:szCs w:val="28"/>
          <w:highlight w:val="none"/>
        </w:rPr>
        <w:t>,</w:t>
      </w:r>
      <w:r>
        <w:rPr>
          <w:rFonts w:hint="eastAsia" w:ascii="宋体" w:hAnsi="宋体" w:eastAsia="宋体" w:cs="方正仿宋_GBK"/>
          <w:color w:val="auto"/>
          <w:szCs w:val="28"/>
          <w:highlight w:val="none"/>
        </w:rPr>
        <w:t>具有</w:t>
      </w:r>
      <w:r>
        <w:rPr>
          <w:rFonts w:hint="eastAsia" w:ascii="宋体" w:hAnsi="宋体" w:eastAsia="宋体" w:cs="方正仿宋_GBK"/>
          <w:color w:val="auto"/>
          <w:szCs w:val="28"/>
          <w:highlight w:val="none"/>
          <w:lang w:eastAsia="zh-CN"/>
        </w:rPr>
        <w:t>房建</w:t>
      </w:r>
      <w:r>
        <w:rPr>
          <w:rFonts w:hint="eastAsia" w:ascii="宋体" w:hAnsi="宋体" w:eastAsia="宋体" w:cs="方正仿宋_GBK"/>
          <w:color w:val="auto"/>
          <w:szCs w:val="28"/>
          <w:highlight w:val="none"/>
        </w:rPr>
        <w:t>工程专业二级及以上注册建造师执业资格、安全考核合格证书，并且不能在在建工程担任项目经理。并做出项目经理到岗履职的承诺，在磋商截止日未被重庆市（含市或任意区县）有关主管部门部门暂停承揽业务的处罚。若有处罚，必须未在有效期内。</w:t>
      </w:r>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lang w:eastAsia="zh-CN"/>
        </w:rPr>
        <w:t>说明：</w:t>
      </w:r>
      <w:r>
        <w:rPr>
          <w:rFonts w:hint="eastAsia" w:ascii="宋体" w:hAnsi="宋体" w:eastAsia="宋体" w:cs="方正仿宋_GBK"/>
          <w:color w:val="auto"/>
          <w:szCs w:val="28"/>
          <w:highlight w:val="none"/>
        </w:rPr>
        <w:t>应提供建造师执业资格证和注册证、安全生产考核合格证书（</w:t>
      </w:r>
      <w:r>
        <w:rPr>
          <w:rFonts w:ascii="宋体" w:hAnsi="宋体" w:eastAsia="宋体" w:cs="方正仿宋_GBK"/>
          <w:color w:val="auto"/>
          <w:szCs w:val="28"/>
          <w:highlight w:val="none"/>
        </w:rPr>
        <w:t>B</w:t>
      </w:r>
      <w:r>
        <w:rPr>
          <w:rFonts w:hint="eastAsia" w:ascii="宋体" w:hAnsi="宋体" w:eastAsia="宋体" w:cs="方正仿宋_GBK"/>
          <w:color w:val="auto"/>
          <w:szCs w:val="28"/>
          <w:highlight w:val="none"/>
        </w:rPr>
        <w:t>证）、社保局出具的</w:t>
      </w:r>
      <w:r>
        <w:rPr>
          <w:rFonts w:ascii="宋体" w:hAnsi="宋体" w:eastAsia="宋体" w:cs="方正仿宋_GBK"/>
          <w:color w:val="auto"/>
          <w:szCs w:val="28"/>
          <w:highlight w:val="none"/>
        </w:rPr>
        <w:t>2021</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11</w:t>
      </w:r>
      <w:r>
        <w:rPr>
          <w:rFonts w:hint="eastAsia" w:ascii="宋体" w:hAnsi="宋体" w:eastAsia="宋体" w:cs="方正仿宋_GBK"/>
          <w:color w:val="auto"/>
          <w:szCs w:val="28"/>
          <w:highlight w:val="none"/>
        </w:rPr>
        <w:t>月至</w:t>
      </w:r>
      <w:r>
        <w:rPr>
          <w:rFonts w:ascii="宋体" w:hAnsi="宋体" w:eastAsia="宋体" w:cs="方正仿宋_GBK"/>
          <w:color w:val="auto"/>
          <w:szCs w:val="28"/>
          <w:highlight w:val="none"/>
        </w:rPr>
        <w:t>202</w:t>
      </w:r>
      <w:r>
        <w:rPr>
          <w:rFonts w:hint="eastAsia" w:ascii="宋体" w:hAnsi="宋体" w:eastAsia="宋体" w:cs="方正仿宋_GBK"/>
          <w:color w:val="auto"/>
          <w:szCs w:val="28"/>
          <w:highlight w:val="none"/>
          <w:lang w:val="en-US" w:eastAsia="zh-CN"/>
        </w:rPr>
        <w:t>2</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04</w:t>
      </w:r>
      <w:r>
        <w:rPr>
          <w:rFonts w:hint="eastAsia" w:ascii="宋体" w:hAnsi="宋体" w:eastAsia="宋体" w:cs="方正仿宋_GBK"/>
          <w:color w:val="auto"/>
          <w:szCs w:val="28"/>
          <w:highlight w:val="none"/>
        </w:rPr>
        <w:t>月社会保险缴纳证明复印件并加盖</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单位公章；项目经理无在建情况承诺复印件并加盖</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单位鲜章，格式自拟。</w:t>
      </w:r>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w:t>
      </w:r>
      <w:r>
        <w:rPr>
          <w:rFonts w:ascii="宋体" w:hAnsi="宋体" w:eastAsia="宋体" w:cs="方正仿宋_GBK"/>
          <w:color w:val="auto"/>
          <w:szCs w:val="28"/>
          <w:highlight w:val="none"/>
        </w:rPr>
        <w:t>2</w:t>
      </w:r>
      <w:r>
        <w:rPr>
          <w:rFonts w:hint="eastAsia" w:ascii="宋体" w:hAnsi="宋体" w:eastAsia="宋体" w:cs="方正仿宋_GBK"/>
          <w:color w:val="auto"/>
          <w:szCs w:val="28"/>
          <w:highlight w:val="none"/>
        </w:rPr>
        <w:t>）技术负责人要求</w:t>
      </w:r>
    </w:p>
    <w:p>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技术负责人须为本单位员工,具有中级及以上职称。</w:t>
      </w:r>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lang w:eastAsia="zh-CN"/>
        </w:rPr>
        <w:t>说明：</w:t>
      </w:r>
      <w:r>
        <w:rPr>
          <w:rFonts w:hint="eastAsia" w:ascii="宋体" w:hAnsi="宋体" w:eastAsia="宋体" w:cs="方正仿宋_GBK"/>
          <w:color w:val="auto"/>
          <w:szCs w:val="28"/>
          <w:highlight w:val="none"/>
        </w:rPr>
        <w:t>应提供职称证、社保局出具的</w:t>
      </w:r>
      <w:r>
        <w:rPr>
          <w:rFonts w:ascii="宋体" w:hAnsi="宋体" w:eastAsia="宋体" w:cs="方正仿宋_GBK"/>
          <w:color w:val="auto"/>
          <w:szCs w:val="28"/>
          <w:highlight w:val="none"/>
        </w:rPr>
        <w:t>2021</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11</w:t>
      </w:r>
      <w:r>
        <w:rPr>
          <w:rFonts w:hint="eastAsia" w:ascii="宋体" w:hAnsi="宋体" w:eastAsia="宋体" w:cs="方正仿宋_GBK"/>
          <w:color w:val="auto"/>
          <w:szCs w:val="28"/>
          <w:highlight w:val="none"/>
        </w:rPr>
        <w:t>月至</w:t>
      </w:r>
      <w:r>
        <w:rPr>
          <w:rFonts w:ascii="宋体" w:hAnsi="宋体" w:eastAsia="宋体" w:cs="方正仿宋_GBK"/>
          <w:color w:val="auto"/>
          <w:szCs w:val="28"/>
          <w:highlight w:val="none"/>
        </w:rPr>
        <w:t>202</w:t>
      </w:r>
      <w:r>
        <w:rPr>
          <w:rFonts w:hint="eastAsia" w:ascii="宋体" w:hAnsi="宋体" w:eastAsia="宋体" w:cs="方正仿宋_GBK"/>
          <w:color w:val="auto"/>
          <w:szCs w:val="28"/>
          <w:highlight w:val="none"/>
          <w:lang w:val="en-US" w:eastAsia="zh-CN"/>
        </w:rPr>
        <w:t>2</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04</w:t>
      </w:r>
      <w:r>
        <w:rPr>
          <w:rFonts w:hint="eastAsia" w:ascii="宋体" w:hAnsi="宋体" w:eastAsia="宋体" w:cs="方正仿宋_GBK"/>
          <w:color w:val="auto"/>
          <w:szCs w:val="28"/>
          <w:highlight w:val="none"/>
        </w:rPr>
        <w:t>月社会保险养老保险缴纳证明复印件并加盖</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单位公章。</w:t>
      </w:r>
    </w:p>
    <w:p>
      <w:pPr>
        <w:snapToGrid w:val="0"/>
        <w:spacing w:line="440" w:lineRule="exact"/>
        <w:ind w:firstLine="424" w:firstLineChars="200"/>
        <w:rPr>
          <w:rFonts w:hint="eastAsia" w:ascii="宋体" w:hAnsi="宋体" w:eastAsia="宋体" w:cs="方正仿宋_GBK"/>
          <w:color w:val="auto"/>
          <w:szCs w:val="28"/>
          <w:highlight w:val="none"/>
          <w:lang w:val="en-US" w:eastAsia="zh-CN"/>
        </w:rPr>
      </w:pPr>
      <w:r>
        <w:rPr>
          <w:rFonts w:hint="eastAsia" w:ascii="宋体" w:hAnsi="宋体" w:eastAsia="宋体" w:cs="方正仿宋_GBK"/>
          <w:color w:val="auto"/>
          <w:szCs w:val="28"/>
          <w:highlight w:val="none"/>
        </w:rPr>
        <w:t>（</w:t>
      </w:r>
      <w:r>
        <w:rPr>
          <w:rFonts w:ascii="宋体" w:hAnsi="宋体" w:eastAsia="宋体" w:cs="方正仿宋_GBK"/>
          <w:color w:val="auto"/>
          <w:szCs w:val="28"/>
          <w:highlight w:val="none"/>
        </w:rPr>
        <w:t>3</w:t>
      </w:r>
      <w:r>
        <w:rPr>
          <w:rFonts w:hint="eastAsia" w:ascii="宋体" w:hAnsi="宋体" w:eastAsia="宋体" w:cs="方正仿宋_GBK"/>
          <w:color w:val="auto"/>
          <w:szCs w:val="28"/>
          <w:highlight w:val="none"/>
        </w:rPr>
        <w:t>）其他主要管理人员：</w:t>
      </w:r>
    </w:p>
    <w:p>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w:t>
      </w:r>
      <w:r>
        <w:rPr>
          <w:rFonts w:ascii="宋体" w:hAnsi="宋体" w:eastAsia="宋体" w:cs="方正仿宋_GBK"/>
          <w:color w:val="auto"/>
          <w:szCs w:val="28"/>
          <w:highlight w:val="none"/>
        </w:rPr>
        <w:t>2021</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11</w:t>
      </w:r>
      <w:r>
        <w:rPr>
          <w:rFonts w:hint="eastAsia" w:ascii="宋体" w:hAnsi="宋体" w:eastAsia="宋体" w:cs="方正仿宋_GBK"/>
          <w:color w:val="auto"/>
          <w:szCs w:val="28"/>
          <w:highlight w:val="none"/>
        </w:rPr>
        <w:t>月至</w:t>
      </w:r>
      <w:r>
        <w:rPr>
          <w:rFonts w:ascii="宋体" w:hAnsi="宋体" w:eastAsia="宋体" w:cs="方正仿宋_GBK"/>
          <w:color w:val="auto"/>
          <w:szCs w:val="28"/>
          <w:highlight w:val="none"/>
        </w:rPr>
        <w:t>202</w:t>
      </w:r>
      <w:r>
        <w:rPr>
          <w:rFonts w:hint="eastAsia" w:ascii="宋体" w:hAnsi="宋体" w:eastAsia="宋体" w:cs="方正仿宋_GBK"/>
          <w:color w:val="auto"/>
          <w:szCs w:val="28"/>
          <w:highlight w:val="none"/>
          <w:lang w:val="en-US" w:eastAsia="zh-CN"/>
        </w:rPr>
        <w:t>2</w:t>
      </w:r>
      <w:r>
        <w:rPr>
          <w:rFonts w:hint="eastAsia" w:ascii="宋体" w:hAnsi="宋体" w:eastAsia="宋体" w:cs="方正仿宋_GBK"/>
          <w:color w:val="auto"/>
          <w:szCs w:val="28"/>
          <w:highlight w:val="none"/>
        </w:rPr>
        <w:t>年</w:t>
      </w:r>
      <w:r>
        <w:rPr>
          <w:rFonts w:hint="eastAsia" w:ascii="宋体" w:hAnsi="宋体" w:eastAsia="宋体" w:cs="方正仿宋_GBK"/>
          <w:color w:val="auto"/>
          <w:szCs w:val="28"/>
          <w:highlight w:val="none"/>
          <w:lang w:val="en-US" w:eastAsia="zh-CN"/>
        </w:rPr>
        <w:t>04</w:t>
      </w:r>
      <w:r>
        <w:rPr>
          <w:rFonts w:hint="eastAsia" w:ascii="宋体" w:hAnsi="宋体" w:eastAsia="宋体" w:cs="方正仿宋_GBK"/>
          <w:color w:val="auto"/>
          <w:szCs w:val="28"/>
          <w:highlight w:val="none"/>
        </w:rPr>
        <w:t>月养老保险证明材料。中标后不能满足该要求的，取消其中标资格，给招标人造成损失的，投标人依法承担违约赔偿责任。提供承诺（承诺格式自拟）。</w:t>
      </w:r>
    </w:p>
    <w:p>
      <w:pPr>
        <w:pStyle w:val="5"/>
        <w:spacing w:before="0" w:after="0" w:line="440" w:lineRule="exact"/>
        <w:rPr>
          <w:rFonts w:ascii="宋体" w:hAnsi="宋体" w:cs="方正仿宋_GBK"/>
          <w:color w:val="auto"/>
          <w:sz w:val="28"/>
          <w:szCs w:val="28"/>
          <w:highlight w:val="none"/>
        </w:rPr>
      </w:pPr>
      <w:bookmarkStart w:id="55" w:name="_Toc18046"/>
      <w:r>
        <w:rPr>
          <w:rFonts w:hint="eastAsia" w:ascii="宋体" w:hAnsi="宋体" w:cs="方正仿宋_GBK"/>
          <w:color w:val="auto"/>
          <w:sz w:val="28"/>
          <w:szCs w:val="28"/>
          <w:highlight w:val="none"/>
        </w:rPr>
        <w:t>五、付款方式</w:t>
      </w:r>
      <w:bookmarkEnd w:id="53"/>
      <w:bookmarkEnd w:id="54"/>
      <w:bookmarkEnd w:id="55"/>
    </w:p>
    <w:p>
      <w:pPr>
        <w:pStyle w:val="5"/>
        <w:spacing w:before="0" w:after="0" w:line="440" w:lineRule="exact"/>
        <w:ind w:firstLine="424" w:firstLineChars="200"/>
        <w:rPr>
          <w:rFonts w:hint="eastAsia" w:ascii="宋体" w:hAnsi="宋体" w:eastAsia="宋体" w:cs="方正仿宋_GBK"/>
          <w:b w:val="0"/>
          <w:color w:val="auto"/>
          <w:kern w:val="2"/>
          <w:sz w:val="24"/>
          <w:szCs w:val="28"/>
          <w:highlight w:val="none"/>
          <w:lang w:val="en-US" w:eastAsia="zh-CN" w:bidi="ar-SA"/>
        </w:rPr>
      </w:pPr>
      <w:bookmarkStart w:id="56" w:name="_Toc142"/>
      <w:r>
        <w:rPr>
          <w:rFonts w:hint="eastAsia" w:ascii="宋体" w:hAnsi="宋体" w:cs="方正仿宋_GBK"/>
          <w:b w:val="0"/>
          <w:color w:val="auto"/>
          <w:kern w:val="2"/>
          <w:sz w:val="24"/>
          <w:szCs w:val="28"/>
          <w:highlight w:val="none"/>
          <w:lang w:val="en-US" w:eastAsia="zh-CN" w:bidi="ar-SA"/>
        </w:rPr>
        <w:t>1</w:t>
      </w:r>
      <w:r>
        <w:rPr>
          <w:rFonts w:hint="eastAsia" w:ascii="宋体" w:hAnsi="宋体" w:eastAsia="宋体" w:cs="方正仿宋_GBK"/>
          <w:b w:val="0"/>
          <w:color w:val="auto"/>
          <w:kern w:val="2"/>
          <w:sz w:val="24"/>
          <w:szCs w:val="28"/>
          <w:highlight w:val="none"/>
          <w:lang w:val="en-US" w:eastAsia="zh-CN" w:bidi="ar-SA"/>
        </w:rPr>
        <w:t>.工程完工30%工程量时，采购人向</w:t>
      </w:r>
      <w:r>
        <w:rPr>
          <w:rFonts w:hint="eastAsia" w:ascii="宋体" w:hAnsi="宋体" w:cs="方正仿宋_GBK"/>
          <w:b w:val="0"/>
          <w:color w:val="auto"/>
          <w:kern w:val="2"/>
          <w:sz w:val="24"/>
          <w:szCs w:val="28"/>
          <w:highlight w:val="none"/>
          <w:lang w:val="en-US" w:eastAsia="zh-CN" w:bidi="ar-SA"/>
        </w:rPr>
        <w:t>中标人</w:t>
      </w:r>
      <w:r>
        <w:rPr>
          <w:rFonts w:hint="eastAsia" w:ascii="宋体" w:hAnsi="宋体" w:eastAsia="宋体" w:cs="方正仿宋_GBK"/>
          <w:b w:val="0"/>
          <w:color w:val="auto"/>
          <w:kern w:val="2"/>
          <w:sz w:val="24"/>
          <w:szCs w:val="28"/>
          <w:highlight w:val="none"/>
          <w:lang w:val="en-US" w:eastAsia="zh-CN" w:bidi="ar-SA"/>
        </w:rPr>
        <w:t>支付已完成合格工程70%工程款；</w:t>
      </w:r>
    </w:p>
    <w:p>
      <w:pPr>
        <w:pStyle w:val="5"/>
        <w:spacing w:before="0" w:after="0" w:line="440" w:lineRule="exact"/>
        <w:ind w:firstLine="424" w:firstLineChars="200"/>
        <w:rPr>
          <w:rFonts w:hint="eastAsia" w:ascii="宋体" w:hAnsi="宋体" w:eastAsia="宋体" w:cs="方正仿宋_GBK"/>
          <w:b w:val="0"/>
          <w:color w:val="auto"/>
          <w:kern w:val="2"/>
          <w:sz w:val="24"/>
          <w:szCs w:val="28"/>
          <w:highlight w:val="none"/>
          <w:lang w:val="en-US" w:eastAsia="zh-CN" w:bidi="ar-SA"/>
        </w:rPr>
      </w:pPr>
      <w:r>
        <w:rPr>
          <w:rFonts w:hint="eastAsia" w:ascii="宋体" w:hAnsi="宋体" w:cs="方正仿宋_GBK"/>
          <w:b w:val="0"/>
          <w:color w:val="auto"/>
          <w:kern w:val="2"/>
          <w:sz w:val="24"/>
          <w:szCs w:val="28"/>
          <w:highlight w:val="none"/>
          <w:lang w:val="en-US" w:eastAsia="zh-CN" w:bidi="ar-SA"/>
        </w:rPr>
        <w:t>2</w:t>
      </w:r>
      <w:r>
        <w:rPr>
          <w:rFonts w:hint="eastAsia" w:ascii="宋体" w:hAnsi="宋体" w:eastAsia="宋体" w:cs="方正仿宋_GBK"/>
          <w:b w:val="0"/>
          <w:color w:val="auto"/>
          <w:kern w:val="2"/>
          <w:sz w:val="24"/>
          <w:szCs w:val="28"/>
          <w:highlight w:val="none"/>
          <w:lang w:val="en-US" w:eastAsia="zh-CN" w:bidi="ar-SA"/>
        </w:rPr>
        <w:t>.工程完工70%工程量时，采购人向</w:t>
      </w:r>
      <w:r>
        <w:rPr>
          <w:rFonts w:hint="eastAsia" w:ascii="宋体" w:hAnsi="宋体" w:cs="方正仿宋_GBK"/>
          <w:b w:val="0"/>
          <w:color w:val="auto"/>
          <w:kern w:val="2"/>
          <w:sz w:val="24"/>
          <w:szCs w:val="28"/>
          <w:highlight w:val="none"/>
          <w:lang w:val="en-US" w:eastAsia="zh-CN" w:bidi="ar-SA"/>
        </w:rPr>
        <w:t>中标人</w:t>
      </w:r>
      <w:r>
        <w:rPr>
          <w:rFonts w:hint="eastAsia" w:ascii="宋体" w:hAnsi="宋体" w:eastAsia="宋体" w:cs="方正仿宋_GBK"/>
          <w:b w:val="0"/>
          <w:color w:val="auto"/>
          <w:kern w:val="2"/>
          <w:sz w:val="24"/>
          <w:szCs w:val="28"/>
          <w:highlight w:val="none"/>
          <w:lang w:val="en-US" w:eastAsia="zh-CN" w:bidi="ar-SA"/>
        </w:rPr>
        <w:t>支付已完成合格工程70%工程款，支付至合同金额的70%后不再支付；</w:t>
      </w:r>
    </w:p>
    <w:p>
      <w:pPr>
        <w:pStyle w:val="5"/>
        <w:spacing w:before="0" w:after="0" w:line="440" w:lineRule="exact"/>
        <w:ind w:firstLine="424" w:firstLineChars="200"/>
        <w:rPr>
          <w:rFonts w:hint="eastAsia" w:ascii="宋体" w:hAnsi="宋体" w:eastAsia="宋体" w:cs="方正仿宋_GBK"/>
          <w:b w:val="0"/>
          <w:color w:val="auto"/>
          <w:kern w:val="2"/>
          <w:sz w:val="24"/>
          <w:szCs w:val="28"/>
          <w:highlight w:val="none"/>
          <w:lang w:val="en-US" w:eastAsia="zh-CN" w:bidi="ar-SA"/>
        </w:rPr>
      </w:pPr>
      <w:r>
        <w:rPr>
          <w:rFonts w:hint="eastAsia" w:ascii="宋体" w:hAnsi="宋体" w:cs="方正仿宋_GBK"/>
          <w:b w:val="0"/>
          <w:color w:val="auto"/>
          <w:kern w:val="2"/>
          <w:sz w:val="24"/>
          <w:szCs w:val="28"/>
          <w:highlight w:val="none"/>
          <w:lang w:val="en-US" w:eastAsia="zh-CN" w:bidi="ar-SA"/>
        </w:rPr>
        <w:t>3</w:t>
      </w:r>
      <w:r>
        <w:rPr>
          <w:rFonts w:hint="eastAsia" w:ascii="宋体" w:hAnsi="宋体" w:eastAsia="宋体" w:cs="方正仿宋_GBK"/>
          <w:b w:val="0"/>
          <w:color w:val="auto"/>
          <w:kern w:val="2"/>
          <w:sz w:val="24"/>
          <w:szCs w:val="28"/>
          <w:highlight w:val="none"/>
          <w:lang w:val="en-US" w:eastAsia="zh-CN" w:bidi="ar-SA"/>
        </w:rPr>
        <w:t>.工程完工初步验收合格后，采购人向</w:t>
      </w:r>
      <w:r>
        <w:rPr>
          <w:rFonts w:hint="eastAsia" w:ascii="宋体" w:hAnsi="宋体" w:cs="方正仿宋_GBK"/>
          <w:b w:val="0"/>
          <w:color w:val="auto"/>
          <w:kern w:val="2"/>
          <w:sz w:val="24"/>
          <w:szCs w:val="28"/>
          <w:highlight w:val="none"/>
          <w:lang w:val="en-US" w:eastAsia="zh-CN" w:bidi="ar-SA"/>
        </w:rPr>
        <w:t>中标人</w:t>
      </w:r>
      <w:r>
        <w:rPr>
          <w:rFonts w:hint="eastAsia" w:ascii="宋体" w:hAnsi="宋体" w:eastAsia="宋体" w:cs="方正仿宋_GBK"/>
          <w:b w:val="0"/>
          <w:color w:val="auto"/>
          <w:kern w:val="2"/>
          <w:sz w:val="24"/>
          <w:szCs w:val="28"/>
          <w:highlight w:val="none"/>
          <w:lang w:val="en-US" w:eastAsia="zh-CN" w:bidi="ar-SA"/>
        </w:rPr>
        <w:t>支付已完成合格工程70%工程款，支付至合同金额的70%后不再支付；</w:t>
      </w:r>
    </w:p>
    <w:p>
      <w:pPr>
        <w:pStyle w:val="5"/>
        <w:spacing w:before="0" w:after="0" w:line="440" w:lineRule="exact"/>
        <w:ind w:firstLine="424" w:firstLineChars="200"/>
        <w:rPr>
          <w:rFonts w:hint="eastAsia" w:ascii="宋体" w:hAnsi="宋体" w:eastAsia="宋体" w:cs="方正仿宋_GBK"/>
          <w:b w:val="0"/>
          <w:color w:val="auto"/>
          <w:kern w:val="2"/>
          <w:sz w:val="24"/>
          <w:szCs w:val="28"/>
          <w:highlight w:val="none"/>
          <w:lang w:val="en-US" w:eastAsia="zh-CN" w:bidi="ar-SA"/>
        </w:rPr>
      </w:pPr>
      <w:r>
        <w:rPr>
          <w:rFonts w:hint="eastAsia" w:ascii="宋体" w:hAnsi="宋体" w:cs="方正仿宋_GBK"/>
          <w:b w:val="0"/>
          <w:color w:val="auto"/>
          <w:kern w:val="2"/>
          <w:sz w:val="24"/>
          <w:szCs w:val="28"/>
          <w:highlight w:val="none"/>
          <w:lang w:val="en-US" w:eastAsia="zh-CN" w:bidi="ar-SA"/>
        </w:rPr>
        <w:t>4</w:t>
      </w:r>
      <w:r>
        <w:rPr>
          <w:rFonts w:hint="eastAsia" w:ascii="宋体" w:hAnsi="宋体" w:eastAsia="宋体" w:cs="方正仿宋_GBK"/>
          <w:b w:val="0"/>
          <w:color w:val="auto"/>
          <w:kern w:val="2"/>
          <w:sz w:val="24"/>
          <w:szCs w:val="28"/>
          <w:highlight w:val="none"/>
          <w:lang w:val="en-US" w:eastAsia="zh-CN" w:bidi="ar-SA"/>
        </w:rPr>
        <w:t>.经结算审计后，由</w:t>
      </w:r>
      <w:r>
        <w:rPr>
          <w:rFonts w:hint="eastAsia" w:ascii="宋体" w:hAnsi="宋体" w:cs="方正仿宋_GBK"/>
          <w:b w:val="0"/>
          <w:color w:val="auto"/>
          <w:kern w:val="2"/>
          <w:sz w:val="24"/>
          <w:szCs w:val="28"/>
          <w:highlight w:val="none"/>
          <w:lang w:val="en-US" w:eastAsia="zh-CN" w:bidi="ar-SA"/>
        </w:rPr>
        <w:t>中标人</w:t>
      </w:r>
      <w:r>
        <w:rPr>
          <w:rFonts w:hint="eastAsia" w:ascii="宋体" w:hAnsi="宋体" w:eastAsia="宋体" w:cs="方正仿宋_GBK"/>
          <w:b w:val="0"/>
          <w:color w:val="auto"/>
          <w:kern w:val="2"/>
          <w:sz w:val="24"/>
          <w:szCs w:val="28"/>
          <w:highlight w:val="none"/>
          <w:lang w:val="en-US" w:eastAsia="zh-CN" w:bidi="ar-SA"/>
        </w:rPr>
        <w:t>先按结算审计金额的3%向采购人缴纳质保金后采购人向</w:t>
      </w:r>
      <w:r>
        <w:rPr>
          <w:rFonts w:hint="eastAsia" w:ascii="宋体" w:hAnsi="宋体" w:cs="方正仿宋_GBK"/>
          <w:b w:val="0"/>
          <w:color w:val="auto"/>
          <w:kern w:val="2"/>
          <w:sz w:val="24"/>
          <w:szCs w:val="28"/>
          <w:highlight w:val="none"/>
          <w:lang w:val="en-US" w:eastAsia="zh-CN" w:bidi="ar-SA"/>
        </w:rPr>
        <w:t>中标人</w:t>
      </w:r>
      <w:r>
        <w:rPr>
          <w:rFonts w:hint="eastAsia" w:ascii="宋体" w:hAnsi="宋体" w:eastAsia="宋体" w:cs="方正仿宋_GBK"/>
          <w:b w:val="0"/>
          <w:color w:val="auto"/>
          <w:kern w:val="2"/>
          <w:sz w:val="24"/>
          <w:szCs w:val="28"/>
          <w:highlight w:val="none"/>
          <w:lang w:val="en-US" w:eastAsia="zh-CN" w:bidi="ar-SA"/>
        </w:rPr>
        <w:t>支付至结算审计价款的100%。</w:t>
      </w:r>
    </w:p>
    <w:p>
      <w:pPr>
        <w:pStyle w:val="5"/>
        <w:spacing w:before="0" w:after="0" w:line="440" w:lineRule="exact"/>
        <w:ind w:firstLine="424" w:firstLineChars="200"/>
        <w:rPr>
          <w:rFonts w:hint="eastAsia" w:ascii="宋体" w:hAnsi="宋体" w:eastAsia="宋体" w:cs="方正仿宋_GBK"/>
          <w:b w:val="0"/>
          <w:color w:val="auto"/>
          <w:kern w:val="2"/>
          <w:sz w:val="24"/>
          <w:szCs w:val="28"/>
          <w:highlight w:val="none"/>
          <w:lang w:val="en-US" w:eastAsia="zh-CN" w:bidi="ar-SA"/>
        </w:rPr>
      </w:pPr>
      <w:r>
        <w:rPr>
          <w:rFonts w:hint="eastAsia" w:ascii="宋体" w:hAnsi="宋体" w:cs="方正仿宋_GBK"/>
          <w:b w:val="0"/>
          <w:color w:val="auto"/>
          <w:kern w:val="2"/>
          <w:sz w:val="24"/>
          <w:szCs w:val="28"/>
          <w:highlight w:val="none"/>
          <w:lang w:val="en-US" w:eastAsia="zh-CN" w:bidi="ar-SA"/>
        </w:rPr>
        <w:t>5</w:t>
      </w:r>
      <w:r>
        <w:rPr>
          <w:rFonts w:hint="eastAsia" w:ascii="宋体" w:hAnsi="宋体" w:eastAsia="宋体" w:cs="方正仿宋_GBK"/>
          <w:b w:val="0"/>
          <w:color w:val="auto"/>
          <w:kern w:val="2"/>
          <w:sz w:val="24"/>
          <w:szCs w:val="28"/>
          <w:highlight w:val="none"/>
          <w:lang w:val="en-US" w:eastAsia="zh-CN" w:bidi="ar-SA"/>
        </w:rPr>
        <w:t>.缺陷责任期2年满后且无质量问题的，采购人在10个工作日内无息退还</w:t>
      </w:r>
      <w:r>
        <w:rPr>
          <w:rFonts w:hint="eastAsia" w:ascii="宋体" w:hAnsi="宋体" w:cs="方正仿宋_GBK"/>
          <w:b w:val="0"/>
          <w:color w:val="auto"/>
          <w:kern w:val="2"/>
          <w:sz w:val="24"/>
          <w:szCs w:val="28"/>
          <w:highlight w:val="none"/>
          <w:lang w:val="en-US" w:eastAsia="zh-CN" w:bidi="ar-SA"/>
        </w:rPr>
        <w:t>中标人</w:t>
      </w:r>
      <w:r>
        <w:rPr>
          <w:rFonts w:hint="eastAsia" w:ascii="宋体" w:hAnsi="宋体" w:eastAsia="宋体" w:cs="方正仿宋_GBK"/>
          <w:b w:val="0"/>
          <w:color w:val="auto"/>
          <w:kern w:val="2"/>
          <w:sz w:val="24"/>
          <w:szCs w:val="28"/>
          <w:highlight w:val="none"/>
          <w:lang w:val="en-US" w:eastAsia="zh-CN" w:bidi="ar-SA"/>
        </w:rPr>
        <w:t>的质量保修金。</w:t>
      </w:r>
    </w:p>
    <w:p>
      <w:pPr>
        <w:pStyle w:val="5"/>
        <w:spacing w:before="0" w:after="0" w:line="440" w:lineRule="exact"/>
        <w:rPr>
          <w:rFonts w:hint="eastAsia" w:ascii="宋体" w:hAnsi="宋体" w:cs="方正仿宋_GBK"/>
          <w:color w:val="auto"/>
          <w:sz w:val="28"/>
          <w:szCs w:val="28"/>
          <w:highlight w:val="none"/>
          <w:lang w:val="en-US" w:eastAsia="zh-CN"/>
        </w:rPr>
      </w:pPr>
      <w:r>
        <w:rPr>
          <w:rFonts w:hint="eastAsia" w:ascii="宋体" w:hAnsi="宋体" w:cs="方正仿宋_GBK"/>
          <w:color w:val="auto"/>
          <w:sz w:val="28"/>
          <w:szCs w:val="28"/>
          <w:highlight w:val="none"/>
          <w:lang w:val="en-US" w:eastAsia="zh-CN"/>
        </w:rPr>
        <w:t>六、履约保证金</w:t>
      </w:r>
      <w:bookmarkEnd w:id="56"/>
    </w:p>
    <w:bookmarkEnd w:id="51"/>
    <w:p>
      <w:pPr>
        <w:snapToGrid w:val="0"/>
        <w:spacing w:line="440" w:lineRule="exact"/>
        <w:ind w:firstLine="424" w:firstLineChars="200"/>
        <w:rPr>
          <w:rFonts w:hint="eastAsia" w:ascii="宋体" w:hAnsi="宋体" w:eastAsia="宋体" w:cs="方正仿宋_GBK"/>
          <w:color w:val="auto"/>
          <w:szCs w:val="28"/>
          <w:highlight w:val="none"/>
        </w:rPr>
      </w:pPr>
      <w:bookmarkStart w:id="57" w:name="_Toc7421890"/>
      <w:bookmarkStart w:id="58" w:name="_Toc30599"/>
      <w:r>
        <w:rPr>
          <w:rFonts w:hint="eastAsia" w:ascii="宋体" w:hAnsi="宋体" w:eastAsia="宋体" w:cs="方正仿宋_GBK"/>
          <w:color w:val="auto"/>
          <w:szCs w:val="28"/>
          <w:highlight w:val="none"/>
          <w:lang w:eastAsia="zh-CN"/>
        </w:rPr>
        <w:t>中标人</w:t>
      </w:r>
      <w:r>
        <w:rPr>
          <w:rFonts w:hint="eastAsia" w:ascii="宋体" w:hAnsi="宋体" w:eastAsia="宋体" w:cs="方正仿宋_GBK"/>
          <w:color w:val="auto"/>
          <w:szCs w:val="28"/>
          <w:highlight w:val="none"/>
        </w:rPr>
        <w:t>是否提供履约担保：是。</w:t>
      </w:r>
    </w:p>
    <w:p>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lang w:eastAsia="zh-CN"/>
        </w:rPr>
        <w:t>中标人</w:t>
      </w:r>
      <w:r>
        <w:rPr>
          <w:rFonts w:hint="eastAsia" w:ascii="宋体" w:hAnsi="宋体" w:eastAsia="宋体" w:cs="方正仿宋_GBK"/>
          <w:color w:val="auto"/>
          <w:szCs w:val="28"/>
          <w:highlight w:val="none"/>
        </w:rPr>
        <w:t>提供履约担保的形式、金额及期限</w:t>
      </w:r>
    </w:p>
    <w:p>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递交形式：转账或提供同等金额保函方式。</w:t>
      </w:r>
    </w:p>
    <w:p>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履约保证金的递交金额：成交合同金额的10%。</w:t>
      </w:r>
    </w:p>
    <w:p>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履约保证金的递交时间：合同签订前</w:t>
      </w:r>
      <w:r>
        <w:rPr>
          <w:rFonts w:hint="eastAsia" w:ascii="宋体" w:hAnsi="宋体" w:eastAsia="宋体" w:cs="方正仿宋_GBK"/>
          <w:color w:val="auto"/>
          <w:szCs w:val="28"/>
          <w:highlight w:val="none"/>
          <w:lang w:eastAsia="zh-CN"/>
        </w:rPr>
        <w:t>中标人</w:t>
      </w:r>
      <w:r>
        <w:rPr>
          <w:rFonts w:hint="eastAsia" w:ascii="宋体" w:hAnsi="宋体" w:eastAsia="宋体" w:cs="方正仿宋_GBK"/>
          <w:color w:val="auto"/>
          <w:szCs w:val="28"/>
          <w:highlight w:val="none"/>
        </w:rPr>
        <w:t>向采购人一次性缴纳成交总金额10%的履约保证金。</w:t>
      </w:r>
    </w:p>
    <w:p>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履约保证金的退还：采购人在工程验收竣工合格后10个工作日内无息退还履约保证金。</w:t>
      </w:r>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注：履约担保</w:t>
      </w:r>
      <w:r>
        <w:rPr>
          <w:rFonts w:hint="eastAsia" w:ascii="宋体" w:hAnsi="宋体" w:eastAsia="宋体" w:cs="方正仿宋_GBK"/>
          <w:color w:val="auto"/>
          <w:szCs w:val="28"/>
          <w:highlight w:val="none"/>
          <w:lang w:eastAsia="zh-CN"/>
        </w:rPr>
        <w:t>中标人</w:t>
      </w:r>
      <w:r>
        <w:rPr>
          <w:rFonts w:hint="eastAsia" w:ascii="宋体" w:hAnsi="宋体" w:eastAsia="宋体" w:cs="方正仿宋_GBK"/>
          <w:color w:val="auto"/>
          <w:szCs w:val="28"/>
          <w:highlight w:val="none"/>
        </w:rPr>
        <w:t>须从其企业基本账户将相应的担保金额打入采购人指定的账户。</w:t>
      </w:r>
    </w:p>
    <w:p>
      <w:pPr>
        <w:pStyle w:val="5"/>
        <w:spacing w:before="0" w:after="0" w:line="480" w:lineRule="exact"/>
        <w:rPr>
          <w:rFonts w:ascii="宋体" w:hAnsi="宋体"/>
          <w:color w:val="auto"/>
          <w:highlight w:val="none"/>
        </w:rPr>
      </w:pPr>
      <w:bookmarkStart w:id="59" w:name="_Toc2854"/>
      <w:r>
        <w:rPr>
          <w:rFonts w:hint="eastAsia" w:ascii="宋体" w:hAnsi="宋体" w:cs="方正仿宋_GBK"/>
          <w:color w:val="auto"/>
          <w:sz w:val="28"/>
          <w:szCs w:val="28"/>
          <w:highlight w:val="none"/>
        </w:rPr>
        <w:t>七、其他</w:t>
      </w:r>
      <w:bookmarkEnd w:id="57"/>
      <w:bookmarkEnd w:id="58"/>
      <w:bookmarkEnd w:id="59"/>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必须在响应文件中对以上条款和服务承诺明确列出，承诺内容必须达到本篇及本竞争性磋商文件其他条款的要求。</w:t>
      </w:r>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（二）</w:t>
      </w:r>
      <w:r>
        <w:rPr>
          <w:rFonts w:hint="eastAsia" w:ascii="宋体" w:hAnsi="宋体" w:eastAsia="宋体" w:cs="方正仿宋_GBK"/>
          <w:color w:val="auto"/>
          <w:szCs w:val="28"/>
          <w:highlight w:val="none"/>
          <w:lang w:eastAsia="zh-CN"/>
        </w:rPr>
        <w:t>中标人</w:t>
      </w:r>
      <w:r>
        <w:rPr>
          <w:rFonts w:hint="eastAsia" w:ascii="宋体" w:hAnsi="宋体" w:eastAsia="宋体" w:cs="方正仿宋_GBK"/>
          <w:color w:val="auto"/>
          <w:szCs w:val="28"/>
          <w:highlight w:val="none"/>
        </w:rPr>
        <w:t>确定后，由采购人和成交单位按照相关规定和程序办理有关手续，签订合同。</w:t>
      </w:r>
    </w:p>
    <w:p>
      <w:pPr>
        <w:snapToGrid w:val="0"/>
        <w:spacing w:line="440" w:lineRule="exact"/>
        <w:ind w:firstLine="424"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（三）其他未尽事宜由供需双方在采购合同中详细约定。</w:t>
      </w:r>
    </w:p>
    <w:p>
      <w:pPr>
        <w:snapToGrid w:val="0"/>
        <w:spacing w:line="440" w:lineRule="exact"/>
        <w:ind w:firstLine="424" w:firstLineChars="200"/>
        <w:rPr>
          <w:rFonts w:hint="eastAsia" w:ascii="宋体" w:hAnsi="宋体" w:eastAsia="宋体" w:cs="方正仿宋_GBK"/>
          <w:color w:val="auto"/>
          <w:szCs w:val="28"/>
          <w:highlight w:val="none"/>
        </w:rPr>
      </w:pPr>
      <w:r>
        <w:rPr>
          <w:rFonts w:hint="eastAsia" w:ascii="宋体" w:hAnsi="宋体" w:eastAsia="宋体" w:cs="方正仿宋_GBK"/>
          <w:color w:val="auto"/>
          <w:szCs w:val="28"/>
          <w:highlight w:val="none"/>
        </w:rPr>
        <w:t>（四）本项目不允许转包、挂靠</w:t>
      </w:r>
      <w:bookmarkEnd w:id="32"/>
      <w:r>
        <w:rPr>
          <w:rFonts w:hint="eastAsia" w:ascii="宋体" w:hAnsi="宋体" w:eastAsia="宋体" w:cs="方正仿宋_GBK"/>
          <w:color w:val="auto"/>
          <w:szCs w:val="28"/>
          <w:highlight w:val="none"/>
        </w:rPr>
        <w:t>。</w:t>
      </w:r>
    </w:p>
    <w:p>
      <w:pPr>
        <w:snapToGrid w:val="0"/>
        <w:spacing w:line="440" w:lineRule="exact"/>
        <w:ind w:firstLine="636" w:firstLineChars="300"/>
        <w:rPr>
          <w:rFonts w:ascii="宋体" w:hAnsi="宋体" w:eastAsia="宋体" w:cs="方正仿宋_GBK"/>
          <w:b/>
          <w:bCs/>
          <w:color w:val="auto"/>
          <w:sz w:val="36"/>
          <w:szCs w:val="30"/>
          <w:highlight w:val="none"/>
        </w:rPr>
      </w:pPr>
      <w:r>
        <w:rPr>
          <w:rFonts w:hint="eastAsia" w:ascii="宋体" w:hAnsi="宋体" w:eastAsia="宋体" w:cs="方正仿宋_GBK"/>
          <w:color w:val="auto"/>
          <w:szCs w:val="28"/>
          <w:highlight w:val="none"/>
          <w:lang w:val="en-US" w:eastAsia="zh-CN"/>
        </w:rPr>
        <w:t>(五)附件：施工图及清单详见附件。</w:t>
      </w:r>
      <w:r>
        <w:rPr>
          <w:rFonts w:ascii="宋体" w:hAnsi="宋体" w:eastAsia="宋体" w:cs="方正仿宋_GBK"/>
          <w:color w:val="auto"/>
          <w:szCs w:val="28"/>
          <w:highlight w:val="none"/>
        </w:rPr>
        <w:br w:type="page"/>
      </w:r>
    </w:p>
    <w:p>
      <w:pPr>
        <w:pStyle w:val="4"/>
        <w:spacing w:before="0" w:after="0" w:line="360" w:lineRule="auto"/>
        <w:ind w:firstLine="332" w:firstLineChars="100"/>
        <w:rPr>
          <w:rFonts w:cs="方正仿宋_GBK"/>
          <w:b w:val="0"/>
          <w:color w:val="auto"/>
          <w:sz w:val="36"/>
          <w:szCs w:val="30"/>
          <w:highlight w:val="none"/>
        </w:rPr>
      </w:pPr>
      <w:bookmarkStart w:id="60" w:name="_Toc7421891"/>
      <w:bookmarkStart w:id="61" w:name="_Toc28592"/>
      <w:bookmarkStart w:id="62" w:name="_Toc6646"/>
      <w:r>
        <w:rPr>
          <w:rFonts w:hint="eastAsia" w:cs="方正仿宋_GBK"/>
          <w:bCs/>
          <w:color w:val="auto"/>
          <w:sz w:val="36"/>
          <w:szCs w:val="30"/>
          <w:highlight w:val="none"/>
        </w:rPr>
        <w:t>第四篇</w:t>
      </w:r>
      <w:r>
        <w:rPr>
          <w:rFonts w:cs="方正仿宋_GBK"/>
          <w:bCs/>
          <w:color w:val="auto"/>
          <w:sz w:val="36"/>
          <w:szCs w:val="30"/>
          <w:highlight w:val="none"/>
        </w:rPr>
        <w:t xml:space="preserve"> </w:t>
      </w:r>
      <w:r>
        <w:rPr>
          <w:rFonts w:hint="eastAsia" w:cs="方正仿宋_GBK"/>
          <w:bCs/>
          <w:color w:val="auto"/>
          <w:sz w:val="36"/>
          <w:szCs w:val="30"/>
          <w:highlight w:val="none"/>
        </w:rPr>
        <w:t>磋商程序及方法、评审标准、无效响应和采购终止</w:t>
      </w:r>
      <w:bookmarkEnd w:id="60"/>
      <w:bookmarkEnd w:id="61"/>
      <w:bookmarkEnd w:id="62"/>
      <w:bookmarkStart w:id="63" w:name="_Toc342913394"/>
      <w:bookmarkStart w:id="64" w:name="_Toc102227320"/>
    </w:p>
    <w:p>
      <w:pPr>
        <w:pStyle w:val="5"/>
        <w:spacing w:before="0" w:after="0" w:line="440" w:lineRule="exact"/>
        <w:rPr>
          <w:rFonts w:ascii="宋体" w:hAnsi="宋体" w:cs="方正仿宋_GBK"/>
          <w:bCs/>
          <w:color w:val="auto"/>
          <w:sz w:val="28"/>
          <w:szCs w:val="28"/>
          <w:highlight w:val="none"/>
        </w:rPr>
      </w:pPr>
      <w:bookmarkStart w:id="65" w:name="_Toc7421892"/>
      <w:bookmarkStart w:id="66" w:name="_Toc32016"/>
      <w:bookmarkStart w:id="67" w:name="_Toc13127"/>
      <w:r>
        <w:rPr>
          <w:rFonts w:hint="eastAsia" w:ascii="宋体" w:hAnsi="宋体" w:cs="方正仿宋_GBK"/>
          <w:bCs/>
          <w:color w:val="auto"/>
          <w:sz w:val="28"/>
          <w:szCs w:val="28"/>
          <w:highlight w:val="none"/>
        </w:rPr>
        <w:t>一、磋商程序及方法</w:t>
      </w:r>
      <w:bookmarkEnd w:id="65"/>
      <w:bookmarkEnd w:id="66"/>
      <w:bookmarkEnd w:id="67"/>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（一）磋商按竞争性磋商文件规定的时间和地点进行，</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须有法定代表人或其授权代表参加并签到。竞争性磋商以抽签的形式确定磋商顺序，由本项目依法组建的磋商小组分别与各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进行磋商。</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（二）磋商小组对各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的资格条件、响应文件的有效性、完整性和响应程度进行审查。各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只有在完全符合要求的前提下，才能参与正式磋商。</w:t>
      </w:r>
    </w:p>
    <w:p>
      <w:pPr>
        <w:spacing w:line="440" w:lineRule="exact"/>
        <w:ind w:firstLine="424" w:firstLineChars="200"/>
        <w:rPr>
          <w:rFonts w:ascii="宋体" w:hAnsi="宋体" w:eastAsia="宋体" w:cs="宋体"/>
          <w:color w:val="auto"/>
          <w:kern w:val="0"/>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w:t>
      </w:r>
      <w:r>
        <w:rPr>
          <w:rFonts w:hint="eastAsia" w:ascii="宋体" w:hAnsi="宋体" w:eastAsia="宋体" w:cs="宋体"/>
          <w:color w:val="auto"/>
          <w:kern w:val="0"/>
          <w:szCs w:val="24"/>
          <w:highlight w:val="none"/>
        </w:rPr>
        <w:t>资格性检查。依据法律法规和竞争性磋商文件的规定，对响应文件中的资格证明、磋商保证金等进行审查，以确定</w:t>
      </w:r>
      <w:r>
        <w:rPr>
          <w:rFonts w:hint="eastAsia" w:ascii="宋体" w:hAnsi="宋体" w:eastAsia="宋体" w:cs="宋体"/>
          <w:color w:val="auto"/>
          <w:kern w:val="0"/>
          <w:szCs w:val="24"/>
          <w:highlight w:val="none"/>
          <w:lang w:eastAsia="zh-CN"/>
        </w:rPr>
        <w:t>投标人</w:t>
      </w:r>
      <w:r>
        <w:rPr>
          <w:rFonts w:hint="eastAsia" w:ascii="宋体" w:hAnsi="宋体" w:eastAsia="宋体" w:cs="宋体"/>
          <w:color w:val="auto"/>
          <w:kern w:val="0"/>
          <w:szCs w:val="24"/>
          <w:highlight w:val="none"/>
        </w:rPr>
        <w:t>是否具备磋商资格。资格性检查资料表如下：</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4678"/>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5" w:type="dxa"/>
            <w:vAlign w:val="center"/>
          </w:tcPr>
          <w:p>
            <w:pPr>
              <w:adjustRightInd w:val="0"/>
              <w:snapToGrid w:val="0"/>
              <w:spacing w:line="240" w:lineRule="atLeast"/>
              <w:jc w:val="center"/>
              <w:rPr>
                <w:rFonts w:ascii="宋体" w:hAnsi="宋体" w:eastAsia="宋体" w:cs="方正仿宋_GBK"/>
                <w:color w:val="auto"/>
                <w:sz w:val="24"/>
                <w:szCs w:val="24"/>
                <w:highlight w:val="none"/>
              </w:rPr>
            </w:pPr>
            <w:r>
              <w:rPr>
                <w:rFonts w:hint="eastAsia" w:ascii="宋体" w:hAnsi="宋体" w:eastAsia="宋体" w:cs="方正仿宋_GBK"/>
                <w:color w:val="auto"/>
                <w:sz w:val="24"/>
                <w:szCs w:val="24"/>
                <w:highlight w:val="none"/>
              </w:rPr>
              <w:t>序号</w:t>
            </w:r>
          </w:p>
        </w:tc>
        <w:tc>
          <w:tcPr>
            <w:tcW w:w="5387" w:type="dxa"/>
            <w:gridSpan w:val="2"/>
            <w:vAlign w:val="center"/>
          </w:tcPr>
          <w:p>
            <w:pPr>
              <w:adjustRightInd w:val="0"/>
              <w:snapToGrid w:val="0"/>
              <w:spacing w:line="240" w:lineRule="atLeast"/>
              <w:jc w:val="center"/>
              <w:rPr>
                <w:rFonts w:ascii="宋体" w:hAnsi="宋体" w:eastAsia="宋体" w:cs="方正仿宋_GBK"/>
                <w:color w:val="auto"/>
                <w:sz w:val="24"/>
                <w:szCs w:val="24"/>
                <w:highlight w:val="none"/>
              </w:rPr>
            </w:pPr>
            <w:r>
              <w:rPr>
                <w:rFonts w:hint="eastAsia" w:ascii="宋体" w:hAnsi="宋体" w:eastAsia="宋体" w:cs="方正仿宋_GBK"/>
                <w:color w:val="auto"/>
                <w:sz w:val="24"/>
                <w:szCs w:val="24"/>
                <w:highlight w:val="none"/>
              </w:rPr>
              <w:t>检查因素</w:t>
            </w:r>
          </w:p>
        </w:tc>
        <w:tc>
          <w:tcPr>
            <w:tcW w:w="3544" w:type="dxa"/>
            <w:vAlign w:val="center"/>
          </w:tcPr>
          <w:p>
            <w:pPr>
              <w:adjustRightInd w:val="0"/>
              <w:snapToGrid w:val="0"/>
              <w:spacing w:line="240" w:lineRule="atLeast"/>
              <w:jc w:val="center"/>
              <w:rPr>
                <w:rFonts w:ascii="宋体" w:hAnsi="宋体" w:eastAsia="宋体" w:cs="方正仿宋_GBK"/>
                <w:color w:val="auto"/>
                <w:sz w:val="24"/>
                <w:szCs w:val="24"/>
                <w:highlight w:val="none"/>
              </w:rPr>
            </w:pPr>
            <w:r>
              <w:rPr>
                <w:rFonts w:hint="eastAsia" w:ascii="宋体" w:hAnsi="宋体" w:eastAsia="宋体" w:cs="方正仿宋_GBK"/>
                <w:color w:val="auto"/>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5" w:type="dxa"/>
            <w:vMerge w:val="restart"/>
            <w:vAlign w:val="center"/>
          </w:tcPr>
          <w:p>
            <w:pPr>
              <w:spacing w:line="240" w:lineRule="exact"/>
              <w:jc w:val="cente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一</w:t>
            </w:r>
          </w:p>
        </w:tc>
        <w:tc>
          <w:tcPr>
            <w:tcW w:w="709" w:type="dxa"/>
            <w:vMerge w:val="restart"/>
            <w:vAlign w:val="center"/>
          </w:tcPr>
          <w:p>
            <w:pPr>
              <w:spacing w:line="240" w:lineRule="exact"/>
              <w:rPr>
                <w:rFonts w:ascii="宋体" w:hAnsi="宋体" w:eastAsia="宋体" w:cs="仿宋_GB2312"/>
                <w:color w:val="auto"/>
                <w:sz w:val="24"/>
                <w:szCs w:val="24"/>
                <w:highlight w:val="none"/>
                <w:lang w:val="zh-CN"/>
              </w:rPr>
            </w:pPr>
            <w:r>
              <w:rPr>
                <w:rFonts w:hint="eastAsia" w:ascii="宋体" w:hAnsi="宋体" w:eastAsia="宋体" w:cs="宋体"/>
                <w:color w:val="auto"/>
                <w:sz w:val="21"/>
                <w:szCs w:val="21"/>
                <w:lang w:val="zh-CN"/>
              </w:rPr>
              <w:t>《中华人民共和国政府采购法》第二十二条规定</w:t>
            </w:r>
          </w:p>
        </w:tc>
        <w:tc>
          <w:tcPr>
            <w:tcW w:w="4678" w:type="dxa"/>
            <w:vAlign w:val="center"/>
          </w:tcPr>
          <w:p>
            <w:pPr>
              <w:spacing w:line="2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1</w:t>
            </w:r>
            <w:r>
              <w:rPr>
                <w:rFonts w:hint="eastAsia" w:ascii="宋体" w:hAnsi="宋体" w:eastAsia="宋体"/>
                <w:color w:val="auto"/>
                <w:sz w:val="24"/>
                <w:szCs w:val="24"/>
                <w:highlight w:val="none"/>
              </w:rPr>
              <w:t>）具有独立承担民事责任的能力</w:t>
            </w:r>
          </w:p>
        </w:tc>
        <w:tc>
          <w:tcPr>
            <w:tcW w:w="3544" w:type="dxa"/>
            <w:vAlign w:val="center"/>
          </w:tcPr>
          <w:p>
            <w:pPr>
              <w:spacing w:line="240" w:lineRule="exact"/>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法人营业执照（副本）或事业单位法人证书（副本）或个体工商户营业执照或有效的自然人身份证明或社会团体法人登记证书（提供复印件）。</w:t>
            </w:r>
            <w:r>
              <w:rPr>
                <w:rFonts w:ascii="宋体" w:hAnsi="宋体" w:eastAsia="宋体"/>
                <w:color w:val="auto"/>
                <w:sz w:val="24"/>
                <w:szCs w:val="24"/>
                <w:highlight w:val="none"/>
              </w:rPr>
              <w:t xml:space="preserve"> </w:t>
            </w:r>
          </w:p>
          <w:p>
            <w:pPr>
              <w:spacing w:line="240" w:lineRule="exact"/>
              <w:rPr>
                <w:rFonts w:ascii="宋体" w:hAnsi="宋体" w:eastAsia="宋体" w:cs="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5" w:type="dxa"/>
            <w:vMerge w:val="continue"/>
            <w:vAlign w:val="center"/>
          </w:tcPr>
          <w:p>
            <w:pPr>
              <w:spacing w:line="240" w:lineRule="exact"/>
              <w:jc w:val="center"/>
              <w:rPr>
                <w:rFonts w:ascii="宋体" w:hAnsi="宋体" w:eastAsia="宋体"/>
                <w:color w:val="auto"/>
                <w:sz w:val="24"/>
                <w:szCs w:val="24"/>
                <w:highlight w:val="none"/>
              </w:rPr>
            </w:pPr>
          </w:p>
        </w:tc>
        <w:tc>
          <w:tcPr>
            <w:tcW w:w="709" w:type="dxa"/>
            <w:vMerge w:val="continue"/>
            <w:vAlign w:val="center"/>
          </w:tcPr>
          <w:p>
            <w:pPr>
              <w:spacing w:line="240" w:lineRule="exact"/>
              <w:rPr>
                <w:rFonts w:ascii="宋体" w:hAnsi="宋体" w:eastAsia="宋体" w:cs="仿宋_GB2312"/>
                <w:color w:val="auto"/>
                <w:sz w:val="24"/>
                <w:szCs w:val="24"/>
                <w:highlight w:val="none"/>
                <w:lang w:val="zh-CN"/>
              </w:rPr>
            </w:pPr>
          </w:p>
        </w:tc>
        <w:tc>
          <w:tcPr>
            <w:tcW w:w="4678" w:type="dxa"/>
            <w:vAlign w:val="center"/>
          </w:tcPr>
          <w:p>
            <w:pPr>
              <w:spacing w:line="240" w:lineRule="exact"/>
              <w:rPr>
                <w:rFonts w:ascii="宋体" w:hAnsi="宋体" w:eastAsia="宋体"/>
                <w:color w:val="auto"/>
                <w:sz w:val="24"/>
                <w:szCs w:val="24"/>
                <w:highlight w:val="none"/>
              </w:rPr>
            </w:pPr>
            <w:r>
              <w:rPr>
                <w:rFonts w:hint="eastAsia" w:ascii="宋体" w:hAnsi="宋体" w:eastAsia="宋体" w:cs="仿宋_GB2312"/>
                <w:color w:val="auto"/>
                <w:sz w:val="24"/>
                <w:szCs w:val="24"/>
                <w:highlight w:val="none"/>
                <w:lang w:val="zh-CN"/>
              </w:rPr>
              <w:t>（</w:t>
            </w:r>
            <w:r>
              <w:rPr>
                <w:rFonts w:ascii="宋体" w:hAnsi="宋体" w:eastAsia="宋体" w:cs="仿宋_GB2312"/>
                <w:color w:val="auto"/>
                <w:sz w:val="24"/>
                <w:szCs w:val="24"/>
                <w:highlight w:val="none"/>
                <w:lang w:val="zh-CN"/>
              </w:rPr>
              <w:t>2</w:t>
            </w:r>
            <w:r>
              <w:rPr>
                <w:rFonts w:hint="eastAsia" w:ascii="宋体" w:hAnsi="宋体" w:eastAsia="宋体" w:cs="仿宋_GB2312"/>
                <w:color w:val="auto"/>
                <w:sz w:val="24"/>
                <w:szCs w:val="24"/>
                <w:highlight w:val="none"/>
                <w:lang w:val="zh-CN"/>
              </w:rPr>
              <w:t>）</w:t>
            </w:r>
            <w:r>
              <w:rPr>
                <w:rFonts w:hint="eastAsia" w:ascii="宋体" w:hAnsi="宋体" w:eastAsia="宋体"/>
                <w:color w:val="auto"/>
                <w:sz w:val="24"/>
                <w:szCs w:val="24"/>
                <w:highlight w:val="none"/>
              </w:rPr>
              <w:t>具有良好的商业信誉和健全的财务会计制度</w:t>
            </w:r>
          </w:p>
        </w:tc>
        <w:tc>
          <w:tcPr>
            <w:tcW w:w="3544" w:type="dxa"/>
            <w:vAlign w:val="center"/>
          </w:tcPr>
          <w:p>
            <w:pPr>
              <w:spacing w:line="2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提供</w:t>
            </w:r>
            <w:r>
              <w:rPr>
                <w:rFonts w:ascii="宋体" w:hAnsi="宋体" w:eastAsia="宋体"/>
                <w:color w:val="auto"/>
                <w:sz w:val="24"/>
                <w:szCs w:val="24"/>
                <w:highlight w:val="none"/>
              </w:rPr>
              <w:t>2020</w:t>
            </w:r>
            <w:r>
              <w:rPr>
                <w:rFonts w:hint="eastAsia" w:ascii="宋体" w:hAnsi="宋体" w:eastAsia="宋体"/>
                <w:color w:val="auto"/>
                <w:sz w:val="24"/>
                <w:szCs w:val="24"/>
                <w:highlight w:val="none"/>
                <w:lang w:eastAsia="zh-CN"/>
              </w:rPr>
              <w:t>或</w:t>
            </w:r>
            <w:r>
              <w:rPr>
                <w:rFonts w:hint="eastAsia" w:ascii="宋体" w:hAnsi="宋体" w:eastAsia="宋体"/>
                <w:color w:val="auto"/>
                <w:sz w:val="24"/>
                <w:szCs w:val="24"/>
                <w:highlight w:val="none"/>
                <w:lang w:val="en-US" w:eastAsia="zh-CN"/>
              </w:rPr>
              <w:t>2021</w:t>
            </w:r>
            <w:r>
              <w:rPr>
                <w:rFonts w:hint="eastAsia" w:ascii="宋体" w:hAnsi="宋体" w:eastAsia="宋体"/>
                <w:color w:val="auto"/>
                <w:sz w:val="24"/>
                <w:szCs w:val="24"/>
                <w:highlight w:val="none"/>
              </w:rPr>
              <w:t>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5" w:type="dxa"/>
            <w:vMerge w:val="continue"/>
            <w:vAlign w:val="center"/>
          </w:tcPr>
          <w:p>
            <w:pPr>
              <w:spacing w:line="240" w:lineRule="exact"/>
              <w:jc w:val="center"/>
              <w:rPr>
                <w:rFonts w:ascii="宋体" w:hAnsi="宋体" w:eastAsia="宋体"/>
                <w:color w:val="auto"/>
                <w:sz w:val="24"/>
                <w:szCs w:val="24"/>
                <w:highlight w:val="none"/>
              </w:rPr>
            </w:pPr>
          </w:p>
        </w:tc>
        <w:tc>
          <w:tcPr>
            <w:tcW w:w="709" w:type="dxa"/>
            <w:vMerge w:val="continue"/>
            <w:vAlign w:val="center"/>
          </w:tcPr>
          <w:p>
            <w:pPr>
              <w:spacing w:line="240" w:lineRule="exact"/>
              <w:rPr>
                <w:rFonts w:ascii="宋体" w:hAnsi="宋体" w:eastAsia="宋体" w:cs="仿宋_GB2312"/>
                <w:color w:val="auto"/>
                <w:sz w:val="24"/>
                <w:szCs w:val="24"/>
                <w:highlight w:val="none"/>
                <w:lang w:val="zh-CN"/>
              </w:rPr>
            </w:pPr>
          </w:p>
        </w:tc>
        <w:tc>
          <w:tcPr>
            <w:tcW w:w="4678" w:type="dxa"/>
            <w:vAlign w:val="center"/>
          </w:tcPr>
          <w:p>
            <w:pPr>
              <w:spacing w:line="240" w:lineRule="exact"/>
              <w:rPr>
                <w:rFonts w:ascii="宋体" w:hAnsi="宋体" w:eastAsia="宋体" w:cs="仿宋_GB2312"/>
                <w:color w:val="auto"/>
                <w:sz w:val="24"/>
                <w:szCs w:val="24"/>
                <w:highlight w:val="none"/>
                <w:lang w:val="zh-CN"/>
              </w:rPr>
            </w:pPr>
            <w:r>
              <w:rPr>
                <w:rFonts w:hint="eastAsia" w:ascii="宋体" w:hAnsi="宋体" w:eastAsia="宋体" w:cs="仿宋_GB2312"/>
                <w:color w:val="auto"/>
                <w:sz w:val="24"/>
                <w:szCs w:val="24"/>
                <w:highlight w:val="none"/>
                <w:lang w:val="zh-CN"/>
              </w:rPr>
              <w:t>（</w:t>
            </w:r>
            <w:r>
              <w:rPr>
                <w:rFonts w:ascii="宋体" w:hAnsi="宋体" w:eastAsia="宋体" w:cs="仿宋_GB2312"/>
                <w:color w:val="auto"/>
                <w:sz w:val="24"/>
                <w:szCs w:val="24"/>
                <w:highlight w:val="none"/>
                <w:lang w:val="zh-CN"/>
              </w:rPr>
              <w:t>3</w:t>
            </w:r>
            <w:r>
              <w:rPr>
                <w:rFonts w:hint="eastAsia" w:ascii="宋体" w:hAnsi="宋体" w:eastAsia="宋体" w:cs="仿宋_GB2312"/>
                <w:color w:val="auto"/>
                <w:sz w:val="24"/>
                <w:szCs w:val="24"/>
                <w:highlight w:val="none"/>
                <w:lang w:val="zh-CN"/>
              </w:rPr>
              <w:t>）具有履行合同所必需的设备和专业技术能力</w:t>
            </w:r>
          </w:p>
        </w:tc>
        <w:tc>
          <w:tcPr>
            <w:tcW w:w="3544" w:type="dxa"/>
            <w:vAlign w:val="center"/>
          </w:tcPr>
          <w:p>
            <w:pPr>
              <w:spacing w:line="240" w:lineRule="exact"/>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投标人</w:t>
            </w:r>
            <w:r>
              <w:rPr>
                <w:rFonts w:hint="eastAsia" w:ascii="宋体" w:hAnsi="宋体" w:eastAsia="宋体"/>
                <w:color w:val="auto"/>
                <w:sz w:val="24"/>
                <w:szCs w:val="24"/>
                <w:highlight w:val="none"/>
              </w:rPr>
              <w:t>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5" w:type="dxa"/>
            <w:vMerge w:val="continue"/>
            <w:vAlign w:val="center"/>
          </w:tcPr>
          <w:p>
            <w:pPr>
              <w:spacing w:line="240" w:lineRule="exact"/>
              <w:jc w:val="center"/>
              <w:rPr>
                <w:rFonts w:ascii="宋体" w:hAnsi="宋体" w:eastAsia="宋体"/>
                <w:color w:val="auto"/>
                <w:sz w:val="24"/>
                <w:szCs w:val="24"/>
                <w:highlight w:val="none"/>
              </w:rPr>
            </w:pPr>
          </w:p>
        </w:tc>
        <w:tc>
          <w:tcPr>
            <w:tcW w:w="709" w:type="dxa"/>
            <w:vMerge w:val="continue"/>
            <w:vAlign w:val="center"/>
          </w:tcPr>
          <w:p>
            <w:pPr>
              <w:spacing w:line="240" w:lineRule="exact"/>
              <w:rPr>
                <w:rFonts w:ascii="宋体" w:hAnsi="宋体" w:eastAsia="宋体" w:cs="仿宋_GB2312"/>
                <w:color w:val="auto"/>
                <w:sz w:val="24"/>
                <w:szCs w:val="24"/>
                <w:highlight w:val="none"/>
                <w:lang w:val="zh-CN"/>
              </w:rPr>
            </w:pPr>
          </w:p>
        </w:tc>
        <w:tc>
          <w:tcPr>
            <w:tcW w:w="4678" w:type="dxa"/>
            <w:vAlign w:val="center"/>
          </w:tcPr>
          <w:p>
            <w:pPr>
              <w:spacing w:line="240" w:lineRule="exact"/>
              <w:rPr>
                <w:rFonts w:ascii="宋体" w:hAnsi="宋体" w:eastAsia="宋体" w:cs="仿宋_GB2312"/>
                <w:color w:val="auto"/>
                <w:sz w:val="24"/>
                <w:szCs w:val="24"/>
                <w:highlight w:val="none"/>
                <w:lang w:val="zh-CN"/>
              </w:rPr>
            </w:pPr>
            <w:r>
              <w:rPr>
                <w:rFonts w:hint="eastAsia" w:ascii="宋体" w:hAnsi="宋体" w:eastAsia="宋体" w:cs="仿宋_GB2312"/>
                <w:color w:val="auto"/>
                <w:sz w:val="24"/>
                <w:szCs w:val="24"/>
                <w:highlight w:val="none"/>
                <w:lang w:val="zh-CN"/>
              </w:rPr>
              <w:t>（</w:t>
            </w:r>
            <w:r>
              <w:rPr>
                <w:rFonts w:ascii="宋体" w:hAnsi="宋体" w:eastAsia="宋体" w:cs="仿宋_GB2312"/>
                <w:color w:val="auto"/>
                <w:sz w:val="24"/>
                <w:szCs w:val="24"/>
                <w:highlight w:val="none"/>
                <w:lang w:val="zh-CN"/>
              </w:rPr>
              <w:t>4</w:t>
            </w:r>
            <w:r>
              <w:rPr>
                <w:rFonts w:hint="eastAsia" w:ascii="宋体" w:hAnsi="宋体" w:eastAsia="宋体" w:cs="仿宋_GB2312"/>
                <w:color w:val="auto"/>
                <w:sz w:val="24"/>
                <w:szCs w:val="24"/>
                <w:highlight w:val="none"/>
                <w:lang w:val="zh-CN"/>
              </w:rPr>
              <w:t>）有依法缴纳税收和社会保障金的良好记录</w:t>
            </w:r>
          </w:p>
        </w:tc>
        <w:tc>
          <w:tcPr>
            <w:tcW w:w="3544" w:type="dxa"/>
            <w:vAlign w:val="center"/>
          </w:tcPr>
          <w:p>
            <w:pPr>
              <w:spacing w:line="240" w:lineRule="exact"/>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税务登记证（副本）复印件；</w:t>
            </w:r>
          </w:p>
          <w:p>
            <w:pPr>
              <w:spacing w:line="240" w:lineRule="exact"/>
              <w:rPr>
                <w:rFonts w:ascii="宋体" w:hAnsi="宋体" w:eastAsia="宋体"/>
                <w:color w:val="auto"/>
                <w:sz w:val="24"/>
                <w:szCs w:val="24"/>
                <w:highlight w:val="none"/>
              </w:rPr>
            </w:pPr>
            <w:r>
              <w:rPr>
                <w:rFonts w:ascii="宋体" w:hAnsi="宋体" w:eastAsia="宋体"/>
                <w:color w:val="auto"/>
                <w:sz w:val="24"/>
                <w:szCs w:val="24"/>
                <w:highlight w:val="none"/>
              </w:rPr>
              <w:t>2.</w:t>
            </w:r>
            <w:r>
              <w:rPr>
                <w:rFonts w:hint="eastAsia" w:ascii="宋体" w:hAnsi="宋体" w:eastAsia="宋体"/>
                <w:color w:val="auto"/>
                <w:sz w:val="24"/>
                <w:szCs w:val="24"/>
                <w:highlight w:val="none"/>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5" w:type="dxa"/>
            <w:vMerge w:val="continue"/>
            <w:vAlign w:val="center"/>
          </w:tcPr>
          <w:p>
            <w:pPr>
              <w:spacing w:line="240" w:lineRule="exact"/>
              <w:jc w:val="center"/>
              <w:rPr>
                <w:rFonts w:ascii="宋体" w:hAnsi="宋体" w:eastAsia="宋体"/>
                <w:color w:val="auto"/>
                <w:sz w:val="24"/>
                <w:szCs w:val="24"/>
                <w:highlight w:val="none"/>
              </w:rPr>
            </w:pPr>
          </w:p>
        </w:tc>
        <w:tc>
          <w:tcPr>
            <w:tcW w:w="709" w:type="dxa"/>
            <w:vMerge w:val="continue"/>
            <w:vAlign w:val="center"/>
          </w:tcPr>
          <w:p>
            <w:pPr>
              <w:spacing w:line="240" w:lineRule="exact"/>
              <w:rPr>
                <w:rFonts w:ascii="宋体" w:hAnsi="宋体" w:eastAsia="宋体" w:cs="仿宋_GB2312"/>
                <w:color w:val="auto"/>
                <w:sz w:val="24"/>
                <w:szCs w:val="24"/>
                <w:highlight w:val="none"/>
                <w:lang w:val="zh-CN"/>
              </w:rPr>
            </w:pPr>
          </w:p>
        </w:tc>
        <w:tc>
          <w:tcPr>
            <w:tcW w:w="4678" w:type="dxa"/>
            <w:vAlign w:val="center"/>
          </w:tcPr>
          <w:p>
            <w:pPr>
              <w:spacing w:line="240" w:lineRule="exact"/>
              <w:rPr>
                <w:rFonts w:ascii="宋体" w:hAnsi="宋体" w:eastAsia="宋体" w:cs="仿宋_GB2312"/>
                <w:color w:val="auto"/>
                <w:sz w:val="24"/>
                <w:szCs w:val="24"/>
                <w:highlight w:val="none"/>
                <w:lang w:val="zh-CN"/>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5</w:t>
            </w:r>
            <w:r>
              <w:rPr>
                <w:rFonts w:hint="eastAsia" w:ascii="宋体" w:hAnsi="宋体" w:eastAsia="宋体"/>
                <w:color w:val="auto"/>
                <w:sz w:val="24"/>
                <w:szCs w:val="24"/>
                <w:highlight w:val="none"/>
              </w:rPr>
              <w:t>）参加政府采购活动前三年内，在经营活动中没有重大违法记录</w:t>
            </w:r>
          </w:p>
        </w:tc>
        <w:tc>
          <w:tcPr>
            <w:tcW w:w="3544" w:type="dxa"/>
            <w:vAlign w:val="center"/>
          </w:tcPr>
          <w:p>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1.投标人提供书面声明（见格式文件）。</w:t>
            </w:r>
          </w:p>
          <w:p>
            <w:pPr>
              <w:spacing w:line="2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5" w:type="dxa"/>
            <w:vMerge w:val="continue"/>
            <w:vAlign w:val="center"/>
          </w:tcPr>
          <w:p>
            <w:pPr>
              <w:spacing w:line="240" w:lineRule="exact"/>
              <w:jc w:val="center"/>
              <w:rPr>
                <w:rFonts w:ascii="宋体" w:hAnsi="宋体" w:eastAsia="宋体"/>
                <w:color w:val="auto"/>
                <w:sz w:val="24"/>
                <w:szCs w:val="24"/>
                <w:highlight w:val="none"/>
              </w:rPr>
            </w:pPr>
          </w:p>
        </w:tc>
        <w:tc>
          <w:tcPr>
            <w:tcW w:w="709" w:type="dxa"/>
            <w:vMerge w:val="continue"/>
            <w:vAlign w:val="center"/>
          </w:tcPr>
          <w:p>
            <w:pPr>
              <w:spacing w:line="240" w:lineRule="exact"/>
              <w:rPr>
                <w:rFonts w:ascii="宋体" w:hAnsi="宋体" w:eastAsia="宋体" w:cs="仿宋_GB2312"/>
                <w:color w:val="auto"/>
                <w:sz w:val="24"/>
                <w:szCs w:val="24"/>
                <w:highlight w:val="none"/>
                <w:lang w:val="zh-CN"/>
              </w:rPr>
            </w:pPr>
          </w:p>
        </w:tc>
        <w:tc>
          <w:tcPr>
            <w:tcW w:w="4678" w:type="dxa"/>
            <w:vAlign w:val="center"/>
          </w:tcPr>
          <w:p>
            <w:pPr>
              <w:spacing w:line="2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w:t>
            </w:r>
            <w:r>
              <w:rPr>
                <w:rFonts w:ascii="宋体" w:hAnsi="宋体" w:eastAsia="宋体"/>
                <w:color w:val="auto"/>
                <w:sz w:val="24"/>
                <w:szCs w:val="24"/>
                <w:highlight w:val="none"/>
              </w:rPr>
              <w:t>6</w:t>
            </w:r>
            <w:r>
              <w:rPr>
                <w:rFonts w:hint="eastAsia" w:ascii="宋体" w:hAnsi="宋体" w:eastAsia="宋体"/>
                <w:color w:val="auto"/>
                <w:sz w:val="24"/>
                <w:szCs w:val="24"/>
                <w:highlight w:val="none"/>
              </w:rPr>
              <w:t>）法律、行政法规规定的其他条件</w:t>
            </w:r>
          </w:p>
        </w:tc>
        <w:tc>
          <w:tcPr>
            <w:tcW w:w="3544" w:type="dxa"/>
            <w:vAlign w:val="center"/>
          </w:tcPr>
          <w:p>
            <w:pPr>
              <w:spacing w:line="240" w:lineRule="exact"/>
              <w:rPr>
                <w:rFonts w:ascii="宋体" w:hAnsi="宋体" w:eastAsia="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5" w:type="dxa"/>
            <w:vAlign w:val="center"/>
          </w:tcPr>
          <w:p>
            <w:pPr>
              <w:spacing w:line="240" w:lineRule="exact"/>
              <w:jc w:val="center"/>
              <w:rPr>
                <w:rFonts w:ascii="宋体" w:hAnsi="宋体" w:eastAsia="宋体"/>
                <w:color w:val="auto"/>
                <w:sz w:val="24"/>
                <w:szCs w:val="24"/>
                <w:highlight w:val="none"/>
              </w:rPr>
            </w:pPr>
          </w:p>
        </w:tc>
        <w:tc>
          <w:tcPr>
            <w:tcW w:w="709" w:type="dxa"/>
            <w:vAlign w:val="center"/>
          </w:tcPr>
          <w:p>
            <w:pPr>
              <w:spacing w:line="240" w:lineRule="exact"/>
              <w:rPr>
                <w:rFonts w:ascii="宋体" w:hAnsi="宋体" w:eastAsia="宋体" w:cs="仿宋_GB2312"/>
                <w:color w:val="auto"/>
                <w:sz w:val="24"/>
                <w:szCs w:val="24"/>
                <w:highlight w:val="none"/>
                <w:lang w:val="zh-CN"/>
              </w:rPr>
            </w:pPr>
          </w:p>
        </w:tc>
        <w:tc>
          <w:tcPr>
            <w:tcW w:w="4678" w:type="dxa"/>
            <w:vAlign w:val="center"/>
          </w:tcPr>
          <w:p>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lang w:val="en-US" w:eastAsia="zh-CN"/>
              </w:rPr>
              <w:t>7</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本项目的特定资格要求</w:t>
            </w:r>
          </w:p>
        </w:tc>
        <w:tc>
          <w:tcPr>
            <w:tcW w:w="3544" w:type="dxa"/>
            <w:vAlign w:val="center"/>
          </w:tcPr>
          <w:p>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按第一篇“三、投标人资格要求（三）本项目的特定资格要求”的要求提交（如果有）。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675" w:type="dxa"/>
            <w:vAlign w:val="center"/>
          </w:tcPr>
          <w:p>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w:t>
            </w:r>
          </w:p>
        </w:tc>
        <w:tc>
          <w:tcPr>
            <w:tcW w:w="5387" w:type="dxa"/>
            <w:gridSpan w:val="2"/>
            <w:vAlign w:val="center"/>
          </w:tcPr>
          <w:p>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落实政府采购政策需满足的资格要求</w:t>
            </w:r>
          </w:p>
        </w:tc>
        <w:tc>
          <w:tcPr>
            <w:tcW w:w="3544" w:type="dxa"/>
            <w:vAlign w:val="center"/>
          </w:tcPr>
          <w:p>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按第一篇“三、投标人资格要求（二）落实政府采购政策需满足的资格要求”的要求提交（如果有）。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5" w:type="dxa"/>
            <w:vAlign w:val="center"/>
          </w:tcPr>
          <w:p>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w:t>
            </w:r>
          </w:p>
        </w:tc>
        <w:tc>
          <w:tcPr>
            <w:tcW w:w="5387" w:type="dxa"/>
            <w:gridSpan w:val="2"/>
            <w:vAlign w:val="center"/>
          </w:tcPr>
          <w:p>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投标保证金</w:t>
            </w:r>
          </w:p>
        </w:tc>
        <w:tc>
          <w:tcPr>
            <w:tcW w:w="3544" w:type="dxa"/>
            <w:vAlign w:val="center"/>
          </w:tcPr>
          <w:p>
            <w:pPr>
              <w:spacing w:line="24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按照招标文件要求足额交纳所投包的投标保证金。</w:t>
            </w:r>
          </w:p>
        </w:tc>
      </w:tr>
    </w:tbl>
    <w:p>
      <w:pPr>
        <w:spacing w:line="44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注：①以上资格检查证明材料，该年审的应当年审合格，设有效期的应当在有效期内，提供原件的应当有效。提供复印件的应当清晰可见并加盖</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公章，评审现场能够提供原件以备查验。</w:t>
      </w:r>
    </w:p>
    <w:p>
      <w:pPr>
        <w:spacing w:line="44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②</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按“三证合一”登记制度办理营业执照的，组织机构代码证和税务登记证（副本）以</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所提供的营业执照（副本）复印件为准。</w:t>
      </w:r>
    </w:p>
    <w:p>
      <w:pPr>
        <w:spacing w:line="44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③根据《中华人民共和国政府采购法实施条例》第十九条“参加政府采购活动前三年内，在经营活动中没有重大违法记录”中“重大违法记录”，是指</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24" w:firstLineChars="200"/>
        <w:rPr>
          <w:rFonts w:ascii="宋体" w:hAnsi="宋体" w:eastAsia="宋体"/>
          <w:color w:val="auto"/>
          <w:kern w:val="0"/>
          <w:szCs w:val="24"/>
          <w:highlight w:val="none"/>
        </w:rPr>
      </w:pPr>
      <w:r>
        <w:rPr>
          <w:rFonts w:ascii="宋体" w:hAnsi="宋体" w:eastAsia="宋体" w:cs="宋体"/>
          <w:color w:val="auto"/>
          <w:kern w:val="0"/>
          <w:szCs w:val="24"/>
          <w:highlight w:val="none"/>
        </w:rPr>
        <w:t>2</w:t>
      </w:r>
      <w:r>
        <w:rPr>
          <w:rFonts w:hint="eastAsia" w:ascii="宋体" w:hAnsi="宋体" w:eastAsia="宋体" w:cs="宋体"/>
          <w:color w:val="auto"/>
          <w:kern w:val="0"/>
          <w:szCs w:val="24"/>
          <w:highlight w:val="none"/>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eastAsia="宋体"/>
          <w:color w:val="auto"/>
          <w:kern w:val="0"/>
          <w:szCs w:val="24"/>
          <w:highlight w:val="none"/>
        </w:rPr>
        <w:t>符合性检查资料表如下：</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pPr>
              <w:spacing w:line="240" w:lineRule="exact"/>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pPr>
              <w:spacing w:line="240" w:lineRule="exact"/>
              <w:jc w:val="center"/>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w:t>
            </w:r>
          </w:p>
        </w:tc>
        <w:tc>
          <w:tcPr>
            <w:tcW w:w="1560" w:type="dxa"/>
            <w:vMerge w:val="restart"/>
            <w:vAlign w:val="center"/>
          </w:tcPr>
          <w:p>
            <w:pPr>
              <w:spacing w:line="24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pPr>
              <w:spacing w:line="240" w:lineRule="exact"/>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rPr>
              <w:t>响应文件签署</w:t>
            </w:r>
          </w:p>
        </w:tc>
        <w:tc>
          <w:tcPr>
            <w:tcW w:w="5409" w:type="dxa"/>
            <w:vAlign w:val="center"/>
          </w:tcPr>
          <w:p>
            <w:pPr>
              <w:spacing w:line="240" w:lineRule="exact"/>
              <w:rPr>
                <w:rFonts w:ascii="宋体" w:hAnsi="宋体" w:eastAsia="宋体" w:cs="宋体"/>
                <w:color w:val="auto"/>
                <w:kern w:val="0"/>
                <w:sz w:val="24"/>
                <w:szCs w:val="24"/>
                <w:highlight w:val="none"/>
              </w:rPr>
            </w:pPr>
            <w:r>
              <w:rPr>
                <w:rFonts w:hint="eastAsia" w:ascii="宋体" w:hAnsi="宋体" w:eastAsia="宋体"/>
                <w:color w:val="auto"/>
                <w:sz w:val="24"/>
                <w:szCs w:val="24"/>
                <w:highlight w:val="none"/>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宋体" w:hAnsi="宋体" w:eastAsia="宋体" w:cs="宋体"/>
                <w:color w:val="auto"/>
                <w:kern w:val="0"/>
                <w:sz w:val="24"/>
                <w:szCs w:val="24"/>
                <w:highlight w:val="none"/>
              </w:rPr>
            </w:pPr>
          </w:p>
        </w:tc>
        <w:tc>
          <w:tcPr>
            <w:tcW w:w="1560" w:type="dxa"/>
            <w:vMerge w:val="continue"/>
            <w:vAlign w:val="center"/>
          </w:tcPr>
          <w:p>
            <w:pPr>
              <w:spacing w:line="240" w:lineRule="exact"/>
              <w:rPr>
                <w:rFonts w:ascii="宋体" w:hAnsi="宋体" w:eastAsia="宋体" w:cs="宋体"/>
                <w:color w:val="auto"/>
                <w:kern w:val="0"/>
                <w:sz w:val="24"/>
                <w:szCs w:val="24"/>
                <w:highlight w:val="none"/>
              </w:rPr>
            </w:pPr>
          </w:p>
        </w:tc>
        <w:tc>
          <w:tcPr>
            <w:tcW w:w="1984" w:type="dxa"/>
            <w:vAlign w:val="center"/>
          </w:tcPr>
          <w:p>
            <w:pPr>
              <w:spacing w:line="2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法定代表人身份证明及授权委托书</w:t>
            </w:r>
          </w:p>
        </w:tc>
        <w:tc>
          <w:tcPr>
            <w:tcW w:w="5409" w:type="dxa"/>
            <w:vAlign w:val="center"/>
          </w:tcPr>
          <w:p>
            <w:pPr>
              <w:spacing w:line="24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宋体" w:hAnsi="宋体" w:eastAsia="宋体" w:cs="宋体"/>
                <w:color w:val="auto"/>
                <w:kern w:val="0"/>
                <w:sz w:val="24"/>
                <w:szCs w:val="24"/>
                <w:highlight w:val="none"/>
              </w:rPr>
            </w:pPr>
          </w:p>
        </w:tc>
        <w:tc>
          <w:tcPr>
            <w:tcW w:w="1560" w:type="dxa"/>
            <w:vMerge w:val="continue"/>
            <w:vAlign w:val="center"/>
          </w:tcPr>
          <w:p>
            <w:pPr>
              <w:spacing w:line="240" w:lineRule="exact"/>
              <w:rPr>
                <w:rFonts w:ascii="宋体" w:hAnsi="宋体" w:eastAsia="宋体" w:cs="宋体"/>
                <w:color w:val="auto"/>
                <w:kern w:val="0"/>
                <w:sz w:val="24"/>
                <w:szCs w:val="24"/>
                <w:highlight w:val="none"/>
              </w:rPr>
            </w:pPr>
          </w:p>
        </w:tc>
        <w:tc>
          <w:tcPr>
            <w:tcW w:w="1984" w:type="dxa"/>
            <w:vAlign w:val="center"/>
          </w:tcPr>
          <w:p>
            <w:pPr>
              <w:spacing w:line="240" w:lineRule="exact"/>
              <w:rPr>
                <w:rFonts w:ascii="宋体" w:hAnsi="宋体" w:eastAsia="宋体" w:cs="仿宋_GB2312"/>
                <w:color w:val="auto"/>
                <w:sz w:val="24"/>
                <w:szCs w:val="24"/>
                <w:highlight w:val="none"/>
                <w:lang w:val="zh-CN"/>
              </w:rPr>
            </w:pPr>
            <w:r>
              <w:rPr>
                <w:rFonts w:hint="eastAsia" w:ascii="宋体" w:hAnsi="宋体" w:eastAsia="宋体" w:cs="仿宋_GB2312"/>
                <w:color w:val="auto"/>
                <w:sz w:val="24"/>
                <w:szCs w:val="24"/>
                <w:highlight w:val="none"/>
              </w:rPr>
              <w:t>响应</w:t>
            </w:r>
            <w:r>
              <w:rPr>
                <w:rFonts w:hint="eastAsia" w:ascii="宋体" w:hAnsi="宋体" w:eastAsia="宋体" w:cs="仿宋_GB2312"/>
                <w:color w:val="auto"/>
                <w:sz w:val="24"/>
                <w:szCs w:val="24"/>
                <w:highlight w:val="none"/>
                <w:lang w:val="zh-CN"/>
              </w:rPr>
              <w:t>方案</w:t>
            </w:r>
          </w:p>
        </w:tc>
        <w:tc>
          <w:tcPr>
            <w:tcW w:w="5409" w:type="dxa"/>
            <w:vAlign w:val="center"/>
          </w:tcPr>
          <w:p>
            <w:pPr>
              <w:spacing w:line="240" w:lineRule="exact"/>
              <w:rPr>
                <w:rFonts w:ascii="宋体" w:hAnsi="宋体" w:eastAsia="宋体" w:cs="宋体"/>
                <w:color w:val="auto"/>
                <w:kern w:val="0"/>
                <w:sz w:val="24"/>
                <w:szCs w:val="24"/>
                <w:highlight w:val="none"/>
              </w:rPr>
            </w:pPr>
            <w:r>
              <w:rPr>
                <w:rFonts w:hint="eastAsia" w:ascii="宋体" w:hAnsi="宋体" w:eastAsia="宋体" w:cs="仿宋_GB2312"/>
                <w:color w:val="auto"/>
                <w:sz w:val="24"/>
                <w:szCs w:val="24"/>
                <w:highlight w:val="none"/>
                <w:lang w:val="zh-CN"/>
              </w:rPr>
              <w:t>每个分包只能有一个</w:t>
            </w:r>
            <w:r>
              <w:rPr>
                <w:rFonts w:hint="eastAsia" w:ascii="宋体" w:hAnsi="宋体" w:eastAsia="宋体" w:cs="仿宋_GB2312"/>
                <w:color w:val="auto"/>
                <w:sz w:val="24"/>
                <w:szCs w:val="24"/>
                <w:highlight w:val="none"/>
              </w:rPr>
              <w:t>响应</w:t>
            </w:r>
            <w:r>
              <w:rPr>
                <w:rFonts w:hint="eastAsia" w:ascii="宋体" w:hAnsi="宋体" w:eastAsia="宋体" w:cs="仿宋_GB2312"/>
                <w:color w:val="auto"/>
                <w:sz w:val="24"/>
                <w:szCs w:val="24"/>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宋体" w:hAnsi="宋体" w:eastAsia="宋体" w:cs="宋体"/>
                <w:color w:val="auto"/>
                <w:kern w:val="0"/>
                <w:sz w:val="24"/>
                <w:szCs w:val="24"/>
                <w:highlight w:val="none"/>
              </w:rPr>
            </w:pPr>
          </w:p>
        </w:tc>
        <w:tc>
          <w:tcPr>
            <w:tcW w:w="1560" w:type="dxa"/>
            <w:vMerge w:val="continue"/>
            <w:vAlign w:val="center"/>
          </w:tcPr>
          <w:p>
            <w:pPr>
              <w:spacing w:line="240" w:lineRule="exact"/>
              <w:rPr>
                <w:rFonts w:ascii="宋体" w:hAnsi="宋体" w:eastAsia="宋体" w:cs="宋体"/>
                <w:color w:val="auto"/>
                <w:kern w:val="0"/>
                <w:sz w:val="24"/>
                <w:szCs w:val="24"/>
                <w:highlight w:val="none"/>
              </w:rPr>
            </w:pPr>
          </w:p>
        </w:tc>
        <w:tc>
          <w:tcPr>
            <w:tcW w:w="1984" w:type="dxa"/>
            <w:vAlign w:val="center"/>
          </w:tcPr>
          <w:p>
            <w:pPr>
              <w:spacing w:line="240" w:lineRule="exact"/>
              <w:rPr>
                <w:rFonts w:ascii="宋体" w:hAnsi="宋体" w:eastAsia="宋体" w:cs="仿宋_GB2312"/>
                <w:color w:val="auto"/>
                <w:sz w:val="24"/>
                <w:szCs w:val="24"/>
                <w:highlight w:val="none"/>
                <w:lang w:val="zh-CN"/>
              </w:rPr>
            </w:pPr>
            <w:r>
              <w:rPr>
                <w:rFonts w:hint="eastAsia" w:ascii="宋体" w:hAnsi="宋体" w:eastAsia="宋体"/>
                <w:color w:val="auto"/>
                <w:sz w:val="24"/>
                <w:szCs w:val="24"/>
                <w:highlight w:val="none"/>
              </w:rPr>
              <w:t>报价唯一</w:t>
            </w:r>
          </w:p>
        </w:tc>
        <w:tc>
          <w:tcPr>
            <w:tcW w:w="5409" w:type="dxa"/>
            <w:vAlign w:val="center"/>
          </w:tcPr>
          <w:p>
            <w:pPr>
              <w:spacing w:line="240" w:lineRule="exact"/>
              <w:rPr>
                <w:rFonts w:ascii="宋体" w:hAnsi="宋体" w:eastAsia="宋体" w:cs="宋体"/>
                <w:color w:val="auto"/>
                <w:kern w:val="0"/>
                <w:sz w:val="24"/>
                <w:szCs w:val="24"/>
                <w:highlight w:val="none"/>
              </w:rPr>
            </w:pPr>
            <w:r>
              <w:rPr>
                <w:rFonts w:hint="eastAsia" w:ascii="宋体" w:hAnsi="宋体" w:eastAsia="宋体" w:cs="仿宋_GB2312"/>
                <w:color w:val="auto"/>
                <w:sz w:val="24"/>
                <w:szCs w:val="24"/>
                <w:highlight w:val="none"/>
                <w:lang w:val="zh-CN"/>
              </w:rPr>
              <w:t>只能在采购预算范围内报价，</w:t>
            </w:r>
            <w:r>
              <w:rPr>
                <w:rFonts w:hint="eastAsia" w:ascii="宋体" w:hAnsi="宋体" w:eastAsia="宋体"/>
                <w:color w:val="auto"/>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2</w:t>
            </w:r>
          </w:p>
        </w:tc>
        <w:tc>
          <w:tcPr>
            <w:tcW w:w="1560" w:type="dxa"/>
            <w:vMerge w:val="restart"/>
            <w:vAlign w:val="center"/>
          </w:tcPr>
          <w:p>
            <w:pPr>
              <w:spacing w:line="24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pPr>
              <w:spacing w:line="240" w:lineRule="exact"/>
              <w:rPr>
                <w:rFonts w:ascii="宋体" w:hAnsi="宋体" w:eastAsia="宋体" w:cs="宋体"/>
                <w:color w:val="auto"/>
                <w:kern w:val="0"/>
                <w:sz w:val="24"/>
                <w:szCs w:val="24"/>
                <w:highlight w:val="none"/>
              </w:rPr>
            </w:pPr>
            <w:r>
              <w:rPr>
                <w:rFonts w:hint="eastAsia" w:ascii="宋体" w:hAnsi="宋体" w:eastAsia="宋体" w:cs="仿宋_GB2312"/>
                <w:color w:val="auto"/>
                <w:sz w:val="24"/>
                <w:szCs w:val="24"/>
                <w:highlight w:val="none"/>
              </w:rPr>
              <w:t>响应</w:t>
            </w:r>
            <w:r>
              <w:rPr>
                <w:rFonts w:hint="eastAsia" w:ascii="宋体" w:hAnsi="宋体" w:eastAsia="宋体" w:cs="仿宋_GB2312"/>
                <w:color w:val="auto"/>
                <w:sz w:val="24"/>
                <w:szCs w:val="24"/>
                <w:highlight w:val="none"/>
                <w:lang w:val="zh-CN"/>
              </w:rPr>
              <w:t>文件份数</w:t>
            </w:r>
          </w:p>
        </w:tc>
        <w:tc>
          <w:tcPr>
            <w:tcW w:w="5409" w:type="dxa"/>
            <w:vAlign w:val="center"/>
          </w:tcPr>
          <w:p>
            <w:pPr>
              <w:spacing w:line="240" w:lineRule="exact"/>
              <w:rPr>
                <w:rFonts w:ascii="宋体" w:hAnsi="宋体" w:eastAsia="宋体" w:cs="宋体"/>
                <w:color w:val="auto"/>
                <w:kern w:val="0"/>
                <w:sz w:val="24"/>
                <w:szCs w:val="24"/>
                <w:highlight w:val="none"/>
              </w:rPr>
            </w:pPr>
            <w:r>
              <w:rPr>
                <w:rFonts w:hint="eastAsia" w:ascii="宋体" w:hAnsi="宋体" w:eastAsia="宋体" w:cs="仿宋_GB2312"/>
                <w:color w:val="auto"/>
                <w:sz w:val="24"/>
                <w:szCs w:val="24"/>
                <w:highlight w:val="none"/>
              </w:rPr>
              <w:t>响应</w:t>
            </w:r>
            <w:r>
              <w:rPr>
                <w:rFonts w:hint="eastAsia" w:ascii="宋体" w:hAnsi="宋体" w:eastAsia="宋体" w:cs="仿宋_GB2312"/>
                <w:color w:val="auto"/>
                <w:sz w:val="24"/>
                <w:szCs w:val="24"/>
                <w:highlight w:val="none"/>
                <w:lang w:val="zh-CN"/>
              </w:rPr>
              <w:t>文件正、副本数量（含电子文档）符合</w:t>
            </w:r>
            <w:r>
              <w:rPr>
                <w:rFonts w:hint="eastAsia" w:ascii="宋体" w:hAnsi="宋体" w:eastAsia="宋体" w:cs="仿宋_GB2312"/>
                <w:color w:val="auto"/>
                <w:sz w:val="24"/>
                <w:szCs w:val="24"/>
                <w:highlight w:val="none"/>
              </w:rPr>
              <w:t>竞争性磋商</w:t>
            </w:r>
            <w:r>
              <w:rPr>
                <w:rFonts w:hint="eastAsia" w:ascii="宋体" w:hAnsi="宋体" w:eastAsia="宋体" w:cs="仿宋_GB2312"/>
                <w:color w:val="auto"/>
                <w:sz w:val="24"/>
                <w:szCs w:val="24"/>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ascii="宋体" w:hAnsi="宋体" w:eastAsia="宋体" w:cs="宋体"/>
                <w:color w:val="auto"/>
                <w:kern w:val="0"/>
                <w:sz w:val="24"/>
                <w:szCs w:val="24"/>
                <w:highlight w:val="none"/>
              </w:rPr>
            </w:pPr>
          </w:p>
        </w:tc>
        <w:tc>
          <w:tcPr>
            <w:tcW w:w="1560" w:type="dxa"/>
            <w:vMerge w:val="continue"/>
            <w:vAlign w:val="center"/>
          </w:tcPr>
          <w:p>
            <w:pPr>
              <w:spacing w:line="240" w:lineRule="exact"/>
              <w:rPr>
                <w:rFonts w:ascii="宋体" w:hAnsi="宋体" w:eastAsia="宋体" w:cs="宋体"/>
                <w:color w:val="auto"/>
                <w:kern w:val="0"/>
                <w:sz w:val="24"/>
                <w:szCs w:val="24"/>
                <w:highlight w:val="none"/>
              </w:rPr>
            </w:pPr>
          </w:p>
        </w:tc>
        <w:tc>
          <w:tcPr>
            <w:tcW w:w="1984" w:type="dxa"/>
            <w:vAlign w:val="center"/>
          </w:tcPr>
          <w:p>
            <w:pPr>
              <w:spacing w:line="240" w:lineRule="exact"/>
              <w:rPr>
                <w:rFonts w:ascii="宋体" w:hAnsi="宋体" w:eastAsia="宋体" w:cs="仿宋_GB2312"/>
                <w:color w:val="auto"/>
                <w:sz w:val="24"/>
                <w:szCs w:val="24"/>
                <w:highlight w:val="none"/>
                <w:lang w:val="zh-CN"/>
              </w:rPr>
            </w:pPr>
            <w:r>
              <w:rPr>
                <w:rFonts w:hint="eastAsia" w:ascii="宋体" w:hAnsi="宋体" w:eastAsia="宋体" w:cs="仿宋_GB2312"/>
                <w:color w:val="auto"/>
                <w:sz w:val="24"/>
                <w:szCs w:val="24"/>
                <w:highlight w:val="none"/>
              </w:rPr>
              <w:t>响应</w:t>
            </w:r>
            <w:r>
              <w:rPr>
                <w:rFonts w:hint="eastAsia" w:ascii="宋体" w:hAnsi="宋体" w:eastAsia="宋体" w:cs="仿宋_GB2312"/>
                <w:color w:val="auto"/>
                <w:sz w:val="24"/>
                <w:szCs w:val="24"/>
                <w:highlight w:val="none"/>
                <w:lang w:val="zh-CN"/>
              </w:rPr>
              <w:t>文件内容</w:t>
            </w:r>
          </w:p>
        </w:tc>
        <w:tc>
          <w:tcPr>
            <w:tcW w:w="5409" w:type="dxa"/>
            <w:vAlign w:val="center"/>
          </w:tcPr>
          <w:p>
            <w:pPr>
              <w:spacing w:line="240" w:lineRule="exact"/>
              <w:rPr>
                <w:rFonts w:ascii="宋体" w:hAnsi="宋体" w:eastAsia="宋体" w:cs="仿宋_GB2312"/>
                <w:color w:val="auto"/>
                <w:sz w:val="24"/>
                <w:szCs w:val="24"/>
                <w:highlight w:val="none"/>
                <w:lang w:val="zh-CN"/>
              </w:rPr>
            </w:pPr>
            <w:r>
              <w:rPr>
                <w:rFonts w:hint="eastAsia" w:ascii="宋体" w:hAnsi="宋体" w:eastAsia="宋体" w:cs="仿宋_GB2312"/>
                <w:color w:val="auto"/>
                <w:sz w:val="24"/>
                <w:szCs w:val="24"/>
                <w:highlight w:val="none"/>
              </w:rPr>
              <w:t>响应</w:t>
            </w:r>
            <w:r>
              <w:rPr>
                <w:rFonts w:hint="eastAsia" w:ascii="宋体" w:hAnsi="宋体" w:eastAsia="宋体" w:cs="仿宋_GB2312"/>
                <w:color w:val="auto"/>
                <w:sz w:val="24"/>
                <w:szCs w:val="24"/>
                <w:highlight w:val="none"/>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p>
        </w:tc>
        <w:tc>
          <w:tcPr>
            <w:tcW w:w="1560" w:type="dxa"/>
            <w:vMerge w:val="restart"/>
            <w:vAlign w:val="center"/>
          </w:tcPr>
          <w:p>
            <w:pPr>
              <w:spacing w:line="240" w:lineRule="exact"/>
              <w:rPr>
                <w:rFonts w:ascii="宋体" w:hAnsi="宋体" w:eastAsia="宋体" w:cs="仿宋_GB2312"/>
                <w:color w:val="auto"/>
                <w:sz w:val="24"/>
                <w:szCs w:val="24"/>
                <w:highlight w:val="none"/>
                <w:lang w:val="zh-CN"/>
              </w:rPr>
            </w:pPr>
            <w:r>
              <w:rPr>
                <w:rFonts w:hint="eastAsia" w:ascii="宋体" w:hAnsi="宋体" w:eastAsia="宋体" w:cs="宋体"/>
                <w:color w:val="auto"/>
                <w:kern w:val="0"/>
                <w:sz w:val="24"/>
                <w:szCs w:val="24"/>
                <w:highlight w:val="none"/>
              </w:rPr>
              <w:t>竞争性磋商文件的响应程度审查</w:t>
            </w:r>
          </w:p>
        </w:tc>
        <w:tc>
          <w:tcPr>
            <w:tcW w:w="1984" w:type="dxa"/>
            <w:vAlign w:val="center"/>
          </w:tcPr>
          <w:p>
            <w:pPr>
              <w:spacing w:line="24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pPr>
              <w:pStyle w:val="34"/>
              <w:spacing w:line="24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对竞争性磋商文件第二篇、第三篇规定的磋商内容作出响应。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宋体" w:hAnsi="宋体" w:eastAsia="宋体" w:cs="宋体"/>
                <w:color w:val="auto"/>
                <w:kern w:val="0"/>
                <w:sz w:val="24"/>
                <w:szCs w:val="24"/>
                <w:highlight w:val="none"/>
              </w:rPr>
            </w:pPr>
          </w:p>
        </w:tc>
        <w:tc>
          <w:tcPr>
            <w:tcW w:w="1560" w:type="dxa"/>
            <w:vMerge w:val="continue"/>
            <w:vAlign w:val="center"/>
          </w:tcPr>
          <w:p>
            <w:pPr>
              <w:spacing w:line="240" w:lineRule="exact"/>
              <w:rPr>
                <w:rFonts w:ascii="宋体" w:hAnsi="宋体" w:eastAsia="宋体" w:cs="仿宋_GB2312"/>
                <w:color w:val="auto"/>
                <w:sz w:val="24"/>
                <w:szCs w:val="24"/>
                <w:highlight w:val="none"/>
                <w:lang w:val="zh-CN"/>
              </w:rPr>
            </w:pPr>
          </w:p>
        </w:tc>
        <w:tc>
          <w:tcPr>
            <w:tcW w:w="1984" w:type="dxa"/>
            <w:vAlign w:val="center"/>
          </w:tcPr>
          <w:p>
            <w:pPr>
              <w:spacing w:line="24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磋商有效期</w:t>
            </w:r>
          </w:p>
        </w:tc>
        <w:tc>
          <w:tcPr>
            <w:tcW w:w="5409" w:type="dxa"/>
            <w:vAlign w:val="center"/>
          </w:tcPr>
          <w:p>
            <w:pPr>
              <w:spacing w:line="24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满足磋商文件</w:t>
            </w:r>
            <w:r>
              <w:rPr>
                <w:rFonts w:hint="eastAsia" w:ascii="宋体" w:hAnsi="宋体" w:eastAsia="宋体" w:cs="仿宋_GB2312"/>
                <w:color w:val="auto"/>
                <w:sz w:val="24"/>
                <w:szCs w:val="24"/>
                <w:highlight w:val="none"/>
                <w:lang w:val="zh-CN"/>
              </w:rPr>
              <w:t>规定。</w:t>
            </w:r>
          </w:p>
        </w:tc>
      </w:tr>
    </w:tbl>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（三）澄清有关问题。磋商小组在对响应文件的有效性、完整性和响应程度进行审查时，可以要求</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对响应文件中含义不明确、同类问题表述不一致或者有明显文字和计算错误的内容等作出必要的澄清、说明或者更正。</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的澄清、说明或者更正不得超出响应文件的范围或者改变响应文件的实质性内容。</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（四）磋商小组要求</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澄清、说明或者更正响应文件应当以书面形式作出。</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的澄清、说明或者更正应当由法定代表人或其授权代表签字或者加盖公章。由授权代表签字的，应当附法定代表人授权书。</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（五）在磋商过程中磋商的任何一方不得向他人透露与磋商有关的技术资料、价格或其他信息。</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（七）</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在磋商时作出的所有书面承诺须由法定代表人或其授权代表签字。</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（八）经磋商确定最终采购需求且磋商结束后，</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应当按照竞争性磋商文件的变动情况和磋商小组的要求重新提交响应文件或重新做出相关的书面承诺，最后书面提交最后报价及有关承诺（填写《最后报价表》并密封提交）。已提交响应文件但未在规定时间内进行最后报价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，视为放弃最后报价，以</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响应文件中的报价为准。</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（九）磋商小组采用综合评分法对提交最后报价的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的响应文件和最后报价（含有效书面承诺）进行综合评分。</w:t>
      </w:r>
      <w:r>
        <w:rPr>
          <w:rFonts w:hint="eastAsia" w:ascii="宋体" w:hAnsi="宋体" w:eastAsia="宋体" w:cs="宋体"/>
          <w:color w:val="auto"/>
          <w:kern w:val="0"/>
          <w:szCs w:val="24"/>
          <w:highlight w:val="none"/>
        </w:rPr>
        <w:t>综合评分法，是指响应文件满足竞争性磋商文件全部实质性要求且按照评审因素的量化指标评审得分最高的</w:t>
      </w:r>
      <w:r>
        <w:rPr>
          <w:rFonts w:hint="eastAsia" w:ascii="宋体" w:hAnsi="宋体" w:eastAsia="宋体" w:cs="宋体"/>
          <w:color w:val="auto"/>
          <w:kern w:val="0"/>
          <w:szCs w:val="24"/>
          <w:highlight w:val="none"/>
          <w:lang w:eastAsia="zh-CN"/>
        </w:rPr>
        <w:t>投标人</w:t>
      </w:r>
      <w:r>
        <w:rPr>
          <w:rFonts w:hint="eastAsia" w:ascii="宋体" w:hAnsi="宋体" w:eastAsia="宋体" w:cs="宋体"/>
          <w:color w:val="auto"/>
          <w:kern w:val="0"/>
          <w:szCs w:val="24"/>
          <w:highlight w:val="none"/>
        </w:rPr>
        <w:t>为成交候选</w:t>
      </w:r>
      <w:r>
        <w:rPr>
          <w:rFonts w:hint="eastAsia" w:ascii="宋体" w:hAnsi="宋体" w:eastAsia="宋体" w:cs="宋体"/>
          <w:color w:val="auto"/>
          <w:kern w:val="0"/>
          <w:szCs w:val="24"/>
          <w:highlight w:val="none"/>
          <w:lang w:eastAsia="zh-CN"/>
        </w:rPr>
        <w:t>投标人</w:t>
      </w:r>
      <w:r>
        <w:rPr>
          <w:rFonts w:hint="eastAsia" w:ascii="宋体" w:hAnsi="宋体" w:eastAsia="宋体" w:cs="宋体"/>
          <w:color w:val="auto"/>
          <w:kern w:val="0"/>
          <w:szCs w:val="24"/>
          <w:highlight w:val="none"/>
        </w:rPr>
        <w:t>的评审方法。</w:t>
      </w:r>
      <w:r>
        <w:rPr>
          <w:rFonts w:hint="eastAsia" w:ascii="宋体" w:hAnsi="宋体" w:eastAsia="宋体" w:cs="宋体"/>
          <w:color w:val="auto"/>
          <w:kern w:val="0"/>
          <w:szCs w:val="24"/>
          <w:highlight w:val="none"/>
          <w:lang w:eastAsia="zh-CN"/>
        </w:rPr>
        <w:t>投标人</w:t>
      </w:r>
      <w:r>
        <w:rPr>
          <w:rFonts w:hint="eastAsia" w:ascii="宋体" w:hAnsi="宋体" w:eastAsia="宋体" w:cs="宋体"/>
          <w:color w:val="auto"/>
          <w:kern w:val="0"/>
          <w:szCs w:val="24"/>
          <w:highlight w:val="none"/>
        </w:rPr>
        <w:t>总得分为价格、商务、技术等评定因素分别按照相应权重值计算分项得分后相加，满分为</w:t>
      </w:r>
      <w:r>
        <w:rPr>
          <w:rFonts w:ascii="宋体" w:hAnsi="宋体" w:eastAsia="宋体" w:cs="宋体"/>
          <w:color w:val="auto"/>
          <w:kern w:val="0"/>
          <w:szCs w:val="24"/>
          <w:highlight w:val="none"/>
        </w:rPr>
        <w:t>100</w:t>
      </w:r>
      <w:r>
        <w:rPr>
          <w:rFonts w:hint="eastAsia" w:ascii="宋体" w:hAnsi="宋体" w:eastAsia="宋体" w:cs="宋体"/>
          <w:color w:val="auto"/>
          <w:kern w:val="0"/>
          <w:szCs w:val="24"/>
          <w:highlight w:val="none"/>
        </w:rPr>
        <w:t>分</w:t>
      </w:r>
      <w:r>
        <w:rPr>
          <w:rFonts w:hint="eastAsia" w:ascii="宋体" w:hAnsi="宋体" w:eastAsia="宋体"/>
          <w:color w:val="auto"/>
          <w:szCs w:val="24"/>
          <w:highlight w:val="none"/>
        </w:rPr>
        <w:t>（详见评审标准）。</w:t>
      </w:r>
    </w:p>
    <w:p>
      <w:pPr>
        <w:spacing w:line="400" w:lineRule="exact"/>
        <w:ind w:firstLine="424" w:firstLineChars="200"/>
        <w:rPr>
          <w:rFonts w:ascii="宋体" w:hAnsi="宋体" w:eastAsia="宋体" w:cs="方正仿宋_GBK"/>
          <w:color w:val="auto"/>
          <w:szCs w:val="28"/>
          <w:highlight w:val="none"/>
        </w:rPr>
      </w:pPr>
      <w:r>
        <w:rPr>
          <w:rFonts w:hint="eastAsia" w:ascii="宋体" w:hAnsi="宋体" w:eastAsia="宋体"/>
          <w:color w:val="auto"/>
          <w:szCs w:val="24"/>
          <w:highlight w:val="none"/>
        </w:rPr>
        <w:t>（十）磋商小组各成员独立对每个</w:t>
      </w:r>
      <w:r>
        <w:rPr>
          <w:rFonts w:hint="eastAsia" w:ascii="宋体" w:hAnsi="宋体" w:eastAsia="宋体" w:cs="宋体"/>
          <w:color w:val="auto"/>
          <w:kern w:val="0"/>
          <w:szCs w:val="24"/>
          <w:highlight w:val="none"/>
        </w:rPr>
        <w:t>实质性响应</w:t>
      </w:r>
      <w:r>
        <w:rPr>
          <w:rFonts w:hint="eastAsia" w:ascii="宋体" w:hAnsi="宋体" w:eastAsia="宋体"/>
          <w:color w:val="auto"/>
          <w:szCs w:val="24"/>
          <w:highlight w:val="none"/>
        </w:rPr>
        <w:t>文件进行评价、打分，然后汇总每个</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每项评分因素的得分，并根据综合评分情况按照评审得分由高到低顺序推荐</w:t>
      </w:r>
      <w:r>
        <w:rPr>
          <w:rFonts w:ascii="宋体" w:hAnsi="宋体" w:eastAsia="宋体"/>
          <w:color w:val="auto"/>
          <w:szCs w:val="24"/>
          <w:highlight w:val="none"/>
        </w:rPr>
        <w:t>3</w:t>
      </w:r>
      <w:r>
        <w:rPr>
          <w:rFonts w:hint="eastAsia" w:ascii="宋体" w:hAnsi="宋体" w:eastAsia="宋体"/>
          <w:color w:val="auto"/>
          <w:szCs w:val="24"/>
          <w:highlight w:val="none"/>
        </w:rPr>
        <w:t>名以上成交候选</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，并编写评审报告。若</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的评审得分相同的，按照最后报价由低到高的顺序排列推荐。评审得分且最后报价相同的，按照服务指标优劣顺序排列推荐。若所推荐的</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的技术部分为</w:t>
      </w:r>
      <w:r>
        <w:rPr>
          <w:rFonts w:ascii="宋体" w:hAnsi="宋体" w:eastAsia="宋体"/>
          <w:color w:val="auto"/>
          <w:szCs w:val="24"/>
          <w:highlight w:val="none"/>
        </w:rPr>
        <w:t>0</w:t>
      </w:r>
      <w:r>
        <w:rPr>
          <w:rFonts w:hint="eastAsia" w:ascii="宋体" w:hAnsi="宋体" w:eastAsia="宋体"/>
          <w:color w:val="auto"/>
          <w:szCs w:val="24"/>
          <w:highlight w:val="none"/>
        </w:rPr>
        <w:t>分，将失去成为成交候选</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的资格。</w:t>
      </w:r>
    </w:p>
    <w:p>
      <w:pPr>
        <w:pStyle w:val="5"/>
        <w:spacing w:before="0" w:after="0" w:line="440" w:lineRule="exact"/>
        <w:rPr>
          <w:rFonts w:ascii="宋体" w:hAnsi="宋体" w:cs="方正仿宋_GBK"/>
          <w:bCs/>
          <w:color w:val="auto"/>
          <w:sz w:val="28"/>
          <w:szCs w:val="28"/>
          <w:highlight w:val="none"/>
        </w:rPr>
      </w:pPr>
      <w:bookmarkStart w:id="68" w:name="_Toc7421893"/>
      <w:bookmarkStart w:id="69" w:name="_Toc16556"/>
      <w:bookmarkStart w:id="70" w:name="_Toc3113"/>
      <w:r>
        <w:rPr>
          <w:rFonts w:hint="eastAsia" w:ascii="宋体" w:hAnsi="宋体" w:cs="方正仿宋_GBK"/>
          <w:bCs/>
          <w:color w:val="auto"/>
          <w:sz w:val="28"/>
          <w:szCs w:val="28"/>
          <w:highlight w:val="none"/>
        </w:rPr>
        <w:t>二、评标标准</w:t>
      </w:r>
      <w:bookmarkEnd w:id="68"/>
      <w:bookmarkEnd w:id="69"/>
      <w:bookmarkEnd w:id="70"/>
    </w:p>
    <w:tbl>
      <w:tblPr>
        <w:tblStyle w:val="6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1134"/>
        <w:gridCol w:w="709"/>
        <w:gridCol w:w="34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9" w:type="dxa"/>
            <w:vMerge w:val="restart"/>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序号</w:t>
            </w:r>
          </w:p>
        </w:tc>
        <w:tc>
          <w:tcPr>
            <w:tcW w:w="2268" w:type="dxa"/>
            <w:gridSpan w:val="2"/>
            <w:vMerge w:val="restart"/>
            <w:vAlign w:val="center"/>
          </w:tcPr>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评分因素及权重</w:t>
            </w:r>
          </w:p>
        </w:tc>
        <w:tc>
          <w:tcPr>
            <w:tcW w:w="709" w:type="dxa"/>
            <w:vMerge w:val="restart"/>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分值</w:t>
            </w:r>
          </w:p>
        </w:tc>
        <w:tc>
          <w:tcPr>
            <w:tcW w:w="3448" w:type="dxa"/>
            <w:vMerge w:val="restart"/>
            <w:vAlign w:val="center"/>
          </w:tcPr>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评分标准</w:t>
            </w:r>
          </w:p>
        </w:tc>
        <w:tc>
          <w:tcPr>
            <w:tcW w:w="2222" w:type="dxa"/>
            <w:vMerge w:val="restart"/>
            <w:vAlign w:val="center"/>
          </w:tcPr>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9" w:type="dxa"/>
            <w:vMerge w:val="continue"/>
            <w:vAlign w:val="center"/>
          </w:tcPr>
          <w:p>
            <w:pPr>
              <w:spacing w:line="400" w:lineRule="exact"/>
              <w:ind w:firstLine="424" w:firstLineChars="200"/>
              <w:rPr>
                <w:rFonts w:ascii="宋体" w:hAnsi="宋体" w:eastAsia="宋体"/>
                <w:color w:val="auto"/>
                <w:szCs w:val="24"/>
                <w:highlight w:val="none"/>
              </w:rPr>
            </w:pPr>
          </w:p>
        </w:tc>
        <w:tc>
          <w:tcPr>
            <w:tcW w:w="2268" w:type="dxa"/>
            <w:gridSpan w:val="2"/>
            <w:vMerge w:val="continue"/>
            <w:vAlign w:val="center"/>
          </w:tcPr>
          <w:p>
            <w:pPr>
              <w:spacing w:line="400" w:lineRule="exact"/>
              <w:ind w:firstLine="424" w:firstLineChars="200"/>
              <w:rPr>
                <w:rFonts w:ascii="宋体" w:hAnsi="宋体" w:eastAsia="宋体"/>
                <w:color w:val="auto"/>
                <w:szCs w:val="24"/>
                <w:highlight w:val="none"/>
              </w:rPr>
            </w:pPr>
          </w:p>
        </w:tc>
        <w:tc>
          <w:tcPr>
            <w:tcW w:w="709" w:type="dxa"/>
            <w:vMerge w:val="continue"/>
            <w:vAlign w:val="center"/>
          </w:tcPr>
          <w:p>
            <w:pPr>
              <w:spacing w:line="400" w:lineRule="exact"/>
              <w:ind w:firstLine="424" w:firstLineChars="200"/>
              <w:rPr>
                <w:rFonts w:ascii="宋体" w:hAnsi="宋体" w:eastAsia="宋体"/>
                <w:color w:val="auto"/>
                <w:szCs w:val="24"/>
                <w:highlight w:val="none"/>
              </w:rPr>
            </w:pPr>
          </w:p>
        </w:tc>
        <w:tc>
          <w:tcPr>
            <w:tcW w:w="3448" w:type="dxa"/>
            <w:vMerge w:val="continue"/>
            <w:vAlign w:val="center"/>
          </w:tcPr>
          <w:p>
            <w:pPr>
              <w:spacing w:line="400" w:lineRule="exact"/>
              <w:ind w:firstLine="424" w:firstLineChars="200"/>
              <w:rPr>
                <w:rFonts w:ascii="宋体" w:hAnsi="宋体" w:eastAsia="宋体"/>
                <w:color w:val="auto"/>
                <w:szCs w:val="24"/>
                <w:highlight w:val="none"/>
              </w:rPr>
            </w:pPr>
          </w:p>
        </w:tc>
        <w:tc>
          <w:tcPr>
            <w:tcW w:w="2222" w:type="dxa"/>
            <w:vMerge w:val="continue"/>
            <w:vAlign w:val="center"/>
          </w:tcPr>
          <w:p>
            <w:pPr>
              <w:spacing w:line="400" w:lineRule="exact"/>
              <w:ind w:firstLine="424" w:firstLineChars="200"/>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ind w:firstLine="212" w:firstLineChars="100"/>
              <w:rPr>
                <w:rFonts w:ascii="宋体" w:hAnsi="宋体" w:eastAsia="宋体"/>
                <w:color w:val="auto"/>
                <w:szCs w:val="24"/>
                <w:highlight w:val="none"/>
              </w:rPr>
            </w:pPr>
            <w:r>
              <w:rPr>
                <w:rFonts w:ascii="宋体" w:hAnsi="宋体" w:eastAsia="宋体"/>
                <w:color w:val="auto"/>
                <w:szCs w:val="24"/>
                <w:highlight w:val="none"/>
              </w:rPr>
              <w:t>1</w:t>
            </w:r>
          </w:p>
        </w:tc>
        <w:tc>
          <w:tcPr>
            <w:tcW w:w="2268" w:type="dxa"/>
            <w:gridSpan w:val="2"/>
            <w:vAlign w:val="center"/>
          </w:tcPr>
          <w:p>
            <w:pPr>
              <w:spacing w:line="400" w:lineRule="exact"/>
              <w:ind w:firstLine="212" w:firstLineChars="100"/>
              <w:rPr>
                <w:rFonts w:ascii="宋体" w:hAnsi="宋体" w:eastAsia="宋体"/>
                <w:color w:val="auto"/>
                <w:szCs w:val="24"/>
                <w:highlight w:val="none"/>
              </w:rPr>
            </w:pPr>
            <w:r>
              <w:rPr>
                <w:rFonts w:hint="eastAsia" w:ascii="宋体" w:hAnsi="宋体" w:eastAsia="宋体"/>
                <w:color w:val="auto"/>
                <w:szCs w:val="24"/>
                <w:highlight w:val="none"/>
              </w:rPr>
              <w:t>投标报价（</w:t>
            </w:r>
            <w:r>
              <w:rPr>
                <w:rFonts w:hint="eastAsia" w:ascii="宋体" w:hAnsi="宋体" w:eastAsia="宋体"/>
                <w:color w:val="auto"/>
                <w:szCs w:val="24"/>
                <w:highlight w:val="none"/>
                <w:lang w:val="en-US" w:eastAsia="zh-CN"/>
              </w:rPr>
              <w:t>4</w:t>
            </w:r>
            <w:r>
              <w:rPr>
                <w:rFonts w:ascii="宋体" w:hAnsi="宋体" w:eastAsia="宋体"/>
                <w:color w:val="auto"/>
                <w:szCs w:val="24"/>
                <w:highlight w:val="none"/>
              </w:rPr>
              <w:t>0%</w:t>
            </w:r>
            <w:r>
              <w:rPr>
                <w:rFonts w:hint="eastAsia" w:ascii="宋体" w:hAnsi="宋体" w:eastAsia="宋体"/>
                <w:color w:val="auto"/>
                <w:szCs w:val="24"/>
                <w:highlight w:val="none"/>
              </w:rPr>
              <w:t>）</w:t>
            </w:r>
          </w:p>
        </w:tc>
        <w:tc>
          <w:tcPr>
            <w:tcW w:w="709" w:type="dxa"/>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val="en-US" w:eastAsia="zh-CN"/>
              </w:rPr>
              <w:t>4</w:t>
            </w:r>
            <w:r>
              <w:rPr>
                <w:rFonts w:ascii="宋体" w:hAnsi="宋体" w:eastAsia="宋体"/>
                <w:color w:val="auto"/>
                <w:szCs w:val="24"/>
                <w:highlight w:val="none"/>
              </w:rPr>
              <w:t>0</w:t>
            </w:r>
            <w:r>
              <w:rPr>
                <w:rFonts w:hint="eastAsia" w:ascii="宋体" w:hAnsi="宋体" w:eastAsia="宋体"/>
                <w:color w:val="auto"/>
                <w:szCs w:val="24"/>
                <w:highlight w:val="none"/>
              </w:rPr>
              <w:t>分</w:t>
            </w:r>
          </w:p>
        </w:tc>
        <w:tc>
          <w:tcPr>
            <w:tcW w:w="3448" w:type="dxa"/>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满足资格性、符合性要求且最后报价最低的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的价格为磋商基准价，按照下列公式计算每个</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的磋商报价得分。</w:t>
            </w:r>
          </w:p>
          <w:p>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磋商报价得分</w:t>
            </w:r>
            <w:r>
              <w:rPr>
                <w:rFonts w:ascii="宋体" w:hAnsi="宋体" w:eastAsia="宋体"/>
                <w:color w:val="auto"/>
                <w:szCs w:val="24"/>
                <w:highlight w:val="none"/>
              </w:rPr>
              <w:t>=</w:t>
            </w:r>
            <w:r>
              <w:rPr>
                <w:rFonts w:hint="eastAsia" w:ascii="宋体" w:hAnsi="宋体" w:eastAsia="宋体"/>
                <w:color w:val="auto"/>
                <w:szCs w:val="24"/>
                <w:highlight w:val="none"/>
              </w:rPr>
              <w:t>（磋商基准价</w:t>
            </w:r>
            <w:r>
              <w:rPr>
                <w:rFonts w:ascii="宋体" w:hAnsi="宋体" w:eastAsia="宋体"/>
                <w:color w:val="auto"/>
                <w:szCs w:val="24"/>
                <w:highlight w:val="none"/>
              </w:rPr>
              <w:t>/</w:t>
            </w:r>
            <w:r>
              <w:rPr>
                <w:rFonts w:hint="eastAsia" w:ascii="宋体" w:hAnsi="宋体" w:eastAsia="宋体"/>
                <w:color w:val="auto"/>
                <w:szCs w:val="24"/>
                <w:highlight w:val="none"/>
              </w:rPr>
              <w:t>最后磋商报价）×价格权值×</w:t>
            </w:r>
            <w:r>
              <w:rPr>
                <w:rFonts w:ascii="宋体" w:hAnsi="宋体" w:eastAsia="宋体"/>
                <w:color w:val="auto"/>
                <w:szCs w:val="24"/>
                <w:highlight w:val="none"/>
              </w:rPr>
              <w:t>100</w:t>
            </w:r>
          </w:p>
        </w:tc>
        <w:tc>
          <w:tcPr>
            <w:tcW w:w="2222" w:type="dxa"/>
            <w:vAlign w:val="center"/>
          </w:tcPr>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trPr>
        <w:tc>
          <w:tcPr>
            <w:tcW w:w="709" w:type="dxa"/>
            <w:vMerge w:val="restart"/>
            <w:vAlign w:val="center"/>
          </w:tcPr>
          <w:p>
            <w:pPr>
              <w:spacing w:line="400" w:lineRule="exact"/>
              <w:ind w:firstLine="212" w:firstLineChars="100"/>
              <w:rPr>
                <w:rFonts w:ascii="宋体" w:hAnsi="宋体" w:eastAsia="宋体"/>
                <w:color w:val="auto"/>
                <w:szCs w:val="24"/>
                <w:highlight w:val="none"/>
              </w:rPr>
            </w:pPr>
          </w:p>
        </w:tc>
        <w:tc>
          <w:tcPr>
            <w:tcW w:w="1134" w:type="dxa"/>
            <w:vMerge w:val="restart"/>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技术部分（</w:t>
            </w:r>
            <w:r>
              <w:rPr>
                <w:rFonts w:hint="eastAsia" w:ascii="宋体" w:hAnsi="宋体" w:eastAsia="宋体"/>
                <w:color w:val="auto"/>
                <w:szCs w:val="24"/>
                <w:highlight w:val="none"/>
                <w:lang w:val="en-US" w:eastAsia="zh-CN"/>
              </w:rPr>
              <w:t>4</w:t>
            </w:r>
            <w:r>
              <w:rPr>
                <w:rFonts w:hint="eastAsia" w:ascii="宋体" w:hAnsi="宋体" w:eastAsia="宋体"/>
                <w:color w:val="auto"/>
                <w:szCs w:val="24"/>
                <w:highlight w:val="none"/>
              </w:rPr>
              <w:t>0%）</w:t>
            </w:r>
          </w:p>
        </w:tc>
        <w:tc>
          <w:tcPr>
            <w:tcW w:w="1134" w:type="dxa"/>
            <w:vAlign w:val="center"/>
          </w:tcPr>
          <w:p>
            <w:pPr>
              <w:spacing w:line="400" w:lineRule="exact"/>
              <w:rPr>
                <w:rFonts w:ascii="宋体" w:hAnsi="宋体" w:eastAsia="宋体"/>
                <w:color w:val="auto"/>
                <w:kern w:val="0"/>
                <w:highlight w:val="none"/>
              </w:rPr>
            </w:pPr>
            <w:r>
              <w:rPr>
                <w:rFonts w:hint="eastAsia" w:ascii="宋体" w:hAnsi="宋体" w:eastAsia="宋体"/>
                <w:color w:val="auto"/>
                <w:kern w:val="0"/>
                <w:highlight w:val="none"/>
              </w:rPr>
              <w:t>内容完整性和编制水平</w:t>
            </w:r>
          </w:p>
        </w:tc>
        <w:tc>
          <w:tcPr>
            <w:tcW w:w="709" w:type="dxa"/>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val="en-US" w:eastAsia="zh-CN"/>
              </w:rPr>
              <w:t>5</w:t>
            </w:r>
            <w:r>
              <w:rPr>
                <w:rFonts w:hint="eastAsia" w:ascii="宋体" w:hAnsi="宋体" w:eastAsia="宋体"/>
                <w:color w:val="auto"/>
                <w:szCs w:val="24"/>
                <w:highlight w:val="none"/>
              </w:rPr>
              <w:t>分</w:t>
            </w:r>
          </w:p>
        </w:tc>
        <w:tc>
          <w:tcPr>
            <w:tcW w:w="3448" w:type="dxa"/>
            <w:vAlign w:val="center"/>
          </w:tcPr>
          <w:p>
            <w:pPr>
              <w:spacing w:line="400" w:lineRule="exact"/>
              <w:rPr>
                <w:rFonts w:ascii="宋体" w:hAnsi="宋体" w:eastAsia="宋体"/>
                <w:color w:val="auto"/>
                <w:szCs w:val="24"/>
                <w:highlight w:val="none"/>
              </w:rPr>
            </w:pPr>
            <w:r>
              <w:rPr>
                <w:rFonts w:hint="eastAsia" w:ascii="宋体" w:hAnsi="宋体" w:eastAsia="宋体"/>
                <w:color w:val="auto"/>
                <w:highlight w:val="none"/>
              </w:rPr>
              <w:t>包</w:t>
            </w:r>
            <w:r>
              <w:rPr>
                <w:rFonts w:hint="eastAsia" w:ascii="宋体" w:hAnsi="宋体" w:eastAsia="宋体"/>
                <w:color w:val="auto"/>
                <w:kern w:val="0"/>
                <w:highlight w:val="none"/>
              </w:rPr>
              <w:t>括施工方法、施工机械设备、劳动力计划，确保工程质量、工期、安全和文明施工技术、组织措施，施工总进度计划，施工平面布置，应急处理措施，对施工现场周围环境污染的保护措施等内容。</w:t>
            </w:r>
            <w:r>
              <w:rPr>
                <w:rFonts w:hint="eastAsia" w:ascii="宋体" w:hAnsi="宋体" w:eastAsia="宋体"/>
                <w:color w:val="auto"/>
                <w:kern w:val="0"/>
                <w:highlight w:val="none"/>
                <w:lang w:eastAsia="zh-CN"/>
              </w:rPr>
              <w:t>投标人</w:t>
            </w:r>
            <w:r>
              <w:rPr>
                <w:rFonts w:hint="eastAsia" w:ascii="宋体" w:hAnsi="宋体" w:eastAsia="宋体"/>
                <w:color w:val="auto"/>
                <w:kern w:val="0"/>
                <w:highlight w:val="none"/>
              </w:rPr>
              <w:t>之间横向比较，由磋商小组按优</w:t>
            </w:r>
            <w:r>
              <w:rPr>
                <w:rFonts w:hint="eastAsia" w:ascii="宋体" w:hAnsi="宋体" w:eastAsia="宋体"/>
                <w:color w:val="auto"/>
                <w:kern w:val="0"/>
                <w:highlight w:val="none"/>
                <w:lang w:val="en-US" w:eastAsia="zh-CN"/>
              </w:rPr>
              <w:t>5</w:t>
            </w:r>
            <w:r>
              <w:rPr>
                <w:rFonts w:hint="eastAsia" w:ascii="宋体" w:hAnsi="宋体" w:eastAsia="宋体"/>
                <w:color w:val="auto"/>
                <w:kern w:val="0"/>
                <w:highlight w:val="none"/>
              </w:rPr>
              <w:t>分、良</w:t>
            </w:r>
            <w:r>
              <w:rPr>
                <w:rFonts w:hint="eastAsia" w:ascii="宋体" w:hAnsi="宋体" w:eastAsia="宋体"/>
                <w:color w:val="auto"/>
                <w:kern w:val="0"/>
                <w:highlight w:val="none"/>
                <w:lang w:val="en-US" w:eastAsia="zh-CN"/>
              </w:rPr>
              <w:t>4</w:t>
            </w:r>
            <w:r>
              <w:rPr>
                <w:rFonts w:hint="eastAsia" w:ascii="宋体" w:hAnsi="宋体" w:eastAsia="宋体"/>
                <w:color w:val="auto"/>
                <w:kern w:val="0"/>
                <w:highlight w:val="none"/>
              </w:rPr>
              <w:t>分、中</w:t>
            </w:r>
            <w:r>
              <w:rPr>
                <w:rFonts w:ascii="宋体" w:hAnsi="宋体" w:eastAsia="宋体"/>
                <w:color w:val="auto"/>
                <w:kern w:val="0"/>
                <w:highlight w:val="none"/>
              </w:rPr>
              <w:t>3</w:t>
            </w:r>
            <w:r>
              <w:rPr>
                <w:rFonts w:hint="eastAsia" w:ascii="宋体" w:hAnsi="宋体" w:eastAsia="宋体"/>
                <w:color w:val="auto"/>
                <w:kern w:val="0"/>
                <w:highlight w:val="none"/>
              </w:rPr>
              <w:t>分、差</w:t>
            </w:r>
            <w:r>
              <w:rPr>
                <w:rFonts w:ascii="宋体" w:hAnsi="宋体" w:eastAsia="宋体"/>
                <w:color w:val="auto"/>
                <w:kern w:val="0"/>
                <w:highlight w:val="none"/>
              </w:rPr>
              <w:t>1</w:t>
            </w:r>
            <w:r>
              <w:rPr>
                <w:rFonts w:hint="eastAsia" w:ascii="宋体" w:hAnsi="宋体" w:eastAsia="宋体"/>
                <w:color w:val="auto"/>
                <w:kern w:val="0"/>
                <w:highlight w:val="none"/>
              </w:rPr>
              <w:t>分、无此内容</w:t>
            </w:r>
            <w:r>
              <w:rPr>
                <w:rFonts w:ascii="宋体" w:hAnsi="宋体" w:eastAsia="宋体"/>
                <w:color w:val="auto"/>
                <w:kern w:val="0"/>
                <w:highlight w:val="none"/>
              </w:rPr>
              <w:t>0</w:t>
            </w:r>
            <w:r>
              <w:rPr>
                <w:rFonts w:hint="eastAsia" w:ascii="宋体" w:hAnsi="宋体" w:eastAsia="宋体"/>
                <w:color w:val="auto"/>
                <w:kern w:val="0"/>
                <w:highlight w:val="none"/>
              </w:rPr>
              <w:t>分，自主评分。</w:t>
            </w:r>
          </w:p>
        </w:tc>
        <w:tc>
          <w:tcPr>
            <w:tcW w:w="2222" w:type="dxa"/>
            <w:vMerge w:val="restart"/>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以上计算取小数点后两位，第三位四舍五入。</w:t>
            </w:r>
          </w:p>
          <w:p>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技术部分得分应在所有评委评分汇</w:t>
            </w:r>
            <w:r>
              <w:rPr>
                <w:rFonts w:hint="eastAsia" w:ascii="宋体" w:hAnsi="宋体" w:eastAsia="宋体" w:cs="宋体"/>
                <w:color w:val="auto"/>
                <w:kern w:val="0"/>
                <w:szCs w:val="21"/>
                <w:highlight w:val="none"/>
              </w:rPr>
              <w:t>总后取平均值为即该</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的技术部分得分。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8" w:hRule="atLeast"/>
        </w:trPr>
        <w:tc>
          <w:tcPr>
            <w:tcW w:w="709" w:type="dxa"/>
            <w:vMerge w:val="continue"/>
            <w:vAlign w:val="center"/>
          </w:tcPr>
          <w:p>
            <w:pPr>
              <w:spacing w:line="400" w:lineRule="exact"/>
              <w:ind w:firstLine="212" w:firstLineChars="100"/>
              <w:rPr>
                <w:rFonts w:ascii="宋体" w:hAnsi="宋体" w:eastAsia="宋体"/>
                <w:color w:val="auto"/>
                <w:szCs w:val="24"/>
                <w:highlight w:val="none"/>
              </w:rPr>
            </w:pPr>
          </w:p>
        </w:tc>
        <w:tc>
          <w:tcPr>
            <w:tcW w:w="1134" w:type="dxa"/>
            <w:vMerge w:val="continue"/>
            <w:vAlign w:val="center"/>
          </w:tcPr>
          <w:p>
            <w:pPr>
              <w:spacing w:line="400" w:lineRule="exact"/>
              <w:rPr>
                <w:rFonts w:ascii="宋体" w:hAnsi="宋体" w:eastAsia="宋体"/>
                <w:color w:val="auto"/>
                <w:szCs w:val="24"/>
                <w:highlight w:val="none"/>
              </w:rPr>
            </w:pPr>
          </w:p>
        </w:tc>
        <w:tc>
          <w:tcPr>
            <w:tcW w:w="1134" w:type="dxa"/>
            <w:vAlign w:val="center"/>
          </w:tcPr>
          <w:p>
            <w:pPr>
              <w:spacing w:line="400" w:lineRule="exact"/>
              <w:rPr>
                <w:rFonts w:ascii="宋体" w:hAnsi="宋体" w:eastAsia="宋体"/>
                <w:color w:val="auto"/>
                <w:szCs w:val="24"/>
                <w:highlight w:val="none"/>
              </w:rPr>
            </w:pPr>
            <w:r>
              <w:rPr>
                <w:rFonts w:hint="eastAsia" w:ascii="宋体" w:hAnsi="宋体" w:eastAsia="宋体"/>
                <w:color w:val="auto"/>
                <w:kern w:val="0"/>
                <w:highlight w:val="none"/>
              </w:rPr>
              <w:t>施工方案与技术措施</w:t>
            </w:r>
          </w:p>
        </w:tc>
        <w:tc>
          <w:tcPr>
            <w:tcW w:w="709" w:type="dxa"/>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val="en-US" w:eastAsia="zh-CN"/>
              </w:rPr>
              <w:t>6</w:t>
            </w:r>
            <w:r>
              <w:rPr>
                <w:rFonts w:hint="eastAsia" w:ascii="宋体" w:hAnsi="宋体" w:eastAsia="宋体"/>
                <w:color w:val="auto"/>
                <w:szCs w:val="24"/>
                <w:highlight w:val="none"/>
              </w:rPr>
              <w:t>分</w:t>
            </w:r>
          </w:p>
        </w:tc>
        <w:tc>
          <w:tcPr>
            <w:tcW w:w="3448" w:type="dxa"/>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根</w:t>
            </w:r>
            <w:r>
              <w:rPr>
                <w:rFonts w:hint="eastAsia" w:ascii="宋体" w:hAnsi="宋体" w:eastAsia="宋体"/>
                <w:color w:val="auto"/>
                <w:kern w:val="0"/>
                <w:highlight w:val="none"/>
              </w:rPr>
              <w:t>据所采用的施工方案、程序和措施，即要保证工程质量和安全，又能减少干扰加快施工进度；应重点突出现场环境、交通影响、管网保护等方案。投标人之间横向比较，由评委按</w:t>
            </w:r>
            <w:r>
              <w:rPr>
                <w:rFonts w:hint="eastAsia" w:ascii="宋体" w:hAnsi="宋体" w:eastAsia="宋体"/>
                <w:color w:val="auto"/>
                <w:szCs w:val="24"/>
                <w:highlight w:val="none"/>
              </w:rPr>
              <w:t>优</w:t>
            </w:r>
            <w:r>
              <w:rPr>
                <w:rFonts w:hint="eastAsia" w:ascii="宋体" w:hAnsi="宋体" w:eastAsia="宋体"/>
                <w:color w:val="auto"/>
                <w:kern w:val="0"/>
                <w:highlight w:val="none"/>
                <w:lang w:val="en-US" w:eastAsia="zh-CN"/>
              </w:rPr>
              <w:t>6</w:t>
            </w:r>
            <w:r>
              <w:rPr>
                <w:rFonts w:hint="eastAsia" w:ascii="宋体" w:hAnsi="宋体" w:eastAsia="宋体"/>
                <w:color w:val="auto"/>
                <w:kern w:val="0"/>
                <w:highlight w:val="none"/>
              </w:rPr>
              <w:t>分、良</w:t>
            </w:r>
            <w:r>
              <w:rPr>
                <w:rFonts w:ascii="宋体" w:hAnsi="宋体" w:eastAsia="宋体"/>
                <w:color w:val="auto"/>
                <w:kern w:val="0"/>
                <w:highlight w:val="none"/>
              </w:rPr>
              <w:t>5</w:t>
            </w:r>
            <w:r>
              <w:rPr>
                <w:rFonts w:hint="eastAsia" w:ascii="宋体" w:hAnsi="宋体" w:eastAsia="宋体"/>
                <w:color w:val="auto"/>
                <w:kern w:val="0"/>
                <w:highlight w:val="none"/>
              </w:rPr>
              <w:t>分、中</w:t>
            </w:r>
            <w:r>
              <w:rPr>
                <w:rFonts w:ascii="宋体" w:hAnsi="宋体" w:eastAsia="宋体"/>
                <w:color w:val="auto"/>
                <w:kern w:val="0"/>
                <w:highlight w:val="none"/>
              </w:rPr>
              <w:t>3</w:t>
            </w:r>
            <w:r>
              <w:rPr>
                <w:rFonts w:hint="eastAsia" w:ascii="宋体" w:hAnsi="宋体" w:eastAsia="宋体"/>
                <w:color w:val="auto"/>
                <w:kern w:val="0"/>
                <w:highlight w:val="none"/>
              </w:rPr>
              <w:t>分、差</w:t>
            </w:r>
            <w:r>
              <w:rPr>
                <w:rFonts w:ascii="宋体" w:hAnsi="宋体" w:eastAsia="宋体"/>
                <w:color w:val="auto"/>
                <w:kern w:val="0"/>
                <w:highlight w:val="none"/>
              </w:rPr>
              <w:t>1</w:t>
            </w:r>
            <w:r>
              <w:rPr>
                <w:rFonts w:hint="eastAsia" w:ascii="宋体" w:hAnsi="宋体" w:eastAsia="宋体"/>
                <w:color w:val="auto"/>
                <w:kern w:val="0"/>
                <w:highlight w:val="none"/>
              </w:rPr>
              <w:t>分、无此内容</w:t>
            </w:r>
            <w:r>
              <w:rPr>
                <w:rFonts w:ascii="宋体" w:hAnsi="宋体" w:eastAsia="宋体"/>
                <w:color w:val="auto"/>
                <w:kern w:val="0"/>
                <w:highlight w:val="none"/>
              </w:rPr>
              <w:t>0</w:t>
            </w:r>
            <w:r>
              <w:rPr>
                <w:rFonts w:hint="eastAsia" w:ascii="宋体" w:hAnsi="宋体" w:eastAsia="宋体"/>
                <w:color w:val="auto"/>
                <w:kern w:val="0"/>
                <w:highlight w:val="none"/>
              </w:rPr>
              <w:t>分，自主评分。</w:t>
            </w:r>
          </w:p>
        </w:tc>
        <w:tc>
          <w:tcPr>
            <w:tcW w:w="2222" w:type="dxa"/>
            <w:vMerge w:val="continue"/>
            <w:vAlign w:val="center"/>
          </w:tcPr>
          <w:p>
            <w:pPr>
              <w:spacing w:line="400" w:lineRule="exact"/>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trPr>
        <w:tc>
          <w:tcPr>
            <w:tcW w:w="709" w:type="dxa"/>
            <w:vMerge w:val="continue"/>
            <w:vAlign w:val="center"/>
          </w:tcPr>
          <w:p>
            <w:pPr>
              <w:spacing w:line="400" w:lineRule="exact"/>
              <w:ind w:firstLine="212" w:firstLineChars="100"/>
              <w:rPr>
                <w:rFonts w:ascii="宋体" w:hAnsi="宋体" w:eastAsia="宋体"/>
                <w:color w:val="auto"/>
                <w:szCs w:val="24"/>
                <w:highlight w:val="none"/>
              </w:rPr>
            </w:pPr>
          </w:p>
        </w:tc>
        <w:tc>
          <w:tcPr>
            <w:tcW w:w="1134" w:type="dxa"/>
            <w:vMerge w:val="continue"/>
            <w:vAlign w:val="center"/>
          </w:tcPr>
          <w:p>
            <w:pPr>
              <w:spacing w:line="400" w:lineRule="exact"/>
              <w:rPr>
                <w:rFonts w:ascii="宋体" w:hAnsi="宋体" w:eastAsia="宋体"/>
                <w:color w:val="auto"/>
                <w:szCs w:val="24"/>
                <w:highlight w:val="none"/>
              </w:rPr>
            </w:pPr>
          </w:p>
        </w:tc>
        <w:tc>
          <w:tcPr>
            <w:tcW w:w="1134" w:type="dxa"/>
            <w:vAlign w:val="center"/>
          </w:tcPr>
          <w:p>
            <w:pPr>
              <w:spacing w:line="400" w:lineRule="exact"/>
              <w:rPr>
                <w:rFonts w:ascii="宋体" w:hAnsi="宋体" w:eastAsia="宋体"/>
                <w:color w:val="auto"/>
                <w:szCs w:val="24"/>
                <w:highlight w:val="none"/>
              </w:rPr>
            </w:pPr>
            <w:r>
              <w:rPr>
                <w:rFonts w:hint="eastAsia" w:ascii="宋体" w:hAnsi="宋体" w:eastAsia="宋体"/>
                <w:color w:val="auto"/>
                <w:kern w:val="0"/>
                <w:highlight w:val="none"/>
              </w:rPr>
              <w:t>质量管理体系与措施</w:t>
            </w:r>
          </w:p>
        </w:tc>
        <w:tc>
          <w:tcPr>
            <w:tcW w:w="709" w:type="dxa"/>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val="en-US" w:eastAsia="zh-CN"/>
              </w:rPr>
              <w:t>6</w:t>
            </w:r>
            <w:r>
              <w:rPr>
                <w:rFonts w:hint="eastAsia" w:ascii="宋体" w:hAnsi="宋体" w:eastAsia="宋体"/>
                <w:color w:val="auto"/>
                <w:szCs w:val="24"/>
                <w:highlight w:val="none"/>
              </w:rPr>
              <w:t>分</w:t>
            </w:r>
          </w:p>
        </w:tc>
        <w:tc>
          <w:tcPr>
            <w:tcW w:w="3448" w:type="dxa"/>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质量保证体系的方案、措施等是否先进、合理和可靠。材料的质量保证措施满足竞争性磋商文件及图纸所要求的工程质量要求。</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之间横向比较，由磋商小组按优</w:t>
            </w:r>
            <w:r>
              <w:rPr>
                <w:rFonts w:hint="eastAsia" w:ascii="宋体" w:hAnsi="宋体" w:eastAsia="宋体"/>
                <w:color w:val="auto"/>
                <w:kern w:val="0"/>
                <w:highlight w:val="none"/>
                <w:lang w:val="en-US" w:eastAsia="zh-CN"/>
              </w:rPr>
              <w:t>6</w:t>
            </w:r>
            <w:r>
              <w:rPr>
                <w:rFonts w:hint="eastAsia" w:ascii="宋体" w:hAnsi="宋体" w:eastAsia="宋体"/>
                <w:color w:val="auto"/>
                <w:kern w:val="0"/>
                <w:highlight w:val="none"/>
              </w:rPr>
              <w:t>分、良</w:t>
            </w:r>
            <w:r>
              <w:rPr>
                <w:rFonts w:ascii="宋体" w:hAnsi="宋体" w:eastAsia="宋体"/>
                <w:color w:val="auto"/>
                <w:kern w:val="0"/>
                <w:highlight w:val="none"/>
              </w:rPr>
              <w:t>5</w:t>
            </w:r>
            <w:r>
              <w:rPr>
                <w:rFonts w:hint="eastAsia" w:ascii="宋体" w:hAnsi="宋体" w:eastAsia="宋体"/>
                <w:color w:val="auto"/>
                <w:kern w:val="0"/>
                <w:highlight w:val="none"/>
              </w:rPr>
              <w:t>分</w:t>
            </w:r>
            <w:r>
              <w:rPr>
                <w:rFonts w:hint="eastAsia" w:ascii="宋体" w:hAnsi="宋体" w:eastAsia="宋体"/>
                <w:color w:val="auto"/>
                <w:szCs w:val="24"/>
                <w:highlight w:val="none"/>
              </w:rPr>
              <w:t>、中</w:t>
            </w:r>
            <w:r>
              <w:rPr>
                <w:rFonts w:ascii="宋体" w:hAnsi="宋体" w:eastAsia="宋体"/>
                <w:color w:val="auto"/>
                <w:szCs w:val="24"/>
                <w:highlight w:val="none"/>
              </w:rPr>
              <w:t>3</w:t>
            </w:r>
            <w:r>
              <w:rPr>
                <w:rFonts w:hint="eastAsia" w:ascii="宋体" w:hAnsi="宋体" w:eastAsia="宋体"/>
                <w:color w:val="auto"/>
                <w:szCs w:val="24"/>
                <w:highlight w:val="none"/>
              </w:rPr>
              <w:t>分、差</w:t>
            </w:r>
            <w:r>
              <w:rPr>
                <w:rFonts w:ascii="宋体" w:hAnsi="宋体" w:eastAsia="宋体"/>
                <w:color w:val="auto"/>
                <w:szCs w:val="24"/>
                <w:highlight w:val="none"/>
              </w:rPr>
              <w:t>1</w:t>
            </w:r>
            <w:r>
              <w:rPr>
                <w:rFonts w:hint="eastAsia" w:ascii="宋体" w:hAnsi="宋体" w:eastAsia="宋体"/>
                <w:color w:val="auto"/>
                <w:szCs w:val="24"/>
                <w:highlight w:val="none"/>
              </w:rPr>
              <w:t>分</w:t>
            </w:r>
            <w:r>
              <w:rPr>
                <w:rFonts w:hint="eastAsia" w:ascii="宋体" w:hAnsi="宋体" w:eastAsia="宋体"/>
                <w:color w:val="auto"/>
                <w:kern w:val="0"/>
                <w:highlight w:val="none"/>
              </w:rPr>
              <w:t>、无此内容</w:t>
            </w:r>
            <w:r>
              <w:rPr>
                <w:rFonts w:ascii="宋体" w:hAnsi="宋体" w:eastAsia="宋体"/>
                <w:color w:val="auto"/>
                <w:kern w:val="0"/>
                <w:highlight w:val="none"/>
              </w:rPr>
              <w:t>0</w:t>
            </w:r>
            <w:r>
              <w:rPr>
                <w:rFonts w:hint="eastAsia" w:ascii="宋体" w:hAnsi="宋体" w:eastAsia="宋体"/>
                <w:color w:val="auto"/>
                <w:kern w:val="0"/>
                <w:highlight w:val="none"/>
              </w:rPr>
              <w:t>分，自主评分。</w:t>
            </w:r>
          </w:p>
        </w:tc>
        <w:tc>
          <w:tcPr>
            <w:tcW w:w="2222" w:type="dxa"/>
            <w:vMerge w:val="continue"/>
            <w:vAlign w:val="center"/>
          </w:tcPr>
          <w:p>
            <w:pPr>
              <w:spacing w:line="400" w:lineRule="exact"/>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09" w:type="dxa"/>
            <w:vMerge w:val="continue"/>
            <w:vAlign w:val="center"/>
          </w:tcPr>
          <w:p>
            <w:pPr>
              <w:spacing w:line="400" w:lineRule="exact"/>
              <w:ind w:firstLine="212" w:firstLineChars="100"/>
              <w:rPr>
                <w:rFonts w:ascii="宋体" w:hAnsi="宋体" w:eastAsia="宋体"/>
                <w:color w:val="auto"/>
                <w:szCs w:val="24"/>
                <w:highlight w:val="none"/>
              </w:rPr>
            </w:pPr>
          </w:p>
        </w:tc>
        <w:tc>
          <w:tcPr>
            <w:tcW w:w="1134" w:type="dxa"/>
            <w:vMerge w:val="continue"/>
            <w:vAlign w:val="center"/>
          </w:tcPr>
          <w:p>
            <w:pPr>
              <w:spacing w:line="400" w:lineRule="exact"/>
              <w:rPr>
                <w:rFonts w:ascii="宋体" w:hAnsi="宋体" w:eastAsia="宋体"/>
                <w:color w:val="auto"/>
                <w:szCs w:val="24"/>
                <w:highlight w:val="none"/>
              </w:rPr>
            </w:pPr>
          </w:p>
        </w:tc>
        <w:tc>
          <w:tcPr>
            <w:tcW w:w="1134" w:type="dxa"/>
            <w:vAlign w:val="center"/>
          </w:tcPr>
          <w:p>
            <w:pPr>
              <w:spacing w:line="400" w:lineRule="exact"/>
              <w:rPr>
                <w:rFonts w:ascii="宋体" w:hAnsi="宋体" w:eastAsia="宋体"/>
                <w:color w:val="auto"/>
                <w:szCs w:val="24"/>
                <w:highlight w:val="none"/>
              </w:rPr>
            </w:pPr>
            <w:r>
              <w:rPr>
                <w:rFonts w:hint="eastAsia" w:ascii="宋体" w:hAnsi="宋体" w:eastAsia="宋体"/>
                <w:color w:val="auto"/>
                <w:kern w:val="0"/>
                <w:highlight w:val="none"/>
              </w:rPr>
              <w:t>安全管理体系与措施</w:t>
            </w:r>
          </w:p>
        </w:tc>
        <w:tc>
          <w:tcPr>
            <w:tcW w:w="709" w:type="dxa"/>
            <w:vAlign w:val="center"/>
          </w:tcPr>
          <w:p>
            <w:pPr>
              <w:spacing w:line="400" w:lineRule="exact"/>
              <w:rPr>
                <w:rFonts w:ascii="宋体" w:hAnsi="宋体" w:eastAsia="宋体"/>
                <w:color w:val="auto"/>
                <w:szCs w:val="24"/>
                <w:highlight w:val="none"/>
              </w:rPr>
            </w:pPr>
            <w:r>
              <w:rPr>
                <w:rFonts w:ascii="宋体" w:hAnsi="宋体" w:eastAsia="宋体"/>
                <w:color w:val="auto"/>
                <w:szCs w:val="24"/>
                <w:highlight w:val="none"/>
              </w:rPr>
              <w:t>8</w:t>
            </w:r>
            <w:r>
              <w:rPr>
                <w:rFonts w:hint="eastAsia" w:ascii="宋体" w:hAnsi="宋体" w:eastAsia="宋体"/>
                <w:color w:val="auto"/>
                <w:szCs w:val="24"/>
                <w:highlight w:val="none"/>
              </w:rPr>
              <w:t>分</w:t>
            </w:r>
          </w:p>
        </w:tc>
        <w:tc>
          <w:tcPr>
            <w:tcW w:w="3448" w:type="dxa"/>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安全管理体系健全有效，施工安全专项方案及安全管理保证措施具有针对性、文明施工和防止扰民措施是否得当等。</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之间横向比较，由磋商小组按优</w:t>
            </w:r>
            <w:r>
              <w:rPr>
                <w:rFonts w:ascii="宋体" w:hAnsi="宋体" w:eastAsia="宋体"/>
                <w:color w:val="auto"/>
                <w:szCs w:val="24"/>
                <w:highlight w:val="none"/>
              </w:rPr>
              <w:t>8</w:t>
            </w:r>
            <w:r>
              <w:rPr>
                <w:rFonts w:hint="eastAsia" w:ascii="宋体" w:hAnsi="宋体" w:eastAsia="宋体"/>
                <w:color w:val="auto"/>
                <w:szCs w:val="24"/>
                <w:highlight w:val="none"/>
              </w:rPr>
              <w:t>分、良</w:t>
            </w:r>
            <w:r>
              <w:rPr>
                <w:rFonts w:ascii="宋体" w:hAnsi="宋体" w:eastAsia="宋体"/>
                <w:color w:val="auto"/>
                <w:szCs w:val="24"/>
                <w:highlight w:val="none"/>
              </w:rPr>
              <w:t>6</w:t>
            </w:r>
            <w:r>
              <w:rPr>
                <w:rFonts w:hint="eastAsia" w:ascii="宋体" w:hAnsi="宋体" w:eastAsia="宋体"/>
                <w:color w:val="auto"/>
                <w:szCs w:val="24"/>
                <w:highlight w:val="none"/>
              </w:rPr>
              <w:t>分、中</w:t>
            </w:r>
            <w:r>
              <w:rPr>
                <w:rFonts w:ascii="宋体" w:hAnsi="宋体" w:eastAsia="宋体"/>
                <w:color w:val="auto"/>
                <w:szCs w:val="24"/>
                <w:highlight w:val="none"/>
              </w:rPr>
              <w:t>4</w:t>
            </w:r>
            <w:r>
              <w:rPr>
                <w:rFonts w:hint="eastAsia" w:ascii="宋体" w:hAnsi="宋体" w:eastAsia="宋体"/>
                <w:color w:val="auto"/>
                <w:szCs w:val="24"/>
                <w:highlight w:val="none"/>
              </w:rPr>
              <w:t>分、差</w:t>
            </w:r>
            <w:r>
              <w:rPr>
                <w:rFonts w:ascii="宋体" w:hAnsi="宋体" w:eastAsia="宋体"/>
                <w:color w:val="auto"/>
                <w:szCs w:val="24"/>
                <w:highlight w:val="none"/>
              </w:rPr>
              <w:t>1</w:t>
            </w:r>
            <w:r>
              <w:rPr>
                <w:rFonts w:hint="eastAsia" w:ascii="宋体" w:hAnsi="宋体" w:eastAsia="宋体"/>
                <w:color w:val="auto"/>
                <w:szCs w:val="24"/>
                <w:highlight w:val="none"/>
              </w:rPr>
              <w:t>分</w:t>
            </w:r>
            <w:r>
              <w:rPr>
                <w:rFonts w:hint="eastAsia" w:ascii="宋体" w:hAnsi="宋体" w:eastAsia="宋体"/>
                <w:color w:val="auto"/>
                <w:kern w:val="0"/>
                <w:highlight w:val="none"/>
              </w:rPr>
              <w:t>、无此内容</w:t>
            </w:r>
            <w:r>
              <w:rPr>
                <w:rFonts w:ascii="宋体" w:hAnsi="宋体" w:eastAsia="宋体"/>
                <w:color w:val="auto"/>
                <w:kern w:val="0"/>
                <w:highlight w:val="none"/>
              </w:rPr>
              <w:t>0</w:t>
            </w:r>
            <w:r>
              <w:rPr>
                <w:rFonts w:hint="eastAsia" w:ascii="宋体" w:hAnsi="宋体" w:eastAsia="宋体"/>
                <w:color w:val="auto"/>
                <w:kern w:val="0"/>
                <w:highlight w:val="none"/>
              </w:rPr>
              <w:t>分，自主评分。</w:t>
            </w:r>
          </w:p>
        </w:tc>
        <w:tc>
          <w:tcPr>
            <w:tcW w:w="2222" w:type="dxa"/>
            <w:vMerge w:val="continue"/>
            <w:vAlign w:val="center"/>
          </w:tcPr>
          <w:p>
            <w:pPr>
              <w:spacing w:line="400" w:lineRule="exact"/>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709" w:type="dxa"/>
            <w:vMerge w:val="continue"/>
            <w:vAlign w:val="center"/>
          </w:tcPr>
          <w:p>
            <w:pPr>
              <w:spacing w:line="400" w:lineRule="exact"/>
              <w:ind w:firstLine="212" w:firstLineChars="100"/>
              <w:rPr>
                <w:rFonts w:ascii="宋体" w:hAnsi="宋体" w:eastAsia="宋体"/>
                <w:color w:val="auto"/>
                <w:szCs w:val="24"/>
                <w:highlight w:val="none"/>
              </w:rPr>
            </w:pPr>
          </w:p>
        </w:tc>
        <w:tc>
          <w:tcPr>
            <w:tcW w:w="1134" w:type="dxa"/>
            <w:vMerge w:val="continue"/>
            <w:vAlign w:val="center"/>
          </w:tcPr>
          <w:p>
            <w:pPr>
              <w:spacing w:line="400" w:lineRule="exact"/>
              <w:rPr>
                <w:rFonts w:ascii="宋体" w:hAnsi="宋体" w:eastAsia="宋体"/>
                <w:color w:val="auto"/>
                <w:szCs w:val="24"/>
                <w:highlight w:val="none"/>
              </w:rPr>
            </w:pPr>
          </w:p>
        </w:tc>
        <w:tc>
          <w:tcPr>
            <w:tcW w:w="1134" w:type="dxa"/>
            <w:vAlign w:val="center"/>
          </w:tcPr>
          <w:p>
            <w:pPr>
              <w:spacing w:line="400" w:lineRule="exact"/>
              <w:rPr>
                <w:rFonts w:ascii="宋体" w:hAnsi="宋体" w:eastAsia="宋体"/>
                <w:color w:val="auto"/>
                <w:szCs w:val="24"/>
                <w:highlight w:val="none"/>
              </w:rPr>
            </w:pPr>
            <w:r>
              <w:rPr>
                <w:rFonts w:hint="eastAsia" w:ascii="宋体" w:hAnsi="宋体" w:eastAsia="宋体"/>
                <w:color w:val="auto"/>
                <w:kern w:val="0"/>
                <w:highlight w:val="none"/>
              </w:rPr>
              <w:t>环境保护管理体系措施</w:t>
            </w:r>
          </w:p>
        </w:tc>
        <w:tc>
          <w:tcPr>
            <w:tcW w:w="709" w:type="dxa"/>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val="en-US" w:eastAsia="zh-CN"/>
              </w:rPr>
              <w:t>5</w:t>
            </w:r>
            <w:r>
              <w:rPr>
                <w:rFonts w:hint="eastAsia" w:ascii="宋体" w:hAnsi="宋体" w:eastAsia="宋体"/>
                <w:color w:val="auto"/>
                <w:szCs w:val="24"/>
                <w:highlight w:val="none"/>
              </w:rPr>
              <w:t>分</w:t>
            </w:r>
          </w:p>
        </w:tc>
        <w:tc>
          <w:tcPr>
            <w:tcW w:w="3448" w:type="dxa"/>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采用新技术、新工艺、新设备、新材料的程度，其中确保质量、缩短工期、提高工效，对环境影响最小等方面所起的作用。</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之间横向比较，由磋商小组按优</w:t>
            </w:r>
            <w:r>
              <w:rPr>
                <w:rFonts w:hint="eastAsia" w:ascii="宋体" w:hAnsi="宋体" w:eastAsia="宋体"/>
                <w:color w:val="auto"/>
                <w:kern w:val="0"/>
                <w:highlight w:val="none"/>
                <w:lang w:val="en-US" w:eastAsia="zh-CN"/>
              </w:rPr>
              <w:t>5</w:t>
            </w:r>
            <w:r>
              <w:rPr>
                <w:rFonts w:hint="eastAsia" w:ascii="宋体" w:hAnsi="宋体" w:eastAsia="宋体"/>
                <w:color w:val="auto"/>
                <w:kern w:val="0"/>
                <w:highlight w:val="none"/>
              </w:rPr>
              <w:t>分、良</w:t>
            </w:r>
            <w:r>
              <w:rPr>
                <w:rFonts w:hint="eastAsia" w:ascii="宋体" w:hAnsi="宋体" w:eastAsia="宋体"/>
                <w:color w:val="auto"/>
                <w:kern w:val="0"/>
                <w:highlight w:val="none"/>
                <w:lang w:val="en-US" w:eastAsia="zh-CN"/>
              </w:rPr>
              <w:t>4</w:t>
            </w:r>
            <w:r>
              <w:rPr>
                <w:rFonts w:hint="eastAsia" w:ascii="宋体" w:hAnsi="宋体" w:eastAsia="宋体"/>
                <w:color w:val="auto"/>
                <w:kern w:val="0"/>
                <w:highlight w:val="none"/>
              </w:rPr>
              <w:t>分</w:t>
            </w:r>
            <w:r>
              <w:rPr>
                <w:rFonts w:hint="eastAsia" w:ascii="宋体" w:hAnsi="宋体" w:eastAsia="宋体"/>
                <w:color w:val="auto"/>
                <w:szCs w:val="24"/>
                <w:highlight w:val="none"/>
              </w:rPr>
              <w:t>、中</w:t>
            </w:r>
            <w:r>
              <w:rPr>
                <w:rFonts w:ascii="宋体" w:hAnsi="宋体" w:eastAsia="宋体"/>
                <w:color w:val="auto"/>
                <w:szCs w:val="24"/>
                <w:highlight w:val="none"/>
              </w:rPr>
              <w:t>3</w:t>
            </w:r>
            <w:r>
              <w:rPr>
                <w:rFonts w:hint="eastAsia" w:ascii="宋体" w:hAnsi="宋体" w:eastAsia="宋体"/>
                <w:color w:val="auto"/>
                <w:szCs w:val="24"/>
                <w:highlight w:val="none"/>
              </w:rPr>
              <w:t>分、差</w:t>
            </w:r>
            <w:r>
              <w:rPr>
                <w:rFonts w:ascii="宋体" w:hAnsi="宋体" w:eastAsia="宋体"/>
                <w:color w:val="auto"/>
                <w:szCs w:val="24"/>
                <w:highlight w:val="none"/>
              </w:rPr>
              <w:t>1</w:t>
            </w:r>
            <w:r>
              <w:rPr>
                <w:rFonts w:hint="eastAsia" w:ascii="宋体" w:hAnsi="宋体" w:eastAsia="宋体"/>
                <w:color w:val="auto"/>
                <w:szCs w:val="24"/>
                <w:highlight w:val="none"/>
              </w:rPr>
              <w:t>分</w:t>
            </w:r>
            <w:r>
              <w:rPr>
                <w:rFonts w:hint="eastAsia" w:ascii="宋体" w:hAnsi="宋体" w:eastAsia="宋体"/>
                <w:color w:val="auto"/>
                <w:kern w:val="0"/>
                <w:highlight w:val="none"/>
              </w:rPr>
              <w:t>、无此内容</w:t>
            </w:r>
            <w:r>
              <w:rPr>
                <w:rFonts w:ascii="宋体" w:hAnsi="宋体" w:eastAsia="宋体"/>
                <w:color w:val="auto"/>
                <w:kern w:val="0"/>
                <w:highlight w:val="none"/>
              </w:rPr>
              <w:t>0</w:t>
            </w:r>
            <w:r>
              <w:rPr>
                <w:rFonts w:hint="eastAsia" w:ascii="宋体" w:hAnsi="宋体" w:eastAsia="宋体"/>
                <w:color w:val="auto"/>
                <w:kern w:val="0"/>
                <w:highlight w:val="none"/>
              </w:rPr>
              <w:t>分，自主评分。</w:t>
            </w:r>
          </w:p>
        </w:tc>
        <w:tc>
          <w:tcPr>
            <w:tcW w:w="2222" w:type="dxa"/>
            <w:vMerge w:val="continue"/>
            <w:vAlign w:val="center"/>
          </w:tcPr>
          <w:p>
            <w:pPr>
              <w:spacing w:line="400" w:lineRule="exact"/>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709" w:type="dxa"/>
            <w:vMerge w:val="continue"/>
            <w:vAlign w:val="center"/>
          </w:tcPr>
          <w:p>
            <w:pPr>
              <w:spacing w:line="400" w:lineRule="exact"/>
              <w:ind w:firstLine="424" w:firstLineChars="200"/>
              <w:rPr>
                <w:rFonts w:ascii="宋体" w:hAnsi="宋体" w:eastAsia="宋体"/>
                <w:color w:val="auto"/>
                <w:szCs w:val="24"/>
                <w:highlight w:val="none"/>
              </w:rPr>
            </w:pPr>
          </w:p>
        </w:tc>
        <w:tc>
          <w:tcPr>
            <w:tcW w:w="1134" w:type="dxa"/>
            <w:vMerge w:val="continue"/>
            <w:vAlign w:val="center"/>
          </w:tcPr>
          <w:p>
            <w:pPr>
              <w:spacing w:line="400" w:lineRule="exact"/>
              <w:ind w:firstLine="424" w:firstLineChars="200"/>
              <w:rPr>
                <w:rFonts w:ascii="宋体" w:hAnsi="宋体" w:eastAsia="宋体"/>
                <w:color w:val="auto"/>
                <w:szCs w:val="24"/>
                <w:highlight w:val="none"/>
              </w:rPr>
            </w:pPr>
          </w:p>
        </w:tc>
        <w:tc>
          <w:tcPr>
            <w:tcW w:w="1134" w:type="dxa"/>
            <w:vAlign w:val="center"/>
          </w:tcPr>
          <w:p>
            <w:pPr>
              <w:spacing w:line="400" w:lineRule="exact"/>
              <w:rPr>
                <w:rFonts w:ascii="宋体" w:hAnsi="宋体" w:eastAsia="宋体"/>
                <w:color w:val="auto"/>
                <w:kern w:val="0"/>
                <w:highlight w:val="none"/>
              </w:rPr>
            </w:pPr>
            <w:r>
              <w:rPr>
                <w:rFonts w:hint="eastAsia" w:ascii="宋体" w:hAnsi="宋体" w:eastAsia="宋体"/>
                <w:color w:val="auto"/>
                <w:kern w:val="0"/>
                <w:highlight w:val="none"/>
              </w:rPr>
              <w:t>工程进度计划与措施</w:t>
            </w:r>
          </w:p>
        </w:tc>
        <w:tc>
          <w:tcPr>
            <w:tcW w:w="709" w:type="dxa"/>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val="en-US" w:eastAsia="zh-CN"/>
              </w:rPr>
              <w:t>5</w:t>
            </w:r>
            <w:r>
              <w:rPr>
                <w:rFonts w:hint="eastAsia" w:ascii="宋体" w:hAnsi="宋体" w:eastAsia="宋体"/>
                <w:color w:val="auto"/>
                <w:szCs w:val="24"/>
                <w:highlight w:val="none"/>
              </w:rPr>
              <w:t>分</w:t>
            </w:r>
          </w:p>
        </w:tc>
        <w:tc>
          <w:tcPr>
            <w:tcW w:w="3448" w:type="dxa"/>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以网络图的方式表示进度计划，总进度计划是否满足本工程要求，各关键路径的工期是否切实可行，保证工期的措施是否科学、可靠。</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之间横向比较，由磋商小组按</w:t>
            </w:r>
            <w:r>
              <w:rPr>
                <w:rFonts w:hint="eastAsia" w:ascii="宋体" w:hAnsi="宋体" w:eastAsia="宋体"/>
                <w:color w:val="auto"/>
                <w:szCs w:val="24"/>
                <w:highlight w:val="none"/>
                <w:lang w:val="en-US" w:eastAsia="zh-CN"/>
              </w:rPr>
              <w:t xml:space="preserve"> </w:t>
            </w:r>
            <w:r>
              <w:rPr>
                <w:rFonts w:hint="eastAsia" w:ascii="宋体" w:hAnsi="宋体" w:eastAsia="宋体"/>
                <w:color w:val="auto"/>
                <w:szCs w:val="24"/>
                <w:highlight w:val="none"/>
              </w:rPr>
              <w:t>优</w:t>
            </w:r>
            <w:r>
              <w:rPr>
                <w:rFonts w:hint="eastAsia" w:ascii="宋体" w:hAnsi="宋体" w:eastAsia="宋体"/>
                <w:color w:val="auto"/>
                <w:kern w:val="0"/>
                <w:highlight w:val="none"/>
                <w:lang w:val="en-US" w:eastAsia="zh-CN"/>
              </w:rPr>
              <w:t>5</w:t>
            </w:r>
            <w:r>
              <w:rPr>
                <w:rFonts w:hint="eastAsia" w:ascii="宋体" w:hAnsi="宋体" w:eastAsia="宋体"/>
                <w:color w:val="auto"/>
                <w:kern w:val="0"/>
                <w:highlight w:val="none"/>
              </w:rPr>
              <w:t>分、良</w:t>
            </w:r>
            <w:r>
              <w:rPr>
                <w:rFonts w:hint="eastAsia" w:ascii="宋体" w:hAnsi="宋体" w:eastAsia="宋体"/>
                <w:color w:val="auto"/>
                <w:kern w:val="0"/>
                <w:highlight w:val="none"/>
                <w:lang w:val="en-US" w:eastAsia="zh-CN"/>
              </w:rPr>
              <w:t>4</w:t>
            </w:r>
            <w:r>
              <w:rPr>
                <w:rFonts w:hint="eastAsia" w:ascii="宋体" w:hAnsi="宋体" w:eastAsia="宋体"/>
                <w:color w:val="auto"/>
                <w:kern w:val="0"/>
                <w:highlight w:val="none"/>
              </w:rPr>
              <w:t>分</w:t>
            </w:r>
            <w:r>
              <w:rPr>
                <w:rFonts w:hint="eastAsia" w:ascii="宋体" w:hAnsi="宋体" w:eastAsia="宋体"/>
                <w:color w:val="auto"/>
                <w:szCs w:val="24"/>
                <w:highlight w:val="none"/>
              </w:rPr>
              <w:t>、中</w:t>
            </w:r>
            <w:r>
              <w:rPr>
                <w:rFonts w:ascii="宋体" w:hAnsi="宋体" w:eastAsia="宋体"/>
                <w:color w:val="auto"/>
                <w:szCs w:val="24"/>
                <w:highlight w:val="none"/>
              </w:rPr>
              <w:t>3</w:t>
            </w:r>
            <w:r>
              <w:rPr>
                <w:rFonts w:hint="eastAsia" w:ascii="宋体" w:hAnsi="宋体" w:eastAsia="宋体"/>
                <w:color w:val="auto"/>
                <w:szCs w:val="24"/>
                <w:highlight w:val="none"/>
              </w:rPr>
              <w:t>分、差</w:t>
            </w:r>
            <w:r>
              <w:rPr>
                <w:rFonts w:ascii="宋体" w:hAnsi="宋体" w:eastAsia="宋体"/>
                <w:color w:val="auto"/>
                <w:szCs w:val="24"/>
                <w:highlight w:val="none"/>
              </w:rPr>
              <w:t>1</w:t>
            </w:r>
            <w:r>
              <w:rPr>
                <w:rFonts w:hint="eastAsia" w:ascii="宋体" w:hAnsi="宋体" w:eastAsia="宋体"/>
                <w:color w:val="auto"/>
                <w:szCs w:val="24"/>
                <w:highlight w:val="none"/>
              </w:rPr>
              <w:t>分</w:t>
            </w:r>
            <w:r>
              <w:rPr>
                <w:rFonts w:hint="eastAsia" w:ascii="宋体" w:hAnsi="宋体" w:eastAsia="宋体"/>
                <w:color w:val="auto"/>
                <w:kern w:val="0"/>
                <w:highlight w:val="none"/>
              </w:rPr>
              <w:t>、无此内容</w:t>
            </w:r>
            <w:r>
              <w:rPr>
                <w:rFonts w:ascii="宋体" w:hAnsi="宋体" w:eastAsia="宋体"/>
                <w:color w:val="auto"/>
                <w:kern w:val="0"/>
                <w:highlight w:val="none"/>
              </w:rPr>
              <w:t>0</w:t>
            </w:r>
            <w:r>
              <w:rPr>
                <w:rFonts w:hint="eastAsia" w:ascii="宋体" w:hAnsi="宋体" w:eastAsia="宋体"/>
                <w:color w:val="auto"/>
                <w:kern w:val="0"/>
                <w:highlight w:val="none"/>
              </w:rPr>
              <w:t>分，自主评分。</w:t>
            </w:r>
          </w:p>
        </w:tc>
        <w:tc>
          <w:tcPr>
            <w:tcW w:w="2222" w:type="dxa"/>
            <w:vMerge w:val="continue"/>
            <w:vAlign w:val="center"/>
          </w:tcPr>
          <w:p>
            <w:pPr>
              <w:spacing w:line="400" w:lineRule="exact"/>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4" w:hRule="atLeast"/>
        </w:trPr>
        <w:tc>
          <w:tcPr>
            <w:tcW w:w="709" w:type="dxa"/>
            <w:vMerge w:val="continue"/>
            <w:vAlign w:val="center"/>
          </w:tcPr>
          <w:p>
            <w:pPr>
              <w:spacing w:line="400" w:lineRule="exact"/>
              <w:ind w:firstLine="424" w:firstLineChars="200"/>
              <w:rPr>
                <w:rFonts w:ascii="宋体" w:hAnsi="宋体" w:eastAsia="宋体"/>
                <w:color w:val="auto"/>
                <w:szCs w:val="24"/>
                <w:highlight w:val="none"/>
              </w:rPr>
            </w:pPr>
          </w:p>
        </w:tc>
        <w:tc>
          <w:tcPr>
            <w:tcW w:w="1134" w:type="dxa"/>
            <w:vMerge w:val="continue"/>
            <w:vAlign w:val="center"/>
          </w:tcPr>
          <w:p>
            <w:pPr>
              <w:spacing w:line="400" w:lineRule="exact"/>
              <w:ind w:firstLine="424" w:firstLineChars="200"/>
              <w:rPr>
                <w:rFonts w:ascii="宋体" w:hAnsi="宋体" w:eastAsia="宋体"/>
                <w:color w:val="auto"/>
                <w:szCs w:val="24"/>
                <w:highlight w:val="none"/>
              </w:rPr>
            </w:pPr>
          </w:p>
        </w:tc>
        <w:tc>
          <w:tcPr>
            <w:tcW w:w="1134" w:type="dxa"/>
            <w:vAlign w:val="center"/>
          </w:tcPr>
          <w:p>
            <w:pPr>
              <w:spacing w:line="400" w:lineRule="exact"/>
              <w:rPr>
                <w:rFonts w:ascii="宋体" w:hAnsi="宋体" w:eastAsia="宋体"/>
                <w:color w:val="auto"/>
                <w:kern w:val="0"/>
                <w:highlight w:val="none"/>
              </w:rPr>
            </w:pPr>
            <w:r>
              <w:rPr>
                <w:rFonts w:hint="eastAsia" w:ascii="宋体" w:hAnsi="宋体" w:eastAsia="宋体"/>
                <w:color w:val="auto"/>
                <w:kern w:val="0"/>
                <w:highlight w:val="none"/>
              </w:rPr>
              <w:t>资源配备计划与先进性</w:t>
            </w:r>
          </w:p>
        </w:tc>
        <w:tc>
          <w:tcPr>
            <w:tcW w:w="709" w:type="dxa"/>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val="en-US" w:eastAsia="zh-CN"/>
              </w:rPr>
              <w:t>5</w:t>
            </w:r>
            <w:r>
              <w:rPr>
                <w:rFonts w:hint="eastAsia" w:ascii="宋体" w:hAnsi="宋体" w:eastAsia="宋体"/>
                <w:color w:val="auto"/>
                <w:szCs w:val="24"/>
                <w:highlight w:val="none"/>
              </w:rPr>
              <w:t>分</w:t>
            </w:r>
          </w:p>
        </w:tc>
        <w:tc>
          <w:tcPr>
            <w:tcW w:w="3448" w:type="dxa"/>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资源配备是否根据招标项目实际情况，满足招标项目工期要求，是否具有先进性。</w:t>
            </w:r>
            <w:r>
              <w:rPr>
                <w:rFonts w:hint="eastAsia" w:ascii="宋体" w:hAnsi="宋体" w:eastAsia="宋体"/>
                <w:color w:val="auto"/>
                <w:kern w:val="0"/>
                <w:highlight w:val="none"/>
                <w:lang w:eastAsia="zh-CN"/>
              </w:rPr>
              <w:t>投标人</w:t>
            </w:r>
            <w:r>
              <w:rPr>
                <w:rFonts w:hint="eastAsia" w:ascii="宋体" w:hAnsi="宋体" w:eastAsia="宋体"/>
                <w:color w:val="auto"/>
                <w:kern w:val="0"/>
                <w:highlight w:val="none"/>
              </w:rPr>
              <w:t>之间横向比较，由磋商小组按</w:t>
            </w:r>
            <w:r>
              <w:rPr>
                <w:rFonts w:hint="eastAsia" w:ascii="宋体" w:hAnsi="宋体" w:eastAsia="宋体"/>
                <w:color w:val="auto"/>
                <w:szCs w:val="24"/>
                <w:highlight w:val="none"/>
              </w:rPr>
              <w:t>优</w:t>
            </w:r>
            <w:r>
              <w:rPr>
                <w:rFonts w:hint="eastAsia" w:ascii="宋体" w:hAnsi="宋体" w:eastAsia="宋体"/>
                <w:color w:val="auto"/>
                <w:kern w:val="0"/>
                <w:highlight w:val="none"/>
                <w:lang w:val="en-US" w:eastAsia="zh-CN"/>
              </w:rPr>
              <w:t>5</w:t>
            </w:r>
            <w:r>
              <w:rPr>
                <w:rFonts w:hint="eastAsia" w:ascii="宋体" w:hAnsi="宋体" w:eastAsia="宋体"/>
                <w:color w:val="auto"/>
                <w:kern w:val="0"/>
                <w:highlight w:val="none"/>
              </w:rPr>
              <w:t>分、良</w:t>
            </w:r>
            <w:r>
              <w:rPr>
                <w:rFonts w:hint="eastAsia" w:ascii="宋体" w:hAnsi="宋体" w:eastAsia="宋体"/>
                <w:color w:val="auto"/>
                <w:kern w:val="0"/>
                <w:highlight w:val="none"/>
                <w:lang w:val="en-US" w:eastAsia="zh-CN"/>
              </w:rPr>
              <w:t>4</w:t>
            </w:r>
            <w:r>
              <w:rPr>
                <w:rFonts w:hint="eastAsia" w:ascii="宋体" w:hAnsi="宋体" w:eastAsia="宋体"/>
                <w:color w:val="auto"/>
                <w:kern w:val="0"/>
                <w:highlight w:val="none"/>
              </w:rPr>
              <w:t>分、中</w:t>
            </w:r>
            <w:r>
              <w:rPr>
                <w:rFonts w:ascii="宋体" w:hAnsi="宋体" w:eastAsia="宋体"/>
                <w:color w:val="auto"/>
                <w:kern w:val="0"/>
                <w:highlight w:val="none"/>
              </w:rPr>
              <w:t>3</w:t>
            </w:r>
            <w:r>
              <w:rPr>
                <w:rFonts w:hint="eastAsia" w:ascii="宋体" w:hAnsi="宋体" w:eastAsia="宋体"/>
                <w:color w:val="auto"/>
                <w:kern w:val="0"/>
                <w:highlight w:val="none"/>
              </w:rPr>
              <w:t>分、差</w:t>
            </w:r>
            <w:r>
              <w:rPr>
                <w:rFonts w:ascii="宋体" w:hAnsi="宋体" w:eastAsia="宋体"/>
                <w:color w:val="auto"/>
                <w:kern w:val="0"/>
                <w:highlight w:val="none"/>
              </w:rPr>
              <w:t>1</w:t>
            </w:r>
            <w:r>
              <w:rPr>
                <w:rFonts w:hint="eastAsia" w:ascii="宋体" w:hAnsi="宋体" w:eastAsia="宋体"/>
                <w:color w:val="auto"/>
                <w:kern w:val="0"/>
                <w:highlight w:val="none"/>
              </w:rPr>
              <w:t>分、无此内容</w:t>
            </w:r>
            <w:r>
              <w:rPr>
                <w:rFonts w:ascii="宋体" w:hAnsi="宋体" w:eastAsia="宋体"/>
                <w:color w:val="auto"/>
                <w:kern w:val="0"/>
                <w:highlight w:val="none"/>
              </w:rPr>
              <w:t>0</w:t>
            </w:r>
            <w:r>
              <w:rPr>
                <w:rFonts w:hint="eastAsia" w:ascii="宋体" w:hAnsi="宋体" w:eastAsia="宋体"/>
                <w:color w:val="auto"/>
                <w:kern w:val="0"/>
                <w:highlight w:val="none"/>
              </w:rPr>
              <w:t>分，自主评分</w:t>
            </w:r>
            <w:r>
              <w:rPr>
                <w:rFonts w:hint="eastAsia" w:ascii="宋体" w:hAnsi="宋体" w:eastAsia="宋体"/>
                <w:color w:val="auto"/>
                <w:szCs w:val="24"/>
                <w:highlight w:val="none"/>
              </w:rPr>
              <w:t>。</w:t>
            </w:r>
          </w:p>
        </w:tc>
        <w:tc>
          <w:tcPr>
            <w:tcW w:w="2222" w:type="dxa"/>
            <w:vMerge w:val="continue"/>
            <w:vAlign w:val="center"/>
          </w:tcPr>
          <w:p>
            <w:pPr>
              <w:spacing w:line="400" w:lineRule="exact"/>
              <w:rPr>
                <w:rFonts w:ascii="宋体" w:hAnsi="宋体" w:eastAsia="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709" w:type="dxa"/>
            <w:vMerge w:val="restart"/>
            <w:vAlign w:val="center"/>
          </w:tcPr>
          <w:p>
            <w:pPr>
              <w:spacing w:line="400" w:lineRule="exact"/>
              <w:ind w:firstLine="212" w:firstLineChars="100"/>
              <w:rPr>
                <w:rFonts w:ascii="宋体" w:hAnsi="宋体" w:eastAsia="宋体"/>
                <w:color w:val="auto"/>
                <w:szCs w:val="24"/>
                <w:highlight w:val="none"/>
              </w:rPr>
            </w:pPr>
            <w:r>
              <w:rPr>
                <w:rFonts w:ascii="宋体" w:hAnsi="宋体" w:eastAsia="宋体"/>
                <w:color w:val="auto"/>
                <w:szCs w:val="24"/>
                <w:highlight w:val="none"/>
              </w:rPr>
              <w:t>3</w:t>
            </w:r>
          </w:p>
        </w:tc>
        <w:tc>
          <w:tcPr>
            <w:tcW w:w="1134" w:type="dxa"/>
            <w:vMerge w:val="restart"/>
            <w:vAlign w:val="center"/>
          </w:tcPr>
          <w:p>
            <w:pPr>
              <w:spacing w:line="400" w:lineRule="exact"/>
              <w:rPr>
                <w:rFonts w:ascii="宋体" w:hAnsi="宋体" w:eastAsia="宋体"/>
                <w:color w:val="auto"/>
                <w:szCs w:val="24"/>
                <w:highlight w:val="none"/>
              </w:rPr>
            </w:pPr>
            <w:r>
              <w:rPr>
                <w:rFonts w:hint="eastAsia" w:ascii="宋体" w:hAnsi="宋体" w:eastAsia="宋体"/>
                <w:color w:val="auto"/>
                <w:szCs w:val="24"/>
                <w:highlight w:val="none"/>
              </w:rPr>
              <w:t>商务部分（</w:t>
            </w:r>
            <w:r>
              <w:rPr>
                <w:rFonts w:ascii="宋体" w:hAnsi="宋体" w:eastAsia="宋体"/>
                <w:color w:val="auto"/>
                <w:szCs w:val="24"/>
                <w:highlight w:val="none"/>
              </w:rPr>
              <w:t>20%</w:t>
            </w:r>
            <w:r>
              <w:rPr>
                <w:rFonts w:hint="eastAsia" w:ascii="宋体" w:hAnsi="宋体" w:eastAsia="宋体"/>
                <w:color w:val="auto"/>
                <w:szCs w:val="24"/>
                <w:highlight w:val="none"/>
              </w:rPr>
              <w:t>）</w:t>
            </w:r>
          </w:p>
        </w:tc>
        <w:tc>
          <w:tcPr>
            <w:tcW w:w="1134" w:type="dxa"/>
            <w:vAlign w:val="center"/>
          </w:tcPr>
          <w:p>
            <w:pPr>
              <w:spacing w:line="400" w:lineRule="exact"/>
              <w:rPr>
                <w:rFonts w:hint="eastAsia" w:ascii="宋体" w:hAnsi="宋体" w:eastAsia="宋体"/>
                <w:color w:val="auto"/>
                <w:szCs w:val="24"/>
                <w:highlight w:val="none"/>
              </w:rPr>
            </w:pPr>
            <w:r>
              <w:rPr>
                <w:rFonts w:hint="eastAsia" w:ascii="宋体" w:hAnsi="宋体" w:eastAsia="宋体"/>
                <w:color w:val="auto"/>
                <w:szCs w:val="24"/>
                <w:highlight w:val="none"/>
                <w:lang w:eastAsia="zh-CN"/>
              </w:rPr>
              <w:t>企业</w:t>
            </w:r>
            <w:r>
              <w:rPr>
                <w:rFonts w:hint="eastAsia" w:ascii="宋体" w:hAnsi="宋体" w:eastAsia="宋体"/>
                <w:color w:val="auto"/>
                <w:szCs w:val="24"/>
                <w:highlight w:val="none"/>
              </w:rPr>
              <w:t>业绩</w:t>
            </w:r>
          </w:p>
          <w:p>
            <w:pPr>
              <w:spacing w:line="400" w:lineRule="exact"/>
              <w:rPr>
                <w:rFonts w:hint="eastAsia" w:ascii="宋体" w:hAnsi="宋体" w:eastAsia="宋体"/>
                <w:color w:val="auto"/>
                <w:szCs w:val="24"/>
                <w:highlight w:val="none"/>
              </w:rPr>
            </w:pPr>
          </w:p>
        </w:tc>
        <w:tc>
          <w:tcPr>
            <w:tcW w:w="709" w:type="dxa"/>
            <w:vAlign w:val="center"/>
          </w:tcPr>
          <w:p>
            <w:pPr>
              <w:spacing w:line="400" w:lineRule="exact"/>
              <w:rPr>
                <w:rFonts w:hint="eastAsia" w:ascii="宋体" w:hAnsi="宋体" w:eastAsia="宋体"/>
                <w:color w:val="auto"/>
                <w:szCs w:val="24"/>
                <w:highlight w:val="none"/>
              </w:rPr>
            </w:pPr>
            <w:r>
              <w:rPr>
                <w:rFonts w:hint="eastAsia" w:ascii="宋体" w:hAnsi="宋体" w:eastAsia="宋体"/>
                <w:color w:val="auto"/>
                <w:szCs w:val="24"/>
                <w:highlight w:val="none"/>
                <w:lang w:val="en-US" w:eastAsia="zh-CN"/>
              </w:rPr>
              <w:t>12</w:t>
            </w:r>
            <w:r>
              <w:rPr>
                <w:rFonts w:hint="eastAsia" w:ascii="宋体" w:hAnsi="宋体" w:eastAsia="宋体"/>
                <w:color w:val="auto"/>
                <w:szCs w:val="24"/>
                <w:highlight w:val="none"/>
              </w:rPr>
              <w:t>分</w:t>
            </w:r>
          </w:p>
        </w:tc>
        <w:tc>
          <w:tcPr>
            <w:tcW w:w="3448" w:type="dxa"/>
            <w:vAlign w:val="center"/>
          </w:tcPr>
          <w:p>
            <w:pPr>
              <w:spacing w:line="400" w:lineRule="exact"/>
              <w:jc w:val="left"/>
              <w:rPr>
                <w:rFonts w:hint="eastAsia" w:ascii="宋体" w:hAnsi="宋体" w:eastAsia="宋体"/>
                <w:color w:val="auto"/>
                <w:szCs w:val="24"/>
                <w:highlight w:val="none"/>
              </w:rPr>
            </w:pP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2018年1月1日起至投标截止日止（以竣工验收时间为准）承担过</w:t>
            </w:r>
            <w:r>
              <w:rPr>
                <w:rFonts w:hint="eastAsia" w:ascii="宋体" w:hAnsi="宋体" w:eastAsia="宋体"/>
                <w:color w:val="auto"/>
                <w:szCs w:val="24"/>
                <w:highlight w:val="none"/>
                <w:lang w:eastAsia="zh-CN"/>
              </w:rPr>
              <w:t>类似工程的</w:t>
            </w:r>
            <w:r>
              <w:rPr>
                <w:rFonts w:hint="eastAsia" w:ascii="宋体" w:hAnsi="宋体" w:eastAsia="宋体"/>
                <w:color w:val="auto"/>
                <w:szCs w:val="24"/>
                <w:highlight w:val="none"/>
              </w:rPr>
              <w:t>业绩。每提供1个业绩得</w:t>
            </w:r>
            <w:r>
              <w:rPr>
                <w:rFonts w:hint="eastAsia" w:ascii="宋体" w:hAnsi="宋体" w:eastAsia="宋体"/>
                <w:color w:val="auto"/>
                <w:szCs w:val="24"/>
                <w:highlight w:val="none"/>
                <w:lang w:val="en-US" w:eastAsia="zh-CN"/>
              </w:rPr>
              <w:t>3</w:t>
            </w:r>
            <w:r>
              <w:rPr>
                <w:rFonts w:hint="eastAsia" w:ascii="宋体" w:hAnsi="宋体" w:eastAsia="宋体"/>
                <w:color w:val="auto"/>
                <w:szCs w:val="24"/>
                <w:highlight w:val="none"/>
              </w:rPr>
              <w:t>分，最多得</w:t>
            </w:r>
            <w:r>
              <w:rPr>
                <w:rFonts w:hint="eastAsia" w:ascii="宋体" w:hAnsi="宋体" w:eastAsia="宋体"/>
                <w:color w:val="auto"/>
                <w:szCs w:val="24"/>
                <w:highlight w:val="none"/>
                <w:lang w:val="en-US" w:eastAsia="zh-CN"/>
              </w:rPr>
              <w:t>12</w:t>
            </w:r>
            <w:r>
              <w:rPr>
                <w:rFonts w:hint="eastAsia" w:ascii="宋体" w:hAnsi="宋体" w:eastAsia="宋体"/>
                <w:color w:val="auto"/>
                <w:szCs w:val="24"/>
                <w:highlight w:val="none"/>
              </w:rPr>
              <w:t>分。（业绩合同金额不低于</w:t>
            </w:r>
            <w:r>
              <w:rPr>
                <w:rFonts w:hint="eastAsia" w:ascii="宋体" w:hAnsi="宋体" w:eastAsia="宋体"/>
                <w:color w:val="auto"/>
                <w:szCs w:val="24"/>
                <w:highlight w:val="none"/>
                <w:lang w:val="en-US" w:eastAsia="zh-CN"/>
              </w:rPr>
              <w:t>260</w:t>
            </w:r>
            <w:r>
              <w:rPr>
                <w:rFonts w:hint="eastAsia" w:ascii="宋体" w:hAnsi="宋体" w:eastAsia="宋体"/>
                <w:color w:val="auto"/>
                <w:szCs w:val="24"/>
                <w:highlight w:val="none"/>
              </w:rPr>
              <w:t>万元。）</w:t>
            </w:r>
            <w:r>
              <w:rPr>
                <w:rFonts w:hint="eastAsia" w:ascii="宋体" w:hAnsi="宋体" w:eastAsia="宋体"/>
                <w:color w:val="auto"/>
                <w:szCs w:val="24"/>
                <w:highlight w:val="none"/>
                <w:lang w:val="en-US" w:eastAsia="zh-CN"/>
              </w:rPr>
              <w:t xml:space="preserve">                                                       </w:t>
            </w:r>
          </w:p>
          <w:p>
            <w:pPr>
              <w:pStyle w:val="2"/>
              <w:rPr>
                <w:rFonts w:hint="default"/>
                <w:color w:val="auto"/>
                <w:lang w:val="en-US" w:eastAsia="zh-CN"/>
              </w:rPr>
            </w:pPr>
            <w:r>
              <w:rPr>
                <w:rFonts w:hint="eastAsia" w:ascii="宋体" w:hAnsi="宋体" w:eastAsia="宋体"/>
                <w:color w:val="auto"/>
                <w:szCs w:val="24"/>
                <w:highlight w:val="none"/>
                <w:lang w:eastAsia="zh-CN"/>
              </w:rPr>
              <w:t>类似工程</w:t>
            </w:r>
            <w:r>
              <w:rPr>
                <w:rFonts w:hint="eastAsia" w:ascii="宋体" w:hAnsi="宋体"/>
                <w:color w:val="auto"/>
                <w:szCs w:val="24"/>
                <w:highlight w:val="none"/>
                <w:lang w:val="en-US" w:eastAsia="zh-CN"/>
              </w:rPr>
              <w:t>:建筑装饰装修工程</w:t>
            </w:r>
          </w:p>
        </w:tc>
        <w:tc>
          <w:tcPr>
            <w:tcW w:w="2222" w:type="dxa"/>
            <w:vMerge w:val="restart"/>
            <w:vAlign w:val="center"/>
          </w:tcPr>
          <w:p>
            <w:pPr>
              <w:spacing w:line="400" w:lineRule="exact"/>
              <w:rPr>
                <w:rFonts w:hint="eastAsia" w:ascii="宋体" w:hAnsi="宋体" w:eastAsia="宋体"/>
                <w:color w:val="auto"/>
                <w:szCs w:val="24"/>
                <w:highlight w:val="none"/>
              </w:rPr>
            </w:pPr>
            <w:r>
              <w:rPr>
                <w:rFonts w:hint="eastAsia" w:ascii="宋体" w:hAnsi="宋体" w:eastAsia="宋体"/>
                <w:color w:val="auto"/>
                <w:szCs w:val="24"/>
                <w:highlight w:val="none"/>
              </w:rPr>
              <w:t>提供每项业绩的施工合同协议书、完（竣）工验收证明的复印件并加盖</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单位公章，原件备查。</w:t>
            </w:r>
          </w:p>
          <w:p>
            <w:pPr>
              <w:spacing w:line="400" w:lineRule="exact"/>
              <w:rPr>
                <w:rFonts w:ascii="宋体" w:hAnsi="宋体" w:eastAsia="宋体"/>
                <w:color w:val="auto"/>
                <w:szCs w:val="24"/>
                <w:highlight w:val="none"/>
              </w:rPr>
            </w:pPr>
            <w:r>
              <w:rPr>
                <w:rFonts w:hint="eastAsia" w:ascii="宋体" w:hAnsi="宋体" w:eastAsia="宋体"/>
                <w:color w:val="auto"/>
                <w:szCs w:val="24"/>
                <w:highlight w:val="none"/>
                <w:lang w:eastAsia="zh-CN"/>
              </w:rPr>
              <w:t>注：以上</w:t>
            </w:r>
            <w:r>
              <w:rPr>
                <w:rFonts w:hint="eastAsia" w:ascii="宋体" w:hAnsi="宋体" w:eastAsia="宋体"/>
                <w:color w:val="auto"/>
                <w:szCs w:val="24"/>
                <w:highlight w:val="none"/>
                <w:lang w:val="en-US" w:eastAsia="zh-CN"/>
              </w:rPr>
              <w:t>业绩不重复计分。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709" w:type="dxa"/>
            <w:vMerge w:val="continue"/>
            <w:vAlign w:val="center"/>
          </w:tcPr>
          <w:p>
            <w:pPr>
              <w:spacing w:line="400" w:lineRule="exact"/>
              <w:ind w:firstLine="212" w:firstLineChars="100"/>
              <w:rPr>
                <w:rFonts w:ascii="宋体" w:hAnsi="宋体" w:eastAsia="宋体"/>
                <w:color w:val="auto"/>
                <w:szCs w:val="24"/>
                <w:highlight w:val="none"/>
              </w:rPr>
            </w:pPr>
          </w:p>
        </w:tc>
        <w:tc>
          <w:tcPr>
            <w:tcW w:w="1134" w:type="dxa"/>
            <w:vMerge w:val="continue"/>
            <w:vAlign w:val="center"/>
          </w:tcPr>
          <w:p>
            <w:pPr>
              <w:spacing w:line="400" w:lineRule="exact"/>
              <w:rPr>
                <w:rFonts w:hint="eastAsia" w:ascii="宋体" w:hAnsi="宋体" w:eastAsia="宋体"/>
                <w:color w:val="auto"/>
                <w:szCs w:val="24"/>
                <w:highlight w:val="none"/>
              </w:rPr>
            </w:pPr>
          </w:p>
        </w:tc>
        <w:tc>
          <w:tcPr>
            <w:tcW w:w="1134" w:type="dxa"/>
            <w:vAlign w:val="center"/>
          </w:tcPr>
          <w:p>
            <w:pPr>
              <w:spacing w:line="400" w:lineRule="exact"/>
              <w:rPr>
                <w:rFonts w:hint="eastAsia" w:ascii="宋体" w:hAnsi="宋体" w:eastAsia="宋体"/>
                <w:color w:val="auto"/>
                <w:szCs w:val="24"/>
                <w:highlight w:val="none"/>
                <w:lang w:eastAsia="zh-CN"/>
              </w:rPr>
            </w:pPr>
            <w:r>
              <w:rPr>
                <w:rFonts w:hint="eastAsia" w:ascii="宋体" w:hAnsi="宋体" w:eastAsia="宋体"/>
                <w:color w:val="auto"/>
                <w:szCs w:val="24"/>
                <w:highlight w:val="none"/>
                <w:lang w:eastAsia="zh-CN"/>
              </w:rPr>
              <w:t>项目经理业绩</w:t>
            </w:r>
          </w:p>
        </w:tc>
        <w:tc>
          <w:tcPr>
            <w:tcW w:w="709" w:type="dxa"/>
            <w:vAlign w:val="center"/>
          </w:tcPr>
          <w:p>
            <w:pPr>
              <w:spacing w:line="400" w:lineRule="exact"/>
              <w:rPr>
                <w:rFonts w:hint="eastAsia" w:ascii="宋体" w:hAnsi="宋体" w:eastAsia="宋体"/>
                <w:color w:val="auto"/>
                <w:szCs w:val="24"/>
                <w:highlight w:val="none"/>
                <w:lang w:val="en-US" w:eastAsia="zh-CN"/>
              </w:rPr>
            </w:pPr>
            <w:r>
              <w:rPr>
                <w:rFonts w:hint="eastAsia" w:ascii="宋体" w:hAnsi="宋体" w:eastAsia="宋体"/>
                <w:color w:val="auto"/>
                <w:szCs w:val="24"/>
                <w:highlight w:val="none"/>
                <w:lang w:val="en-US" w:eastAsia="zh-CN"/>
              </w:rPr>
              <w:t>8分</w:t>
            </w:r>
          </w:p>
        </w:tc>
        <w:tc>
          <w:tcPr>
            <w:tcW w:w="3448" w:type="dxa"/>
            <w:vAlign w:val="center"/>
          </w:tcPr>
          <w:p>
            <w:pPr>
              <w:spacing w:line="400" w:lineRule="exact"/>
              <w:rPr>
                <w:rFonts w:hint="eastAsia" w:ascii="宋体" w:hAnsi="宋体" w:eastAsia="宋体"/>
                <w:color w:val="auto"/>
                <w:szCs w:val="24"/>
                <w:highlight w:val="none"/>
              </w:rPr>
            </w:pPr>
            <w:r>
              <w:rPr>
                <w:rFonts w:hint="eastAsia" w:ascii="宋体" w:hAnsi="宋体" w:eastAsia="宋体"/>
                <w:color w:val="auto"/>
                <w:szCs w:val="24"/>
                <w:highlight w:val="none"/>
                <w:lang w:eastAsia="zh-CN"/>
              </w:rPr>
              <w:t>投标人拟派项目经理</w:t>
            </w:r>
            <w:r>
              <w:rPr>
                <w:rFonts w:hint="eastAsia" w:ascii="宋体" w:hAnsi="宋体" w:eastAsia="宋体"/>
                <w:color w:val="auto"/>
                <w:szCs w:val="24"/>
                <w:highlight w:val="none"/>
              </w:rPr>
              <w:t>2018年1月1日起至投标截止日止（以竣工验收时间为准）承担过</w:t>
            </w:r>
            <w:r>
              <w:rPr>
                <w:rFonts w:hint="eastAsia" w:ascii="宋体" w:hAnsi="宋体" w:eastAsia="宋体"/>
                <w:color w:val="auto"/>
                <w:szCs w:val="24"/>
                <w:highlight w:val="none"/>
                <w:lang w:eastAsia="zh-CN"/>
              </w:rPr>
              <w:t>类似工程的</w:t>
            </w:r>
            <w:r>
              <w:rPr>
                <w:rFonts w:hint="eastAsia" w:ascii="宋体" w:hAnsi="宋体" w:eastAsia="宋体"/>
                <w:color w:val="auto"/>
                <w:szCs w:val="24"/>
                <w:highlight w:val="none"/>
              </w:rPr>
              <w:t>业绩。每提供1个业绩得</w:t>
            </w:r>
            <w:r>
              <w:rPr>
                <w:rFonts w:hint="eastAsia" w:ascii="宋体" w:hAnsi="宋体" w:eastAsia="宋体"/>
                <w:color w:val="auto"/>
                <w:szCs w:val="24"/>
                <w:highlight w:val="none"/>
                <w:lang w:val="en-US" w:eastAsia="zh-CN"/>
              </w:rPr>
              <w:t>4</w:t>
            </w:r>
            <w:r>
              <w:rPr>
                <w:rFonts w:hint="eastAsia" w:ascii="宋体" w:hAnsi="宋体" w:eastAsia="宋体"/>
                <w:color w:val="auto"/>
                <w:szCs w:val="24"/>
                <w:highlight w:val="none"/>
              </w:rPr>
              <w:t>分，最多得</w:t>
            </w:r>
            <w:r>
              <w:rPr>
                <w:rFonts w:hint="eastAsia" w:ascii="宋体" w:hAnsi="宋体" w:eastAsia="宋体"/>
                <w:color w:val="auto"/>
                <w:szCs w:val="24"/>
                <w:highlight w:val="none"/>
                <w:lang w:val="en-US" w:eastAsia="zh-CN"/>
              </w:rPr>
              <w:t>8</w:t>
            </w:r>
            <w:r>
              <w:rPr>
                <w:rFonts w:hint="eastAsia" w:ascii="宋体" w:hAnsi="宋体" w:eastAsia="宋体"/>
                <w:color w:val="auto"/>
                <w:szCs w:val="24"/>
                <w:highlight w:val="none"/>
              </w:rPr>
              <w:t>分。（业绩合同金额不低于</w:t>
            </w:r>
            <w:r>
              <w:rPr>
                <w:rFonts w:hint="eastAsia" w:ascii="宋体" w:hAnsi="宋体" w:eastAsia="宋体"/>
                <w:color w:val="auto"/>
                <w:szCs w:val="24"/>
                <w:highlight w:val="none"/>
                <w:lang w:val="en-US" w:eastAsia="zh-CN"/>
              </w:rPr>
              <w:t xml:space="preserve">                                                                                    260</w:t>
            </w:r>
            <w:r>
              <w:rPr>
                <w:rFonts w:hint="eastAsia" w:ascii="宋体" w:hAnsi="宋体" w:eastAsia="宋体"/>
                <w:color w:val="auto"/>
                <w:szCs w:val="24"/>
                <w:highlight w:val="none"/>
              </w:rPr>
              <w:t>万元。）</w:t>
            </w:r>
          </w:p>
          <w:p>
            <w:pPr>
              <w:pStyle w:val="2"/>
              <w:rPr>
                <w:rFonts w:hint="eastAsia" w:ascii="宋体" w:hAnsi="宋体" w:eastAsia="宋体"/>
                <w:color w:val="auto"/>
                <w:szCs w:val="24"/>
                <w:highlight w:val="none"/>
                <w:lang w:val="en-US" w:eastAsia="zh-CN"/>
              </w:rPr>
            </w:pPr>
            <w:r>
              <w:rPr>
                <w:rFonts w:hint="eastAsia" w:ascii="宋体" w:hAnsi="宋体" w:eastAsia="宋体"/>
                <w:color w:val="auto"/>
                <w:szCs w:val="24"/>
                <w:highlight w:val="none"/>
                <w:lang w:eastAsia="zh-CN"/>
              </w:rPr>
              <w:t>类似工程</w:t>
            </w:r>
            <w:r>
              <w:rPr>
                <w:rFonts w:hint="eastAsia" w:ascii="宋体" w:hAnsi="宋体"/>
                <w:color w:val="auto"/>
                <w:szCs w:val="24"/>
                <w:highlight w:val="none"/>
                <w:lang w:val="en-US" w:eastAsia="zh-CN"/>
              </w:rPr>
              <w:t>:建筑装饰装修工程</w:t>
            </w:r>
          </w:p>
        </w:tc>
        <w:tc>
          <w:tcPr>
            <w:tcW w:w="2222" w:type="dxa"/>
            <w:vMerge w:val="continue"/>
            <w:vAlign w:val="center"/>
          </w:tcPr>
          <w:p>
            <w:pPr>
              <w:spacing w:line="400" w:lineRule="exact"/>
              <w:rPr>
                <w:rFonts w:hint="eastAsia" w:ascii="宋体" w:hAnsi="宋体" w:eastAsia="宋体"/>
                <w:color w:val="auto"/>
                <w:szCs w:val="24"/>
                <w:highlight w:val="none"/>
              </w:rPr>
            </w:pPr>
          </w:p>
        </w:tc>
      </w:tr>
    </w:tbl>
    <w:p>
      <w:pPr>
        <w:snapToGrid w:val="0"/>
        <w:spacing w:line="400" w:lineRule="exact"/>
        <w:ind w:firstLine="465"/>
        <w:jc w:val="center"/>
        <w:rPr>
          <w:rFonts w:ascii="宋体" w:hAnsi="宋体" w:eastAsia="宋体"/>
          <w:color w:val="auto"/>
          <w:szCs w:val="24"/>
          <w:highlight w:val="none"/>
        </w:rPr>
      </w:pPr>
      <w:r>
        <w:rPr>
          <w:rFonts w:hint="eastAsia" w:ascii="宋体" w:hAnsi="宋体" w:eastAsia="宋体"/>
          <w:color w:val="auto"/>
          <w:szCs w:val="24"/>
          <w:highlight w:val="none"/>
        </w:rPr>
        <w:t>说明：</w:t>
      </w:r>
      <w:r>
        <w:rPr>
          <w:rFonts w:hint="eastAsia" w:ascii="宋体" w:hAnsi="宋体" w:eastAsia="宋体"/>
          <w:color w:val="auto"/>
          <w:szCs w:val="24"/>
          <w:highlight w:val="none"/>
          <w:lang w:eastAsia="zh-CN"/>
        </w:rPr>
        <w:t>磋商小组</w:t>
      </w:r>
      <w:r>
        <w:rPr>
          <w:rFonts w:hint="eastAsia" w:ascii="宋体" w:hAnsi="宋体" w:eastAsia="宋体"/>
          <w:color w:val="auto"/>
          <w:szCs w:val="24"/>
          <w:highlight w:val="none"/>
        </w:rPr>
        <w:t>认为</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的报价明显低于其他通过符合性审查</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的报价，有可能影响产品质量或者不能诚信履约的，应当要求其在评标现场合理的时间内提供书面说明，必要时提交相关证明材料；</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不能证明其报价合理性的，评标委员会应当将其作为无效投标处理。</w:t>
      </w:r>
    </w:p>
    <w:p>
      <w:pPr>
        <w:spacing w:line="460" w:lineRule="exact"/>
        <w:ind w:firstLine="424" w:firstLineChars="200"/>
        <w:rPr>
          <w:rFonts w:ascii="宋体" w:hAnsi="宋体" w:eastAsia="宋体" w:cs="方正仿宋_GBK"/>
          <w:color w:val="auto"/>
          <w:szCs w:val="24"/>
          <w:highlight w:val="none"/>
        </w:rPr>
      </w:pPr>
      <w:bookmarkStart w:id="71" w:name="_Toc7421894"/>
      <w:bookmarkStart w:id="72" w:name="_Toc15075"/>
      <w:bookmarkStart w:id="73" w:name="_Toc466546922"/>
      <w:r>
        <w:rPr>
          <w:rFonts w:hint="eastAsia" w:ascii="宋体" w:hAnsi="宋体" w:eastAsia="宋体" w:cs="方正仿宋_GBK"/>
          <w:color w:val="auto"/>
          <w:szCs w:val="24"/>
          <w:highlight w:val="none"/>
        </w:rPr>
        <w:t>关于磋商报价扣除比例说明：</w:t>
      </w:r>
    </w:p>
    <w:p>
      <w:pPr>
        <w:spacing w:line="460" w:lineRule="exact"/>
        <w:ind w:firstLine="424" w:firstLineChars="200"/>
        <w:rPr>
          <w:rFonts w:ascii="宋体" w:hAnsi="宋体" w:eastAsia="宋体" w:cs="方正仿宋_GBK"/>
          <w:color w:val="auto"/>
          <w:szCs w:val="24"/>
          <w:highlight w:val="none"/>
        </w:rPr>
      </w:pPr>
      <w:r>
        <w:rPr>
          <w:rFonts w:ascii="宋体" w:hAnsi="宋体" w:eastAsia="宋体" w:cs="方正仿宋_GBK"/>
          <w:color w:val="auto"/>
          <w:szCs w:val="24"/>
          <w:highlight w:val="none"/>
        </w:rPr>
        <w:t>1.</w:t>
      </w:r>
      <w:r>
        <w:rPr>
          <w:rFonts w:hint="eastAsia" w:ascii="宋体" w:hAnsi="宋体" w:eastAsia="宋体" w:cs="方正仿宋_GBK"/>
          <w:color w:val="auto"/>
          <w:szCs w:val="24"/>
          <w:highlight w:val="none"/>
        </w:rPr>
        <w:t>对小微型企业给予</w:t>
      </w:r>
      <w:r>
        <w:rPr>
          <w:rFonts w:hint="eastAsia" w:ascii="宋体" w:hAnsi="宋体" w:eastAsia="宋体" w:cs="方正仿宋_GBK"/>
          <w:color w:val="auto"/>
          <w:szCs w:val="24"/>
          <w:highlight w:val="none"/>
          <w:u w:val="single"/>
          <w:lang w:val="en-US" w:eastAsia="zh-CN"/>
        </w:rPr>
        <w:t>3</w:t>
      </w:r>
      <w:r>
        <w:rPr>
          <w:rFonts w:ascii="宋体" w:hAnsi="宋体" w:eastAsia="宋体" w:cs="方正仿宋_GBK"/>
          <w:color w:val="auto"/>
          <w:szCs w:val="24"/>
          <w:highlight w:val="none"/>
        </w:rPr>
        <w:t>%</w:t>
      </w:r>
      <w:r>
        <w:rPr>
          <w:rFonts w:hint="eastAsia" w:ascii="宋体" w:hAnsi="宋体" w:eastAsia="宋体" w:cs="方正仿宋_GBK"/>
          <w:color w:val="auto"/>
          <w:szCs w:val="24"/>
          <w:highlight w:val="none"/>
        </w:rPr>
        <w:t>的扣除，以扣除后的报价参与评审。</w:t>
      </w:r>
    </w:p>
    <w:p>
      <w:pPr>
        <w:spacing w:line="460" w:lineRule="exact"/>
        <w:ind w:firstLine="424" w:firstLineChars="200"/>
        <w:rPr>
          <w:rFonts w:ascii="宋体" w:hAnsi="宋体" w:eastAsia="宋体" w:cs="方正仿宋_GBK"/>
          <w:color w:val="auto"/>
          <w:szCs w:val="24"/>
          <w:highlight w:val="none"/>
        </w:rPr>
      </w:pPr>
      <w:r>
        <w:rPr>
          <w:rFonts w:ascii="宋体" w:hAnsi="宋体" w:eastAsia="宋体" w:cs="方正仿宋_GBK"/>
          <w:color w:val="auto"/>
          <w:szCs w:val="24"/>
          <w:highlight w:val="none"/>
        </w:rPr>
        <w:t>2.</w:t>
      </w:r>
      <w:r>
        <w:rPr>
          <w:rFonts w:hint="eastAsia" w:ascii="宋体" w:hAnsi="宋体" w:eastAsia="宋体" w:cs="方正仿宋_GBK"/>
          <w:color w:val="auto"/>
          <w:szCs w:val="24"/>
          <w:highlight w:val="none"/>
        </w:rPr>
        <w:t>监狱企业、残疾人福利性单位视同小型、微型企业。</w:t>
      </w:r>
    </w:p>
    <w:p>
      <w:pPr>
        <w:spacing w:line="460" w:lineRule="exact"/>
        <w:ind w:firstLine="424" w:firstLineChars="200"/>
        <w:rPr>
          <w:rFonts w:ascii="宋体" w:hAnsi="宋体" w:eastAsia="宋体" w:cs="方正仿宋_GBK"/>
          <w:color w:val="auto"/>
          <w:szCs w:val="24"/>
          <w:highlight w:val="none"/>
        </w:rPr>
      </w:pPr>
      <w:r>
        <w:rPr>
          <w:rFonts w:ascii="宋体" w:hAnsi="宋体" w:eastAsia="宋体" w:cs="方正仿宋_GBK"/>
          <w:color w:val="auto"/>
          <w:szCs w:val="24"/>
          <w:highlight w:val="none"/>
        </w:rPr>
        <w:t>3.</w:t>
      </w:r>
      <w:r>
        <w:rPr>
          <w:rFonts w:hint="eastAsia" w:ascii="宋体" w:hAnsi="宋体" w:eastAsia="宋体" w:cs="方正仿宋_GBK"/>
          <w:color w:val="auto"/>
          <w:szCs w:val="24"/>
          <w:highlight w:val="none"/>
        </w:rPr>
        <w:t>在政府采购活动中，投标人提供的货物、工程或者服务能够享受中小企业扶持政策的情形，按照财库〔</w:t>
      </w:r>
      <w:r>
        <w:rPr>
          <w:rFonts w:ascii="宋体" w:hAnsi="宋体" w:eastAsia="宋体" w:cs="方正仿宋_GBK"/>
          <w:color w:val="auto"/>
          <w:szCs w:val="24"/>
          <w:highlight w:val="none"/>
        </w:rPr>
        <w:t>2020</w:t>
      </w:r>
      <w:r>
        <w:rPr>
          <w:rFonts w:hint="eastAsia" w:ascii="宋体" w:hAnsi="宋体" w:eastAsia="宋体" w:cs="方正仿宋_GBK"/>
          <w:color w:val="auto"/>
          <w:szCs w:val="24"/>
          <w:highlight w:val="none"/>
        </w:rPr>
        <w:t>〕</w:t>
      </w:r>
      <w:r>
        <w:rPr>
          <w:rFonts w:ascii="宋体" w:hAnsi="宋体" w:eastAsia="宋体" w:cs="方正仿宋_GBK"/>
          <w:color w:val="auto"/>
          <w:szCs w:val="24"/>
          <w:highlight w:val="none"/>
        </w:rPr>
        <w:t>46</w:t>
      </w:r>
      <w:r>
        <w:rPr>
          <w:rFonts w:hint="eastAsia" w:ascii="宋体" w:hAnsi="宋体" w:eastAsia="宋体" w:cs="方正仿宋_GBK"/>
          <w:color w:val="auto"/>
          <w:szCs w:val="24"/>
          <w:highlight w:val="none"/>
        </w:rPr>
        <w:t>号文件执行。</w:t>
      </w:r>
    </w:p>
    <w:p>
      <w:pPr>
        <w:pStyle w:val="5"/>
        <w:spacing w:before="0" w:after="0" w:line="440" w:lineRule="exact"/>
        <w:rPr>
          <w:rFonts w:ascii="宋体" w:hAnsi="宋体" w:cs="方正仿宋_GBK"/>
          <w:bCs/>
          <w:color w:val="auto"/>
          <w:sz w:val="28"/>
          <w:szCs w:val="28"/>
          <w:highlight w:val="none"/>
        </w:rPr>
      </w:pPr>
      <w:bookmarkStart w:id="74" w:name="_Toc16543"/>
      <w:r>
        <w:rPr>
          <w:rFonts w:hint="eastAsia" w:ascii="宋体" w:hAnsi="宋体" w:cs="方正仿宋_GBK"/>
          <w:bCs/>
          <w:color w:val="auto"/>
          <w:sz w:val="28"/>
          <w:szCs w:val="28"/>
          <w:highlight w:val="none"/>
        </w:rPr>
        <w:t>三、无效响应</w:t>
      </w:r>
      <w:bookmarkEnd w:id="71"/>
      <w:bookmarkEnd w:id="72"/>
      <w:bookmarkEnd w:id="73"/>
      <w:bookmarkEnd w:id="74"/>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发生以下条款情况之一者，视为无效响应，其响应文件将被拒绝：</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（一）</w:t>
      </w:r>
      <w:bookmarkStart w:id="75" w:name="_Hlk70241916"/>
      <w:r>
        <w:rPr>
          <w:rFonts w:hint="eastAsia" w:ascii="宋体" w:hAnsi="宋体" w:eastAsia="宋体" w:cs="方正仿宋_GBK"/>
          <w:color w:val="auto"/>
          <w:szCs w:val="24"/>
          <w:highlight w:val="none"/>
        </w:rPr>
        <w:t>参与预留份额专门面向中小企业采购的项目，未提供符合项目身份要求的《中小企业声明函》的</w:t>
      </w:r>
      <w:bookmarkEnd w:id="75"/>
      <w:r>
        <w:rPr>
          <w:rFonts w:hint="eastAsia" w:ascii="宋体" w:hAnsi="宋体" w:eastAsia="宋体" w:cs="方正仿宋_GBK"/>
          <w:color w:val="auto"/>
          <w:szCs w:val="24"/>
          <w:highlight w:val="none"/>
        </w:rPr>
        <w:t>；</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不符合规定的基本资格条件或特定资格条件的；</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（二）</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的法定代表人或其授权代表未参加磋商；</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（三）</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未按照竞争性磋商文件的要求缴纳磋商保证金；</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（四）</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所提交的响应文件不按第七篇“响应文件编制要求”规定签字、盖章；</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（五）招标文件中资格审查、符合性审查要求原件备查，评审时投标人无法提供原件查验影响资格认定的；</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（六）</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的最后报价超过采购预算的；</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（七）法定代表人为同一个人的两个及两个以上法人，母公司、全资子公司及其控股公司，在同一分包采购中同时参与磋商；</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（八）单位负责人为同一人或者存在直接控股、管理关系的不同</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，参加同一合同项下的政府采购活动的；</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（九）为采购项目提供整体设计、规范编制或者项目管理、监理、检测等服务的</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，再参加该采购项目的其他采购活动；</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（十）</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的服务期、质量保证期及磋商有效期不满足竞争性磋商文件要求的；</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（十一）评审委员会发现</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磋商报价明显不合理或者明显低于成本，</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不能证明其报价合理性的；</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（十二）</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响应文件内容有与国家现行法律法规相违背的内容，或附有采购人无法接受的条件；</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（十三）报价超过采购预算或全部工程量清单综合单价的；</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（十四）报价原则中若干按废标、无效投标处理的情形；</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（十五）竞争性磋商文件规定的未作实质性响应的情形。</w:t>
      </w:r>
    </w:p>
    <w:p>
      <w:pPr>
        <w:pStyle w:val="5"/>
        <w:spacing w:before="0" w:after="0" w:line="440" w:lineRule="exact"/>
        <w:rPr>
          <w:rFonts w:ascii="宋体" w:hAnsi="宋体" w:cs="方正仿宋_GBK"/>
          <w:bCs/>
          <w:color w:val="auto"/>
          <w:sz w:val="28"/>
          <w:szCs w:val="28"/>
          <w:highlight w:val="none"/>
        </w:rPr>
      </w:pPr>
      <w:bookmarkStart w:id="76" w:name="_Toc466546923"/>
      <w:bookmarkStart w:id="77" w:name="_Toc6588"/>
      <w:bookmarkStart w:id="78" w:name="_Toc7421895"/>
      <w:bookmarkStart w:id="79" w:name="_Toc10160"/>
      <w:r>
        <w:rPr>
          <w:rFonts w:hint="eastAsia" w:ascii="宋体" w:hAnsi="宋体" w:cs="方正仿宋_GBK"/>
          <w:bCs/>
          <w:color w:val="auto"/>
          <w:sz w:val="28"/>
          <w:szCs w:val="28"/>
          <w:highlight w:val="none"/>
        </w:rPr>
        <w:t>四、采购终止</w:t>
      </w:r>
      <w:bookmarkEnd w:id="76"/>
      <w:bookmarkEnd w:id="77"/>
      <w:bookmarkEnd w:id="78"/>
      <w:bookmarkEnd w:id="79"/>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出现下列情形之一的，采购人或者采购代理机构应当终止竞争性磋商采购活动，发布项目终止公告并说明原因，重新开展采购活动：</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（一）因情况变化，不再符合规定的竞争性磋商采购方式适用情形的；</w:t>
      </w:r>
    </w:p>
    <w:p>
      <w:pPr>
        <w:spacing w:line="460" w:lineRule="exact"/>
        <w:ind w:firstLine="424" w:firstLineChars="200"/>
        <w:rPr>
          <w:rFonts w:ascii="宋体" w:hAnsi="宋体" w:eastAsia="宋体" w:cs="方正仿宋_GBK"/>
          <w:color w:val="auto"/>
          <w:szCs w:val="24"/>
          <w:highlight w:val="none"/>
        </w:rPr>
      </w:pPr>
      <w:r>
        <w:rPr>
          <w:rFonts w:hint="eastAsia" w:ascii="宋体" w:hAnsi="宋体" w:eastAsia="宋体" w:cs="方正仿宋_GBK"/>
          <w:color w:val="auto"/>
          <w:szCs w:val="24"/>
          <w:highlight w:val="none"/>
        </w:rPr>
        <w:t>（二）出现影响采购公正的违法、违规行为的；</w:t>
      </w:r>
    </w:p>
    <w:p>
      <w:pPr>
        <w:spacing w:line="460" w:lineRule="exact"/>
        <w:ind w:firstLine="424" w:firstLineChars="200"/>
        <w:rPr>
          <w:rFonts w:ascii="宋体" w:hAnsi="宋体" w:eastAsia="宋体" w:cs="方正仿宋_GBK"/>
          <w:color w:val="auto"/>
          <w:szCs w:val="24"/>
          <w:highlight w:val="none"/>
        </w:rPr>
        <w:sectPr>
          <w:headerReference r:id="rId9" w:type="default"/>
          <w:footerReference r:id="rId10" w:type="default"/>
          <w:pgSz w:w="11907" w:h="16840"/>
          <w:pgMar w:top="1522" w:right="1520" w:bottom="1140" w:left="1327" w:header="964" w:footer="992" w:gutter="0"/>
          <w:pgNumType w:fmt="decimal"/>
          <w:cols w:space="720" w:num="1"/>
          <w:docGrid w:type="linesAndChars" w:linePitch="380" w:charSpace="-5735"/>
        </w:sectPr>
      </w:pPr>
      <w:r>
        <w:rPr>
          <w:rFonts w:hint="eastAsia" w:ascii="宋体" w:hAnsi="宋体" w:eastAsia="宋体" w:cs="方正仿宋_GBK"/>
          <w:color w:val="auto"/>
          <w:szCs w:val="24"/>
          <w:highlight w:val="none"/>
        </w:rPr>
        <w:t>（三）在采购过程中符合要求的</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或者报价未超过采购预算的</w:t>
      </w:r>
      <w:r>
        <w:rPr>
          <w:rFonts w:hint="eastAsia" w:ascii="宋体" w:hAnsi="宋体" w:eastAsia="宋体" w:cs="方正仿宋_GBK"/>
          <w:color w:val="auto"/>
          <w:szCs w:val="24"/>
          <w:highlight w:val="none"/>
          <w:lang w:eastAsia="zh-CN"/>
        </w:rPr>
        <w:t>投标人</w:t>
      </w:r>
      <w:r>
        <w:rPr>
          <w:rFonts w:hint="eastAsia" w:ascii="宋体" w:hAnsi="宋体" w:eastAsia="宋体" w:cs="方正仿宋_GBK"/>
          <w:color w:val="auto"/>
          <w:szCs w:val="24"/>
          <w:highlight w:val="none"/>
        </w:rPr>
        <w:t>不足</w:t>
      </w:r>
      <w:r>
        <w:rPr>
          <w:rFonts w:ascii="宋体" w:hAnsi="宋体" w:eastAsia="宋体" w:cs="方正仿宋_GBK"/>
          <w:color w:val="auto"/>
          <w:szCs w:val="24"/>
          <w:highlight w:val="none"/>
        </w:rPr>
        <w:t>3</w:t>
      </w:r>
      <w:r>
        <w:rPr>
          <w:rFonts w:hint="eastAsia" w:ascii="宋体" w:hAnsi="宋体" w:eastAsia="宋体" w:cs="方正仿宋_GBK"/>
          <w:color w:val="auto"/>
          <w:szCs w:val="24"/>
          <w:highlight w:val="none"/>
        </w:rPr>
        <w:t>家的，但《政府采购竞争性磋商采购方式管理暂行办法》第二十一条第三款规定的情形</w:t>
      </w:r>
      <w:r>
        <w:rPr>
          <w:rFonts w:ascii="宋体" w:hAnsi="宋体" w:eastAsia="宋体" w:cs="方正仿宋_GBK"/>
          <w:color w:val="auto"/>
          <w:szCs w:val="24"/>
          <w:highlight w:val="none"/>
        </w:rPr>
        <w:t>,</w:t>
      </w:r>
      <w:r>
        <w:rPr>
          <w:rFonts w:hint="eastAsia" w:ascii="宋体" w:hAnsi="宋体" w:eastAsia="宋体" w:cs="方正仿宋_GBK"/>
          <w:color w:val="auto"/>
          <w:szCs w:val="24"/>
          <w:highlight w:val="none"/>
        </w:rPr>
        <w:t>以及财政部财库</w:t>
      </w:r>
      <w:r>
        <w:rPr>
          <w:rFonts w:ascii="宋体" w:hAnsi="宋体" w:eastAsia="宋体" w:cs="方正仿宋_GBK"/>
          <w:color w:val="auto"/>
          <w:szCs w:val="24"/>
          <w:highlight w:val="none"/>
        </w:rPr>
        <w:t>[2015]124</w:t>
      </w:r>
      <w:r>
        <w:rPr>
          <w:rFonts w:hint="eastAsia" w:ascii="宋体" w:hAnsi="宋体" w:eastAsia="宋体" w:cs="方正仿宋_GBK"/>
          <w:color w:val="auto"/>
          <w:szCs w:val="24"/>
          <w:highlight w:val="none"/>
        </w:rPr>
        <w:t>号文件规定的情形除外。</w:t>
      </w:r>
    </w:p>
    <w:p>
      <w:pPr>
        <w:pStyle w:val="4"/>
        <w:spacing w:before="0" w:after="0" w:line="440" w:lineRule="exact"/>
        <w:jc w:val="center"/>
        <w:rPr>
          <w:rFonts w:cs="方正仿宋_GBK"/>
          <w:bCs/>
          <w:color w:val="auto"/>
          <w:sz w:val="36"/>
          <w:szCs w:val="30"/>
          <w:highlight w:val="none"/>
        </w:rPr>
      </w:pPr>
      <w:bookmarkStart w:id="80" w:name="_Toc10256"/>
      <w:bookmarkStart w:id="81" w:name="_Toc7421896"/>
      <w:bookmarkStart w:id="82" w:name="_Toc466546924"/>
      <w:bookmarkStart w:id="83" w:name="_Toc13986"/>
      <w:r>
        <w:rPr>
          <w:rFonts w:hint="eastAsia" w:cs="方正仿宋_GBK"/>
          <w:bCs/>
          <w:color w:val="auto"/>
          <w:sz w:val="36"/>
          <w:szCs w:val="30"/>
          <w:highlight w:val="none"/>
        </w:rPr>
        <w:t>第五篇</w:t>
      </w:r>
      <w:r>
        <w:rPr>
          <w:rFonts w:cs="方正仿宋_GBK"/>
          <w:bCs/>
          <w:color w:val="auto"/>
          <w:sz w:val="36"/>
          <w:szCs w:val="30"/>
          <w:highlight w:val="none"/>
        </w:rPr>
        <w:t xml:space="preserve">  </w:t>
      </w:r>
      <w:r>
        <w:rPr>
          <w:rFonts w:hint="eastAsia" w:cs="方正仿宋_GBK"/>
          <w:bCs/>
          <w:color w:val="auto"/>
          <w:sz w:val="36"/>
          <w:szCs w:val="30"/>
          <w:highlight w:val="none"/>
          <w:lang w:eastAsia="zh-CN"/>
        </w:rPr>
        <w:t>投标人</w:t>
      </w:r>
      <w:r>
        <w:rPr>
          <w:rFonts w:hint="eastAsia" w:cs="方正仿宋_GBK"/>
          <w:bCs/>
          <w:color w:val="auto"/>
          <w:sz w:val="36"/>
          <w:szCs w:val="30"/>
          <w:highlight w:val="none"/>
        </w:rPr>
        <w:t>须知</w:t>
      </w:r>
      <w:bookmarkEnd w:id="80"/>
      <w:bookmarkEnd w:id="81"/>
      <w:bookmarkEnd w:id="82"/>
      <w:bookmarkEnd w:id="83"/>
    </w:p>
    <w:p>
      <w:pPr>
        <w:pStyle w:val="5"/>
        <w:spacing w:before="0" w:after="0" w:line="440" w:lineRule="exact"/>
        <w:rPr>
          <w:rFonts w:ascii="宋体" w:hAnsi="宋体" w:cs="方正仿宋_GBK"/>
          <w:bCs/>
          <w:color w:val="auto"/>
          <w:sz w:val="28"/>
          <w:szCs w:val="28"/>
          <w:highlight w:val="none"/>
        </w:rPr>
      </w:pPr>
      <w:bookmarkStart w:id="84" w:name="_Toc466546925"/>
      <w:bookmarkStart w:id="85" w:name="_Toc3535"/>
      <w:bookmarkStart w:id="86" w:name="_Toc342913389"/>
      <w:bookmarkStart w:id="87" w:name="_Toc7421897"/>
      <w:bookmarkStart w:id="88" w:name="_Toc32100"/>
      <w:r>
        <w:rPr>
          <w:rFonts w:hint="eastAsia" w:ascii="宋体" w:hAnsi="宋体" w:cs="方正仿宋_GBK"/>
          <w:bCs/>
          <w:color w:val="auto"/>
          <w:sz w:val="28"/>
          <w:szCs w:val="28"/>
          <w:highlight w:val="none"/>
        </w:rPr>
        <w:t>一、磋商费用</w:t>
      </w:r>
      <w:bookmarkEnd w:id="84"/>
      <w:bookmarkEnd w:id="85"/>
      <w:bookmarkEnd w:id="86"/>
      <w:bookmarkEnd w:id="87"/>
      <w:bookmarkEnd w:id="88"/>
    </w:p>
    <w:p>
      <w:pPr>
        <w:pStyle w:val="283"/>
        <w:spacing w:line="400" w:lineRule="exact"/>
        <w:ind w:firstLine="424" w:firstLineChars="200"/>
        <w:rPr>
          <w:rFonts w:hAnsi="宋体" w:eastAsia="宋体"/>
          <w:color w:val="auto"/>
          <w:sz w:val="24"/>
          <w:szCs w:val="24"/>
          <w:highlight w:val="none"/>
        </w:rPr>
      </w:pPr>
      <w:r>
        <w:rPr>
          <w:rFonts w:hint="eastAsia" w:hAnsi="宋体" w:eastAsia="宋体"/>
          <w:color w:val="auto"/>
          <w:sz w:val="24"/>
          <w:szCs w:val="24"/>
          <w:highlight w:val="none"/>
        </w:rPr>
        <w:t>参与磋商的</w:t>
      </w:r>
      <w:r>
        <w:rPr>
          <w:rFonts w:hint="eastAsia" w:hAnsi="宋体" w:eastAsia="宋体"/>
          <w:color w:val="auto"/>
          <w:sz w:val="24"/>
          <w:szCs w:val="24"/>
          <w:highlight w:val="none"/>
          <w:lang w:eastAsia="zh-CN"/>
        </w:rPr>
        <w:t>投标人</w:t>
      </w:r>
      <w:r>
        <w:rPr>
          <w:rFonts w:hint="eastAsia" w:hAnsi="宋体" w:eastAsia="宋体"/>
          <w:color w:val="auto"/>
          <w:sz w:val="24"/>
          <w:szCs w:val="24"/>
          <w:highlight w:val="none"/>
        </w:rPr>
        <w:t>应承担其编制响应文件与递交响应文件所涉及的一切费用，不论磋商结果如何，采购人和采购代理机构在任何情况下无义务也无责任承担这些费用。</w:t>
      </w:r>
    </w:p>
    <w:p>
      <w:pPr>
        <w:pStyle w:val="5"/>
        <w:spacing w:before="0" w:after="0" w:line="440" w:lineRule="exact"/>
        <w:rPr>
          <w:rFonts w:ascii="宋体" w:hAnsi="宋体" w:cs="方正仿宋_GBK"/>
          <w:bCs/>
          <w:color w:val="auto"/>
          <w:sz w:val="28"/>
          <w:szCs w:val="28"/>
          <w:highlight w:val="none"/>
        </w:rPr>
      </w:pPr>
      <w:bookmarkStart w:id="89" w:name="_Toc466546926"/>
      <w:bookmarkStart w:id="90" w:name="_Toc342913391"/>
      <w:bookmarkStart w:id="91" w:name="_Toc7421898"/>
      <w:bookmarkStart w:id="92" w:name="_Toc21629"/>
      <w:bookmarkStart w:id="93" w:name="_Toc12317"/>
      <w:r>
        <w:rPr>
          <w:rFonts w:hint="eastAsia" w:ascii="宋体" w:hAnsi="宋体" w:cs="方正仿宋_GBK"/>
          <w:bCs/>
          <w:color w:val="auto"/>
          <w:sz w:val="28"/>
          <w:szCs w:val="28"/>
          <w:highlight w:val="none"/>
        </w:rPr>
        <w:t>二、竞争性磋商文件</w:t>
      </w:r>
      <w:bookmarkEnd w:id="89"/>
      <w:bookmarkEnd w:id="90"/>
      <w:bookmarkEnd w:id="91"/>
      <w:bookmarkEnd w:id="92"/>
      <w:bookmarkEnd w:id="93"/>
    </w:p>
    <w:p>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（一）竞争性磋商文件由采购邀请书、</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须知、采购服务需求、采购商务需求、合同草案条款、响应文件编制要求六部分组成。</w:t>
      </w:r>
    </w:p>
    <w:p>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（二）采购人（或采购代理机构）所作的一切有效的书面通知、修改及补充，都是竞争性磋商文件不可分割的部分。</w:t>
      </w:r>
    </w:p>
    <w:p>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（三）</w:t>
      </w:r>
      <w:bookmarkStart w:id="94" w:name="_Toc318159780"/>
      <w:bookmarkStart w:id="95" w:name="_Toc318166429"/>
      <w:bookmarkStart w:id="96" w:name="_Toc318159160"/>
      <w:bookmarkStart w:id="97" w:name="_Toc318159349"/>
      <w:r>
        <w:rPr>
          <w:rFonts w:hint="eastAsia" w:ascii="宋体" w:hAnsi="宋体" w:eastAsia="宋体"/>
          <w:color w:val="auto"/>
          <w:szCs w:val="24"/>
          <w:highlight w:val="none"/>
        </w:rPr>
        <w:t>本竞争性磋商文件中，磋商小组根据与</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进行磋商可能实质性变动的内容为竞争性磋商文件第三、四、五篇全部内容。</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（四）评审的依据为竞争性磋商文件和响应文件（含有效的书面承诺）。磋商小组判断响应文件对竞争性磋商文件的响应，仅基于响应文件本身而不靠外部证据。</w:t>
      </w:r>
    </w:p>
    <w:bookmarkEnd w:id="94"/>
    <w:bookmarkEnd w:id="95"/>
    <w:bookmarkEnd w:id="96"/>
    <w:bookmarkEnd w:id="97"/>
    <w:p>
      <w:pPr>
        <w:pStyle w:val="5"/>
        <w:spacing w:before="0" w:after="0" w:line="440" w:lineRule="exact"/>
        <w:rPr>
          <w:rFonts w:ascii="宋体" w:hAnsi="宋体" w:cs="方正仿宋_GBK"/>
          <w:bCs/>
          <w:color w:val="auto"/>
          <w:sz w:val="28"/>
          <w:szCs w:val="28"/>
          <w:highlight w:val="none"/>
        </w:rPr>
      </w:pPr>
      <w:bookmarkStart w:id="98" w:name="_Toc466546927"/>
      <w:bookmarkStart w:id="99" w:name="_Toc32094"/>
      <w:bookmarkStart w:id="100" w:name="_Toc342913392"/>
      <w:bookmarkStart w:id="101" w:name="_Toc179714297"/>
      <w:bookmarkStart w:id="102" w:name="_Toc102227318"/>
      <w:bookmarkStart w:id="103" w:name="_Toc31398"/>
      <w:bookmarkStart w:id="104" w:name="_Toc7421899"/>
      <w:r>
        <w:rPr>
          <w:rFonts w:hint="eastAsia" w:ascii="宋体" w:hAnsi="宋体" w:cs="方正仿宋_GBK"/>
          <w:bCs/>
          <w:color w:val="auto"/>
          <w:sz w:val="28"/>
          <w:szCs w:val="28"/>
          <w:highlight w:val="none"/>
        </w:rPr>
        <w:t>三、磋商要求</w:t>
      </w:r>
      <w:bookmarkEnd w:id="98"/>
      <w:bookmarkEnd w:id="99"/>
      <w:bookmarkEnd w:id="100"/>
      <w:bookmarkEnd w:id="101"/>
      <w:bookmarkEnd w:id="102"/>
      <w:bookmarkEnd w:id="103"/>
      <w:bookmarkEnd w:id="104"/>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（一）响应文件</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应当按照竞争性磋商文件的要求编制响应文件，并对竞争性磋商文件提出的要求和条件作出实质性响应，响应文件原则上采用软面订本，同时应编制完整的页码、目录。</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w:t>
      </w:r>
      <w:r>
        <w:rPr>
          <w:rFonts w:hint="eastAsia" w:ascii="宋体" w:hAnsi="宋体" w:eastAsia="宋体"/>
          <w:color w:val="auto"/>
          <w:szCs w:val="24"/>
          <w:highlight w:val="none"/>
        </w:rPr>
        <w:t>、响应文件组成</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响应文件由第六篇“响应文件编制要求”规定的部分和</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所作的一切有效补充、修改和承诺等文件组成，</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应按照第六篇“响应文件编制要求”规定的目录顺序组织编写和装订，也可在基本格式基础上对表格进行扩展，未规定格式的由</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自定格式。</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（二）磋商有效期：响应文件及有关承诺文件有效期为提交响应文件截止时间起</w:t>
      </w:r>
      <w:r>
        <w:rPr>
          <w:rFonts w:ascii="宋体" w:hAnsi="宋体" w:eastAsia="宋体"/>
          <w:color w:val="auto"/>
          <w:szCs w:val="24"/>
          <w:highlight w:val="none"/>
        </w:rPr>
        <w:t>90</w:t>
      </w:r>
      <w:r>
        <w:rPr>
          <w:rFonts w:hint="eastAsia" w:ascii="宋体" w:hAnsi="宋体" w:eastAsia="宋体"/>
          <w:color w:val="auto"/>
          <w:szCs w:val="24"/>
          <w:highlight w:val="none"/>
        </w:rPr>
        <w:t>天。</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（三）磋商保证金：</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提交保证金金额和方式详见“</w:t>
      </w:r>
      <w:r>
        <w:rPr>
          <w:rFonts w:hint="eastAsia" w:ascii="宋体" w:hAnsi="宋体" w:eastAsia="宋体"/>
          <w:b/>
          <w:color w:val="auto"/>
          <w:szCs w:val="24"/>
          <w:highlight w:val="none"/>
          <w:u w:val="single"/>
        </w:rPr>
        <w:t>第一篇</w:t>
      </w:r>
      <w:r>
        <w:rPr>
          <w:rFonts w:ascii="宋体" w:hAnsi="宋体" w:eastAsia="宋体"/>
          <w:b/>
          <w:color w:val="auto"/>
          <w:szCs w:val="24"/>
          <w:highlight w:val="none"/>
          <w:u w:val="single"/>
        </w:rPr>
        <w:t xml:space="preserve">  </w:t>
      </w:r>
      <w:r>
        <w:rPr>
          <w:rFonts w:hint="eastAsia" w:ascii="宋体" w:hAnsi="宋体" w:eastAsia="宋体"/>
          <w:b/>
          <w:color w:val="auto"/>
          <w:szCs w:val="24"/>
          <w:highlight w:val="none"/>
          <w:u w:val="single"/>
        </w:rPr>
        <w:t>五、保证金缴纳</w:t>
      </w:r>
      <w:r>
        <w:rPr>
          <w:rFonts w:hint="eastAsia" w:ascii="宋体" w:hAnsi="宋体" w:eastAsia="宋体"/>
          <w:color w:val="auto"/>
          <w:szCs w:val="24"/>
          <w:highlight w:val="none"/>
        </w:rPr>
        <w:t>；</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w:t>
      </w:r>
      <w:r>
        <w:rPr>
          <w:rFonts w:hint="eastAsia" w:ascii="宋体" w:hAnsi="宋体" w:eastAsia="宋体"/>
          <w:color w:val="auto"/>
          <w:szCs w:val="24"/>
          <w:highlight w:val="none"/>
        </w:rPr>
        <w:t>、发生以下情况之一者，磋商保证金不予退还：</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2.1</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在提交响应文件截止时间后撤回响应文件的；</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2.2</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在响应文件中提供虚假材料的；</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2.3</w:t>
      </w:r>
      <w:r>
        <w:rPr>
          <w:rFonts w:hint="eastAsia" w:ascii="宋体" w:hAnsi="宋体" w:eastAsia="宋体"/>
          <w:color w:val="auto"/>
          <w:szCs w:val="24"/>
          <w:highlight w:val="none"/>
        </w:rPr>
        <w:t>除因不可抗力或竞争性磋商文件认可的情形以外，</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不与采购人签订合同的；</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2.4</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与采购人、其他</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或者采购代理机构恶意串通的；</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2.5</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不按规定的时间或拒绝按成交状态签订合同（即不按照采购文件确定的合同文本以及采购标的、规格型号、采购金额、采购数量、技术和服务要求等事项签订政府采购合同的。）。</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（四）修正错误</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、若</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所递交的响应文件或最后报价中的价格出现大写金额和小写金额不一致的错误，以大写金额修正为准。</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w:t>
      </w:r>
      <w:r>
        <w:rPr>
          <w:rFonts w:hint="eastAsia" w:ascii="宋体" w:hAnsi="宋体" w:eastAsia="宋体"/>
          <w:color w:val="auto"/>
          <w:szCs w:val="24"/>
          <w:highlight w:val="none"/>
        </w:rPr>
        <w:t>、磋商小组按上述修正错误的原则及方法修正</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的报价，</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同意并签字确认后，修正后的报价对</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具有约束作用。如果</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不接受修正后的价格，将失去成为</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的资格。</w:t>
      </w:r>
    </w:p>
    <w:p>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（五）提交响应文件的份数和签署</w:t>
      </w:r>
    </w:p>
    <w:p>
      <w:pPr>
        <w:snapToGrid w:val="0"/>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、响应文件一式三份，其中正本一份，副本一份，电子文档一份（电子文档内容应与纸质文件正本一致，如不一致以纸质文件正本为准。推荐采用光盘或</w:t>
      </w:r>
      <w:r>
        <w:rPr>
          <w:rFonts w:ascii="宋体" w:hAnsi="宋体" w:eastAsia="宋体"/>
          <w:color w:val="auto"/>
          <w:szCs w:val="24"/>
          <w:highlight w:val="none"/>
        </w:rPr>
        <w:t>U</w:t>
      </w:r>
      <w:r>
        <w:rPr>
          <w:rFonts w:hint="eastAsia" w:ascii="宋体" w:hAnsi="宋体" w:eastAsia="宋体"/>
          <w:color w:val="auto"/>
          <w:szCs w:val="24"/>
          <w:highlight w:val="none"/>
        </w:rPr>
        <w:t>盘为电子文档载体）；副本可为正本的复印件，应与正本一致，如出现不一致情况以正本为准。</w:t>
      </w:r>
    </w:p>
    <w:p>
      <w:pPr>
        <w:snapToGrid w:val="0"/>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w:t>
      </w:r>
      <w:r>
        <w:rPr>
          <w:rFonts w:hint="eastAsia" w:ascii="宋体" w:hAnsi="宋体" w:eastAsia="宋体"/>
          <w:color w:val="auto"/>
          <w:szCs w:val="24"/>
          <w:highlight w:val="none"/>
        </w:rPr>
        <w:t>、</w:t>
      </w:r>
      <w:r>
        <w:rPr>
          <w:rFonts w:hint="eastAsia" w:ascii="宋体" w:hAnsi="宋体" w:eastAsia="宋体"/>
          <w:color w:val="auto"/>
          <w:highlight w:val="none"/>
        </w:rPr>
        <w:t>在响应文件正本中，竞争性磋商文件第六篇响应文件编制要求中规定签字、盖章的地方必须按其规定签字、盖章。</w:t>
      </w:r>
    </w:p>
    <w:p>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（六）响应文件的递交</w:t>
      </w:r>
    </w:p>
    <w:p>
      <w:pPr>
        <w:snapToGrid w:val="0"/>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 xml:space="preserve">1. </w:t>
      </w:r>
      <w:r>
        <w:rPr>
          <w:rFonts w:hint="eastAsia" w:ascii="宋体" w:hAnsi="宋体" w:eastAsia="宋体"/>
          <w:color w:val="auto"/>
          <w:szCs w:val="24"/>
          <w:highlight w:val="none"/>
        </w:rPr>
        <w:t>响应文件的密封</w:t>
      </w:r>
    </w:p>
    <w:p>
      <w:pPr>
        <w:snapToGrid w:val="0"/>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1.1</w:t>
      </w:r>
      <w:r>
        <w:rPr>
          <w:rFonts w:hint="eastAsia" w:ascii="宋体" w:hAnsi="宋体" w:eastAsia="宋体"/>
          <w:color w:val="auto"/>
          <w:szCs w:val="24"/>
          <w:highlight w:val="none"/>
        </w:rPr>
        <w:t>响应文件的正本、副本、电子文档均应密封送达递交响应文件地点，应在封套上注明项目名称、</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名称。若正本、副本及电子文档分别进行密封的，还应在封套上注明“正本”、“副本”、“电子文档”字样。</w:t>
      </w:r>
    </w:p>
    <w:p>
      <w:pPr>
        <w:snapToGrid w:val="0"/>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1.2</w:t>
      </w:r>
      <w:r>
        <w:rPr>
          <w:rFonts w:hint="eastAsia" w:ascii="宋体" w:hAnsi="宋体" w:eastAsia="宋体"/>
          <w:color w:val="auto"/>
          <w:szCs w:val="24"/>
          <w:highlight w:val="none"/>
        </w:rPr>
        <w:t>封套的封口处应加盖</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公章或由法定代表人授权代表签字。</w:t>
      </w:r>
    </w:p>
    <w:p>
      <w:pPr>
        <w:snapToGrid w:val="0"/>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1.3</w:t>
      </w:r>
      <w:r>
        <w:rPr>
          <w:rFonts w:hint="eastAsia" w:ascii="宋体" w:hAnsi="宋体" w:eastAsia="宋体"/>
          <w:color w:val="auto"/>
          <w:szCs w:val="24"/>
          <w:highlight w:val="none"/>
        </w:rPr>
        <w:t>响应文件投递截止时间：参阅竞争性磋商邀请书。</w:t>
      </w:r>
    </w:p>
    <w:p>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（七）响应文件语言：简体中文</w:t>
      </w:r>
    </w:p>
    <w:p>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（八）</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参与人员</w:t>
      </w:r>
    </w:p>
    <w:p>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各个</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应当派</w:t>
      </w:r>
      <w:r>
        <w:rPr>
          <w:rFonts w:ascii="宋体" w:hAnsi="宋体" w:eastAsia="宋体"/>
          <w:color w:val="auto"/>
          <w:szCs w:val="24"/>
          <w:highlight w:val="none"/>
        </w:rPr>
        <w:t>1-2</w:t>
      </w:r>
      <w:r>
        <w:rPr>
          <w:rFonts w:hint="eastAsia" w:ascii="宋体" w:hAnsi="宋体" w:eastAsia="宋体"/>
          <w:color w:val="auto"/>
          <w:szCs w:val="24"/>
          <w:highlight w:val="none"/>
        </w:rPr>
        <w:t>名代表参与磋商，至少</w:t>
      </w:r>
      <w:r>
        <w:rPr>
          <w:rFonts w:ascii="宋体" w:hAnsi="宋体" w:eastAsia="宋体"/>
          <w:color w:val="auto"/>
          <w:szCs w:val="24"/>
          <w:highlight w:val="none"/>
        </w:rPr>
        <w:t>1</w:t>
      </w:r>
      <w:r>
        <w:rPr>
          <w:rFonts w:hint="eastAsia" w:ascii="宋体" w:hAnsi="宋体" w:eastAsia="宋体"/>
          <w:color w:val="auto"/>
          <w:szCs w:val="24"/>
          <w:highlight w:val="none"/>
        </w:rPr>
        <w:t>人应为法定代表人或具有法定代表人授权委托书的授权代表。</w:t>
      </w:r>
    </w:p>
    <w:p>
      <w:pPr>
        <w:pStyle w:val="5"/>
        <w:spacing w:before="0" w:after="0" w:line="440" w:lineRule="exact"/>
        <w:rPr>
          <w:rFonts w:ascii="宋体" w:hAnsi="宋体" w:cs="方正仿宋_GBK"/>
          <w:bCs/>
          <w:color w:val="auto"/>
          <w:sz w:val="28"/>
          <w:szCs w:val="28"/>
          <w:highlight w:val="none"/>
        </w:rPr>
      </w:pPr>
      <w:bookmarkStart w:id="105" w:name="_Toc7421900"/>
      <w:bookmarkStart w:id="106" w:name="_Toc13835"/>
      <w:bookmarkStart w:id="107" w:name="_Toc466546928"/>
      <w:bookmarkStart w:id="108" w:name="_Toc13249"/>
      <w:r>
        <w:rPr>
          <w:rFonts w:hint="eastAsia" w:ascii="宋体" w:hAnsi="宋体" w:cs="方正仿宋_GBK"/>
          <w:bCs/>
          <w:color w:val="auto"/>
          <w:sz w:val="28"/>
          <w:szCs w:val="28"/>
          <w:highlight w:val="none"/>
        </w:rPr>
        <w:t>四、</w:t>
      </w:r>
      <w:r>
        <w:rPr>
          <w:rFonts w:hint="eastAsia" w:ascii="宋体" w:hAnsi="宋体" w:cs="方正仿宋_GBK"/>
          <w:bCs/>
          <w:color w:val="auto"/>
          <w:sz w:val="28"/>
          <w:szCs w:val="28"/>
          <w:highlight w:val="none"/>
          <w:lang w:eastAsia="zh-CN"/>
        </w:rPr>
        <w:t>中标人</w:t>
      </w:r>
      <w:r>
        <w:rPr>
          <w:rFonts w:hint="eastAsia" w:ascii="宋体" w:hAnsi="宋体" w:cs="方正仿宋_GBK"/>
          <w:bCs/>
          <w:color w:val="auto"/>
          <w:sz w:val="28"/>
          <w:szCs w:val="28"/>
          <w:highlight w:val="none"/>
        </w:rPr>
        <w:t>的确认和变更</w:t>
      </w:r>
      <w:bookmarkEnd w:id="105"/>
      <w:bookmarkEnd w:id="106"/>
      <w:bookmarkEnd w:id="107"/>
      <w:bookmarkEnd w:id="108"/>
    </w:p>
    <w:p>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（一）</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的确认</w:t>
      </w:r>
    </w:p>
    <w:p>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采购代理机构应当在评审结束后</w:t>
      </w:r>
      <w:r>
        <w:rPr>
          <w:rFonts w:ascii="宋体" w:hAnsi="宋体" w:eastAsia="宋体"/>
          <w:color w:val="auto"/>
          <w:szCs w:val="24"/>
          <w:highlight w:val="none"/>
        </w:rPr>
        <w:t>2</w:t>
      </w:r>
      <w:r>
        <w:rPr>
          <w:rFonts w:hint="eastAsia" w:ascii="宋体" w:hAnsi="宋体" w:eastAsia="宋体"/>
          <w:color w:val="auto"/>
          <w:szCs w:val="24"/>
          <w:highlight w:val="none"/>
        </w:rPr>
        <w:t>个工作日内将评审报告送采购人确认。采购人应当在收到评审报告后</w:t>
      </w:r>
      <w:r>
        <w:rPr>
          <w:rFonts w:ascii="宋体" w:hAnsi="宋体" w:eastAsia="宋体"/>
          <w:color w:val="auto"/>
          <w:szCs w:val="24"/>
          <w:highlight w:val="none"/>
        </w:rPr>
        <w:t>5</w:t>
      </w:r>
      <w:r>
        <w:rPr>
          <w:rFonts w:hint="eastAsia" w:ascii="宋体" w:hAnsi="宋体" w:eastAsia="宋体"/>
          <w:color w:val="auto"/>
          <w:szCs w:val="24"/>
          <w:highlight w:val="none"/>
        </w:rPr>
        <w:t>个工作日内，从评审报告提出的成交候选</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中，按照排序由高到低的原则确定</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，也可以书面授权磋商小组直接确定</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。采购人逾期未确定</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且不提出异议的，视为确定评审报告提出的排序第一的</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为</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w:t>
      </w:r>
    </w:p>
    <w:p>
      <w:pPr>
        <w:snapToGrid w:val="0"/>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（二）</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的变更</w:t>
      </w:r>
    </w:p>
    <w:p>
      <w:pPr>
        <w:snapToGrid w:val="0"/>
        <w:spacing w:line="390" w:lineRule="exact"/>
        <w:ind w:firstLine="318" w:firstLineChars="150"/>
        <w:rPr>
          <w:rFonts w:ascii="宋体" w:hAnsi="宋体" w:eastAsia="宋体"/>
          <w:color w:val="auto"/>
          <w:szCs w:val="24"/>
          <w:highlight w:val="none"/>
        </w:rPr>
      </w:pPr>
      <w:bookmarkStart w:id="109" w:name="_Toc466546929"/>
      <w:bookmarkStart w:id="110" w:name="_Toc13284"/>
      <w:bookmarkStart w:id="111" w:name="_Toc7421901"/>
      <w:bookmarkStart w:id="112" w:name="_Toc102227321"/>
      <w:bookmarkStart w:id="113" w:name="_Toc342913395"/>
      <w:r>
        <w:rPr>
          <w:rFonts w:hint="eastAsia" w:ascii="宋体" w:hAnsi="宋体" w:eastAsia="宋体"/>
          <w:color w:val="auto"/>
          <w:szCs w:val="24"/>
          <w:highlight w:val="none"/>
        </w:rPr>
        <w:t>除不可抗力等因素外，成交通知书发出后，采购人改变成交结果，或者</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拒绝签订政府采购合同的，应当承担相应的法律责任。</w:t>
      </w:r>
    </w:p>
    <w:p>
      <w:pPr>
        <w:snapToGrid w:val="0"/>
        <w:spacing w:line="39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拒绝签订政府采购合同的，采购人可以按照《中华人民共和国政府采购法实施条例》第四十九条、《政府采购非招标采购采购方式管理办法》第三十六条第二款规定的原则确定其他</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作为</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并签订政府采购合同，也可以重新开展采购活动。拒绝签订政府采购合同的</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不得参加对该项目重新开展的采购活动。</w:t>
      </w:r>
    </w:p>
    <w:p>
      <w:pPr>
        <w:pStyle w:val="5"/>
        <w:spacing w:before="0" w:after="0" w:line="440" w:lineRule="exact"/>
        <w:rPr>
          <w:rFonts w:ascii="宋体" w:hAnsi="宋体" w:cs="方正仿宋_GBK"/>
          <w:bCs/>
          <w:color w:val="auto"/>
          <w:sz w:val="28"/>
          <w:szCs w:val="28"/>
          <w:highlight w:val="none"/>
        </w:rPr>
      </w:pPr>
      <w:bookmarkStart w:id="114" w:name="_Toc15320"/>
      <w:r>
        <w:rPr>
          <w:rFonts w:hint="eastAsia" w:ascii="宋体" w:hAnsi="宋体" w:cs="方正仿宋_GBK"/>
          <w:bCs/>
          <w:color w:val="auto"/>
          <w:sz w:val="28"/>
          <w:szCs w:val="28"/>
          <w:highlight w:val="none"/>
        </w:rPr>
        <w:t>五、成交通知</w:t>
      </w:r>
      <w:bookmarkEnd w:id="109"/>
      <w:bookmarkEnd w:id="110"/>
      <w:bookmarkEnd w:id="111"/>
      <w:bookmarkEnd w:id="112"/>
      <w:bookmarkEnd w:id="113"/>
      <w:bookmarkEnd w:id="114"/>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（一）</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确定后，采购代理机构将在重庆市政府采购网（</w:t>
      </w:r>
      <w:r>
        <w:rPr>
          <w:rFonts w:ascii="宋体" w:hAnsi="宋体" w:eastAsia="宋体"/>
          <w:color w:val="auto"/>
          <w:szCs w:val="24"/>
          <w:highlight w:val="none"/>
        </w:rPr>
        <w:t>https://www.ccgp-chongqing.gov.cn</w:t>
      </w:r>
      <w:r>
        <w:rPr>
          <w:rFonts w:hint="eastAsia" w:ascii="宋体" w:hAnsi="宋体" w:eastAsia="宋体"/>
          <w:color w:val="auto"/>
          <w:szCs w:val="24"/>
          <w:highlight w:val="none"/>
        </w:rPr>
        <w:t>）上发布成交结果公告。</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（二）结果公告发出同时，采购代理机构将以书面形式发出《成交通知书》。《成交通知书》一经发出即发生法律效力。</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（三）《成交通知书》将作为签订合同的依据。</w:t>
      </w:r>
    </w:p>
    <w:p>
      <w:pPr>
        <w:spacing w:line="400" w:lineRule="exact"/>
        <w:ind w:firstLine="424" w:firstLineChars="200"/>
        <w:rPr>
          <w:rFonts w:ascii="宋体" w:hAnsi="宋体" w:eastAsia="宋体"/>
          <w:color w:val="auto"/>
          <w:highlight w:val="none"/>
        </w:rPr>
      </w:pPr>
      <w:r>
        <w:rPr>
          <w:rFonts w:hint="eastAsia" w:ascii="宋体" w:hAnsi="宋体" w:eastAsia="宋体"/>
          <w:color w:val="auto"/>
          <w:szCs w:val="24"/>
          <w:highlight w:val="none"/>
        </w:rPr>
        <w:t>（四）如有</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对成交结果提出质疑的，在质疑处理完毕后发出成交通知书。</w:t>
      </w:r>
    </w:p>
    <w:p>
      <w:pPr>
        <w:pStyle w:val="5"/>
        <w:spacing w:before="0" w:after="0" w:line="440" w:lineRule="exact"/>
        <w:rPr>
          <w:rFonts w:ascii="宋体" w:hAnsi="宋体" w:cs="方正仿宋_GBK"/>
          <w:bCs/>
          <w:color w:val="auto"/>
          <w:sz w:val="28"/>
          <w:szCs w:val="28"/>
          <w:highlight w:val="none"/>
        </w:rPr>
      </w:pPr>
      <w:bookmarkStart w:id="115" w:name="_Toc26413"/>
      <w:bookmarkStart w:id="116" w:name="_Toc9929"/>
      <w:bookmarkStart w:id="117" w:name="_Toc7421902"/>
      <w:bookmarkStart w:id="118" w:name="_Toc466546930"/>
      <w:r>
        <w:rPr>
          <w:rFonts w:hint="eastAsia" w:ascii="宋体" w:hAnsi="宋体" w:cs="方正仿宋_GBK"/>
          <w:bCs/>
          <w:color w:val="auto"/>
          <w:sz w:val="28"/>
          <w:szCs w:val="28"/>
          <w:highlight w:val="none"/>
        </w:rPr>
        <w:t>六、关于质疑和投诉</w:t>
      </w:r>
      <w:bookmarkEnd w:id="115"/>
      <w:bookmarkEnd w:id="116"/>
      <w:bookmarkEnd w:id="117"/>
      <w:bookmarkEnd w:id="118"/>
    </w:p>
    <w:p>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（一）质疑内容、时限</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对成交结果有异议的，应当在结果公告期限届满之日起七个工作日内以书面形式向采购人、采购代理机构提出质疑，并附相关证明材料。</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w:t>
      </w:r>
      <w:r>
        <w:rPr>
          <w:rFonts w:hint="eastAsia" w:ascii="宋体" w:hAnsi="宋体" w:eastAsia="宋体"/>
          <w:color w:val="auto"/>
          <w:szCs w:val="24"/>
          <w:highlight w:val="none"/>
        </w:rPr>
        <w:t>、</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对竞争性磋商文件中</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特定资格条件、技术质量和商务要求、评审标准及评审细则有异议的，应主要向采购人提出质疑，其他问题可向采购代理机构提出质疑。</w:t>
      </w:r>
    </w:p>
    <w:p>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（二）质疑答复</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highlight w:val="none"/>
        </w:rPr>
        <w:t>采购人、采购代理机构在收到</w:t>
      </w:r>
      <w:r>
        <w:rPr>
          <w:rFonts w:hint="eastAsia" w:ascii="宋体" w:hAnsi="宋体" w:eastAsia="宋体"/>
          <w:color w:val="auto"/>
          <w:highlight w:val="none"/>
          <w:lang w:eastAsia="zh-CN"/>
        </w:rPr>
        <w:t>投标人</w:t>
      </w:r>
      <w:r>
        <w:rPr>
          <w:rFonts w:hint="eastAsia" w:ascii="宋体" w:hAnsi="宋体" w:eastAsia="宋体"/>
          <w:color w:val="auto"/>
          <w:highlight w:val="none"/>
        </w:rPr>
        <w:t>书面质疑后七个工作日内，对质疑内容作出答复</w:t>
      </w:r>
      <w:r>
        <w:rPr>
          <w:rFonts w:hint="eastAsia" w:ascii="宋体" w:hAnsi="宋体" w:eastAsia="宋体"/>
          <w:color w:val="auto"/>
          <w:szCs w:val="24"/>
          <w:highlight w:val="none"/>
        </w:rPr>
        <w:t>。</w:t>
      </w:r>
    </w:p>
    <w:p>
      <w:pPr>
        <w:spacing w:line="400" w:lineRule="exact"/>
        <w:rPr>
          <w:rFonts w:ascii="宋体" w:hAnsi="宋体" w:eastAsia="宋体"/>
          <w:color w:val="auto"/>
          <w:szCs w:val="24"/>
          <w:highlight w:val="none"/>
        </w:rPr>
      </w:pPr>
      <w:r>
        <w:rPr>
          <w:rFonts w:ascii="宋体" w:hAnsi="宋体" w:eastAsia="宋体"/>
          <w:color w:val="auto"/>
          <w:szCs w:val="24"/>
          <w:highlight w:val="none"/>
        </w:rPr>
        <w:t xml:space="preserve">   </w:t>
      </w:r>
      <w:r>
        <w:rPr>
          <w:rFonts w:hint="eastAsia" w:ascii="宋体" w:hAnsi="宋体" w:eastAsia="宋体"/>
          <w:color w:val="auto"/>
          <w:szCs w:val="24"/>
          <w:highlight w:val="none"/>
        </w:rPr>
        <w:t>（三）不予受理或暂缓受理</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w:t>
      </w:r>
      <w:r>
        <w:rPr>
          <w:rFonts w:hint="eastAsia" w:ascii="宋体" w:hAnsi="宋体" w:eastAsia="宋体"/>
          <w:color w:val="auto"/>
          <w:szCs w:val="24"/>
          <w:highlight w:val="none"/>
        </w:rPr>
        <w:t>、质疑有下列情形之一的，不予受理：</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1.1</w:t>
      </w:r>
      <w:r>
        <w:rPr>
          <w:rFonts w:hint="eastAsia" w:ascii="宋体" w:hAnsi="宋体" w:eastAsia="宋体"/>
          <w:color w:val="auto"/>
          <w:szCs w:val="24"/>
          <w:highlight w:val="none"/>
        </w:rPr>
        <w:t>质疑</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参与了磋商活动后，再对竞争性磋商文件内容提出质疑的；</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1.2</w:t>
      </w:r>
      <w:r>
        <w:rPr>
          <w:rFonts w:hint="eastAsia" w:ascii="宋体" w:hAnsi="宋体" w:eastAsia="宋体"/>
          <w:color w:val="auto"/>
          <w:szCs w:val="24"/>
          <w:highlight w:val="none"/>
        </w:rPr>
        <w:t>质疑超过有效期的；</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1.3</w:t>
      </w:r>
      <w:r>
        <w:rPr>
          <w:rFonts w:hint="eastAsia" w:ascii="宋体" w:hAnsi="宋体" w:eastAsia="宋体"/>
          <w:color w:val="auto"/>
          <w:szCs w:val="24"/>
          <w:highlight w:val="none"/>
        </w:rPr>
        <w:t>对同一事项重复质疑的。</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w:t>
      </w:r>
      <w:r>
        <w:rPr>
          <w:rFonts w:hint="eastAsia" w:ascii="宋体" w:hAnsi="宋体" w:eastAsia="宋体"/>
          <w:color w:val="auto"/>
          <w:szCs w:val="24"/>
          <w:highlight w:val="none"/>
        </w:rPr>
        <w:t>、质疑有下列情形之一的，应暂不受理并告知</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补充材料。</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及时补充材料的，应予受理；逾期未补充的，不予受理：</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2.1</w:t>
      </w:r>
      <w:r>
        <w:rPr>
          <w:rFonts w:hint="eastAsia" w:ascii="宋体" w:hAnsi="宋体" w:eastAsia="宋体"/>
          <w:color w:val="auto"/>
          <w:szCs w:val="24"/>
          <w:highlight w:val="none"/>
        </w:rPr>
        <w:t>质疑书格式和内容不符合国家或重庆市相关规定的；</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2.2</w:t>
      </w:r>
      <w:r>
        <w:rPr>
          <w:rFonts w:hint="eastAsia" w:ascii="宋体" w:hAnsi="宋体" w:eastAsia="宋体"/>
          <w:color w:val="auto"/>
          <w:szCs w:val="24"/>
          <w:highlight w:val="none"/>
        </w:rPr>
        <w:t>质疑书提供的依据或证明材料不全的；</w:t>
      </w:r>
    </w:p>
    <w:p>
      <w:pPr>
        <w:spacing w:line="400" w:lineRule="exact"/>
        <w:ind w:firstLine="424" w:firstLineChars="200"/>
        <w:rPr>
          <w:rFonts w:ascii="宋体" w:hAnsi="宋体" w:eastAsia="宋体"/>
          <w:color w:val="auto"/>
          <w:szCs w:val="24"/>
          <w:highlight w:val="none"/>
        </w:rPr>
      </w:pPr>
      <w:r>
        <w:rPr>
          <w:rFonts w:ascii="宋体" w:hAnsi="宋体" w:eastAsia="宋体"/>
          <w:color w:val="auto"/>
          <w:szCs w:val="24"/>
          <w:highlight w:val="none"/>
        </w:rPr>
        <w:t>2.3</w:t>
      </w:r>
      <w:r>
        <w:rPr>
          <w:rFonts w:hint="eastAsia" w:ascii="宋体" w:hAnsi="宋体" w:eastAsia="宋体"/>
          <w:color w:val="auto"/>
          <w:szCs w:val="24"/>
          <w:highlight w:val="none"/>
        </w:rPr>
        <w:t>质疑书副本数量不足的。</w:t>
      </w:r>
    </w:p>
    <w:p>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（四）投诉</w:t>
      </w:r>
    </w:p>
    <w:p>
      <w:pPr>
        <w:spacing w:line="400" w:lineRule="exact"/>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w:t>
      </w:r>
      <w:r>
        <w:rPr>
          <w:rFonts w:hint="eastAsia" w:ascii="宋体" w:hAnsi="宋体" w:eastAsia="宋体"/>
          <w:color w:val="auto"/>
          <w:highlight w:val="none"/>
          <w:lang w:eastAsia="zh-CN"/>
        </w:rPr>
        <w:t>投标人</w:t>
      </w:r>
      <w:r>
        <w:rPr>
          <w:rFonts w:hint="eastAsia" w:ascii="宋体" w:hAnsi="宋体" w:eastAsia="宋体"/>
          <w:color w:val="auto"/>
          <w:highlight w:val="none"/>
        </w:rPr>
        <w:t>对采购人、采购代理机构的答复不满意，或者采购人、采购代理机构未在规定时间内答复的，可在答复期满后十五个工作日内按有关规定，向同级财政部门投诉。</w:t>
      </w:r>
    </w:p>
    <w:p>
      <w:pPr>
        <w:spacing w:line="400" w:lineRule="exact"/>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、在提出投诉时，应附送相关证明材料。投诉书及证明材料为外文的，应同时提供其中文译本；中文与外文意思不一致的，以中文为准。</w:t>
      </w:r>
    </w:p>
    <w:p>
      <w:pPr>
        <w:spacing w:line="400" w:lineRule="exact"/>
        <w:ind w:firstLine="424" w:firstLineChars="200"/>
        <w:rPr>
          <w:rFonts w:ascii="宋体" w:hAnsi="宋体" w:eastAsia="宋体"/>
          <w:color w:val="auto"/>
          <w:szCs w:val="24"/>
          <w:highlight w:val="none"/>
        </w:rPr>
      </w:pPr>
      <w:r>
        <w:rPr>
          <w:rFonts w:ascii="宋体" w:hAnsi="宋体" w:eastAsia="宋体"/>
          <w:color w:val="auto"/>
          <w:highlight w:val="none"/>
        </w:rPr>
        <w:t>3</w:t>
      </w:r>
      <w:r>
        <w:rPr>
          <w:rFonts w:hint="eastAsia" w:ascii="宋体" w:hAnsi="宋体" w:eastAsia="宋体"/>
          <w:color w:val="auto"/>
          <w:highlight w:val="none"/>
        </w:rPr>
        <w:t>、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Pr>
          <w:rFonts w:hint="eastAsia" w:ascii="宋体" w:hAnsi="宋体" w:eastAsia="宋体"/>
          <w:color w:val="auto"/>
          <w:szCs w:val="24"/>
          <w:highlight w:val="none"/>
        </w:rPr>
        <w:t>。</w:t>
      </w:r>
    </w:p>
    <w:p>
      <w:pPr>
        <w:pStyle w:val="5"/>
        <w:spacing w:before="0" w:after="0" w:line="440" w:lineRule="exact"/>
        <w:rPr>
          <w:rFonts w:ascii="宋体" w:hAnsi="宋体" w:cs="方正仿宋_GBK"/>
          <w:bCs/>
          <w:color w:val="auto"/>
          <w:sz w:val="28"/>
          <w:szCs w:val="28"/>
          <w:highlight w:val="none"/>
        </w:rPr>
      </w:pPr>
      <w:bookmarkStart w:id="119" w:name="_Toc342913396"/>
      <w:bookmarkStart w:id="120" w:name="_Toc102227322"/>
      <w:bookmarkStart w:id="121" w:name="_Toc466546933"/>
      <w:bookmarkStart w:id="122" w:name="_Toc7421903"/>
      <w:bookmarkStart w:id="123" w:name="_Toc6532"/>
      <w:bookmarkStart w:id="124" w:name="_Toc17412"/>
      <w:r>
        <w:rPr>
          <w:rFonts w:hint="eastAsia" w:ascii="宋体" w:hAnsi="宋体" w:cs="方正仿宋_GBK"/>
          <w:bCs/>
          <w:color w:val="auto"/>
          <w:sz w:val="28"/>
          <w:szCs w:val="28"/>
          <w:highlight w:val="none"/>
        </w:rPr>
        <w:t>七、</w:t>
      </w:r>
      <w:bookmarkEnd w:id="119"/>
      <w:bookmarkEnd w:id="120"/>
      <w:bookmarkEnd w:id="121"/>
      <w:r>
        <w:rPr>
          <w:rFonts w:hint="eastAsia" w:ascii="宋体" w:hAnsi="宋体" w:cs="方正仿宋_GBK"/>
          <w:bCs/>
          <w:color w:val="auto"/>
          <w:sz w:val="28"/>
          <w:szCs w:val="28"/>
          <w:highlight w:val="none"/>
        </w:rPr>
        <w:t>签订合同</w:t>
      </w:r>
      <w:bookmarkEnd w:id="122"/>
      <w:bookmarkEnd w:id="123"/>
      <w:bookmarkEnd w:id="124"/>
    </w:p>
    <w:p>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（一）</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应在领取成交通知书后30日内，并按要求缴纳履约保证金后与采购人签订采购合同。</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逾期或拒绝或不按成交状态签订合同的，保证金不予退还，并按政府采购法的有关规定进行严肃处理。</w:t>
      </w:r>
    </w:p>
    <w:p>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（二）采购人应当自政府采购合同签订之日起</w:t>
      </w:r>
      <w:r>
        <w:rPr>
          <w:rFonts w:ascii="宋体" w:hAnsi="宋体" w:eastAsia="宋体"/>
          <w:color w:val="auto"/>
          <w:szCs w:val="24"/>
          <w:highlight w:val="none"/>
        </w:rPr>
        <w:t>2</w:t>
      </w:r>
      <w:r>
        <w:rPr>
          <w:rFonts w:hint="eastAsia" w:ascii="宋体" w:hAnsi="宋体" w:eastAsia="宋体"/>
          <w:color w:val="auto"/>
          <w:szCs w:val="24"/>
          <w:highlight w:val="none"/>
        </w:rPr>
        <w:t>个工作日内，将政府采购合同在重庆市政府采购网上公告，但政府采购合同中涉及国家秘密、商业秘密的内容除外。</w:t>
      </w:r>
    </w:p>
    <w:p>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（三）竞争性磋商文件、</w:t>
      </w: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的响应文件及澄清文件等，均为签订政府采购合同的依据。</w:t>
      </w:r>
    </w:p>
    <w:p>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（四）合同生效条款由供需双方约定，法律、行政法规规定应当办理批准、登记等手续后生效的合同，依照其规定。</w:t>
      </w:r>
    </w:p>
    <w:p>
      <w:pPr>
        <w:spacing w:line="400" w:lineRule="exact"/>
        <w:ind w:firstLine="318" w:firstLineChars="150"/>
        <w:rPr>
          <w:rFonts w:ascii="宋体" w:hAnsi="宋体" w:eastAsia="宋体"/>
          <w:color w:val="auto"/>
          <w:szCs w:val="24"/>
          <w:highlight w:val="none"/>
        </w:rPr>
      </w:pPr>
      <w:r>
        <w:rPr>
          <w:rFonts w:hint="eastAsia" w:ascii="宋体" w:hAnsi="宋体" w:eastAsia="宋体"/>
          <w:color w:val="auto"/>
          <w:szCs w:val="24"/>
          <w:highlight w:val="none"/>
        </w:rPr>
        <w:t>（五）合同原则上应按照《重庆市政府采购合同》签订，相关单位要求适用合同通用格式版本的，应按其要求另行签订其他合同。</w:t>
      </w:r>
    </w:p>
    <w:p>
      <w:pPr>
        <w:spacing w:line="400" w:lineRule="exact"/>
        <w:ind w:firstLine="424" w:firstLineChars="200"/>
        <w:rPr>
          <w:rFonts w:ascii="宋体" w:hAnsi="宋体" w:eastAsia="宋体"/>
          <w:color w:val="auto"/>
          <w:szCs w:val="24"/>
          <w:highlight w:val="none"/>
        </w:rPr>
      </w:pPr>
      <w:r>
        <w:rPr>
          <w:rFonts w:hint="eastAsia" w:ascii="宋体" w:hAnsi="宋体" w:eastAsia="宋体"/>
          <w:color w:val="auto"/>
          <w:szCs w:val="24"/>
          <w:highlight w:val="none"/>
        </w:rPr>
        <w:t>（六）采购人要求</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提供履约保证金的，应当在竞争性磋商文件中予以约定。</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履约完毕后，采购人</w:t>
      </w:r>
      <w:r>
        <w:rPr>
          <w:rFonts w:hint="eastAsia" w:ascii="宋体" w:hAnsi="宋体" w:eastAsia="宋体"/>
          <w:color w:val="auto"/>
          <w:szCs w:val="20"/>
          <w:highlight w:val="none"/>
        </w:rPr>
        <w:t>应按磋商文件及合同的约定无息退还其履约保证金。</w:t>
      </w:r>
    </w:p>
    <w:p>
      <w:pPr>
        <w:pStyle w:val="5"/>
        <w:spacing w:before="0" w:after="0" w:line="440" w:lineRule="exact"/>
        <w:rPr>
          <w:rFonts w:ascii="宋体" w:hAnsi="宋体" w:cs="方正仿宋_GBK"/>
          <w:bCs/>
          <w:color w:val="auto"/>
          <w:sz w:val="28"/>
          <w:szCs w:val="28"/>
          <w:highlight w:val="none"/>
        </w:rPr>
      </w:pPr>
      <w:bookmarkStart w:id="125" w:name="_Toc14780"/>
      <w:bookmarkStart w:id="126" w:name="_Toc466546934"/>
      <w:bookmarkStart w:id="127" w:name="_Toc26074"/>
      <w:bookmarkStart w:id="128" w:name="_Toc23323"/>
      <w:r>
        <w:rPr>
          <w:rFonts w:hint="eastAsia" w:ascii="宋体" w:hAnsi="宋体" w:cs="方正仿宋_GBK"/>
          <w:bCs/>
          <w:color w:val="auto"/>
          <w:sz w:val="28"/>
          <w:szCs w:val="28"/>
          <w:highlight w:val="none"/>
        </w:rPr>
        <w:t>八、政府采购信用融资</w:t>
      </w:r>
      <w:bookmarkEnd w:id="125"/>
      <w:bookmarkEnd w:id="126"/>
      <w:bookmarkEnd w:id="127"/>
      <w:bookmarkEnd w:id="128"/>
    </w:p>
    <w:p>
      <w:pPr>
        <w:ind w:firstLine="424" w:firstLineChars="200"/>
        <w:rPr>
          <w:rFonts w:ascii="宋体" w:hAnsi="宋体" w:eastAsia="宋体"/>
          <w:color w:val="auto"/>
          <w:szCs w:val="24"/>
          <w:highlight w:val="none"/>
        </w:rPr>
      </w:pPr>
      <w:r>
        <w:rPr>
          <w:rFonts w:hint="eastAsia" w:ascii="宋体" w:hAnsi="宋体" w:eastAsia="宋体"/>
          <w:color w:val="auto"/>
          <w:szCs w:val="24"/>
          <w:highlight w:val="none"/>
          <w:lang w:eastAsia="zh-CN"/>
        </w:rPr>
        <w:t>投标人</w:t>
      </w:r>
      <w:r>
        <w:rPr>
          <w:rFonts w:hint="eastAsia" w:ascii="宋体" w:hAnsi="宋体" w:eastAsia="宋体"/>
          <w:color w:val="auto"/>
          <w:szCs w:val="24"/>
          <w:highlight w:val="none"/>
        </w:rPr>
        <w:t>参与重庆市政府采购活动，成为</w:t>
      </w:r>
      <w:r>
        <w:rPr>
          <w:rFonts w:hint="eastAsia" w:ascii="宋体" w:hAnsi="宋体" w:eastAsia="宋体"/>
          <w:color w:val="auto"/>
          <w:szCs w:val="24"/>
          <w:highlight w:val="none"/>
          <w:lang w:eastAsia="zh-CN"/>
        </w:rPr>
        <w:t>中标人</w:t>
      </w:r>
      <w:r>
        <w:rPr>
          <w:rFonts w:hint="eastAsia" w:ascii="宋体" w:hAnsi="宋体" w:eastAsia="宋体"/>
          <w:color w:val="auto"/>
          <w:szCs w:val="24"/>
          <w:highlight w:val="none"/>
        </w:rPr>
        <w:t>，并与采购人签订政府采购合同后，可按照重庆市政府采购支持中小企业信用融资办法的规定，向开展政府采购信用融资业务的银行申请贷款。具体内容详见重庆市政府采购网“信用融资”信息专栏。</w:t>
      </w:r>
    </w:p>
    <w:p>
      <w:pPr>
        <w:pStyle w:val="5"/>
        <w:spacing w:before="0" w:after="0" w:line="440" w:lineRule="exact"/>
        <w:rPr>
          <w:rFonts w:hint="eastAsia" w:ascii="宋体" w:hAnsi="宋体" w:eastAsia="宋体" w:cs="宋体"/>
          <w:bCs/>
          <w:color w:val="auto"/>
          <w:sz w:val="28"/>
          <w:szCs w:val="28"/>
          <w:highlight w:val="none"/>
        </w:rPr>
      </w:pPr>
      <w:bookmarkStart w:id="129" w:name="_Toc16123"/>
      <w:bookmarkStart w:id="130" w:name="_Toc75793532"/>
      <w:r>
        <w:rPr>
          <w:rFonts w:hint="eastAsia" w:ascii="宋体" w:hAnsi="宋体" w:eastAsia="宋体" w:cs="宋体"/>
          <w:bCs/>
          <w:color w:val="auto"/>
          <w:sz w:val="28"/>
          <w:szCs w:val="28"/>
          <w:highlight w:val="none"/>
        </w:rPr>
        <w:t>九、采购代理服务费</w:t>
      </w:r>
      <w:bookmarkEnd w:id="129"/>
      <w:bookmarkEnd w:id="130"/>
    </w:p>
    <w:p>
      <w:pPr>
        <w:spacing w:line="400" w:lineRule="exact"/>
        <w:ind w:firstLine="424" w:firstLineChars="200"/>
        <w:rPr>
          <w:rFonts w:hint="eastAsia" w:ascii="宋体" w:hAnsi="宋体" w:eastAsia="宋体" w:cs="宋体"/>
          <w:b/>
          <w:color w:val="auto"/>
          <w:sz w:val="24"/>
        </w:rPr>
      </w:pPr>
      <w:bookmarkStart w:id="131" w:name="_Toc345318310"/>
      <w:bookmarkStart w:id="132" w:name="_Toc75793533"/>
      <w:bookmarkStart w:id="133" w:name="_Toc429584878"/>
      <w:bookmarkStart w:id="134" w:name="_Toc343881212"/>
      <w:bookmarkStart w:id="135" w:name="_Toc342983494"/>
      <w:r>
        <w:rPr>
          <w:rFonts w:hint="eastAsia" w:ascii="宋体" w:hAnsi="宋体" w:eastAsia="宋体" w:cs="宋体"/>
          <w:color w:val="auto"/>
          <w:sz w:val="24"/>
        </w:rPr>
        <w:t>（一）</w:t>
      </w:r>
      <w:r>
        <w:rPr>
          <w:rFonts w:hint="eastAsia" w:ascii="宋体" w:hAnsi="宋体" w:eastAsia="宋体" w:cs="宋体"/>
          <w:color w:val="auto"/>
          <w:sz w:val="24"/>
          <w:lang w:eastAsia="zh-CN"/>
        </w:rPr>
        <w:t>投标人</w:t>
      </w:r>
      <w:r>
        <w:rPr>
          <w:rFonts w:hint="eastAsia" w:ascii="宋体" w:hAnsi="宋体" w:eastAsia="宋体" w:cs="宋体"/>
          <w:color w:val="auto"/>
          <w:sz w:val="24"/>
        </w:rPr>
        <w:t>成交后向采购代理机构缴纳</w:t>
      </w:r>
      <w:r>
        <w:rPr>
          <w:rFonts w:hint="eastAsia" w:ascii="宋体" w:hAnsi="宋体" w:eastAsia="宋体" w:cs="宋体"/>
          <w:color w:val="auto"/>
          <w:sz w:val="24"/>
          <w:szCs w:val="24"/>
        </w:rPr>
        <w:t>采购</w:t>
      </w:r>
      <w:r>
        <w:rPr>
          <w:rFonts w:hint="eastAsia" w:ascii="宋体" w:hAnsi="宋体" w:eastAsia="宋体" w:cs="宋体"/>
          <w:color w:val="auto"/>
          <w:sz w:val="24"/>
        </w:rPr>
        <w:t>代理服务费，</w:t>
      </w:r>
      <w:r>
        <w:rPr>
          <w:rFonts w:hint="eastAsia" w:ascii="宋体" w:hAnsi="宋体" w:eastAsia="宋体" w:cs="宋体"/>
          <w:color w:val="auto"/>
          <w:sz w:val="24"/>
          <w:szCs w:val="24"/>
        </w:rPr>
        <w:t>采购</w:t>
      </w:r>
      <w:r>
        <w:rPr>
          <w:rFonts w:hint="eastAsia" w:ascii="宋体" w:hAnsi="宋体" w:eastAsia="宋体" w:cs="宋体"/>
          <w:color w:val="auto"/>
          <w:sz w:val="24"/>
        </w:rPr>
        <w:t>代理服务费的收取标准按照以下标准收取:</w:t>
      </w:r>
    </w:p>
    <w:tbl>
      <w:tblPr>
        <w:tblStyle w:val="62"/>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pPr>
              <w:spacing w:line="240" w:lineRule="atLeast"/>
              <w:ind w:firstLine="1092" w:firstLineChars="600"/>
              <w:rPr>
                <w:rFonts w:asciiTheme="minorEastAsia" w:hAnsiTheme="minorEastAsia" w:eastAsiaTheme="minorEastAsia"/>
                <w:b/>
                <w:color w:val="auto"/>
                <w:sz w:val="21"/>
                <w:szCs w:val="24"/>
              </w:rPr>
            </w:pPr>
            <w:r>
              <w:rPr>
                <w:rFonts w:asciiTheme="minorEastAsia" w:hAnsiTheme="minorEastAsia" w:eastAsiaTheme="minorEastAsia"/>
                <w:b/>
                <w:color w:val="auto"/>
                <w:sz w:val="21"/>
                <w:szCs w:val="24"/>
              </w:rPr>
              <mc:AlternateContent>
                <mc:Choice Requires="wps">
                  <w:drawing>
                    <wp:anchor distT="0" distB="0" distL="114300" distR="114300" simplePos="0" relativeHeight="251666432" behindDoc="0" locked="0" layoutInCell="0" allowOverlap="1">
                      <wp:simplePos x="0" y="0"/>
                      <wp:positionH relativeFrom="column">
                        <wp:posOffset>-112395</wp:posOffset>
                      </wp:positionH>
                      <wp:positionV relativeFrom="paragraph">
                        <wp:posOffset>-4445</wp:posOffset>
                      </wp:positionV>
                      <wp:extent cx="635" cy="635"/>
                      <wp:effectExtent l="0" t="0" r="0" b="0"/>
                      <wp:wrapNone/>
                      <wp:docPr id="16" name="Line 3"/>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8.85pt;margin-top:-0.35pt;height:0.05pt;width:0.05pt;z-index:251666432;mso-width-relative:page;mso-height-relative:page;" filled="f" stroked="t" coordsize="21600,21600" o:allowincell="f" o:gfxdata="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gmjmtMAAAAHAQAADwAAAAAAAAABACAAAAAiAAAA&#10;ZHJzL2Rvd25yZXYueG1sUEsBAhQAFAAAAAgAh07iQDY+Z+LTAQAA2gMAAA4AAAAAAAAAAQAgAAAA&#10;IgEAAGRycy9lMm9Eb2MueG1sUEsFBgAAAAAGAAYAWQEAAGcFAAAAAA==&#10;">
                      <v:fill on="f" focussize="0,0"/>
                      <v:stroke color="#000000" joinstyle="round"/>
                      <v:imagedata o:title=""/>
                      <o:lock v:ext="edit" aspectratio="f"/>
                    </v:line>
                  </w:pict>
                </mc:Fallback>
              </mc:AlternateContent>
            </w:r>
            <w:r>
              <w:rPr>
                <w:rFonts w:hint="eastAsia" w:asciiTheme="minorEastAsia" w:hAnsiTheme="minorEastAsia" w:eastAsiaTheme="minorEastAsia"/>
                <w:b/>
                <w:color w:val="auto"/>
                <w:sz w:val="21"/>
                <w:szCs w:val="24"/>
              </w:rPr>
              <w:t>采购类型</w:t>
            </w:r>
          </w:p>
          <w:p>
            <w:pPr>
              <w:spacing w:line="240" w:lineRule="atLeast"/>
              <w:rPr>
                <w:rFonts w:asciiTheme="minorEastAsia" w:hAnsiTheme="minorEastAsia" w:eastAsiaTheme="minorEastAsia"/>
                <w:b/>
                <w:color w:val="auto"/>
                <w:sz w:val="21"/>
                <w:szCs w:val="24"/>
              </w:rPr>
            </w:pPr>
            <w:r>
              <w:rPr>
                <w:rFonts w:hint="eastAsia" w:asciiTheme="minorEastAsia" w:hAnsiTheme="minorEastAsia" w:eastAsiaTheme="minorEastAsia"/>
                <w:b/>
                <w:color w:val="auto"/>
                <w:sz w:val="21"/>
                <w:szCs w:val="24"/>
              </w:rPr>
              <w:t>成交金额（万元）</w:t>
            </w:r>
          </w:p>
        </w:tc>
        <w:tc>
          <w:tcPr>
            <w:tcW w:w="2273" w:type="dxa"/>
            <w:vAlign w:val="center"/>
          </w:tcPr>
          <w:p>
            <w:pPr>
              <w:spacing w:line="240" w:lineRule="atLeast"/>
              <w:jc w:val="center"/>
              <w:rPr>
                <w:rFonts w:asciiTheme="minorEastAsia" w:hAnsiTheme="minorEastAsia" w:eastAsiaTheme="minorEastAsia"/>
                <w:b/>
                <w:color w:val="auto"/>
                <w:sz w:val="21"/>
                <w:szCs w:val="24"/>
              </w:rPr>
            </w:pPr>
            <w:r>
              <w:rPr>
                <w:rFonts w:hint="eastAsia" w:asciiTheme="minorEastAsia" w:hAnsiTheme="minorEastAsia" w:eastAsiaTheme="minorEastAsia"/>
                <w:b/>
                <w:color w:val="auto"/>
                <w:sz w:val="21"/>
                <w:szCs w:val="24"/>
              </w:rPr>
              <w:t>货物采购</w:t>
            </w:r>
          </w:p>
        </w:tc>
        <w:tc>
          <w:tcPr>
            <w:tcW w:w="2273" w:type="dxa"/>
            <w:vAlign w:val="center"/>
          </w:tcPr>
          <w:p>
            <w:pPr>
              <w:spacing w:line="240" w:lineRule="atLeast"/>
              <w:jc w:val="center"/>
              <w:rPr>
                <w:rFonts w:asciiTheme="minorEastAsia" w:hAnsiTheme="minorEastAsia" w:eastAsiaTheme="minorEastAsia"/>
                <w:b/>
                <w:color w:val="auto"/>
                <w:sz w:val="21"/>
                <w:szCs w:val="24"/>
              </w:rPr>
            </w:pPr>
            <w:r>
              <w:rPr>
                <w:rFonts w:hint="eastAsia" w:asciiTheme="minorEastAsia" w:hAnsiTheme="minorEastAsia" w:eastAsiaTheme="minorEastAsia"/>
                <w:b/>
                <w:color w:val="auto"/>
                <w:sz w:val="21"/>
                <w:szCs w:val="24"/>
              </w:rPr>
              <w:t>服务采购</w:t>
            </w:r>
          </w:p>
        </w:tc>
        <w:tc>
          <w:tcPr>
            <w:tcW w:w="2272" w:type="dxa"/>
            <w:vAlign w:val="center"/>
          </w:tcPr>
          <w:p>
            <w:pPr>
              <w:spacing w:line="240" w:lineRule="atLeast"/>
              <w:jc w:val="center"/>
              <w:rPr>
                <w:rFonts w:asciiTheme="minorEastAsia" w:hAnsiTheme="minorEastAsia" w:eastAsiaTheme="minorEastAsia"/>
                <w:b/>
                <w:color w:val="auto"/>
                <w:sz w:val="21"/>
                <w:szCs w:val="24"/>
              </w:rPr>
            </w:pPr>
            <w:r>
              <w:rPr>
                <w:rFonts w:hint="eastAsia" w:asciiTheme="minorEastAsia" w:hAnsiTheme="minorEastAsia" w:eastAsiaTheme="minorEastAsia"/>
                <w:b/>
                <w:color w:val="auto"/>
                <w:sz w:val="21"/>
                <w:szCs w:val="24"/>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100以下</w:t>
            </w:r>
          </w:p>
        </w:tc>
        <w:tc>
          <w:tcPr>
            <w:tcW w:w="2273"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1.5%</w:t>
            </w:r>
          </w:p>
        </w:tc>
        <w:tc>
          <w:tcPr>
            <w:tcW w:w="2273"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1.5%</w:t>
            </w:r>
          </w:p>
        </w:tc>
        <w:tc>
          <w:tcPr>
            <w:tcW w:w="2272"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100-500</w:t>
            </w:r>
          </w:p>
        </w:tc>
        <w:tc>
          <w:tcPr>
            <w:tcW w:w="2273"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1.1%</w:t>
            </w:r>
          </w:p>
        </w:tc>
        <w:tc>
          <w:tcPr>
            <w:tcW w:w="2273"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0.8%</w:t>
            </w:r>
          </w:p>
        </w:tc>
        <w:tc>
          <w:tcPr>
            <w:tcW w:w="2272"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500-1000</w:t>
            </w:r>
          </w:p>
        </w:tc>
        <w:tc>
          <w:tcPr>
            <w:tcW w:w="2273"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0.8%</w:t>
            </w:r>
          </w:p>
        </w:tc>
        <w:tc>
          <w:tcPr>
            <w:tcW w:w="2273"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0.45%</w:t>
            </w:r>
          </w:p>
        </w:tc>
        <w:tc>
          <w:tcPr>
            <w:tcW w:w="2272"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1000-5000</w:t>
            </w:r>
          </w:p>
        </w:tc>
        <w:tc>
          <w:tcPr>
            <w:tcW w:w="2273"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0.5%</w:t>
            </w:r>
          </w:p>
        </w:tc>
        <w:tc>
          <w:tcPr>
            <w:tcW w:w="2273"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0.25%</w:t>
            </w:r>
          </w:p>
        </w:tc>
        <w:tc>
          <w:tcPr>
            <w:tcW w:w="2272"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5000-10000</w:t>
            </w:r>
          </w:p>
        </w:tc>
        <w:tc>
          <w:tcPr>
            <w:tcW w:w="2273"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0.25%</w:t>
            </w:r>
          </w:p>
        </w:tc>
        <w:tc>
          <w:tcPr>
            <w:tcW w:w="2273"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0.1%</w:t>
            </w:r>
          </w:p>
        </w:tc>
        <w:tc>
          <w:tcPr>
            <w:tcW w:w="2272"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10000-100000</w:t>
            </w:r>
          </w:p>
        </w:tc>
        <w:tc>
          <w:tcPr>
            <w:tcW w:w="2273"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0.05%</w:t>
            </w:r>
          </w:p>
        </w:tc>
        <w:tc>
          <w:tcPr>
            <w:tcW w:w="2273"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0.05%</w:t>
            </w:r>
          </w:p>
        </w:tc>
        <w:tc>
          <w:tcPr>
            <w:tcW w:w="2272" w:type="dxa"/>
            <w:vAlign w:val="center"/>
          </w:tcPr>
          <w:p>
            <w:pPr>
              <w:spacing w:line="240" w:lineRule="atLeast"/>
              <w:jc w:val="center"/>
              <w:rPr>
                <w:rFonts w:asciiTheme="minorEastAsia" w:hAnsiTheme="minorEastAsia" w:eastAsiaTheme="minorEastAsia"/>
                <w:color w:val="auto"/>
                <w:sz w:val="21"/>
                <w:szCs w:val="24"/>
              </w:rPr>
            </w:pPr>
            <w:r>
              <w:rPr>
                <w:rFonts w:hint="eastAsia" w:asciiTheme="minorEastAsia" w:hAnsiTheme="minorEastAsia" w:eastAsiaTheme="minorEastAsia"/>
                <w:color w:val="auto"/>
                <w:sz w:val="21"/>
                <w:szCs w:val="24"/>
              </w:rPr>
              <w:t>0.05%</w:t>
            </w:r>
          </w:p>
        </w:tc>
      </w:tr>
    </w:tbl>
    <w:p>
      <w:pPr>
        <w:spacing w:line="400" w:lineRule="exact"/>
        <w:ind w:firstLine="424" w:firstLineChars="200"/>
        <w:rPr>
          <w:rFonts w:hint="eastAsia" w:ascii="宋体" w:hAnsi="宋体" w:eastAsia="宋体" w:cs="宋体"/>
          <w:color w:val="auto"/>
          <w:sz w:val="24"/>
        </w:rPr>
      </w:pPr>
      <w:r>
        <w:rPr>
          <w:rFonts w:hint="eastAsia" w:ascii="宋体" w:hAnsi="宋体" w:eastAsia="宋体" w:cs="宋体"/>
          <w:color w:val="auto"/>
          <w:sz w:val="24"/>
        </w:rPr>
        <w:t>注：代理服务收费按差额定率累进法计算。</w:t>
      </w:r>
    </w:p>
    <w:p>
      <w:pPr>
        <w:spacing w:line="400" w:lineRule="exact"/>
        <w:ind w:firstLine="424" w:firstLineChars="200"/>
        <w:rPr>
          <w:rFonts w:hint="eastAsia" w:ascii="宋体" w:hAnsi="宋体" w:eastAsia="宋体" w:cs="宋体"/>
          <w:color w:val="auto"/>
          <w:sz w:val="24"/>
        </w:rPr>
      </w:pPr>
      <w:r>
        <w:rPr>
          <w:rFonts w:hint="eastAsia" w:ascii="宋体" w:hAnsi="宋体" w:eastAsia="宋体" w:cs="宋体"/>
          <w:color w:val="auto"/>
          <w:sz w:val="24"/>
        </w:rPr>
        <w:t>（二）采购代理服务费缴纳账号：</w:t>
      </w:r>
    </w:p>
    <w:p>
      <w:pPr>
        <w:spacing w:line="400" w:lineRule="exact"/>
        <w:ind w:firstLine="424" w:firstLineChars="200"/>
        <w:rPr>
          <w:rFonts w:hint="eastAsia" w:ascii="宋体" w:hAnsi="宋体" w:eastAsia="宋体" w:cs="宋体"/>
          <w:color w:val="auto"/>
          <w:sz w:val="24"/>
        </w:rPr>
      </w:pPr>
      <w:r>
        <w:rPr>
          <w:rFonts w:hint="eastAsia" w:ascii="宋体" w:hAnsi="宋体" w:eastAsia="宋体" w:cs="宋体"/>
          <w:color w:val="auto"/>
          <w:sz w:val="24"/>
        </w:rPr>
        <w:t>户  名：同致诚工程咨询有限公司</w:t>
      </w:r>
    </w:p>
    <w:p>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开户行：招商银行重庆分行营业部</w:t>
      </w:r>
    </w:p>
    <w:p>
      <w:pPr>
        <w:snapToGrid w:val="0"/>
        <w:spacing w:line="400" w:lineRule="exact"/>
        <w:ind w:firstLine="424"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账  号：123905532310301</w:t>
      </w:r>
    </w:p>
    <w:p>
      <w:pPr>
        <w:pStyle w:val="5"/>
        <w:spacing w:before="0" w:after="0" w:line="440" w:lineRule="exact"/>
        <w:rPr>
          <w:rFonts w:hint="eastAsia" w:ascii="宋体" w:hAnsi="宋体" w:eastAsia="宋体" w:cs="宋体"/>
          <w:bCs/>
          <w:color w:val="auto"/>
          <w:sz w:val="28"/>
          <w:szCs w:val="28"/>
          <w:highlight w:val="none"/>
        </w:rPr>
      </w:pPr>
      <w:bookmarkStart w:id="136" w:name="_Toc14735"/>
      <w:r>
        <w:rPr>
          <w:rFonts w:hint="eastAsia" w:ascii="宋体" w:hAnsi="宋体" w:eastAsia="宋体" w:cs="宋体"/>
          <w:bCs/>
          <w:color w:val="auto"/>
          <w:sz w:val="28"/>
          <w:szCs w:val="28"/>
          <w:highlight w:val="none"/>
        </w:rPr>
        <w:t>十、交易服务费</w:t>
      </w:r>
      <w:bookmarkEnd w:id="131"/>
      <w:bookmarkEnd w:id="132"/>
      <w:bookmarkEnd w:id="133"/>
      <w:bookmarkEnd w:id="134"/>
      <w:bookmarkEnd w:id="135"/>
      <w:bookmarkEnd w:id="136"/>
    </w:p>
    <w:p>
      <w:pPr>
        <w:spacing w:line="400" w:lineRule="exact"/>
        <w:ind w:firstLine="424" w:firstLineChars="200"/>
        <w:rPr>
          <w:rFonts w:hint="eastAsia" w:ascii="宋体" w:hAnsi="宋体" w:eastAsia="宋体" w:cs="宋体"/>
          <w:color w:val="auto"/>
          <w:sz w:val="24"/>
        </w:rPr>
      </w:pPr>
      <w:r>
        <w:rPr>
          <w:rFonts w:hint="eastAsia" w:ascii="宋体" w:hAnsi="宋体" w:eastAsia="宋体" w:cs="宋体"/>
          <w:color w:val="auto"/>
          <w:sz w:val="24"/>
        </w:rPr>
        <w:t>投标人中标后向“重庆联合产权交易所集团股份有限公司”缴纳交易服务费，服务费的收取标准按渝价[2018]54号执行。</w:t>
      </w:r>
    </w:p>
    <w:p>
      <w:pPr>
        <w:spacing w:line="400" w:lineRule="exact"/>
        <w:ind w:firstLine="424" w:firstLineChars="200"/>
        <w:rPr>
          <w:rFonts w:hint="eastAsia" w:ascii="宋体" w:hAnsi="宋体" w:eastAsia="宋体" w:cs="宋体"/>
          <w:color w:val="auto"/>
          <w:sz w:val="24"/>
        </w:rPr>
      </w:pPr>
      <w:r>
        <w:rPr>
          <w:rFonts w:hint="eastAsia" w:ascii="宋体" w:hAnsi="宋体" w:eastAsia="宋体" w:cs="宋体"/>
          <w:color w:val="auto"/>
          <w:sz w:val="24"/>
        </w:rPr>
        <w:t>重庆市公共资源交易中心咨询电话：023-63625633</w:t>
      </w:r>
    </w:p>
    <w:p>
      <w:pPr>
        <w:pStyle w:val="60"/>
        <w:spacing w:after="0"/>
        <w:rPr>
          <w:rFonts w:hint="eastAsia" w:ascii="宋体" w:hAnsi="宋体" w:eastAsia="宋体" w:cs="宋体"/>
          <w:color w:val="auto"/>
          <w:highlight w:val="none"/>
        </w:rPr>
      </w:pPr>
    </w:p>
    <w:p>
      <w:pPr>
        <w:pStyle w:val="60"/>
        <w:spacing w:after="0"/>
        <w:rPr>
          <w:rFonts w:hint="eastAsia" w:ascii="宋体" w:hAnsi="宋体" w:eastAsia="宋体" w:cs="宋体"/>
          <w:color w:val="auto"/>
          <w:highlight w:val="none"/>
        </w:rPr>
        <w:sectPr>
          <w:pgSz w:w="11907" w:h="16840"/>
          <w:pgMar w:top="1522" w:right="1520" w:bottom="1140" w:left="1327" w:header="964" w:footer="992" w:gutter="0"/>
          <w:pgNumType w:fmt="decimal"/>
          <w:cols w:space="720" w:num="1"/>
          <w:docGrid w:type="linesAndChars" w:linePitch="380" w:charSpace="-5735"/>
        </w:sectPr>
      </w:pPr>
    </w:p>
    <w:bookmarkEnd w:id="63"/>
    <w:bookmarkEnd w:id="64"/>
    <w:p>
      <w:pPr>
        <w:pStyle w:val="4"/>
        <w:numPr>
          <w:ilvl w:val="0"/>
          <w:numId w:val="4"/>
        </w:numPr>
        <w:spacing w:before="0" w:after="0" w:line="600" w:lineRule="exact"/>
        <w:jc w:val="center"/>
        <w:rPr>
          <w:rFonts w:cs="方正仿宋_GBK"/>
          <w:bCs/>
          <w:color w:val="auto"/>
          <w:sz w:val="36"/>
          <w:szCs w:val="30"/>
          <w:highlight w:val="none"/>
        </w:rPr>
      </w:pPr>
      <w:bookmarkStart w:id="137" w:name="_Toc349562392"/>
      <w:bookmarkStart w:id="138" w:name="_Toc446944095"/>
      <w:bookmarkStart w:id="139" w:name="_Toc16117"/>
      <w:bookmarkStart w:id="140" w:name="_Toc7421904"/>
      <w:bookmarkStart w:id="141" w:name="_Toc384905319"/>
      <w:bookmarkStart w:id="142" w:name="_Toc384905081"/>
      <w:bookmarkStart w:id="143" w:name="_Toc31186"/>
      <w:r>
        <w:rPr>
          <w:rFonts w:hint="eastAsia" w:cs="方正仿宋_GBK"/>
          <w:bCs/>
          <w:color w:val="auto"/>
          <w:sz w:val="36"/>
          <w:szCs w:val="30"/>
          <w:highlight w:val="none"/>
        </w:rPr>
        <w:t>合同主要条款</w:t>
      </w:r>
      <w:bookmarkEnd w:id="137"/>
      <w:bookmarkEnd w:id="138"/>
      <w:bookmarkEnd w:id="139"/>
      <w:bookmarkEnd w:id="140"/>
      <w:bookmarkEnd w:id="141"/>
      <w:bookmarkEnd w:id="142"/>
      <w:r>
        <w:rPr>
          <w:rFonts w:hint="eastAsia" w:cs="方正仿宋_GBK"/>
          <w:bCs/>
          <w:color w:val="auto"/>
          <w:sz w:val="36"/>
          <w:szCs w:val="30"/>
          <w:highlight w:val="none"/>
        </w:rPr>
        <w:t>和格式合同（样本）</w:t>
      </w:r>
      <w:bookmarkEnd w:id="143"/>
    </w:p>
    <w:p>
      <w:pPr>
        <w:jc w:val="both"/>
        <w:rPr>
          <w:rFonts w:ascii="宋体" w:hAnsi="宋体" w:eastAsia="宋体" w:cs="方正仿宋_GBK"/>
          <w:b/>
          <w:color w:val="auto"/>
          <w:sz w:val="32"/>
          <w:szCs w:val="32"/>
          <w:highlight w:val="none"/>
        </w:rPr>
      </w:pPr>
      <w:bookmarkStart w:id="144" w:name="_Toc193"/>
    </w:p>
    <w:bookmarkEnd w:id="144"/>
    <w:p>
      <w:pPr>
        <w:spacing w:line="360" w:lineRule="auto"/>
        <w:jc w:val="center"/>
        <w:rPr>
          <w:rStyle w:val="498"/>
          <w:rFonts w:hint="eastAsia" w:ascii="宋体" w:hAnsi="宋体" w:eastAsia="宋体" w:cs="宋体"/>
          <w:b/>
          <w:color w:val="auto"/>
          <w:sz w:val="24"/>
          <w:szCs w:val="24"/>
        </w:rPr>
      </w:pPr>
      <w:bookmarkStart w:id="145" w:name="_Toc296890982"/>
      <w:bookmarkStart w:id="146" w:name="_Toc296503025"/>
      <w:bookmarkStart w:id="147" w:name="_Toc351203632"/>
      <w:bookmarkStart w:id="148" w:name="_Toc351203480"/>
      <w:bookmarkStart w:id="149" w:name="_Toc27434"/>
      <w:bookmarkStart w:id="150" w:name="_Toc6248"/>
      <w:bookmarkStart w:id="151" w:name="_Toc7421905"/>
    </w:p>
    <w:p>
      <w:pPr>
        <w:spacing w:line="360" w:lineRule="auto"/>
        <w:jc w:val="center"/>
        <w:rPr>
          <w:rStyle w:val="498"/>
          <w:rFonts w:hint="eastAsia" w:ascii="宋体" w:hAnsi="宋体" w:eastAsia="宋体" w:cs="宋体"/>
          <w:b/>
          <w:color w:val="auto"/>
          <w:sz w:val="24"/>
          <w:szCs w:val="24"/>
        </w:rPr>
      </w:pPr>
    </w:p>
    <w:p>
      <w:pPr>
        <w:spacing w:line="360" w:lineRule="auto"/>
        <w:jc w:val="center"/>
        <w:rPr>
          <w:rStyle w:val="498"/>
          <w:rFonts w:hint="eastAsia" w:ascii="宋体" w:hAnsi="宋体" w:eastAsia="宋体" w:cs="宋体"/>
          <w:b/>
          <w:color w:val="auto"/>
          <w:sz w:val="24"/>
          <w:szCs w:val="24"/>
        </w:rPr>
      </w:pPr>
    </w:p>
    <w:p>
      <w:pPr>
        <w:spacing w:line="360" w:lineRule="auto"/>
        <w:jc w:val="center"/>
        <w:rPr>
          <w:rStyle w:val="498"/>
          <w:rFonts w:hint="eastAsia" w:ascii="宋体" w:hAnsi="宋体" w:eastAsia="宋体" w:cs="宋体"/>
          <w:b/>
          <w:color w:val="auto"/>
          <w:sz w:val="40"/>
          <w:szCs w:val="40"/>
        </w:rPr>
      </w:pPr>
    </w:p>
    <w:p>
      <w:pPr>
        <w:spacing w:line="360" w:lineRule="auto"/>
        <w:jc w:val="center"/>
        <w:rPr>
          <w:rStyle w:val="498"/>
          <w:rFonts w:hint="eastAsia" w:ascii="宋体" w:hAnsi="宋体" w:eastAsia="宋体" w:cs="宋体"/>
          <w:color w:val="auto"/>
          <w:sz w:val="56"/>
          <w:szCs w:val="56"/>
          <w:lang w:eastAsia="zh-CN"/>
        </w:rPr>
      </w:pPr>
      <w:r>
        <w:rPr>
          <w:rStyle w:val="498"/>
          <w:rFonts w:hint="eastAsia" w:ascii="宋体" w:hAnsi="宋体" w:eastAsia="宋体" w:cs="宋体"/>
          <w:color w:val="auto"/>
          <w:sz w:val="56"/>
          <w:szCs w:val="56"/>
        </w:rPr>
        <w:t>建设工程施工合同</w:t>
      </w: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spacing w:line="360" w:lineRule="auto"/>
        <w:jc w:val="center"/>
        <w:rPr>
          <w:rStyle w:val="498"/>
          <w:rFonts w:hint="eastAsia" w:ascii="宋体" w:hAnsi="宋体" w:eastAsia="宋体" w:cs="宋体"/>
          <w:b/>
          <w:color w:val="auto"/>
          <w:sz w:val="24"/>
          <w:szCs w:val="24"/>
        </w:rPr>
      </w:pPr>
    </w:p>
    <w:p>
      <w:pPr>
        <w:spacing w:line="360" w:lineRule="auto"/>
        <w:jc w:val="center"/>
        <w:rPr>
          <w:rStyle w:val="498"/>
          <w:rFonts w:hint="eastAsia" w:ascii="宋体" w:hAnsi="宋体" w:eastAsia="宋体" w:cs="宋体"/>
          <w:b/>
          <w:color w:val="auto"/>
          <w:sz w:val="24"/>
          <w:szCs w:val="24"/>
        </w:rPr>
      </w:pPr>
    </w:p>
    <w:p>
      <w:pPr>
        <w:spacing w:line="360" w:lineRule="auto"/>
        <w:ind w:firstLine="1285" w:firstLineChars="400"/>
        <w:rPr>
          <w:rFonts w:hint="eastAsia" w:ascii="宋体" w:hAnsi="宋体" w:eastAsia="宋体" w:cs="宋体"/>
          <w:b/>
          <w:color w:val="auto"/>
          <w:sz w:val="32"/>
          <w:szCs w:val="32"/>
        </w:rPr>
      </w:pPr>
      <w:r>
        <w:rPr>
          <w:rFonts w:hint="eastAsia" w:ascii="宋体" w:hAnsi="宋体" w:eastAsia="宋体" w:cs="宋体"/>
          <w:b/>
          <w:color w:val="auto"/>
          <w:sz w:val="32"/>
          <w:szCs w:val="32"/>
          <w:lang w:eastAsia="zh-CN"/>
        </w:rPr>
        <w:t>发包</w:t>
      </w:r>
      <w:r>
        <w:rPr>
          <w:rFonts w:hint="eastAsia" w:ascii="宋体" w:hAnsi="宋体" w:eastAsia="宋体" w:cs="宋体"/>
          <w:b/>
          <w:color w:val="auto"/>
          <w:sz w:val="32"/>
          <w:szCs w:val="32"/>
        </w:rPr>
        <w:t>人：重庆市体育设施建设维护中心</w:t>
      </w:r>
    </w:p>
    <w:p>
      <w:pPr>
        <w:spacing w:line="360" w:lineRule="auto"/>
        <w:ind w:firstLine="1285" w:firstLineChars="400"/>
        <w:rPr>
          <w:rFonts w:hint="eastAsia" w:ascii="宋体" w:hAnsi="宋体" w:eastAsia="宋体" w:cs="宋体"/>
          <w:b/>
          <w:color w:val="auto"/>
          <w:sz w:val="40"/>
          <w:szCs w:val="40"/>
        </w:rPr>
      </w:pPr>
      <w:r>
        <w:rPr>
          <w:rFonts w:hint="eastAsia" w:ascii="宋体" w:hAnsi="宋体" w:eastAsia="宋体" w:cs="宋体"/>
          <w:b/>
          <w:color w:val="auto"/>
          <w:sz w:val="32"/>
          <w:szCs w:val="32"/>
          <w:lang w:eastAsia="zh-CN"/>
        </w:rPr>
        <w:t>承包人</w:t>
      </w:r>
      <w:r>
        <w:rPr>
          <w:rFonts w:hint="eastAsia" w:ascii="宋体" w:hAnsi="宋体" w:eastAsia="宋体" w:cs="宋体"/>
          <w:b/>
          <w:color w:val="auto"/>
          <w:sz w:val="32"/>
          <w:szCs w:val="32"/>
        </w:rPr>
        <w:t>：</w:t>
      </w:r>
    </w:p>
    <w:p>
      <w:pPr>
        <w:pStyle w:val="40"/>
        <w:rPr>
          <w:rFonts w:hint="eastAsia" w:ascii="宋体" w:hAnsi="宋体" w:eastAsia="宋体" w:cs="宋体"/>
          <w:b/>
          <w:color w:val="auto"/>
          <w:sz w:val="24"/>
          <w:szCs w:val="24"/>
        </w:rPr>
      </w:pPr>
    </w:p>
    <w:p>
      <w:pPr>
        <w:pStyle w:val="40"/>
        <w:rPr>
          <w:rFonts w:hint="eastAsia" w:ascii="宋体" w:hAnsi="宋体" w:eastAsia="宋体" w:cs="宋体"/>
          <w:b/>
          <w:color w:val="auto"/>
          <w:sz w:val="24"/>
          <w:szCs w:val="24"/>
        </w:rPr>
      </w:pPr>
    </w:p>
    <w:p>
      <w:pPr>
        <w:pStyle w:val="40"/>
        <w:jc w:val="center"/>
        <w:rPr>
          <w:rFonts w:hint="eastAsia" w:ascii="宋体" w:hAnsi="宋体" w:eastAsia="宋体" w:cs="宋体"/>
          <w:b/>
          <w:color w:val="auto"/>
          <w:sz w:val="24"/>
          <w:szCs w:val="24"/>
        </w:rPr>
      </w:pPr>
    </w:p>
    <w:p>
      <w:pPr>
        <w:pStyle w:val="40"/>
        <w:jc w:val="center"/>
        <w:rPr>
          <w:rFonts w:hint="eastAsia" w:ascii="宋体" w:hAnsi="宋体" w:eastAsia="宋体" w:cs="宋体"/>
          <w:color w:val="auto"/>
          <w:sz w:val="24"/>
          <w:szCs w:val="24"/>
        </w:rPr>
      </w:pPr>
      <w:r>
        <w:rPr>
          <w:rFonts w:hint="eastAsia" w:ascii="宋体" w:hAnsi="宋体" w:eastAsia="宋体" w:cs="宋体"/>
          <w:b/>
          <w:color w:val="auto"/>
          <w:sz w:val="24"/>
          <w:szCs w:val="24"/>
        </w:rPr>
        <w:t>日期：  年  月  日</w:t>
      </w:r>
    </w:p>
    <w:p>
      <w:pPr>
        <w:spacing w:line="360" w:lineRule="auto"/>
        <w:rPr>
          <w:rStyle w:val="498"/>
          <w:rFonts w:hint="eastAsia" w:ascii="宋体" w:hAnsi="宋体" w:eastAsia="宋体" w:cs="宋体"/>
          <w:b/>
          <w:color w:val="auto"/>
          <w:sz w:val="24"/>
          <w:szCs w:val="24"/>
        </w:rPr>
      </w:pPr>
    </w:p>
    <w:p>
      <w:pPr>
        <w:spacing w:line="360" w:lineRule="auto"/>
        <w:rPr>
          <w:rStyle w:val="498"/>
          <w:rFonts w:hint="eastAsia" w:ascii="宋体" w:hAnsi="宋体" w:eastAsia="宋体" w:cs="宋体"/>
          <w:b/>
          <w:color w:val="auto"/>
          <w:sz w:val="24"/>
          <w:szCs w:val="24"/>
        </w:rPr>
      </w:pPr>
    </w:p>
    <w:p>
      <w:pPr>
        <w:spacing w:line="360" w:lineRule="auto"/>
        <w:jc w:val="center"/>
        <w:rPr>
          <w:rStyle w:val="498"/>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3960495</wp:posOffset>
                </wp:positionH>
                <wp:positionV relativeFrom="paragraph">
                  <wp:posOffset>186690</wp:posOffset>
                </wp:positionV>
                <wp:extent cx="997585" cy="457200"/>
                <wp:effectExtent l="5080" t="4445" r="6985" b="14605"/>
                <wp:wrapNone/>
                <wp:docPr id="6" name="文本框 6"/>
                <wp:cNvGraphicFramePr/>
                <a:graphic xmlns:a="http://schemas.openxmlformats.org/drawingml/2006/main">
                  <a:graphicData uri="http://schemas.microsoft.com/office/word/2010/wordprocessingShape">
                    <wps:wsp>
                      <wps:cNvSpPr txBox="1"/>
                      <wps:spPr>
                        <a:xfrm>
                          <a:off x="0" y="0"/>
                          <a:ext cx="997585" cy="457200"/>
                        </a:xfrm>
                        <a:prstGeom prst="rect">
                          <a:avLst/>
                        </a:prstGeom>
                        <a:noFill/>
                        <a:ln w="9525" cap="flat" cmpd="sng">
                          <a:solidFill>
                            <a:srgbClr val="FFFFFF"/>
                          </a:solidFill>
                          <a:prstDash val="solid"/>
                          <a:miter/>
                          <a:headEnd type="none" w="med" len="med"/>
                          <a:tailEnd type="none" w="med" len="med"/>
                        </a:ln>
                        <a:effectLst/>
                      </wps:spPr>
                      <wps:txbx>
                        <w:txbxContent>
                          <w:p>
                            <w:pPr>
                              <w:ind w:firstLine="315" w:firstLineChars="98"/>
                              <w:rPr>
                                <w:rStyle w:val="498"/>
                                <w:b/>
                                <w:bCs/>
                                <w:sz w:val="32"/>
                              </w:rPr>
                            </w:pPr>
                          </w:p>
                          <w:p>
                            <w:pPr>
                              <w:rPr>
                                <w:rStyle w:val="498"/>
                              </w:rPr>
                            </w:pPr>
                          </w:p>
                        </w:txbxContent>
                      </wps:txbx>
                      <wps:bodyPr upright="1"/>
                    </wps:wsp>
                  </a:graphicData>
                </a:graphic>
              </wp:anchor>
            </w:drawing>
          </mc:Choice>
          <mc:Fallback>
            <w:pict>
              <v:shape id="_x0000_s1026" o:spid="_x0000_s1026" o:spt="202" type="#_x0000_t202" style="position:absolute;left:0pt;margin-left:311.85pt;margin-top:14.7pt;height:36pt;width:78.55pt;z-index:251667456;mso-width-relative:page;mso-height-relative:page;" filled="f" stroked="t" coordsize="21600,21600" o:gfxdata="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7dCnNkAAAAKAQAADwAAAAAAAAABACAAAAAi&#10;AAAAZHJzL2Rvd25yZXYueG1sUEsBAhQAFAAAAAgAh07iQJf8QCAJAgAAGgQAAA4AAAAAAAAAAQAg&#10;AAAAKAEAAGRycy9lMm9Eb2MueG1sUEsFBgAAAAAGAAYAWQEAAKMFAAAAAA==&#10;">
                <v:fill on="f" focussize="0,0"/>
                <v:stroke color="#FFFFFF" joinstyle="miter"/>
                <v:imagedata o:title=""/>
                <o:lock v:ext="edit" aspectratio="f"/>
                <v:textbox>
                  <w:txbxContent>
                    <w:p>
                      <w:pPr>
                        <w:ind w:firstLine="315" w:firstLineChars="98"/>
                        <w:rPr>
                          <w:rStyle w:val="498"/>
                          <w:b/>
                          <w:bCs/>
                          <w:sz w:val="32"/>
                        </w:rPr>
                      </w:pPr>
                    </w:p>
                    <w:p>
                      <w:pPr>
                        <w:rPr>
                          <w:rStyle w:val="498"/>
                        </w:rPr>
                      </w:pPr>
                    </w:p>
                  </w:txbxContent>
                </v:textbox>
              </v:shape>
            </w:pict>
          </mc:Fallback>
        </mc:AlternateContent>
      </w:r>
      <w:r>
        <w:rPr>
          <w:rStyle w:val="498"/>
          <w:rFonts w:hint="eastAsia" w:ascii="宋体" w:hAnsi="宋体" w:eastAsia="宋体" w:cs="宋体"/>
          <w:color w:val="auto"/>
          <w:sz w:val="24"/>
          <w:szCs w:val="24"/>
        </w:rPr>
        <w:t xml:space="preserve"> </w:t>
      </w:r>
    </w:p>
    <w:p>
      <w:pPr>
        <w:spacing w:line="360" w:lineRule="auto"/>
        <w:jc w:val="center"/>
        <w:rPr>
          <w:rStyle w:val="498"/>
          <w:rFonts w:hint="eastAsia" w:ascii="宋体" w:hAnsi="宋体" w:eastAsia="宋体" w:cs="宋体"/>
          <w:color w:val="auto"/>
          <w:sz w:val="24"/>
          <w:szCs w:val="24"/>
        </w:rPr>
      </w:pPr>
    </w:p>
    <w:p>
      <w:pPr>
        <w:spacing w:line="360" w:lineRule="auto"/>
        <w:jc w:val="center"/>
        <w:rPr>
          <w:rStyle w:val="498"/>
          <w:rFonts w:hint="eastAsia" w:ascii="宋体" w:hAnsi="宋体" w:eastAsia="宋体" w:cs="宋体"/>
          <w:color w:val="auto"/>
          <w:sz w:val="24"/>
          <w:szCs w:val="24"/>
        </w:rPr>
      </w:pPr>
    </w:p>
    <w:p>
      <w:pPr>
        <w:spacing w:line="360" w:lineRule="auto"/>
        <w:jc w:val="center"/>
        <w:rPr>
          <w:rStyle w:val="498"/>
          <w:rFonts w:hint="eastAsia" w:ascii="宋体" w:hAnsi="宋体" w:eastAsia="宋体" w:cs="宋体"/>
          <w:color w:val="auto"/>
          <w:sz w:val="24"/>
          <w:szCs w:val="24"/>
        </w:rPr>
      </w:pPr>
    </w:p>
    <w:p>
      <w:pPr>
        <w:pStyle w:val="2"/>
        <w:rPr>
          <w:rStyle w:val="498"/>
          <w:rFonts w:hint="eastAsia" w:ascii="宋体" w:hAnsi="宋体" w:eastAsia="宋体" w:cs="宋体"/>
          <w:color w:val="auto"/>
          <w:sz w:val="24"/>
          <w:szCs w:val="24"/>
        </w:rPr>
      </w:pPr>
    </w:p>
    <w:p>
      <w:pPr>
        <w:rPr>
          <w:rStyle w:val="498"/>
          <w:rFonts w:hint="eastAsia" w:ascii="宋体" w:hAnsi="宋体" w:eastAsia="宋体" w:cs="宋体"/>
          <w:color w:val="auto"/>
          <w:sz w:val="24"/>
          <w:szCs w:val="24"/>
        </w:rPr>
      </w:pPr>
    </w:p>
    <w:p>
      <w:pPr>
        <w:pStyle w:val="2"/>
        <w:rPr>
          <w:rStyle w:val="498"/>
          <w:rFonts w:hint="eastAsia" w:ascii="宋体" w:hAnsi="宋体" w:eastAsia="宋体" w:cs="宋体"/>
          <w:color w:val="auto"/>
          <w:sz w:val="24"/>
          <w:szCs w:val="24"/>
        </w:rPr>
      </w:pPr>
    </w:p>
    <w:p>
      <w:pPr>
        <w:rPr>
          <w:rStyle w:val="498"/>
          <w:rFonts w:hint="eastAsia" w:ascii="宋体" w:hAnsi="宋体" w:eastAsia="宋体" w:cs="宋体"/>
          <w:color w:val="auto"/>
          <w:sz w:val="24"/>
          <w:szCs w:val="24"/>
        </w:rPr>
      </w:pPr>
    </w:p>
    <w:p>
      <w:pPr>
        <w:pStyle w:val="2"/>
        <w:rPr>
          <w:rStyle w:val="498"/>
          <w:rFonts w:hint="eastAsia" w:ascii="宋体" w:hAnsi="宋体" w:eastAsia="宋体" w:cs="宋体"/>
          <w:color w:val="auto"/>
          <w:sz w:val="24"/>
          <w:szCs w:val="24"/>
        </w:rPr>
      </w:pPr>
    </w:p>
    <w:bookmarkEnd w:id="145"/>
    <w:bookmarkEnd w:id="146"/>
    <w:bookmarkEnd w:id="147"/>
    <w:bookmarkEnd w:id="148"/>
    <w:p>
      <w:pPr>
        <w:spacing w:line="360" w:lineRule="auto"/>
        <w:jc w:val="center"/>
        <w:rPr>
          <w:rStyle w:val="499"/>
          <w:rFonts w:hint="eastAsia" w:ascii="宋体" w:hAnsi="宋体" w:eastAsia="宋体" w:cs="宋体"/>
          <w:color w:val="auto"/>
          <w:sz w:val="24"/>
          <w:szCs w:val="24"/>
        </w:rPr>
      </w:pPr>
      <w:r>
        <w:rPr>
          <w:rStyle w:val="499"/>
          <w:rFonts w:hint="eastAsia" w:ascii="宋体" w:hAnsi="宋体" w:eastAsia="宋体" w:cs="宋体"/>
          <w:color w:val="auto"/>
          <w:sz w:val="24"/>
          <w:szCs w:val="24"/>
        </w:rPr>
        <w:t>第一部分 合同协议书</w:t>
      </w:r>
    </w:p>
    <w:p>
      <w:pPr>
        <w:spacing w:line="360" w:lineRule="auto"/>
        <w:ind w:firstLine="964" w:firstLineChars="400"/>
        <w:rPr>
          <w:rStyle w:val="498"/>
          <w:rFonts w:hint="eastAsia" w:ascii="宋体" w:hAnsi="宋体" w:eastAsia="宋体" w:cs="宋体"/>
          <w:b/>
          <w:color w:val="auto"/>
          <w:sz w:val="24"/>
          <w:szCs w:val="24"/>
        </w:rPr>
      </w:pPr>
    </w:p>
    <w:p>
      <w:pPr>
        <w:spacing w:line="360" w:lineRule="auto"/>
        <w:rPr>
          <w:rStyle w:val="498"/>
          <w:rFonts w:hint="eastAsia" w:ascii="宋体" w:hAnsi="宋体" w:eastAsia="宋体" w:cs="宋体"/>
          <w:b/>
          <w:color w:val="auto"/>
          <w:sz w:val="24"/>
          <w:szCs w:val="24"/>
          <w:u w:val="single"/>
        </w:rPr>
      </w:pPr>
      <w:r>
        <w:rPr>
          <w:rStyle w:val="498"/>
          <w:rFonts w:hint="eastAsia" w:ascii="宋体" w:hAnsi="宋体" w:eastAsia="宋体" w:cs="宋体"/>
          <w:b/>
          <w:color w:val="auto"/>
          <w:sz w:val="24"/>
          <w:szCs w:val="24"/>
          <w:lang w:eastAsia="zh-CN"/>
        </w:rPr>
        <w:t>发包人</w:t>
      </w:r>
      <w:r>
        <w:rPr>
          <w:rStyle w:val="498"/>
          <w:rFonts w:hint="eastAsia" w:ascii="宋体" w:hAnsi="宋体" w:eastAsia="宋体" w:cs="宋体"/>
          <w:b/>
          <w:color w:val="auto"/>
          <w:sz w:val="24"/>
          <w:szCs w:val="24"/>
        </w:rPr>
        <w:t>（全称）：</w:t>
      </w:r>
      <w:r>
        <w:rPr>
          <w:rStyle w:val="498"/>
          <w:rFonts w:hint="eastAsia" w:ascii="宋体" w:hAnsi="宋体" w:eastAsia="宋体" w:cs="宋体"/>
          <w:b/>
          <w:color w:val="auto"/>
          <w:sz w:val="24"/>
          <w:szCs w:val="24"/>
          <w:u w:val="single"/>
        </w:rPr>
        <w:t xml:space="preserve">  重庆市体育设施建设维护中心                                   </w:t>
      </w:r>
    </w:p>
    <w:p>
      <w:pPr>
        <w:spacing w:line="360" w:lineRule="auto"/>
        <w:rPr>
          <w:rStyle w:val="498"/>
          <w:rFonts w:hint="eastAsia" w:ascii="宋体" w:hAnsi="宋体" w:eastAsia="宋体" w:cs="宋体"/>
          <w:b/>
          <w:color w:val="auto"/>
          <w:sz w:val="24"/>
          <w:szCs w:val="24"/>
          <w:u w:val="single"/>
        </w:rPr>
      </w:pPr>
      <w:r>
        <w:rPr>
          <w:rStyle w:val="498"/>
          <w:rFonts w:hint="eastAsia" w:ascii="宋体" w:hAnsi="宋体" w:eastAsia="宋体" w:cs="宋体"/>
          <w:b/>
          <w:color w:val="auto"/>
          <w:sz w:val="24"/>
          <w:szCs w:val="24"/>
          <w:lang w:eastAsia="zh-CN"/>
        </w:rPr>
        <w:t>承包人</w:t>
      </w:r>
      <w:r>
        <w:rPr>
          <w:rStyle w:val="498"/>
          <w:rFonts w:hint="eastAsia" w:ascii="宋体" w:hAnsi="宋体" w:eastAsia="宋体" w:cs="宋体"/>
          <w:b/>
          <w:color w:val="auto"/>
          <w:sz w:val="24"/>
          <w:szCs w:val="24"/>
        </w:rPr>
        <w:t>（全称）：</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b/>
          <w:color w:val="auto"/>
          <w:sz w:val="24"/>
          <w:szCs w:val="24"/>
          <w:u w:val="single"/>
          <w:lang w:val="en-US" w:eastAsia="zh-CN"/>
        </w:rPr>
        <w:t xml:space="preserve">             </w:t>
      </w:r>
      <w:r>
        <w:rPr>
          <w:rStyle w:val="498"/>
          <w:rFonts w:hint="eastAsia" w:ascii="宋体" w:hAnsi="宋体" w:eastAsia="宋体" w:cs="宋体"/>
          <w:b/>
          <w:color w:val="auto"/>
          <w:sz w:val="24"/>
          <w:szCs w:val="24"/>
          <w:u w:val="single"/>
        </w:rPr>
        <w:t xml:space="preserve">           </w:t>
      </w:r>
    </w:p>
    <w:p>
      <w:pPr>
        <w:snapToGrid w:val="0"/>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根据《中华人民共和国民法典》、《中华人民共和国建筑法》及有关法律规定，遵循平等、自愿、公平和诚实信用的原则，双方就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施工及有关事项协商一致，共同达成如下协议：</w:t>
      </w:r>
    </w:p>
    <w:p>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 xml:space="preserve"> 一、工程概况</w:t>
      </w:r>
    </w:p>
    <w:p>
      <w:pPr>
        <w:spacing w:line="360" w:lineRule="auto"/>
        <w:ind w:firstLine="470" w:firstLineChars="196"/>
        <w:jc w:val="left"/>
        <w:rPr>
          <w:rStyle w:val="498"/>
          <w:rFonts w:hint="eastAsia" w:ascii="宋体" w:hAnsi="宋体" w:eastAsia="宋体" w:cs="宋体"/>
          <w:color w:val="auto"/>
          <w:sz w:val="24"/>
          <w:szCs w:val="24"/>
          <w:u w:val="single"/>
        </w:rPr>
      </w:pPr>
      <w:r>
        <w:rPr>
          <w:rStyle w:val="498"/>
          <w:rFonts w:hint="eastAsia" w:ascii="宋体" w:hAnsi="宋体" w:eastAsia="宋体" w:cs="宋体"/>
          <w:bCs/>
          <w:color w:val="auto"/>
          <w:sz w:val="24"/>
          <w:szCs w:val="24"/>
        </w:rPr>
        <w:t>1.工程名称</w:t>
      </w:r>
      <w:r>
        <w:rPr>
          <w:rStyle w:val="498"/>
          <w:rFonts w:hint="eastAsia" w:ascii="宋体" w:hAnsi="宋体" w:eastAsia="宋体" w:cs="宋体"/>
          <w:color w:val="auto"/>
          <w:sz w:val="24"/>
          <w:szCs w:val="24"/>
        </w:rPr>
        <w:t>：</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b/>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w:t>
      </w:r>
    </w:p>
    <w:p>
      <w:pPr>
        <w:tabs>
          <w:tab w:val="left" w:pos="2580"/>
          <w:tab w:val="left" w:pos="3280"/>
          <w:tab w:val="left" w:pos="6120"/>
          <w:tab w:val="left" w:pos="7540"/>
          <w:tab w:val="left" w:pos="8320"/>
        </w:tabs>
        <w:snapToGrid w:val="0"/>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bCs/>
          <w:color w:val="auto"/>
          <w:sz w:val="24"/>
          <w:szCs w:val="24"/>
        </w:rPr>
        <w:t>2.工程地点：</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b/>
          <w:color w:val="auto"/>
          <w:sz w:val="24"/>
          <w:szCs w:val="24"/>
          <w:u w:val="single"/>
          <w:lang w:val="en-US" w:eastAsia="zh-CN"/>
        </w:rPr>
        <w:t xml:space="preserve">                           </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w:t>
      </w:r>
    </w:p>
    <w:p>
      <w:pPr>
        <w:tabs>
          <w:tab w:val="left" w:pos="2580"/>
          <w:tab w:val="left" w:pos="3280"/>
          <w:tab w:val="left" w:pos="6120"/>
          <w:tab w:val="left" w:pos="7540"/>
          <w:tab w:val="left" w:pos="8320"/>
        </w:tabs>
        <w:snapToGrid w:val="0"/>
        <w:spacing w:line="360" w:lineRule="auto"/>
        <w:ind w:firstLine="480" w:firstLineChars="200"/>
        <w:jc w:val="left"/>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3.工程立项批准文号：</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bCs/>
          <w:color w:val="auto"/>
          <w:sz w:val="24"/>
          <w:szCs w:val="24"/>
        </w:rPr>
        <w:t>。</w:t>
      </w:r>
    </w:p>
    <w:p>
      <w:pPr>
        <w:spacing w:line="360" w:lineRule="auto"/>
        <w:ind w:firstLine="470" w:firstLineChars="196"/>
        <w:jc w:val="left"/>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4.资金来源：</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bCs/>
          <w:color w:val="auto"/>
          <w:sz w:val="24"/>
          <w:szCs w:val="24"/>
        </w:rPr>
        <w:t>。</w:t>
      </w:r>
    </w:p>
    <w:p>
      <w:pPr>
        <w:spacing w:line="360" w:lineRule="auto"/>
        <w:ind w:firstLine="470" w:firstLineChars="196"/>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5.工程内容：</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w:t>
      </w:r>
      <w:r>
        <w:rPr>
          <w:rStyle w:val="498"/>
          <w:rFonts w:hint="eastAsia" w:ascii="宋体" w:hAnsi="宋体" w:eastAsia="宋体" w:cs="宋体"/>
          <w:color w:val="auto"/>
          <w:kern w:val="0"/>
          <w:position w:val="-2"/>
          <w:sz w:val="24"/>
          <w:szCs w:val="24"/>
        </w:rPr>
        <w:t xml:space="preserve"> </w:t>
      </w:r>
    </w:p>
    <w:p>
      <w:pPr>
        <w:spacing w:line="360" w:lineRule="auto"/>
        <w:ind w:firstLine="470" w:firstLineChars="196"/>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6.工程承包范围：</w:t>
      </w:r>
      <w:r>
        <w:rPr>
          <w:rStyle w:val="498"/>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包括施工图纸及工程量清单范围内所有内容。</w:t>
      </w:r>
    </w:p>
    <w:p>
      <w:pPr>
        <w:spacing w:line="360" w:lineRule="auto"/>
        <w:rPr>
          <w:rStyle w:val="498"/>
          <w:rFonts w:hint="eastAsia" w:ascii="宋体" w:hAnsi="宋体" w:eastAsia="宋体" w:cs="宋体"/>
          <w:b/>
          <w:color w:val="auto"/>
          <w:sz w:val="24"/>
          <w:szCs w:val="24"/>
        </w:rPr>
      </w:pPr>
      <w:r>
        <w:rPr>
          <w:rStyle w:val="498"/>
          <w:rFonts w:hint="eastAsia" w:ascii="宋体" w:hAnsi="宋体" w:eastAsia="宋体" w:cs="宋体"/>
          <w:b/>
          <w:color w:val="auto"/>
          <w:sz w:val="24"/>
          <w:szCs w:val="24"/>
        </w:rPr>
        <w:t xml:space="preserve">   二、合同工期</w:t>
      </w:r>
    </w:p>
    <w:p>
      <w:pPr>
        <w:spacing w:line="360" w:lineRule="auto"/>
        <w:ind w:firstLine="459"/>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计划开工日期：</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年</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月</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日。</w:t>
      </w:r>
    </w:p>
    <w:p>
      <w:pPr>
        <w:spacing w:line="360" w:lineRule="auto"/>
        <w:ind w:firstLine="459"/>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计划竣工日期：</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年</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月</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日。</w:t>
      </w:r>
    </w:p>
    <w:p>
      <w:pPr>
        <w:spacing w:line="360" w:lineRule="auto"/>
        <w:ind w:firstLine="459"/>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工期总日历天数：</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天。工期总日历天数与根据前述计划开竣工日期计算的工期天数不一致的，以工期总日历天数为准。</w:t>
      </w:r>
    </w:p>
    <w:p>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三、质量标准</w:t>
      </w:r>
    </w:p>
    <w:p>
      <w:pPr>
        <w:spacing w:line="360" w:lineRule="auto"/>
        <w:ind w:firstLine="459"/>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工程质量达到国家现行有关施工质量验收规范要求，并达到合格标准。</w:t>
      </w:r>
    </w:p>
    <w:p>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 xml:space="preserve"> 四、签约合同价与合同价格形式</w:t>
      </w:r>
      <w:r>
        <w:rPr>
          <w:rStyle w:val="498"/>
          <w:rFonts w:hint="eastAsia" w:ascii="宋体" w:hAnsi="宋体" w:eastAsia="宋体" w:cs="宋体"/>
          <w:b/>
          <w:color w:val="auto"/>
          <w:sz w:val="24"/>
          <w:szCs w:val="24"/>
        </w:rPr>
        <w:tab/>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1.签约合同价为：</w:t>
      </w:r>
    </w:p>
    <w:p>
      <w:pPr>
        <w:spacing w:line="360" w:lineRule="auto"/>
        <w:ind w:firstLine="600" w:firstLineChars="25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人民币（大写）</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元)；</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其中：</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（1）安全文明施工费：</w:t>
      </w:r>
    </w:p>
    <w:p>
      <w:pPr>
        <w:spacing w:line="360" w:lineRule="auto"/>
        <w:ind w:firstLine="720" w:firstLineChars="3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人民币（大写）</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元)；</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（2）材料和工程设备暂估价金额：</w:t>
      </w:r>
    </w:p>
    <w:p>
      <w:pPr>
        <w:spacing w:line="360" w:lineRule="auto"/>
        <w:ind w:firstLine="1080" w:firstLineChars="45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人民币（大写）</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元)；</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（3）专业工程暂估价金额：</w:t>
      </w:r>
    </w:p>
    <w:p>
      <w:pPr>
        <w:spacing w:line="360" w:lineRule="auto"/>
        <w:ind w:firstLine="1080" w:firstLineChars="45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人民币（大写）</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元)；</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（4）暂列金额：</w:t>
      </w:r>
    </w:p>
    <w:p>
      <w:pPr>
        <w:spacing w:line="360" w:lineRule="auto"/>
        <w:ind w:firstLine="1080" w:firstLineChars="45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人民币（大写）</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元)。</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2.合同价格形式：</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w:t>
      </w:r>
    </w:p>
    <w:p>
      <w:pPr>
        <w:spacing w:line="360" w:lineRule="auto"/>
        <w:rPr>
          <w:rStyle w:val="498"/>
          <w:rFonts w:hint="eastAsia" w:ascii="宋体" w:hAnsi="宋体" w:eastAsia="宋体" w:cs="宋体"/>
          <w:b/>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 xml:space="preserve"> 五、项目经理</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项目经理：</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b/>
          <w:color w:val="auto"/>
          <w:sz w:val="24"/>
          <w:szCs w:val="24"/>
          <w:u w:val="single"/>
          <w:lang w:val="en-US" w:eastAsia="zh-CN"/>
        </w:rPr>
        <w:t xml:space="preserve">              </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w:t>
      </w:r>
    </w:p>
    <w:p>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 xml:space="preserve"> 六、合同文件构成</w:t>
      </w:r>
    </w:p>
    <w:p>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本协议书与下列文件一起构成合同文件：</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（1）合同协议书；</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（2）中标通知书；</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（3）投标函；</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（4）专用合同条款及其附件；</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（5）通用合同条款；</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（6）竞争性磋商文件；</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（7）竞争性磋商文件及修改文件；</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（8）技术标准和要求；</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（9）图纸；</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（10）其他合同文件。</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在合同订立及履行过程中形成的与合同有关的文件均构成合同文件组成部分。</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pPr>
        <w:spacing w:line="360" w:lineRule="auto"/>
        <w:rPr>
          <w:rStyle w:val="498"/>
          <w:rFonts w:hint="eastAsia" w:ascii="宋体" w:hAnsi="宋体" w:eastAsia="宋体" w:cs="宋体"/>
          <w:b/>
          <w:bCs/>
          <w:color w:val="auto"/>
          <w:sz w:val="24"/>
          <w:szCs w:val="24"/>
        </w:rPr>
      </w:pPr>
      <w:r>
        <w:rPr>
          <w:rStyle w:val="498"/>
          <w:rFonts w:hint="eastAsia" w:ascii="宋体" w:hAnsi="宋体" w:eastAsia="宋体" w:cs="宋体"/>
          <w:b/>
          <w:color w:val="auto"/>
          <w:sz w:val="24"/>
          <w:szCs w:val="24"/>
        </w:rPr>
        <w:t>七、承诺</w:t>
      </w:r>
    </w:p>
    <w:p>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1.</w:t>
      </w:r>
      <w:r>
        <w:rPr>
          <w:rStyle w:val="498"/>
          <w:rFonts w:hint="eastAsia" w:ascii="宋体" w:hAnsi="宋体" w:eastAsia="宋体" w:cs="宋体"/>
          <w:bCs/>
          <w:color w:val="auto"/>
          <w:sz w:val="24"/>
          <w:szCs w:val="24"/>
          <w:lang w:eastAsia="zh-CN"/>
        </w:rPr>
        <w:t>发包人</w:t>
      </w:r>
      <w:r>
        <w:rPr>
          <w:rStyle w:val="498"/>
          <w:rFonts w:hint="eastAsia" w:ascii="宋体" w:hAnsi="宋体" w:eastAsia="宋体" w:cs="宋体"/>
          <w:bCs/>
          <w:color w:val="auto"/>
          <w:sz w:val="24"/>
          <w:szCs w:val="24"/>
        </w:rPr>
        <w:t>承诺按照法律规定履行项目审批手续、筹集工程建设资金并按照合同约定的期限和方式支付合同价款。</w:t>
      </w:r>
    </w:p>
    <w:p>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2.</w:t>
      </w:r>
      <w:r>
        <w:rPr>
          <w:rStyle w:val="498"/>
          <w:rFonts w:hint="eastAsia" w:ascii="宋体" w:hAnsi="宋体" w:eastAsia="宋体" w:cs="宋体"/>
          <w:bCs/>
          <w:color w:val="auto"/>
          <w:sz w:val="24"/>
          <w:szCs w:val="24"/>
          <w:lang w:eastAsia="zh-CN"/>
        </w:rPr>
        <w:t>承包人</w:t>
      </w:r>
      <w:r>
        <w:rPr>
          <w:rStyle w:val="498"/>
          <w:rFonts w:hint="eastAsia" w:ascii="宋体" w:hAnsi="宋体" w:eastAsia="宋体" w:cs="宋体"/>
          <w:bCs/>
          <w:color w:val="auto"/>
          <w:sz w:val="24"/>
          <w:szCs w:val="24"/>
        </w:rPr>
        <w:t>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3.</w:t>
      </w:r>
      <w:r>
        <w:rPr>
          <w:rStyle w:val="498"/>
          <w:rFonts w:hint="eastAsia" w:ascii="宋体" w:hAnsi="宋体" w:eastAsia="宋体" w:cs="宋体"/>
          <w:bCs/>
          <w:color w:val="auto"/>
          <w:sz w:val="24"/>
          <w:szCs w:val="24"/>
          <w:lang w:eastAsia="zh-CN"/>
        </w:rPr>
        <w:t>发包人</w:t>
      </w:r>
      <w:r>
        <w:rPr>
          <w:rStyle w:val="498"/>
          <w:rFonts w:hint="eastAsia" w:ascii="宋体" w:hAnsi="宋体" w:eastAsia="宋体" w:cs="宋体"/>
          <w:bCs/>
          <w:color w:val="auto"/>
          <w:sz w:val="24"/>
          <w:szCs w:val="24"/>
        </w:rPr>
        <w:t>和</w:t>
      </w:r>
      <w:r>
        <w:rPr>
          <w:rStyle w:val="498"/>
          <w:rFonts w:hint="eastAsia" w:ascii="宋体" w:hAnsi="宋体" w:eastAsia="宋体" w:cs="宋体"/>
          <w:bCs/>
          <w:color w:val="auto"/>
          <w:sz w:val="24"/>
          <w:szCs w:val="24"/>
          <w:lang w:eastAsia="zh-CN"/>
        </w:rPr>
        <w:t>承包人</w:t>
      </w:r>
      <w:r>
        <w:rPr>
          <w:rStyle w:val="498"/>
          <w:rFonts w:hint="eastAsia" w:ascii="宋体" w:hAnsi="宋体" w:eastAsia="宋体" w:cs="宋体"/>
          <w:bCs/>
          <w:color w:val="auto"/>
          <w:sz w:val="24"/>
          <w:szCs w:val="24"/>
        </w:rPr>
        <w:t>通过招投标形式签订合同的，双方理解并承诺不再就同一工程另行签订与合同实质性内容相背离的协议。</w:t>
      </w:r>
    </w:p>
    <w:p>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
          <w:color w:val="auto"/>
          <w:sz w:val="24"/>
          <w:szCs w:val="24"/>
        </w:rPr>
        <w:t xml:space="preserve">    八、词语含义</w:t>
      </w:r>
    </w:p>
    <w:p>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本协议书中词语含义与第二部分通用合同条款中赋予的含义相同。</w:t>
      </w:r>
    </w:p>
    <w:p>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 xml:space="preserve">  九、签订时间</w:t>
      </w:r>
    </w:p>
    <w:p>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本合同于</w:t>
      </w:r>
      <w:r>
        <w:rPr>
          <w:rStyle w:val="498"/>
          <w:rFonts w:hint="eastAsia" w:ascii="宋体" w:hAnsi="宋体" w:eastAsia="宋体" w:cs="宋体"/>
          <w:bCs/>
          <w:color w:val="auto"/>
          <w:sz w:val="24"/>
          <w:szCs w:val="24"/>
          <w:u w:val="single"/>
        </w:rPr>
        <w:t xml:space="preserve">    </w:t>
      </w:r>
      <w:r>
        <w:rPr>
          <w:rStyle w:val="498"/>
          <w:rFonts w:hint="eastAsia" w:ascii="宋体" w:hAnsi="宋体" w:eastAsia="宋体" w:cs="宋体"/>
          <w:bCs/>
          <w:color w:val="auto"/>
          <w:sz w:val="24"/>
          <w:szCs w:val="24"/>
        </w:rPr>
        <w:t>年</w:t>
      </w:r>
      <w:r>
        <w:rPr>
          <w:rStyle w:val="498"/>
          <w:rFonts w:hint="eastAsia" w:ascii="宋体" w:hAnsi="宋体" w:eastAsia="宋体" w:cs="宋体"/>
          <w:bCs/>
          <w:color w:val="auto"/>
          <w:sz w:val="24"/>
          <w:szCs w:val="24"/>
          <w:u w:val="single"/>
        </w:rPr>
        <w:t xml:space="preserve">    </w:t>
      </w:r>
      <w:r>
        <w:rPr>
          <w:rStyle w:val="498"/>
          <w:rFonts w:hint="eastAsia" w:ascii="宋体" w:hAnsi="宋体" w:eastAsia="宋体" w:cs="宋体"/>
          <w:bCs/>
          <w:color w:val="auto"/>
          <w:sz w:val="24"/>
          <w:szCs w:val="24"/>
        </w:rPr>
        <w:t>月</w:t>
      </w:r>
      <w:r>
        <w:rPr>
          <w:rStyle w:val="498"/>
          <w:rFonts w:hint="eastAsia" w:ascii="宋体" w:hAnsi="宋体" w:eastAsia="宋体" w:cs="宋体"/>
          <w:bCs/>
          <w:color w:val="auto"/>
          <w:sz w:val="24"/>
          <w:szCs w:val="24"/>
          <w:u w:val="single"/>
        </w:rPr>
        <w:t xml:space="preserve">    </w:t>
      </w:r>
      <w:r>
        <w:rPr>
          <w:rStyle w:val="498"/>
          <w:rFonts w:hint="eastAsia" w:ascii="宋体" w:hAnsi="宋体" w:eastAsia="宋体" w:cs="宋体"/>
          <w:bCs/>
          <w:color w:val="auto"/>
          <w:sz w:val="24"/>
          <w:szCs w:val="24"/>
        </w:rPr>
        <w:t>日签订。</w:t>
      </w:r>
    </w:p>
    <w:p>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十、签订地点</w:t>
      </w:r>
    </w:p>
    <w:p>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本合同在</w:t>
      </w:r>
      <w:r>
        <w:rPr>
          <w:rStyle w:val="498"/>
          <w:rFonts w:hint="eastAsia" w:ascii="宋体" w:hAnsi="宋体" w:eastAsia="宋体" w:cs="宋体"/>
          <w:bCs/>
          <w:color w:val="auto"/>
          <w:sz w:val="24"/>
          <w:szCs w:val="24"/>
          <w:u w:val="single"/>
        </w:rPr>
        <w:t xml:space="preserve">渝中区两路口重庆市体育设施建设维护中心                               </w:t>
      </w:r>
      <w:r>
        <w:rPr>
          <w:rStyle w:val="498"/>
          <w:rFonts w:hint="eastAsia" w:ascii="宋体" w:hAnsi="宋体" w:eastAsia="宋体" w:cs="宋体"/>
          <w:bCs/>
          <w:color w:val="auto"/>
          <w:sz w:val="24"/>
          <w:szCs w:val="24"/>
        </w:rPr>
        <w:t>签订。</w:t>
      </w:r>
    </w:p>
    <w:p>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十一、补充协议</w:t>
      </w:r>
    </w:p>
    <w:p>
      <w:pPr>
        <w:spacing w:line="360" w:lineRule="auto"/>
        <w:ind w:firstLine="480" w:firstLineChars="200"/>
        <w:rPr>
          <w:rStyle w:val="498"/>
          <w:rFonts w:hint="eastAsia" w:ascii="宋体" w:hAnsi="宋体" w:eastAsia="宋体" w:cs="宋体"/>
          <w:b/>
          <w:bCs/>
          <w:color w:val="auto"/>
          <w:sz w:val="24"/>
          <w:szCs w:val="24"/>
        </w:rPr>
      </w:pPr>
      <w:r>
        <w:rPr>
          <w:rStyle w:val="498"/>
          <w:rFonts w:hint="eastAsia" w:ascii="宋体" w:hAnsi="宋体" w:eastAsia="宋体" w:cs="宋体"/>
          <w:bCs/>
          <w:color w:val="auto"/>
          <w:sz w:val="24"/>
          <w:szCs w:val="24"/>
        </w:rPr>
        <w:t>合同未尽事宜，合同当事人另行签订补充协议，补充协议是合同的组成部分。</w:t>
      </w:r>
    </w:p>
    <w:p>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十二、合同生效</w:t>
      </w:r>
    </w:p>
    <w:p>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本合同自</w:t>
      </w:r>
      <w:r>
        <w:rPr>
          <w:rStyle w:val="498"/>
          <w:rFonts w:hint="eastAsia" w:ascii="宋体" w:hAnsi="宋体" w:eastAsia="宋体" w:cs="宋体"/>
          <w:bCs/>
          <w:color w:val="auto"/>
          <w:sz w:val="24"/>
          <w:szCs w:val="24"/>
          <w:u w:val="single"/>
        </w:rPr>
        <w:t xml:space="preserve">  甲乙双方签字盖章之日起  </w:t>
      </w:r>
      <w:r>
        <w:rPr>
          <w:rStyle w:val="498"/>
          <w:rFonts w:hint="eastAsia" w:ascii="宋体" w:hAnsi="宋体" w:eastAsia="宋体" w:cs="宋体"/>
          <w:bCs/>
          <w:color w:val="auto"/>
          <w:sz w:val="24"/>
          <w:szCs w:val="24"/>
        </w:rPr>
        <w:t>生效。</w:t>
      </w:r>
    </w:p>
    <w:p>
      <w:pPr>
        <w:spacing w:line="360" w:lineRule="auto"/>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 xml:space="preserve">    </w:t>
      </w:r>
      <w:r>
        <w:rPr>
          <w:rStyle w:val="498"/>
          <w:rFonts w:hint="eastAsia" w:ascii="宋体" w:hAnsi="宋体" w:eastAsia="宋体" w:cs="宋体"/>
          <w:b/>
          <w:color w:val="auto"/>
          <w:sz w:val="24"/>
          <w:szCs w:val="24"/>
        </w:rPr>
        <w:t>十三、合同份数</w:t>
      </w:r>
    </w:p>
    <w:p>
      <w:pPr>
        <w:spacing w:line="360" w:lineRule="auto"/>
        <w:ind w:firstLine="480" w:firstLineChars="200"/>
        <w:rPr>
          <w:rStyle w:val="498"/>
          <w:rFonts w:hint="eastAsia" w:ascii="宋体" w:hAnsi="宋体" w:eastAsia="宋体" w:cs="宋体"/>
          <w:bCs/>
          <w:color w:val="auto"/>
          <w:sz w:val="24"/>
          <w:szCs w:val="24"/>
        </w:rPr>
      </w:pPr>
      <w:r>
        <w:rPr>
          <w:rStyle w:val="498"/>
          <w:rFonts w:hint="eastAsia" w:ascii="宋体" w:hAnsi="宋体" w:eastAsia="宋体" w:cs="宋体"/>
          <w:bCs/>
          <w:color w:val="auto"/>
          <w:sz w:val="24"/>
          <w:szCs w:val="24"/>
        </w:rPr>
        <w:t>本合同一式</w:t>
      </w:r>
      <w:r>
        <w:rPr>
          <w:rStyle w:val="498"/>
          <w:rFonts w:hint="eastAsia" w:ascii="宋体" w:hAnsi="宋体" w:eastAsia="宋体" w:cs="宋体"/>
          <w:bCs/>
          <w:color w:val="auto"/>
          <w:sz w:val="24"/>
          <w:szCs w:val="24"/>
          <w:u w:val="single"/>
        </w:rPr>
        <w:t xml:space="preserve">  捌  </w:t>
      </w:r>
      <w:r>
        <w:rPr>
          <w:rStyle w:val="498"/>
          <w:rFonts w:hint="eastAsia" w:ascii="宋体" w:hAnsi="宋体" w:eastAsia="宋体" w:cs="宋体"/>
          <w:bCs/>
          <w:color w:val="auto"/>
          <w:sz w:val="24"/>
          <w:szCs w:val="24"/>
        </w:rPr>
        <w:t>份，均具有同等法律效力，</w:t>
      </w:r>
      <w:r>
        <w:rPr>
          <w:rStyle w:val="498"/>
          <w:rFonts w:hint="eastAsia" w:ascii="宋体" w:hAnsi="宋体" w:eastAsia="宋体" w:cs="宋体"/>
          <w:bCs/>
          <w:color w:val="auto"/>
          <w:sz w:val="24"/>
          <w:szCs w:val="24"/>
          <w:lang w:eastAsia="zh-CN"/>
        </w:rPr>
        <w:t>发包人</w:t>
      </w:r>
      <w:r>
        <w:rPr>
          <w:rStyle w:val="498"/>
          <w:rFonts w:hint="eastAsia" w:ascii="宋体" w:hAnsi="宋体" w:eastAsia="宋体" w:cs="宋体"/>
          <w:bCs/>
          <w:color w:val="auto"/>
          <w:sz w:val="24"/>
          <w:szCs w:val="24"/>
        </w:rPr>
        <w:t>执</w:t>
      </w:r>
      <w:r>
        <w:rPr>
          <w:rStyle w:val="498"/>
          <w:rFonts w:hint="eastAsia" w:ascii="宋体" w:hAnsi="宋体" w:eastAsia="宋体" w:cs="宋体"/>
          <w:bCs/>
          <w:color w:val="auto"/>
          <w:sz w:val="24"/>
          <w:szCs w:val="24"/>
          <w:u w:val="single"/>
        </w:rPr>
        <w:t xml:space="preserve"> 肆 </w:t>
      </w:r>
      <w:r>
        <w:rPr>
          <w:rStyle w:val="498"/>
          <w:rFonts w:hint="eastAsia" w:ascii="宋体" w:hAnsi="宋体" w:eastAsia="宋体" w:cs="宋体"/>
          <w:bCs/>
          <w:color w:val="auto"/>
          <w:sz w:val="24"/>
          <w:szCs w:val="24"/>
        </w:rPr>
        <w:t>份，</w:t>
      </w:r>
      <w:r>
        <w:rPr>
          <w:rStyle w:val="498"/>
          <w:rFonts w:hint="eastAsia" w:ascii="宋体" w:hAnsi="宋体" w:eastAsia="宋体" w:cs="宋体"/>
          <w:bCs/>
          <w:color w:val="auto"/>
          <w:sz w:val="24"/>
          <w:szCs w:val="24"/>
          <w:lang w:eastAsia="zh-CN"/>
        </w:rPr>
        <w:t>承包人</w:t>
      </w:r>
      <w:r>
        <w:rPr>
          <w:rStyle w:val="498"/>
          <w:rFonts w:hint="eastAsia" w:ascii="宋体" w:hAnsi="宋体" w:eastAsia="宋体" w:cs="宋体"/>
          <w:bCs/>
          <w:color w:val="auto"/>
          <w:sz w:val="24"/>
          <w:szCs w:val="24"/>
        </w:rPr>
        <w:t>执</w:t>
      </w:r>
      <w:r>
        <w:rPr>
          <w:rStyle w:val="498"/>
          <w:rFonts w:hint="eastAsia" w:ascii="宋体" w:hAnsi="宋体" w:eastAsia="宋体" w:cs="宋体"/>
          <w:bCs/>
          <w:color w:val="auto"/>
          <w:sz w:val="24"/>
          <w:szCs w:val="24"/>
          <w:u w:val="single"/>
        </w:rPr>
        <w:t xml:space="preserve"> 肆 </w:t>
      </w:r>
      <w:r>
        <w:rPr>
          <w:rStyle w:val="498"/>
          <w:rFonts w:hint="eastAsia" w:ascii="宋体" w:hAnsi="宋体" w:eastAsia="宋体" w:cs="宋体"/>
          <w:bCs/>
          <w:color w:val="auto"/>
          <w:sz w:val="24"/>
          <w:szCs w:val="24"/>
        </w:rPr>
        <w:t>份。</w:t>
      </w:r>
    </w:p>
    <w:p>
      <w:pPr>
        <w:spacing w:line="360" w:lineRule="auto"/>
        <w:rPr>
          <w:rStyle w:val="498"/>
          <w:rFonts w:hint="eastAsia" w:ascii="宋体" w:hAnsi="宋体" w:eastAsia="宋体" w:cs="宋体"/>
          <w:color w:val="auto"/>
          <w:sz w:val="24"/>
          <w:szCs w:val="24"/>
        </w:rPr>
      </w:pP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 xml:space="preserve">：  (公章)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  (公章)</w:t>
      </w:r>
    </w:p>
    <w:p>
      <w:pPr>
        <w:spacing w:line="360" w:lineRule="auto"/>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 xml:space="preserve">                                 </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法定代表人或其委托代理人：  法定代表人或其委托代理人：</w:t>
      </w:r>
    </w:p>
    <w:p>
      <w:pPr>
        <w:spacing w:line="360" w:lineRule="auto"/>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（签字）                    （签字）</w:t>
      </w:r>
    </w:p>
    <w:p>
      <w:pPr>
        <w:tabs>
          <w:tab w:val="left" w:pos="4410"/>
        </w:tabs>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组织机构代码：</w:t>
      </w:r>
      <w:r>
        <w:rPr>
          <w:rStyle w:val="498"/>
          <w:rFonts w:hint="eastAsia" w:ascii="宋体" w:hAnsi="宋体" w:eastAsia="宋体" w:cs="宋体"/>
          <w:color w:val="auto"/>
          <w:sz w:val="24"/>
          <w:szCs w:val="24"/>
          <w:u w:val="single"/>
        </w:rPr>
        <w:t xml:space="preserve">  12500000709354498M </w:t>
      </w:r>
      <w:r>
        <w:rPr>
          <w:rStyle w:val="498"/>
          <w:rFonts w:hint="eastAsia" w:ascii="宋体" w:hAnsi="宋体" w:eastAsia="宋体" w:cs="宋体"/>
          <w:color w:val="auto"/>
          <w:sz w:val="24"/>
          <w:szCs w:val="24"/>
        </w:rPr>
        <w:t xml:space="preserve">  组织机构代码：</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b/>
          <w:color w:val="auto"/>
          <w:sz w:val="24"/>
          <w:szCs w:val="24"/>
          <w:u w:val="single"/>
        </w:rPr>
        <w:t xml:space="preserve">         </w:t>
      </w:r>
      <w:r>
        <w:rPr>
          <w:rStyle w:val="498"/>
          <w:rFonts w:hint="eastAsia" w:ascii="宋体" w:hAnsi="宋体" w:eastAsia="宋体" w:cs="宋体"/>
          <w:color w:val="auto"/>
          <w:sz w:val="24"/>
          <w:szCs w:val="24"/>
        </w:rPr>
        <w:t xml:space="preserve"> </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地  址：</w:t>
      </w:r>
      <w:r>
        <w:rPr>
          <w:rStyle w:val="498"/>
          <w:rFonts w:hint="eastAsia" w:ascii="宋体" w:hAnsi="宋体" w:eastAsia="宋体" w:cs="宋体"/>
          <w:color w:val="auto"/>
          <w:sz w:val="24"/>
          <w:szCs w:val="24"/>
          <w:u w:val="single"/>
        </w:rPr>
        <w:t xml:space="preserve">重庆市渝中区两路口体育村3号  </w:t>
      </w:r>
      <w:r>
        <w:rPr>
          <w:rStyle w:val="498"/>
          <w:rFonts w:hint="eastAsia" w:ascii="宋体" w:hAnsi="宋体" w:eastAsia="宋体" w:cs="宋体"/>
          <w:color w:val="auto"/>
          <w:sz w:val="24"/>
          <w:szCs w:val="24"/>
        </w:rPr>
        <w:t xml:space="preserve">  地  址：</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邮政编码：</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邮政编码：</w:t>
      </w:r>
      <w:r>
        <w:rPr>
          <w:rStyle w:val="498"/>
          <w:rFonts w:hint="eastAsia" w:ascii="宋体" w:hAnsi="宋体" w:eastAsia="宋体" w:cs="宋体"/>
          <w:color w:val="auto"/>
          <w:sz w:val="24"/>
          <w:szCs w:val="24"/>
          <w:u w:val="single"/>
        </w:rPr>
        <w:t xml:space="preserve">                        </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法定代表人：</w:t>
      </w:r>
      <w:r>
        <w:rPr>
          <w:rStyle w:val="498"/>
          <w:rFonts w:hint="eastAsia" w:ascii="宋体" w:hAnsi="宋体" w:eastAsia="宋体" w:cs="宋体"/>
          <w:color w:val="auto"/>
          <w:sz w:val="24"/>
          <w:szCs w:val="24"/>
          <w:u w:val="single"/>
        </w:rPr>
        <w:t xml:space="preserve">  方奇胜      </w:t>
      </w:r>
      <w:r>
        <w:rPr>
          <w:rStyle w:val="498"/>
          <w:rFonts w:hint="eastAsia" w:ascii="宋体" w:hAnsi="宋体" w:eastAsia="宋体" w:cs="宋体"/>
          <w:color w:val="auto"/>
          <w:sz w:val="24"/>
          <w:szCs w:val="24"/>
        </w:rPr>
        <w:t xml:space="preserve">  法定代表人：</w:t>
      </w:r>
      <w:r>
        <w:rPr>
          <w:rStyle w:val="498"/>
          <w:rFonts w:hint="eastAsia" w:ascii="宋体" w:hAnsi="宋体" w:eastAsia="宋体" w:cs="宋体"/>
          <w:color w:val="auto"/>
          <w:sz w:val="24"/>
          <w:szCs w:val="24"/>
          <w:u w:val="single"/>
        </w:rPr>
        <w:t xml:space="preserve">                       </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委托代理人：</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委托代理人：</w:t>
      </w:r>
      <w:r>
        <w:rPr>
          <w:rStyle w:val="498"/>
          <w:rFonts w:hint="eastAsia" w:ascii="宋体" w:hAnsi="宋体" w:eastAsia="宋体" w:cs="宋体"/>
          <w:color w:val="auto"/>
          <w:sz w:val="24"/>
          <w:szCs w:val="24"/>
          <w:u w:val="single"/>
        </w:rPr>
        <w:t xml:space="preserve">                               </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电  话：</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电  话：</w:t>
      </w:r>
      <w:r>
        <w:rPr>
          <w:rStyle w:val="498"/>
          <w:rFonts w:hint="eastAsia" w:ascii="宋体" w:hAnsi="宋体" w:eastAsia="宋体" w:cs="宋体"/>
          <w:color w:val="auto"/>
          <w:sz w:val="24"/>
          <w:szCs w:val="24"/>
          <w:u w:val="single"/>
        </w:rPr>
        <w:t xml:space="preserve">                       </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传  真：</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传  真：</w:t>
      </w:r>
      <w:r>
        <w:rPr>
          <w:rStyle w:val="498"/>
          <w:rFonts w:hint="eastAsia" w:ascii="宋体" w:hAnsi="宋体" w:eastAsia="宋体" w:cs="宋体"/>
          <w:color w:val="auto"/>
          <w:sz w:val="24"/>
          <w:szCs w:val="24"/>
          <w:u w:val="single"/>
        </w:rPr>
        <w:t xml:space="preserve">                       </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电子信箱：</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 xml:space="preserve">  电子信箱：</w:t>
      </w:r>
      <w:r>
        <w:rPr>
          <w:rStyle w:val="498"/>
          <w:rFonts w:hint="eastAsia" w:ascii="宋体" w:hAnsi="宋体" w:eastAsia="宋体" w:cs="宋体"/>
          <w:color w:val="auto"/>
          <w:sz w:val="24"/>
          <w:szCs w:val="24"/>
          <w:u w:val="single"/>
        </w:rPr>
        <w:t xml:space="preserve">                                  </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开户银行：</w:t>
      </w:r>
      <w:r>
        <w:rPr>
          <w:rStyle w:val="498"/>
          <w:rFonts w:hint="eastAsia" w:ascii="宋体" w:hAnsi="宋体" w:eastAsia="宋体" w:cs="宋体"/>
          <w:color w:val="auto"/>
          <w:sz w:val="24"/>
          <w:szCs w:val="24"/>
          <w:u w:val="single"/>
        </w:rPr>
        <w:t xml:space="preserve">中国工商银行重庆上清寺支行 </w:t>
      </w:r>
      <w:r>
        <w:rPr>
          <w:rStyle w:val="498"/>
          <w:rFonts w:hint="eastAsia" w:ascii="宋体" w:hAnsi="宋体" w:eastAsia="宋体" w:cs="宋体"/>
          <w:color w:val="auto"/>
          <w:sz w:val="24"/>
          <w:szCs w:val="24"/>
        </w:rPr>
        <w:t xml:space="preserve"> 开户银行：</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账  号：</w:t>
      </w:r>
      <w:r>
        <w:rPr>
          <w:rStyle w:val="498"/>
          <w:rFonts w:hint="eastAsia" w:ascii="宋体" w:hAnsi="宋体" w:eastAsia="宋体" w:cs="宋体"/>
          <w:color w:val="auto"/>
          <w:sz w:val="24"/>
          <w:szCs w:val="24"/>
          <w:u w:val="single"/>
        </w:rPr>
        <w:t xml:space="preserve"> 3100 0217 09200 011453  </w:t>
      </w:r>
      <w:r>
        <w:rPr>
          <w:rStyle w:val="498"/>
          <w:rFonts w:hint="eastAsia" w:ascii="宋体" w:hAnsi="宋体" w:eastAsia="宋体" w:cs="宋体"/>
          <w:color w:val="auto"/>
          <w:sz w:val="24"/>
          <w:szCs w:val="24"/>
        </w:rPr>
        <w:t xml:space="preserve">   账  号：</w:t>
      </w:r>
      <w:r>
        <w:rPr>
          <w:rStyle w:val="498"/>
          <w:rFonts w:hint="eastAsia" w:ascii="宋体" w:hAnsi="宋体" w:eastAsia="宋体" w:cs="宋体"/>
          <w:color w:val="auto"/>
          <w:sz w:val="24"/>
          <w:szCs w:val="24"/>
          <w:u w:val="single"/>
        </w:rPr>
        <w:t xml:space="preserve">                </w:t>
      </w:r>
    </w:p>
    <w:p>
      <w:pPr>
        <w:spacing w:line="360" w:lineRule="auto"/>
        <w:rPr>
          <w:rStyle w:val="498"/>
          <w:rFonts w:hint="eastAsia" w:ascii="宋体" w:hAnsi="宋体" w:eastAsia="宋体" w:cs="宋体"/>
          <w:color w:val="auto"/>
          <w:sz w:val="24"/>
          <w:szCs w:val="24"/>
        </w:rPr>
      </w:pPr>
    </w:p>
    <w:p>
      <w:pPr>
        <w:pStyle w:val="501"/>
        <w:spacing w:line="360" w:lineRule="auto"/>
        <w:jc w:val="center"/>
        <w:rPr>
          <w:rStyle w:val="498"/>
          <w:rFonts w:hint="eastAsia" w:ascii="宋体" w:hAnsi="宋体" w:eastAsia="宋体" w:cs="宋体"/>
          <w:color w:val="auto"/>
          <w:sz w:val="24"/>
          <w:szCs w:val="24"/>
        </w:rPr>
      </w:pPr>
    </w:p>
    <w:p>
      <w:pPr>
        <w:pStyle w:val="501"/>
        <w:spacing w:line="360" w:lineRule="auto"/>
        <w:jc w:val="center"/>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br w:type="page"/>
      </w:r>
      <w:r>
        <w:rPr>
          <w:rStyle w:val="498"/>
          <w:rFonts w:hint="eastAsia" w:ascii="宋体" w:hAnsi="宋体" w:eastAsia="宋体" w:cs="宋体"/>
          <w:color w:val="auto"/>
          <w:sz w:val="24"/>
          <w:szCs w:val="24"/>
        </w:rPr>
        <w:t>通用合同条款</w:t>
      </w:r>
    </w:p>
    <w:p>
      <w:pPr>
        <w:snapToGrid w:val="0"/>
        <w:spacing w:line="360" w:lineRule="auto"/>
        <w:ind w:firstLine="484" w:firstLineChars="201"/>
        <w:rPr>
          <w:rStyle w:val="498"/>
          <w:rFonts w:hint="eastAsia" w:ascii="宋体" w:hAnsi="宋体" w:eastAsia="宋体" w:cs="宋体"/>
          <w:b/>
          <w:color w:val="auto"/>
          <w:sz w:val="24"/>
          <w:szCs w:val="24"/>
        </w:rPr>
      </w:pPr>
    </w:p>
    <w:p>
      <w:pPr>
        <w:snapToGrid w:val="0"/>
        <w:spacing w:line="360" w:lineRule="auto"/>
        <w:ind w:firstLine="484" w:firstLineChars="201"/>
        <w:rPr>
          <w:rStyle w:val="498"/>
          <w:rFonts w:hint="eastAsia" w:ascii="宋体" w:hAnsi="宋体" w:eastAsia="宋体" w:cs="宋体"/>
          <w:b/>
          <w:color w:val="auto"/>
          <w:sz w:val="24"/>
          <w:szCs w:val="24"/>
        </w:rPr>
      </w:pPr>
      <w:r>
        <w:rPr>
          <w:rStyle w:val="498"/>
          <w:rFonts w:hint="eastAsia" w:ascii="宋体" w:hAnsi="宋体" w:eastAsia="宋体" w:cs="宋体"/>
          <w:b/>
          <w:color w:val="auto"/>
          <w:sz w:val="24"/>
          <w:szCs w:val="24"/>
        </w:rPr>
        <w:t>通用合同条款直接采用中华人民共和国住房和城乡建设部与国家工商行政管理总局联合制定的《建设工程施工合同》（GF-2017-0201）示范文本第二章《通用合同条款》执行。</w:t>
      </w:r>
    </w:p>
    <w:p>
      <w:pPr>
        <w:spacing w:line="360" w:lineRule="auto"/>
        <w:ind w:firstLine="480" w:firstLineChars="200"/>
        <w:jc w:val="center"/>
        <w:rPr>
          <w:rStyle w:val="498"/>
          <w:rFonts w:hint="eastAsia" w:ascii="宋体" w:hAnsi="宋体" w:eastAsia="宋体" w:cs="宋体"/>
          <w:b/>
          <w:color w:val="auto"/>
          <w:sz w:val="24"/>
          <w:szCs w:val="24"/>
        </w:rPr>
      </w:pPr>
      <w:r>
        <w:rPr>
          <w:rStyle w:val="498"/>
          <w:rFonts w:hint="eastAsia" w:ascii="宋体" w:hAnsi="宋体" w:eastAsia="宋体" w:cs="宋体"/>
          <w:color w:val="auto"/>
          <w:sz w:val="24"/>
          <w:szCs w:val="24"/>
        </w:rPr>
        <w:br w:type="page"/>
      </w:r>
      <w:r>
        <w:rPr>
          <w:rStyle w:val="498"/>
          <w:rFonts w:hint="eastAsia" w:ascii="宋体" w:hAnsi="宋体" w:eastAsia="宋体" w:cs="宋体"/>
          <w:b/>
          <w:color w:val="auto"/>
          <w:sz w:val="24"/>
          <w:szCs w:val="24"/>
        </w:rPr>
        <w:t>专用合同条款</w:t>
      </w:r>
    </w:p>
    <w:p>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 一般约定</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 词语定义</w:t>
      </w:r>
    </w:p>
    <w:p>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1.1.1合同</w:t>
      </w:r>
    </w:p>
    <w:p>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kern w:val="0"/>
          <w:sz w:val="24"/>
          <w:szCs w:val="24"/>
        </w:rPr>
        <w:t>1.1.1.10其他合同文件包括：</w:t>
      </w:r>
      <w:r>
        <w:rPr>
          <w:rStyle w:val="498"/>
          <w:rFonts w:hint="eastAsia" w:ascii="宋体" w:hAnsi="宋体" w:eastAsia="宋体" w:cs="宋体"/>
          <w:color w:val="auto"/>
          <w:sz w:val="24"/>
          <w:szCs w:val="24"/>
          <w:u w:val="single"/>
        </w:rPr>
        <w:t xml:space="preserve">     /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1.1.2 合同当事人及其他相关方</w:t>
      </w:r>
    </w:p>
    <w:p>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 xml:space="preserve">1.1.2.2  </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w:t>
      </w:r>
      <w:r>
        <w:rPr>
          <w:rStyle w:val="498"/>
          <w:rFonts w:hint="eastAsia" w:ascii="宋体" w:hAnsi="宋体" w:eastAsia="宋体" w:cs="宋体"/>
          <w:color w:val="auto"/>
          <w:sz w:val="24"/>
          <w:szCs w:val="24"/>
          <w:u w:val="single"/>
        </w:rPr>
        <w:t>重庆市体育设施建设维护中心</w:t>
      </w:r>
    </w:p>
    <w:p>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 xml:space="preserve">1.1.2.3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w:t>
      </w:r>
      <w:r>
        <w:rPr>
          <w:rStyle w:val="498"/>
          <w:rFonts w:hint="eastAsia" w:ascii="宋体" w:hAnsi="宋体" w:eastAsia="宋体" w:cs="宋体"/>
          <w:color w:val="auto"/>
          <w:sz w:val="24"/>
          <w:szCs w:val="24"/>
          <w:u w:val="single"/>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1.1.2.4监理人：</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资质类别和等级：</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联系电话：</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通信地址：</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1.1.2.5 设计人：</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名    称：</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资质类别和等级：</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联系电话：</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通信地址：</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1.1.3 工程和设备</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1.1.3.7 作为施工现场组成部分的其他场所包括：</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1.1.3.9 永久占地包括：</w:t>
      </w:r>
      <w:r>
        <w:rPr>
          <w:rStyle w:val="498"/>
          <w:rFonts w:hint="eastAsia" w:ascii="宋体" w:hAnsi="宋体" w:eastAsia="宋体" w:cs="宋体"/>
          <w:color w:val="auto"/>
          <w:sz w:val="24"/>
          <w:szCs w:val="24"/>
          <w:u w:val="single"/>
        </w:rPr>
        <w:t xml:space="preserve">           /     </w:t>
      </w:r>
      <w:r>
        <w:rPr>
          <w:rStyle w:val="498"/>
          <w:rFonts w:hint="eastAsia" w:ascii="宋体" w:hAnsi="宋体" w:eastAsia="宋体" w:cs="宋体"/>
          <w:color w:val="auto"/>
          <w:kern w:val="0"/>
          <w:sz w:val="24"/>
          <w:szCs w:val="24"/>
        </w:rPr>
        <w:t>。</w:t>
      </w:r>
    </w:p>
    <w:p>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1.1.3.10 临时占地包括：</w:t>
      </w:r>
      <w:r>
        <w:rPr>
          <w:rStyle w:val="498"/>
          <w:rFonts w:hint="eastAsia" w:ascii="宋体" w:hAnsi="宋体" w:eastAsia="宋体" w:cs="宋体"/>
          <w:color w:val="auto"/>
          <w:sz w:val="24"/>
          <w:szCs w:val="24"/>
          <w:u w:val="single"/>
        </w:rPr>
        <w:t xml:space="preserve"> 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根据现场实际情况决定并办理相关手续，临时占地发生的费用由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自行承担。</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1.1.4  日期</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kern w:val="0"/>
          <w:sz w:val="24"/>
          <w:szCs w:val="24"/>
        </w:rPr>
        <w:t>1.1.4.5 缺陷责任期：</w:t>
      </w:r>
      <w:r>
        <w:rPr>
          <w:rStyle w:val="498"/>
          <w:rFonts w:hint="eastAsia" w:ascii="宋体" w:hAnsi="宋体" w:eastAsia="宋体" w:cs="宋体"/>
          <w:color w:val="auto"/>
          <w:sz w:val="24"/>
          <w:szCs w:val="24"/>
          <w:u w:val="single"/>
        </w:rPr>
        <w:t xml:space="preserve">  24个月  。</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1.2法律 </w:t>
      </w:r>
    </w:p>
    <w:p>
      <w:pPr>
        <w:spacing w:line="360" w:lineRule="auto"/>
        <w:ind w:left="682" w:leftChars="284"/>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适用于合同的其他规范性文件：</w:t>
      </w:r>
      <w:r>
        <w:rPr>
          <w:rStyle w:val="498"/>
          <w:rFonts w:hint="eastAsia" w:ascii="宋体" w:hAnsi="宋体" w:eastAsia="宋体" w:cs="宋体"/>
          <w:color w:val="auto"/>
          <w:sz w:val="24"/>
          <w:szCs w:val="24"/>
          <w:u w:val="single"/>
        </w:rPr>
        <w:t>重庆市建设工程相关现行规则制度</w:t>
      </w:r>
      <w:r>
        <w:rPr>
          <w:rStyle w:val="498"/>
          <w:rFonts w:hint="eastAsia" w:ascii="宋体" w:hAnsi="宋体" w:eastAsia="宋体" w:cs="宋体"/>
          <w:color w:val="auto"/>
          <w:sz w:val="24"/>
          <w:szCs w:val="24"/>
        </w:rPr>
        <w:t>。</w:t>
      </w:r>
    </w:p>
    <w:p>
      <w:pPr>
        <w:spacing w:line="360" w:lineRule="auto"/>
        <w:ind w:firstLine="475" w:firstLineChars="198"/>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工程实施中执行重庆市现行的有关安全生产、文明施工、扬尘控制、质量检验、分户验收、荷载试验、竣工验收、商品砼推广、建筑节能、绿色建筑等规范性文件。 </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 标准和规范</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1.3.1适用于工程的标准规范包括：</w:t>
      </w:r>
      <w:r>
        <w:rPr>
          <w:rStyle w:val="498"/>
          <w:rFonts w:hint="eastAsia" w:ascii="宋体" w:hAnsi="宋体" w:eastAsia="宋体" w:cs="宋体"/>
          <w:color w:val="auto"/>
          <w:sz w:val="24"/>
          <w:szCs w:val="24"/>
          <w:u w:val="single"/>
        </w:rPr>
        <w:t>重庆市建设工程相关现行标准、规范</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kern w:val="0"/>
          <w:sz w:val="24"/>
          <w:szCs w:val="24"/>
          <w:u w:val="single"/>
        </w:rPr>
      </w:pPr>
      <w:r>
        <w:rPr>
          <w:rStyle w:val="498"/>
          <w:rFonts w:hint="eastAsia" w:ascii="宋体" w:hAnsi="宋体" w:eastAsia="宋体" w:cs="宋体"/>
          <w:color w:val="auto"/>
          <w:kern w:val="0"/>
          <w:sz w:val="24"/>
          <w:szCs w:val="24"/>
        </w:rPr>
        <w:t xml:space="preserve">1.3.2 </w:t>
      </w: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提供国外标准、规范的名称：</w:t>
      </w:r>
      <w:r>
        <w:rPr>
          <w:rStyle w:val="498"/>
          <w:rFonts w:hint="eastAsia" w:ascii="宋体" w:hAnsi="宋体" w:eastAsia="宋体" w:cs="宋体"/>
          <w:color w:val="auto"/>
          <w:kern w:val="0"/>
          <w:sz w:val="24"/>
          <w:szCs w:val="24"/>
          <w:u w:val="single"/>
        </w:rPr>
        <w:t>/</w:t>
      </w:r>
    </w:p>
    <w:p>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提供国外标准、规范的份数：</w:t>
      </w:r>
      <w:r>
        <w:rPr>
          <w:rStyle w:val="498"/>
          <w:rFonts w:hint="eastAsia" w:ascii="宋体" w:hAnsi="宋体" w:eastAsia="宋体" w:cs="宋体"/>
          <w:color w:val="auto"/>
          <w:kern w:val="0"/>
          <w:sz w:val="24"/>
          <w:szCs w:val="24"/>
          <w:u w:val="single"/>
        </w:rPr>
        <w:t>/</w:t>
      </w:r>
      <w:r>
        <w:rPr>
          <w:rStyle w:val="498"/>
          <w:rFonts w:hint="eastAsia" w:ascii="宋体" w:hAnsi="宋体" w:eastAsia="宋体" w:cs="宋体"/>
          <w:color w:val="auto"/>
          <w:kern w:val="0"/>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提供国外标准、规范的名称：</w:t>
      </w:r>
      <w:r>
        <w:rPr>
          <w:rStyle w:val="498"/>
          <w:rFonts w:hint="eastAsia" w:ascii="宋体" w:hAnsi="宋体" w:eastAsia="宋体" w:cs="宋体"/>
          <w:color w:val="auto"/>
          <w:kern w:val="0"/>
          <w:sz w:val="24"/>
          <w:szCs w:val="24"/>
          <w:u w:val="single"/>
        </w:rPr>
        <w:t>/</w:t>
      </w:r>
      <w:r>
        <w:rPr>
          <w:rStyle w:val="498"/>
          <w:rFonts w:hint="eastAsia" w:ascii="宋体" w:hAnsi="宋体" w:eastAsia="宋体" w:cs="宋体"/>
          <w:color w:val="auto"/>
          <w:kern w:val="0"/>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1.3.3</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对工程的技术标准和功能要求的特殊要求：</w:t>
      </w:r>
      <w:r>
        <w:rPr>
          <w:rStyle w:val="498"/>
          <w:rFonts w:hint="eastAsia" w:ascii="宋体" w:hAnsi="宋体" w:eastAsia="宋体" w:cs="宋体"/>
          <w:color w:val="auto"/>
          <w:sz w:val="24"/>
          <w:szCs w:val="24"/>
          <w:u w:val="single"/>
        </w:rPr>
        <w:t xml:space="preserve">  /    </w:t>
      </w:r>
      <w:r>
        <w:rPr>
          <w:rStyle w:val="498"/>
          <w:rFonts w:hint="eastAsia" w:ascii="宋体" w:hAnsi="宋体" w:eastAsia="宋体" w:cs="宋体"/>
          <w:color w:val="auto"/>
          <w:sz w:val="24"/>
          <w:szCs w:val="24"/>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1.4 合同文件的优先顺序</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合同文件组成及优先顺序为：合同文件组成及优先顺序为：</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（1）合同协议书；</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（2）中标通知书；</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（3）投标函；</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（4）专用合同条款及其附件；</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（5）通用合同条款；</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（6）竞争性磋商文件；</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（7）竞争性磋商文件及修改文件；</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（8）技术标准和要求；</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（9）图纸；</w:t>
      </w:r>
    </w:p>
    <w:p>
      <w:pPr>
        <w:spacing w:line="360" w:lineRule="auto"/>
        <w:ind w:firstLine="420" w:firstLineChars="175"/>
        <w:rPr>
          <w:rStyle w:val="498"/>
          <w:rFonts w:hint="eastAsia" w:ascii="宋体" w:hAnsi="宋体" w:eastAsia="宋体" w:cs="宋体"/>
          <w:color w:val="auto"/>
          <w:sz w:val="24"/>
          <w:szCs w:val="24"/>
          <w:highlight w:val="none"/>
        </w:rPr>
      </w:pPr>
      <w:r>
        <w:rPr>
          <w:rStyle w:val="498"/>
          <w:rFonts w:hint="eastAsia" w:ascii="宋体" w:hAnsi="宋体" w:eastAsia="宋体" w:cs="宋体"/>
          <w:color w:val="auto"/>
          <w:sz w:val="24"/>
          <w:szCs w:val="24"/>
          <w:highlight w:val="none"/>
        </w:rPr>
        <w:t>（10）其他合同文件。</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上述各项合同文件包括合同当事人就该项合同文件所作出的补充和修改，属于同一类内容的文件，应以最新签署的为准。</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 图纸和</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文件</w:t>
      </w:r>
      <w:r>
        <w:rPr>
          <w:rStyle w:val="498"/>
          <w:rFonts w:hint="eastAsia" w:ascii="宋体" w:hAnsi="宋体" w:eastAsia="宋体" w:cs="宋体"/>
          <w:color w:val="auto"/>
          <w:sz w:val="24"/>
          <w:szCs w:val="24"/>
        </w:rPr>
        <w:tab/>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1.5.1 图纸的提供</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提供图纸的期限：</w:t>
      </w:r>
      <w:r>
        <w:rPr>
          <w:rStyle w:val="498"/>
          <w:rFonts w:hint="eastAsia" w:ascii="宋体" w:hAnsi="宋体" w:eastAsia="宋体" w:cs="宋体"/>
          <w:color w:val="auto"/>
          <w:sz w:val="24"/>
          <w:szCs w:val="24"/>
          <w:u w:val="single"/>
        </w:rPr>
        <w:t>施工前 5 天向</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提供图纸</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提供图纸的数量：</w:t>
      </w:r>
      <w:r>
        <w:rPr>
          <w:rStyle w:val="498"/>
          <w:rFonts w:hint="eastAsia" w:ascii="宋体" w:hAnsi="宋体" w:eastAsia="宋体" w:cs="宋体"/>
          <w:color w:val="auto"/>
          <w:sz w:val="24"/>
          <w:szCs w:val="24"/>
          <w:u w:val="single"/>
        </w:rPr>
        <w:t>向</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提供图纸 2 套  </w:t>
      </w:r>
      <w:r>
        <w:rPr>
          <w:rStyle w:val="498"/>
          <w:rFonts w:hint="eastAsia" w:ascii="宋体" w:hAnsi="宋体" w:eastAsia="宋体" w:cs="宋体"/>
          <w:color w:val="auto"/>
          <w:sz w:val="24"/>
          <w:szCs w:val="24"/>
        </w:rPr>
        <w:t>；</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提供图纸的内容：</w:t>
      </w:r>
      <w:r>
        <w:rPr>
          <w:rStyle w:val="498"/>
          <w:rFonts w:hint="eastAsia" w:ascii="宋体" w:hAnsi="宋体" w:eastAsia="宋体" w:cs="宋体"/>
          <w:color w:val="auto"/>
          <w:sz w:val="24"/>
          <w:szCs w:val="24"/>
          <w:u w:val="single"/>
        </w:rPr>
        <w:t xml:space="preserve">按照通用条款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1.5.4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文件</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需要由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提供的文件，包括：</w:t>
      </w:r>
      <w:r>
        <w:rPr>
          <w:rStyle w:val="498"/>
          <w:rFonts w:hint="eastAsia" w:ascii="宋体" w:hAnsi="宋体" w:eastAsia="宋体" w:cs="宋体"/>
          <w:color w:val="auto"/>
          <w:sz w:val="24"/>
          <w:szCs w:val="24"/>
          <w:u w:val="single"/>
        </w:rPr>
        <w:t>除通用条款要求的外，还包括施工组织设计和进度计划文件、各种专项施工方案（含电子文档）等，具体以</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、监理人、跟踪审核单位或其他相关管理部门的要求为准</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提供的文件的期限为：</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收到</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提供的施工图及设计技术交底后5天内提供优化后的施工组织设计和进度计划（含电子文档），否则</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有权在</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提供上述文件后再支付进度款，并由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承担由此而造成的各项损失。</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（2）每月进度计划在当月</w:t>
      </w:r>
      <w:r>
        <w:rPr>
          <w:rStyle w:val="498"/>
          <w:rFonts w:hint="eastAsia" w:ascii="宋体" w:hAnsi="宋体" w:eastAsia="宋体" w:cs="宋体"/>
          <w:color w:val="auto"/>
          <w:sz w:val="24"/>
          <w:szCs w:val="24"/>
          <w:u w:val="single"/>
        </w:rPr>
        <w:t xml:space="preserve"> 5 </w:t>
      </w:r>
      <w:r>
        <w:rPr>
          <w:rStyle w:val="498"/>
          <w:rFonts w:hint="eastAsia" w:ascii="宋体" w:hAnsi="宋体" w:eastAsia="宋体" w:cs="宋体"/>
          <w:color w:val="auto"/>
          <w:sz w:val="24"/>
          <w:szCs w:val="24"/>
        </w:rPr>
        <w:t>日前完成并送达</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现场代表，送达工程进度报表一式</w:t>
      </w:r>
      <w:r>
        <w:rPr>
          <w:rStyle w:val="498"/>
          <w:rFonts w:hint="eastAsia" w:ascii="宋体" w:hAnsi="宋体" w:eastAsia="宋体" w:cs="宋体"/>
          <w:color w:val="auto"/>
          <w:sz w:val="24"/>
          <w:szCs w:val="24"/>
          <w:u w:val="single"/>
        </w:rPr>
        <w:t xml:space="preserve"> 3 </w:t>
      </w:r>
      <w:r>
        <w:rPr>
          <w:rStyle w:val="498"/>
          <w:rFonts w:hint="eastAsia" w:ascii="宋体" w:hAnsi="宋体" w:eastAsia="宋体" w:cs="宋体"/>
          <w:color w:val="auto"/>
          <w:sz w:val="24"/>
          <w:szCs w:val="24"/>
        </w:rPr>
        <w:t>份；</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提供的文件的数量为：</w:t>
      </w:r>
      <w:r>
        <w:rPr>
          <w:rStyle w:val="498"/>
          <w:rFonts w:hint="eastAsia" w:ascii="宋体" w:hAnsi="宋体" w:eastAsia="宋体" w:cs="宋体"/>
          <w:color w:val="auto"/>
          <w:sz w:val="24"/>
          <w:szCs w:val="24"/>
          <w:u w:val="single"/>
        </w:rPr>
        <w:t>以</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要求为准</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提供的文件的形式为：</w:t>
      </w:r>
      <w:r>
        <w:rPr>
          <w:rStyle w:val="498"/>
          <w:rFonts w:hint="eastAsia" w:ascii="宋体" w:hAnsi="宋体" w:eastAsia="宋体" w:cs="宋体"/>
          <w:color w:val="auto"/>
          <w:sz w:val="24"/>
          <w:szCs w:val="24"/>
          <w:u w:val="single"/>
        </w:rPr>
        <w:t>以</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要求为准</w:t>
      </w:r>
      <w:r>
        <w:rPr>
          <w:rStyle w:val="498"/>
          <w:rFonts w:hint="eastAsia" w:ascii="宋体" w:hAnsi="宋体" w:eastAsia="宋体" w:cs="宋体"/>
          <w:color w:val="auto"/>
          <w:sz w:val="24"/>
          <w:szCs w:val="24"/>
        </w:rPr>
        <w:t>；</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文件的期限：</w:t>
      </w:r>
      <w:r>
        <w:rPr>
          <w:rStyle w:val="498"/>
          <w:rFonts w:hint="eastAsia" w:ascii="宋体" w:hAnsi="宋体" w:eastAsia="宋体" w:cs="宋体"/>
          <w:color w:val="auto"/>
          <w:sz w:val="24"/>
          <w:szCs w:val="24"/>
          <w:u w:val="single"/>
        </w:rPr>
        <w:t>以</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审批回复时间为准。</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1.5.5 现场图纸准备</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关于现场图纸准备的约定：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在现场准备1套完整的图纸</w:t>
      </w:r>
      <w:r>
        <w:rPr>
          <w:rStyle w:val="498"/>
          <w:rFonts w:hint="eastAsia" w:ascii="宋体" w:hAnsi="宋体" w:eastAsia="宋体" w:cs="宋体"/>
          <w:color w:val="auto"/>
          <w:sz w:val="24"/>
          <w:szCs w:val="24"/>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1.6 联络</w:t>
      </w:r>
    </w:p>
    <w:p>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1.6.1</w:t>
      </w: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和</w:t>
      </w: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应当在</w:t>
      </w:r>
      <w:r>
        <w:rPr>
          <w:rStyle w:val="498"/>
          <w:rFonts w:hint="eastAsia" w:ascii="宋体" w:hAnsi="宋体" w:eastAsia="宋体" w:cs="宋体"/>
          <w:color w:val="auto"/>
          <w:sz w:val="24"/>
          <w:szCs w:val="24"/>
          <w:u w:val="single"/>
        </w:rPr>
        <w:t>3</w:t>
      </w:r>
      <w:r>
        <w:rPr>
          <w:rStyle w:val="498"/>
          <w:rFonts w:hint="eastAsia" w:ascii="宋体" w:hAnsi="宋体" w:eastAsia="宋体" w:cs="宋体"/>
          <w:color w:val="auto"/>
          <w:kern w:val="0"/>
          <w:sz w:val="24"/>
          <w:szCs w:val="24"/>
        </w:rPr>
        <w:t>天内将与合同有关的通知、批准、证明、证书、指示、指令、要求、请求、同意、意见、确定和决定等书面函件送达对方当事人。</w:t>
      </w:r>
    </w:p>
    <w:p>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 xml:space="preserve">1.6.2 </w:t>
      </w: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接收文件的地点：</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kern w:val="0"/>
          <w:sz w:val="24"/>
          <w:szCs w:val="24"/>
        </w:rPr>
        <w:t>；</w:t>
      </w:r>
    </w:p>
    <w:p>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指定的接收人为：</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kern w:val="0"/>
          <w:sz w:val="24"/>
          <w:szCs w:val="24"/>
        </w:rPr>
        <w:t>。</w:t>
      </w:r>
    </w:p>
    <w:p>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接收文件的地点：</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kern w:val="0"/>
          <w:sz w:val="24"/>
          <w:szCs w:val="24"/>
        </w:rPr>
        <w:t>；</w:t>
      </w:r>
    </w:p>
    <w:p>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指定的接收人为：</w:t>
      </w:r>
      <w:r>
        <w:rPr>
          <w:rStyle w:val="498"/>
          <w:rFonts w:hint="eastAsia" w:ascii="宋体" w:hAnsi="宋体" w:eastAsia="宋体" w:cs="宋体"/>
          <w:color w:val="auto"/>
          <w:sz w:val="24"/>
          <w:szCs w:val="24"/>
          <w:u w:val="single"/>
        </w:rPr>
        <w:t> </w:t>
      </w:r>
      <w:r>
        <w:rPr>
          <w:rStyle w:val="498"/>
          <w:rFonts w:hint="eastAsia" w:ascii="宋体" w:hAnsi="宋体" w:eastAsia="宋体" w:cs="宋体"/>
          <w:color w:val="auto"/>
          <w:kern w:val="0"/>
          <w:sz w:val="24"/>
          <w:szCs w:val="24"/>
        </w:rPr>
        <w:t>。</w:t>
      </w:r>
    </w:p>
    <w:p>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监理人接收文件的地点：</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kern w:val="0"/>
          <w:sz w:val="24"/>
          <w:szCs w:val="24"/>
        </w:rPr>
        <w:t>；</w:t>
      </w:r>
    </w:p>
    <w:p>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监理人指定的接收人为：</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kern w:val="0"/>
          <w:sz w:val="24"/>
          <w:szCs w:val="24"/>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1.7交通运输</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1.7.1 出入现场的权利</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关于出入现场的权利的约定：</w:t>
      </w:r>
    </w:p>
    <w:p>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根据施工需要，负责取得出入施工现场所需的批准手续和全部权利，以及取得因施工所需修建道路、桥梁以及其他基础设施的权利，并承担相关手续费用和建设费用。</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协助</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办理修建场内外道路、桥梁以及其他基础设施的手续。</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关于出入现场的权利的约定：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负责现场出入的管理及相关费用，</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、监理人及其他协作单位有权出入。</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1.7.2 场内交通</w:t>
      </w:r>
    </w:p>
    <w:p>
      <w:pPr>
        <w:spacing w:line="360" w:lineRule="auto"/>
        <w:ind w:firstLine="420" w:firstLineChars="175"/>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关于场外交通和场内交通的边界的约定：</w:t>
      </w:r>
      <w:r>
        <w:rPr>
          <w:rStyle w:val="498"/>
          <w:rFonts w:hint="eastAsia" w:ascii="宋体" w:hAnsi="宋体" w:eastAsia="宋体" w:cs="宋体"/>
          <w:color w:val="auto"/>
          <w:sz w:val="24"/>
          <w:szCs w:val="24"/>
          <w:u w:val="single"/>
        </w:rPr>
        <w:t></w:t>
      </w:r>
      <w:r>
        <w:rPr>
          <w:rStyle w:val="498"/>
          <w:rFonts w:hint="eastAsia" w:ascii="宋体" w:hAnsi="宋体" w:eastAsia="宋体" w:cs="宋体"/>
          <w:bCs/>
          <w:color w:val="auto"/>
          <w:sz w:val="24"/>
          <w:szCs w:val="24"/>
          <w:u w:val="single"/>
        </w:rPr>
        <w:t xml:space="preserve"> 以项目红线图为准</w:t>
      </w:r>
      <w:r>
        <w:rPr>
          <w:rStyle w:val="498"/>
          <w:rFonts w:hint="eastAsia" w:ascii="宋体" w:hAnsi="宋体" w:eastAsia="宋体" w:cs="宋体"/>
          <w:color w:val="auto"/>
          <w:sz w:val="24"/>
          <w:szCs w:val="24"/>
        </w:rPr>
        <w:t>。</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免费提供满足工程施工需要的场内道路和交通设施的约定：</w:t>
      </w:r>
      <w:r>
        <w:rPr>
          <w:rStyle w:val="498"/>
          <w:rFonts w:hint="eastAsia" w:ascii="宋体" w:hAnsi="宋体" w:eastAsia="宋体" w:cs="宋体"/>
          <w:color w:val="auto"/>
          <w:sz w:val="24"/>
          <w:szCs w:val="24"/>
          <w:u w:val="single"/>
        </w:rPr>
        <w:t>以</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进场的现状为准，施工需要的场内道路和交通设施由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负责修建并承担费用</w:t>
      </w:r>
      <w:r>
        <w:rPr>
          <w:rStyle w:val="498"/>
          <w:rFonts w:hint="eastAsia" w:ascii="宋体" w:hAnsi="宋体" w:eastAsia="宋体" w:cs="宋体"/>
          <w:color w:val="auto"/>
          <w:sz w:val="24"/>
          <w:szCs w:val="24"/>
        </w:rPr>
        <w:t xml:space="preserve">。  </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1.7.2超大件和超重件的运输</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运输超大件或超重件所需的道路和桥梁临时加固改造费用和其他有关费用由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承担。</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1.8 知识产权</w:t>
      </w:r>
    </w:p>
    <w:p>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1.8.1关于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提供给</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的图纸、</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为实施工程自行编制或委托编制的技术规范以及反映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关于合同要求或其他类似性质的文件的著作权的归属：</w:t>
      </w:r>
      <w:r>
        <w:rPr>
          <w:rStyle w:val="498"/>
          <w:rFonts w:hint="eastAsia" w:ascii="宋体" w:hAnsi="宋体" w:eastAsia="宋体" w:cs="宋体"/>
          <w:color w:val="auto"/>
          <w:sz w:val="24"/>
          <w:szCs w:val="24"/>
          <w:u w:val="single"/>
        </w:rPr>
        <w:t xml:space="preserve"> 归</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 xml:space="preserve">所有  </w:t>
      </w:r>
      <w:r>
        <w:rPr>
          <w:rStyle w:val="498"/>
          <w:rFonts w:hint="eastAsia" w:ascii="宋体" w:hAnsi="宋体" w:eastAsia="宋体" w:cs="宋体"/>
          <w:color w:val="auto"/>
          <w:sz w:val="24"/>
          <w:szCs w:val="24"/>
        </w:rPr>
        <w:t>。</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提供的上述文件的使用限制的要求：</w:t>
      </w:r>
      <w:r>
        <w:rPr>
          <w:rStyle w:val="498"/>
          <w:rFonts w:hint="eastAsia" w:ascii="宋体" w:hAnsi="宋体" w:eastAsia="宋体" w:cs="宋体"/>
          <w:color w:val="auto"/>
          <w:sz w:val="24"/>
          <w:szCs w:val="24"/>
          <w:u w:val="single"/>
        </w:rPr>
        <w:t xml:space="preserve">仅限用于本建设工程项目 </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1.8.2 关于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为实施工程所编制文件的著作权的归属：</w:t>
      </w:r>
      <w:r>
        <w:rPr>
          <w:rStyle w:val="498"/>
          <w:rFonts w:hint="eastAsia" w:ascii="宋体" w:hAnsi="宋体" w:eastAsia="宋体" w:cs="宋体"/>
          <w:color w:val="auto"/>
          <w:sz w:val="24"/>
          <w:szCs w:val="24"/>
          <w:u w:val="single"/>
        </w:rPr>
        <w:t>归</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所有</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提供的上述文件的使用限制的要求：</w:t>
      </w:r>
      <w:r>
        <w:rPr>
          <w:rStyle w:val="498"/>
          <w:rFonts w:hint="eastAsia" w:ascii="宋体" w:hAnsi="宋体" w:eastAsia="宋体" w:cs="宋体"/>
          <w:color w:val="auto"/>
          <w:sz w:val="24"/>
          <w:szCs w:val="24"/>
          <w:u w:val="single"/>
        </w:rPr>
        <w:t>仅限</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或</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授权的第三方使用</w:t>
      </w:r>
      <w:r>
        <w:rPr>
          <w:rStyle w:val="498"/>
          <w:rFonts w:hint="eastAsia" w:ascii="宋体" w:hAnsi="宋体" w:eastAsia="宋体" w:cs="宋体"/>
          <w:color w:val="auto"/>
          <w:sz w:val="24"/>
          <w:szCs w:val="24"/>
        </w:rPr>
        <w:t>。</w:t>
      </w:r>
    </w:p>
    <w:p>
      <w:pPr>
        <w:spacing w:line="360" w:lineRule="auto"/>
        <w:ind w:left="837" w:leftChars="200" w:hanging="357" w:hangingChars="149"/>
        <w:rPr>
          <w:rStyle w:val="498"/>
          <w:rFonts w:hint="eastAsia" w:ascii="宋体" w:hAnsi="宋体" w:eastAsia="宋体" w:cs="宋体"/>
          <w:color w:val="auto"/>
          <w:kern w:val="0"/>
          <w:sz w:val="24"/>
          <w:szCs w:val="24"/>
        </w:rPr>
      </w:pPr>
      <w:r>
        <w:rPr>
          <w:rStyle w:val="498"/>
          <w:rFonts w:hint="eastAsia" w:ascii="宋体" w:hAnsi="宋体" w:eastAsia="宋体" w:cs="宋体"/>
          <w:color w:val="auto"/>
          <w:sz w:val="24"/>
          <w:szCs w:val="24"/>
        </w:rPr>
        <w:t xml:space="preserve">1.8.3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在施工过程中所采用的专利、专有技术、技术秘密的使用费的承担方式：</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承担 </w:t>
      </w:r>
      <w:r>
        <w:rPr>
          <w:rStyle w:val="498"/>
          <w:rFonts w:hint="eastAsia" w:ascii="宋体" w:hAnsi="宋体" w:eastAsia="宋体" w:cs="宋体"/>
          <w:color w:val="auto"/>
          <w:kern w:val="0"/>
          <w:sz w:val="24"/>
          <w:szCs w:val="24"/>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1.9工程量清单错误的修正</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出现工程量清单错误时，是否调整合同价格：</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自身原因不调整      </w:t>
      </w:r>
      <w:r>
        <w:rPr>
          <w:rStyle w:val="498"/>
          <w:rFonts w:hint="eastAsia" w:ascii="宋体" w:hAnsi="宋体" w:eastAsia="宋体" w:cs="宋体"/>
          <w:color w:val="auto"/>
          <w:sz w:val="24"/>
          <w:szCs w:val="24"/>
        </w:rPr>
        <w:t>。</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允许调整合同价格的工程量偏差范围：</w:t>
      </w:r>
      <w:r>
        <w:rPr>
          <w:rStyle w:val="498"/>
          <w:rFonts w:hint="eastAsia" w:ascii="宋体" w:hAnsi="宋体" w:eastAsia="宋体" w:cs="宋体"/>
          <w:color w:val="auto"/>
          <w:sz w:val="24"/>
          <w:szCs w:val="24"/>
          <w:u w:val="single"/>
        </w:rPr>
        <w:t xml:space="preserve">       无        </w:t>
      </w:r>
      <w:r>
        <w:rPr>
          <w:rStyle w:val="498"/>
          <w:rFonts w:hint="eastAsia" w:ascii="宋体" w:hAnsi="宋体" w:eastAsia="宋体" w:cs="宋体"/>
          <w:color w:val="auto"/>
          <w:sz w:val="24"/>
          <w:szCs w:val="24"/>
        </w:rPr>
        <w:t>。</w:t>
      </w:r>
    </w:p>
    <w:p>
      <w:pPr>
        <w:pStyle w:val="502"/>
        <w:spacing w:before="120" w:after="120" w:line="360" w:lineRule="auto"/>
        <w:rPr>
          <w:rStyle w:val="498"/>
          <w:rFonts w:hint="eastAsia" w:ascii="宋体" w:hAnsi="宋体" w:eastAsia="宋体" w:cs="宋体"/>
          <w:b w:val="0"/>
          <w:color w:val="auto"/>
          <w:sz w:val="24"/>
          <w:szCs w:val="24"/>
          <w:lang w:eastAsia="zh-CN"/>
        </w:rPr>
      </w:pPr>
      <w:r>
        <w:rPr>
          <w:rStyle w:val="498"/>
          <w:rFonts w:hint="eastAsia" w:ascii="宋体" w:hAnsi="宋体" w:eastAsia="宋体" w:cs="宋体"/>
          <w:b w:val="0"/>
          <w:color w:val="auto"/>
          <w:sz w:val="24"/>
          <w:szCs w:val="24"/>
        </w:rPr>
        <w:t xml:space="preserve">2. </w:t>
      </w:r>
      <w:r>
        <w:rPr>
          <w:rStyle w:val="498"/>
          <w:rFonts w:hint="eastAsia" w:ascii="宋体" w:hAnsi="宋体" w:eastAsia="宋体" w:cs="宋体"/>
          <w:b w:val="0"/>
          <w:color w:val="auto"/>
          <w:sz w:val="24"/>
          <w:szCs w:val="24"/>
          <w:lang w:eastAsia="zh-CN"/>
        </w:rPr>
        <w:t>发包人</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2.1 </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代表</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代表：</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姓    名：</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xml:space="preserve">  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职    务：</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联系电话：</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通信地址：</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b/>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对</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代表的授权范围如下：</w:t>
      </w:r>
      <w:r>
        <w:rPr>
          <w:rStyle w:val="498"/>
          <w:rFonts w:hint="eastAsia" w:ascii="宋体" w:hAnsi="宋体" w:eastAsia="宋体" w:cs="宋体"/>
          <w:color w:val="auto"/>
          <w:sz w:val="24"/>
          <w:szCs w:val="24"/>
          <w:u w:val="single"/>
        </w:rPr>
        <w:t xml:space="preserve">（1）对发生的不可抗力造成工程无法施工的处置；（2）进度款的审核；（3）处理和协调外部施工条件；（4） 经明确书面授权后方可代表发包人行使本合同约定的其它权利和义务  </w:t>
      </w:r>
      <w:r>
        <w:rPr>
          <w:rStyle w:val="498"/>
          <w:rFonts w:hint="eastAsia" w:ascii="宋体" w:hAnsi="宋体" w:eastAsia="宋体" w:cs="宋体"/>
          <w:color w:val="auto"/>
          <w:sz w:val="24"/>
          <w:szCs w:val="24"/>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2.2 施工现场、施工条件和基础资料的提供</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2.2.1 提供施工现场</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移交施工现场的期限要求：</w:t>
      </w:r>
      <w:r>
        <w:rPr>
          <w:rStyle w:val="498"/>
          <w:rFonts w:hint="eastAsia" w:ascii="宋体" w:hAnsi="宋体" w:eastAsia="宋体" w:cs="宋体"/>
          <w:color w:val="auto"/>
          <w:sz w:val="24"/>
          <w:szCs w:val="24"/>
          <w:u w:val="single"/>
        </w:rPr>
        <w:t>以</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通知进场施工之日为准 。</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2.2.2 提供施工条件</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应负责提供施工所需要的条件：</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（1）施工场地具备施工条件的要求及完成的时间：</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自行到施工现场踏勘，以通知进场时实际现状为准。</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（2）将施工所需的水、电接至施工场地的时间、地点和供应要求：</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自行解决，费用已包含在合同价中，不再另行计算费用。</w:t>
      </w:r>
    </w:p>
    <w:p>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（3）施工场地与公共道路的通道开通时间和要求：</w:t>
      </w:r>
      <w:r>
        <w:rPr>
          <w:rStyle w:val="498"/>
          <w:rFonts w:hint="eastAsia" w:ascii="宋体" w:hAnsi="宋体" w:eastAsia="宋体" w:cs="宋体"/>
          <w:b/>
          <w:bCs/>
          <w:color w:val="auto"/>
          <w:sz w:val="24"/>
          <w:szCs w:val="24"/>
          <w:u w:val="single"/>
          <w:lang w:eastAsia="zh-CN"/>
        </w:rPr>
        <w:t>承包人</w:t>
      </w:r>
      <w:r>
        <w:rPr>
          <w:rStyle w:val="498"/>
          <w:rFonts w:hint="eastAsia" w:ascii="宋体" w:hAnsi="宋体" w:eastAsia="宋体" w:cs="宋体"/>
          <w:b/>
          <w:bCs/>
          <w:color w:val="auto"/>
          <w:sz w:val="24"/>
          <w:szCs w:val="24"/>
          <w:u w:val="single"/>
        </w:rPr>
        <w:t>自行到施工现场踏勘，充分了解本工程范围内的现有地方路网，以实际现状为准，编制施工进出场道路布设方案报建设单位审批，费用已包含在合同价中，不再另行计算费用。</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（4）工程地质资料和地下管线资料的提供时间：</w:t>
      </w:r>
      <w:r>
        <w:rPr>
          <w:rStyle w:val="498"/>
          <w:rFonts w:hint="eastAsia" w:ascii="宋体" w:hAnsi="宋体" w:eastAsia="宋体" w:cs="宋体"/>
          <w:color w:val="auto"/>
          <w:sz w:val="24"/>
          <w:szCs w:val="24"/>
          <w:u w:val="single"/>
        </w:rPr>
        <w:t>工程开工前提供。</w:t>
      </w:r>
    </w:p>
    <w:p>
      <w:pPr>
        <w:spacing w:line="360" w:lineRule="auto"/>
        <w:ind w:firstLine="420" w:firstLineChars="175"/>
        <w:rPr>
          <w:rStyle w:val="498"/>
          <w:rFonts w:hint="eastAsia" w:ascii="宋体" w:hAnsi="宋体" w:eastAsia="宋体" w:cs="宋体"/>
          <w:b/>
          <w:bCs/>
          <w:color w:val="auto"/>
          <w:sz w:val="24"/>
          <w:szCs w:val="24"/>
          <w:u w:val="single"/>
        </w:rPr>
      </w:pPr>
      <w:r>
        <w:rPr>
          <w:rStyle w:val="498"/>
          <w:rFonts w:hint="eastAsia" w:ascii="宋体" w:hAnsi="宋体" w:eastAsia="宋体" w:cs="宋体"/>
          <w:color w:val="auto"/>
          <w:sz w:val="24"/>
          <w:szCs w:val="24"/>
        </w:rPr>
        <w:t>（5）由</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办理的施工所需证件、批件的名称和完成时间：</w:t>
      </w:r>
      <w:r>
        <w:rPr>
          <w:rStyle w:val="498"/>
          <w:rFonts w:hint="eastAsia" w:ascii="宋体" w:hAnsi="宋体" w:eastAsia="宋体" w:cs="宋体"/>
          <w:color w:val="auto"/>
          <w:sz w:val="24"/>
          <w:szCs w:val="24"/>
          <w:u w:val="single"/>
        </w:rPr>
        <w:t>合同签订后，</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按规定及时向有关部门缴清各自应缴纳的费用</w:t>
      </w:r>
      <w:r>
        <w:rPr>
          <w:rStyle w:val="498"/>
          <w:rFonts w:hint="eastAsia" w:ascii="宋体" w:hAnsi="宋体" w:eastAsia="宋体" w:cs="宋体"/>
          <w:b/>
          <w:bCs/>
          <w:color w:val="auto"/>
          <w:sz w:val="24"/>
          <w:szCs w:val="24"/>
          <w:u w:val="single"/>
        </w:rPr>
        <w:t>。</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（6）水准点与座标控制点交验要求：</w:t>
      </w:r>
      <w:r>
        <w:rPr>
          <w:rStyle w:val="498"/>
          <w:rFonts w:hint="eastAsia" w:ascii="宋体" w:hAnsi="宋体" w:eastAsia="宋体" w:cs="宋体"/>
          <w:color w:val="auto"/>
          <w:sz w:val="24"/>
          <w:szCs w:val="24"/>
          <w:u w:val="single"/>
        </w:rPr>
        <w:t>放线办理、现场交验、书面交接。</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（7）图纸会审和设计交底时间：</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收到施工图并进场召开第一次监理例会后5日内，完成合同范围内所有专业会审及设计交底并提交会审疑问记录给</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；进场7日内完成全部图纸会审及设计交底。</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（8）协调处理施工场地周围地下管线和邻近建筑物、构筑物（含文物保护建筑）、古树名木的保护工作：</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负责并承担费用，若有永久搬迁需要，由</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另行委托。</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2.3.3因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原因未能按合同约定及时向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提供施工现场、施工条件、基础资料的，</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应当尽力施工，确实无法施工的，由</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承担由此延误的工期，不承担由此增加的费用。</w:t>
      </w:r>
    </w:p>
    <w:p>
      <w:pPr>
        <w:pStyle w:val="502"/>
        <w:spacing w:line="360" w:lineRule="auto"/>
        <w:ind w:firstLine="422"/>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2.4 其他义务</w:t>
      </w:r>
    </w:p>
    <w:p>
      <w:pPr>
        <w:spacing w:line="360" w:lineRule="auto"/>
        <w:ind w:left="840" w:leftChars="200" w:hanging="360" w:hangingChars="150"/>
        <w:rPr>
          <w:rStyle w:val="498"/>
          <w:rFonts w:hint="eastAsia" w:ascii="宋体" w:hAnsi="宋体" w:eastAsia="宋体" w:cs="宋体"/>
          <w:bCs/>
          <w:color w:val="auto"/>
          <w:sz w:val="24"/>
          <w:szCs w:val="24"/>
        </w:rPr>
      </w:pPr>
      <w:r>
        <w:rPr>
          <w:rStyle w:val="498"/>
          <w:rFonts w:hint="eastAsia" w:ascii="宋体" w:hAnsi="宋体" w:eastAsia="宋体" w:cs="宋体"/>
          <w:color w:val="auto"/>
          <w:sz w:val="24"/>
          <w:szCs w:val="24"/>
        </w:rPr>
        <w:t xml:space="preserve">2.4.1  </w:t>
      </w:r>
      <w:r>
        <w:rPr>
          <w:rStyle w:val="498"/>
          <w:rFonts w:hint="eastAsia" w:ascii="宋体" w:hAnsi="宋体" w:eastAsia="宋体" w:cs="宋体"/>
          <w:bCs/>
          <w:color w:val="auto"/>
          <w:sz w:val="24"/>
          <w:szCs w:val="24"/>
        </w:rPr>
        <w:t>按</w:t>
      </w:r>
      <w:r>
        <w:rPr>
          <w:rStyle w:val="498"/>
          <w:rFonts w:hint="eastAsia" w:ascii="宋体" w:hAnsi="宋体" w:eastAsia="宋体" w:cs="宋体"/>
          <w:color w:val="auto"/>
          <w:sz w:val="24"/>
          <w:szCs w:val="24"/>
        </w:rPr>
        <w:t>有关</w:t>
      </w:r>
      <w:r>
        <w:rPr>
          <w:rStyle w:val="498"/>
          <w:rFonts w:hint="eastAsia" w:ascii="宋体" w:hAnsi="宋体" w:eastAsia="宋体" w:cs="宋体"/>
          <w:bCs/>
          <w:color w:val="auto"/>
          <w:sz w:val="24"/>
          <w:szCs w:val="24"/>
        </w:rPr>
        <w:t>规定及时办理工程质量监督手续；</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 2.4.2 根据建设行政主管部门和（或）城市建设档案管理机构的规定，收集、整理、立卷、归档工程资料，并按规定时间向建设行政主管部门或者城市建设档案管理机构移交规定的工程档案。</w:t>
      </w:r>
    </w:p>
    <w:p>
      <w:pPr>
        <w:pStyle w:val="502"/>
        <w:spacing w:before="120" w:after="120" w:line="360" w:lineRule="auto"/>
        <w:rPr>
          <w:rStyle w:val="498"/>
          <w:rFonts w:hint="eastAsia" w:ascii="宋体" w:hAnsi="宋体" w:eastAsia="宋体" w:cs="宋体"/>
          <w:b w:val="0"/>
          <w:color w:val="auto"/>
          <w:sz w:val="24"/>
          <w:szCs w:val="24"/>
          <w:lang w:eastAsia="zh-CN"/>
        </w:rPr>
      </w:pPr>
      <w:r>
        <w:rPr>
          <w:rStyle w:val="498"/>
          <w:rFonts w:hint="eastAsia" w:ascii="宋体" w:hAnsi="宋体" w:eastAsia="宋体" w:cs="宋体"/>
          <w:b w:val="0"/>
          <w:color w:val="auto"/>
          <w:sz w:val="24"/>
          <w:szCs w:val="24"/>
        </w:rPr>
        <w:t xml:space="preserve">3. </w:t>
      </w:r>
      <w:r>
        <w:rPr>
          <w:rStyle w:val="498"/>
          <w:rFonts w:hint="eastAsia" w:ascii="宋体" w:hAnsi="宋体" w:eastAsia="宋体" w:cs="宋体"/>
          <w:b w:val="0"/>
          <w:color w:val="auto"/>
          <w:sz w:val="24"/>
          <w:szCs w:val="24"/>
          <w:lang w:eastAsia="zh-CN"/>
        </w:rPr>
        <w:t>承包人</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3.1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的一般义务</w:t>
      </w:r>
    </w:p>
    <w:p>
      <w:pPr>
        <w:spacing w:line="360" w:lineRule="auto"/>
        <w:jc w:val="left"/>
        <w:rPr>
          <w:rStyle w:val="498"/>
          <w:rFonts w:hint="eastAsia" w:ascii="宋体" w:hAnsi="宋体" w:eastAsia="宋体" w:cs="宋体"/>
          <w:color w:val="auto"/>
          <w:sz w:val="24"/>
          <w:szCs w:val="24"/>
        </w:rPr>
      </w:pPr>
      <w:r>
        <w:rPr>
          <w:rStyle w:val="498"/>
          <w:rFonts w:hint="eastAsia" w:ascii="宋体" w:hAnsi="宋体" w:eastAsia="宋体" w:cs="宋体"/>
          <w:color w:val="auto"/>
          <w:kern w:val="0"/>
          <w:sz w:val="24"/>
          <w:szCs w:val="24"/>
        </w:rPr>
        <w:t>（1）</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提交的竣工资料的内容：</w:t>
      </w:r>
      <w:r>
        <w:rPr>
          <w:rStyle w:val="498"/>
          <w:rFonts w:hint="eastAsia" w:ascii="宋体" w:hAnsi="宋体" w:eastAsia="宋体" w:cs="宋体"/>
          <w:color w:val="auto"/>
          <w:sz w:val="24"/>
          <w:szCs w:val="24"/>
          <w:u w:val="single"/>
        </w:rPr>
        <w:t>经建设档案馆专项审查合格的全套工程资料</w:t>
      </w:r>
      <w:r>
        <w:rPr>
          <w:rStyle w:val="498"/>
          <w:rFonts w:hint="eastAsia" w:ascii="宋体" w:hAnsi="宋体" w:eastAsia="宋体" w:cs="宋体"/>
          <w:color w:val="auto"/>
          <w:sz w:val="24"/>
          <w:szCs w:val="24"/>
        </w:rPr>
        <w:t>。。</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需要提交的竣工资料套数：</w:t>
      </w:r>
      <w:r>
        <w:rPr>
          <w:rStyle w:val="498"/>
          <w:rFonts w:hint="eastAsia" w:ascii="宋体" w:hAnsi="宋体" w:eastAsia="宋体" w:cs="宋体"/>
          <w:color w:val="auto"/>
          <w:sz w:val="24"/>
          <w:szCs w:val="24"/>
          <w:u w:val="single"/>
        </w:rPr>
        <w:t xml:space="preserve">    纸质6套，电子文档（光盘）2份</w:t>
      </w:r>
      <w:r>
        <w:rPr>
          <w:rStyle w:val="498"/>
          <w:rFonts w:hint="eastAsia" w:ascii="宋体" w:hAnsi="宋体" w:eastAsia="宋体" w:cs="宋体"/>
          <w:color w:val="auto"/>
          <w:sz w:val="24"/>
          <w:szCs w:val="24"/>
        </w:rPr>
        <w:t>。</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提交的竣工资料的费用承担：</w:t>
      </w:r>
      <w:r>
        <w:rPr>
          <w:rStyle w:val="498"/>
          <w:rFonts w:hint="eastAsia" w:ascii="宋体" w:hAnsi="宋体" w:eastAsia="宋体" w:cs="宋体"/>
          <w:color w:val="auto"/>
          <w:sz w:val="24"/>
          <w:szCs w:val="24"/>
          <w:u w:val="single"/>
        </w:rPr>
        <w:t xml:space="preserve">  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自行承担，费用已包含在综合单价内    </w:t>
      </w:r>
      <w:r>
        <w:rPr>
          <w:rStyle w:val="498"/>
          <w:rFonts w:hint="eastAsia" w:ascii="宋体" w:hAnsi="宋体" w:eastAsia="宋体" w:cs="宋体"/>
          <w:color w:val="auto"/>
          <w:sz w:val="24"/>
          <w:szCs w:val="24"/>
        </w:rPr>
        <w:t>。</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提交的竣工资料移交时间：</w:t>
      </w:r>
      <w:r>
        <w:rPr>
          <w:rStyle w:val="498"/>
          <w:rFonts w:hint="eastAsia" w:ascii="宋体" w:hAnsi="宋体" w:eastAsia="宋体" w:cs="宋体"/>
          <w:color w:val="auto"/>
          <w:sz w:val="24"/>
          <w:szCs w:val="24"/>
          <w:u w:val="single"/>
        </w:rPr>
        <w:t xml:space="preserve"> 工程竣工结算前   </w:t>
      </w:r>
      <w:r>
        <w:rPr>
          <w:rStyle w:val="498"/>
          <w:rFonts w:hint="eastAsia" w:ascii="宋体" w:hAnsi="宋体" w:eastAsia="宋体" w:cs="宋体"/>
          <w:color w:val="auto"/>
          <w:sz w:val="24"/>
          <w:szCs w:val="24"/>
        </w:rPr>
        <w:t>。</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提交的竣工资料形式要求：</w:t>
      </w:r>
      <w:r>
        <w:rPr>
          <w:rStyle w:val="498"/>
          <w:rFonts w:hint="eastAsia" w:ascii="宋体" w:hAnsi="宋体" w:eastAsia="宋体" w:cs="宋体"/>
          <w:color w:val="auto"/>
          <w:sz w:val="24"/>
          <w:szCs w:val="24"/>
          <w:u w:val="single"/>
        </w:rPr>
        <w:t xml:space="preserve"> 书面及电子文档    </w:t>
      </w:r>
      <w:r>
        <w:rPr>
          <w:rStyle w:val="498"/>
          <w:rFonts w:hint="eastAsia" w:ascii="宋体" w:hAnsi="宋体" w:eastAsia="宋体" w:cs="宋体"/>
          <w:color w:val="auto"/>
          <w:sz w:val="24"/>
          <w:szCs w:val="24"/>
        </w:rPr>
        <w:t>。</w:t>
      </w:r>
    </w:p>
    <w:p>
      <w:pPr>
        <w:spacing w:line="360" w:lineRule="auto"/>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（2）</w:t>
      </w: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应履行的其他义务：</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无条件配合其他工作。</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应履行的其他义务可能发生费用的处理方法，费用已包含在综合单价内。</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（3）已竣工工程未交付</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之前，</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负责该工程以及相关设施的保护工作，保护期间发生损坏，</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自费予以修复；已竣工的工程未交付</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之前，</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应负责成品保护工作，因保护不力造成的经济损失和责任由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承担。已完工程成品保护的特殊要求由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做出详细方案，并落实到位，确保成品完好，费用由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负担。</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（4）遵守政府有关主管部门对施工场地交通、施工噪音以及环境保护和安全生产等的管理规定，按规定办理有关手续，并以书面形式通知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①需要办理交通特别通行证时，由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负责办证；</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②施工现场需要排放有害污水时，由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办理有关手续；</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③施工噪音超过当地主管部门的规定时，由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提出措施；</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以上所发生的费用由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自行承担。</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应提出用水用电申请；编制施工组织设计或施工方案，报监理、</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审批同意后实施，</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承担所发生的一切费用。</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（6）已做好施工场地的地下管线、建筑物、构筑物、园林绿化、路政设施、市政设施的保护工作。各施工地点要设立明显的标志。如</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未履行上述义务造成人员、车辆伤害，建筑物、地下管线、园林绿化、路政设施、市政设施的损坏，由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承担所发生的一切费用。</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要遵守文明施工，遵守安全、环保、消防、保卫部门的有关规定，否则违章作业造成经济损失或责任，由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负责。</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（8）工程施工结束，</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应将剩余物资、材料和废品及时清除。工程竣工后，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应按</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要求，限期将施工机具、器具、生活设施等物品及时移走。否则，</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代为清除，其费用由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支付。</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（9）</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应建立完善的安全措施保证体系，</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在施工过程中检查落实情况。</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（10）应提供计划、报表的名称及完成时间：工程总进度计划按本专用条款约定执行。</w:t>
      </w:r>
    </w:p>
    <w:p>
      <w:pPr>
        <w:spacing w:line="360" w:lineRule="auto"/>
        <w:ind w:firstLine="406" w:firstLineChars="175"/>
        <w:rPr>
          <w:rStyle w:val="498"/>
          <w:rFonts w:hint="eastAsia" w:ascii="宋体" w:hAnsi="宋体" w:eastAsia="宋体" w:cs="宋体"/>
          <w:color w:val="auto"/>
          <w:spacing w:val="-4"/>
          <w:sz w:val="24"/>
          <w:szCs w:val="24"/>
        </w:rPr>
      </w:pPr>
      <w:r>
        <w:rPr>
          <w:rStyle w:val="498"/>
          <w:rFonts w:hint="eastAsia" w:ascii="宋体" w:hAnsi="宋体" w:eastAsia="宋体" w:cs="宋体"/>
          <w:color w:val="auto"/>
          <w:spacing w:val="-4"/>
          <w:sz w:val="24"/>
          <w:szCs w:val="24"/>
        </w:rPr>
        <w:t>（11）</w:t>
      </w:r>
      <w:r>
        <w:rPr>
          <w:rStyle w:val="498"/>
          <w:rFonts w:hint="eastAsia" w:ascii="宋体" w:hAnsi="宋体" w:eastAsia="宋体" w:cs="宋体"/>
          <w:color w:val="auto"/>
          <w:spacing w:val="-4"/>
          <w:sz w:val="24"/>
          <w:szCs w:val="24"/>
          <w:lang w:eastAsia="zh-CN"/>
        </w:rPr>
        <w:t>承包人</w:t>
      </w:r>
      <w:r>
        <w:rPr>
          <w:rStyle w:val="498"/>
          <w:rFonts w:hint="eastAsia" w:ascii="宋体" w:hAnsi="宋体" w:eastAsia="宋体" w:cs="宋体"/>
          <w:color w:val="auto"/>
          <w:spacing w:val="-4"/>
          <w:sz w:val="24"/>
          <w:szCs w:val="24"/>
        </w:rPr>
        <w:t>未能履行（1）-（10）款各项义务，造成</w:t>
      </w:r>
      <w:r>
        <w:rPr>
          <w:rStyle w:val="498"/>
          <w:rFonts w:hint="eastAsia" w:ascii="宋体" w:hAnsi="宋体" w:eastAsia="宋体" w:cs="宋体"/>
          <w:color w:val="auto"/>
          <w:spacing w:val="-4"/>
          <w:sz w:val="24"/>
          <w:szCs w:val="24"/>
          <w:lang w:eastAsia="zh-CN"/>
        </w:rPr>
        <w:t>发包人</w:t>
      </w:r>
      <w:r>
        <w:rPr>
          <w:rStyle w:val="498"/>
          <w:rFonts w:hint="eastAsia" w:ascii="宋体" w:hAnsi="宋体" w:eastAsia="宋体" w:cs="宋体"/>
          <w:color w:val="auto"/>
          <w:spacing w:val="-4"/>
          <w:sz w:val="24"/>
          <w:szCs w:val="24"/>
        </w:rPr>
        <w:t>损失的，</w:t>
      </w:r>
      <w:r>
        <w:rPr>
          <w:rStyle w:val="498"/>
          <w:rFonts w:hint="eastAsia" w:ascii="宋体" w:hAnsi="宋体" w:eastAsia="宋体" w:cs="宋体"/>
          <w:color w:val="auto"/>
          <w:spacing w:val="-4"/>
          <w:sz w:val="24"/>
          <w:szCs w:val="24"/>
          <w:lang w:eastAsia="zh-CN"/>
        </w:rPr>
        <w:t>承包人</w:t>
      </w:r>
      <w:r>
        <w:rPr>
          <w:rStyle w:val="498"/>
          <w:rFonts w:hint="eastAsia" w:ascii="宋体" w:hAnsi="宋体" w:eastAsia="宋体" w:cs="宋体"/>
          <w:color w:val="auto"/>
          <w:spacing w:val="-4"/>
          <w:sz w:val="24"/>
          <w:szCs w:val="24"/>
        </w:rPr>
        <w:t>赔偿</w:t>
      </w:r>
      <w:r>
        <w:rPr>
          <w:rStyle w:val="498"/>
          <w:rFonts w:hint="eastAsia" w:ascii="宋体" w:hAnsi="宋体" w:eastAsia="宋体" w:cs="宋体"/>
          <w:color w:val="auto"/>
          <w:spacing w:val="-4"/>
          <w:sz w:val="24"/>
          <w:szCs w:val="24"/>
          <w:lang w:eastAsia="zh-CN"/>
        </w:rPr>
        <w:t>发包人</w:t>
      </w:r>
      <w:r>
        <w:rPr>
          <w:rStyle w:val="498"/>
          <w:rFonts w:hint="eastAsia" w:ascii="宋体" w:hAnsi="宋体" w:eastAsia="宋体" w:cs="宋体"/>
          <w:color w:val="auto"/>
          <w:spacing w:val="-4"/>
          <w:sz w:val="24"/>
          <w:szCs w:val="24"/>
        </w:rPr>
        <w:t>有关损失。</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3.2 项目经理</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kern w:val="0"/>
          <w:sz w:val="24"/>
          <w:szCs w:val="24"/>
        </w:rPr>
        <w:t xml:space="preserve">3.2.1 </w:t>
      </w:r>
      <w:r>
        <w:rPr>
          <w:rStyle w:val="498"/>
          <w:rFonts w:hint="eastAsia" w:ascii="宋体" w:hAnsi="宋体" w:eastAsia="宋体" w:cs="宋体"/>
          <w:color w:val="auto"/>
          <w:sz w:val="24"/>
          <w:szCs w:val="24"/>
        </w:rPr>
        <w:t>项目经理：</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姓    名：</w:t>
      </w:r>
      <w:r>
        <w:rPr>
          <w:rStyle w:val="498"/>
          <w:rFonts w:hint="eastAsia" w:ascii="宋体" w:hAnsi="宋体" w:eastAsia="宋体" w:cs="宋体"/>
          <w:color w:val="auto"/>
          <w:sz w:val="24"/>
          <w:szCs w:val="24"/>
          <w:u w:val="single"/>
        </w:rPr>
        <w:t>  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身份证号：</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建造师执业资格等级：</w:t>
      </w:r>
      <w:r>
        <w:rPr>
          <w:rStyle w:val="498"/>
          <w:rFonts w:hint="eastAsia" w:ascii="宋体" w:hAnsi="宋体" w:eastAsia="宋体" w:cs="宋体"/>
          <w:color w:val="auto"/>
          <w:sz w:val="24"/>
          <w:szCs w:val="24"/>
          <w:u w:val="single"/>
        </w:rPr>
        <w:t>  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建造师注册证书号：</w:t>
      </w:r>
      <w:r>
        <w:rPr>
          <w:rStyle w:val="498"/>
          <w:rFonts w:hint="eastAsia" w:ascii="宋体" w:hAnsi="宋体" w:eastAsia="宋体" w:cs="宋体"/>
          <w:color w:val="auto"/>
          <w:sz w:val="24"/>
          <w:szCs w:val="24"/>
          <w:u w:val="single"/>
        </w:rPr>
        <w:t>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建造师执业印章号：</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安全生产考核合格证书号：</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联系电话：</w:t>
      </w:r>
      <w:r>
        <w:rPr>
          <w:rStyle w:val="498"/>
          <w:rFonts w:hint="eastAsia" w:ascii="宋体" w:hAnsi="宋体" w:eastAsia="宋体" w:cs="宋体"/>
          <w:color w:val="auto"/>
          <w:sz w:val="24"/>
          <w:szCs w:val="24"/>
          <w:u w:val="single"/>
        </w:rPr>
        <w:t>  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电子信箱：</w:t>
      </w:r>
      <w:r>
        <w:rPr>
          <w:rStyle w:val="498"/>
          <w:rFonts w:hint="eastAsia" w:ascii="宋体" w:hAnsi="宋体" w:eastAsia="宋体" w:cs="宋体"/>
          <w:color w:val="auto"/>
          <w:sz w:val="24"/>
          <w:szCs w:val="24"/>
          <w:u w:val="single"/>
        </w:rPr>
        <w:t>  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通信地址：</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对项目经理的授权范围如下：</w:t>
      </w:r>
      <w:r>
        <w:rPr>
          <w:rStyle w:val="498"/>
          <w:rFonts w:hint="eastAsia" w:ascii="宋体" w:hAnsi="宋体" w:eastAsia="宋体" w:cs="宋体"/>
          <w:color w:val="auto"/>
          <w:sz w:val="24"/>
          <w:szCs w:val="24"/>
          <w:u w:val="single"/>
        </w:rPr>
        <w:t>根据</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的明确书面授权代表</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负责履行合同。</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关于项目经理每月在施工现场的时间要求：</w:t>
      </w:r>
      <w:r>
        <w:rPr>
          <w:rStyle w:val="498"/>
          <w:rFonts w:hint="eastAsia" w:ascii="宋体" w:hAnsi="宋体" w:eastAsia="宋体" w:cs="宋体"/>
          <w:color w:val="auto"/>
          <w:sz w:val="24"/>
          <w:szCs w:val="24"/>
          <w:u w:val="single"/>
        </w:rPr>
        <w:t>每周不少于5天 </w:t>
      </w:r>
      <w:r>
        <w:rPr>
          <w:rStyle w:val="498"/>
          <w:rFonts w:hint="eastAsia" w:ascii="宋体" w:hAnsi="宋体" w:eastAsia="宋体" w:cs="宋体"/>
          <w:color w:val="auto"/>
          <w:sz w:val="24"/>
          <w:szCs w:val="24"/>
        </w:rPr>
        <w:t>。</w:t>
      </w:r>
    </w:p>
    <w:p>
      <w:pPr>
        <w:spacing w:line="360" w:lineRule="auto"/>
        <w:ind w:firstLine="420" w:firstLineChars="175"/>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未提交劳动合同，以及没有为项目经理缴纳社会保险的违约责任：</w:t>
      </w:r>
      <w:r>
        <w:rPr>
          <w:rStyle w:val="498"/>
          <w:rFonts w:hint="eastAsia" w:ascii="宋体" w:hAnsi="宋体" w:eastAsia="宋体" w:cs="宋体"/>
          <w:color w:val="auto"/>
          <w:sz w:val="24"/>
          <w:szCs w:val="24"/>
          <w:u w:val="single"/>
        </w:rPr>
        <w:t>处违约金500元/人次。</w:t>
      </w:r>
    </w:p>
    <w:p>
      <w:pPr>
        <w:spacing w:line="360" w:lineRule="auto"/>
        <w:ind w:left="293" w:leftChars="122"/>
        <w:rPr>
          <w:rStyle w:val="498"/>
          <w:rFonts w:hint="eastAsia" w:ascii="宋体" w:hAnsi="宋体" w:eastAsia="宋体" w:cs="宋体"/>
          <w:color w:val="auto"/>
          <w:sz w:val="24"/>
          <w:szCs w:val="24"/>
          <w:u w:val="single"/>
        </w:rPr>
      </w:pPr>
      <w:r>
        <w:rPr>
          <w:rStyle w:val="498"/>
          <w:rFonts w:hint="eastAsia" w:ascii="宋体" w:hAnsi="宋体" w:eastAsia="宋体" w:cs="宋体"/>
          <w:color w:val="auto"/>
          <w:kern w:val="0"/>
          <w:sz w:val="24"/>
          <w:szCs w:val="24"/>
        </w:rPr>
        <w:t>项目经理未经批准，擅自离开施工现场的违约责任：</w:t>
      </w:r>
      <w:r>
        <w:rPr>
          <w:rStyle w:val="498"/>
          <w:rFonts w:hint="eastAsia" w:ascii="宋体" w:hAnsi="宋体" w:eastAsia="宋体" w:cs="宋体"/>
          <w:color w:val="auto"/>
          <w:sz w:val="24"/>
          <w:szCs w:val="24"/>
          <w:u w:val="single"/>
        </w:rPr>
        <w:t>处违约金1000元/人次。</w:t>
      </w:r>
    </w:p>
    <w:p>
      <w:pPr>
        <w:spacing w:line="360" w:lineRule="auto"/>
        <w:ind w:left="293" w:leftChars="122"/>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擅自调整项目经理的违约责任：</w:t>
      </w:r>
      <w:r>
        <w:rPr>
          <w:rStyle w:val="498"/>
          <w:rFonts w:hint="eastAsia" w:ascii="宋体" w:hAnsi="宋体" w:eastAsia="宋体" w:cs="宋体"/>
          <w:color w:val="auto"/>
          <w:sz w:val="24"/>
          <w:szCs w:val="24"/>
          <w:u w:val="single"/>
        </w:rPr>
        <w:t>处违约金2000元/人次。</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3.3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人员</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3.3.1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提交项目管理机构及施工现场管理人员安排报告的期限：</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进场前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3.3.2尽管</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已按承诺派遣了相关人员，但若这些人员仍不能满足合同进度计划和（或）质量要求时，监理人有权要求</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继续增派或雇用这类人员，并书面通知</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和抄送</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在接到上述通知后应立即执行监理人的上述指示，不得无故拖延，由此增加的费用和（或）工期延误由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w:t>
      </w:r>
    </w:p>
    <w:p>
      <w:pPr>
        <w:spacing w:line="360" w:lineRule="auto"/>
        <w:ind w:firstLine="472" w:firstLineChars="200"/>
        <w:rPr>
          <w:rStyle w:val="498"/>
          <w:rFonts w:hint="eastAsia" w:ascii="宋体" w:hAnsi="宋体" w:eastAsia="宋体" w:cs="宋体"/>
          <w:color w:val="auto"/>
          <w:sz w:val="24"/>
          <w:szCs w:val="24"/>
        </w:rPr>
      </w:pPr>
      <w:r>
        <w:rPr>
          <w:rStyle w:val="498"/>
          <w:rFonts w:hint="eastAsia" w:ascii="宋体" w:hAnsi="宋体" w:eastAsia="宋体" w:cs="宋体"/>
          <w:bCs/>
          <w:color w:val="auto"/>
          <w:spacing w:val="-2"/>
          <w:sz w:val="24"/>
          <w:szCs w:val="24"/>
        </w:rPr>
        <w:t>3.3.3</w:t>
      </w:r>
      <w:r>
        <w:rPr>
          <w:rStyle w:val="498"/>
          <w:rFonts w:hint="eastAsia" w:ascii="宋体" w:hAnsi="宋体" w:eastAsia="宋体" w:cs="宋体"/>
          <w:color w:val="auto"/>
          <w:spacing w:val="-2"/>
          <w:sz w:val="24"/>
          <w:szCs w:val="24"/>
        </w:rPr>
        <w:t xml:space="preserve">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 xml:space="preserve">无正当理由拒绝撤换主要施工管理人员的违约责任：  从拒绝更换之日起每日承担500元违约金。   </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3.3.4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主要施工管理人员离开施工现场的批准要求：主要施工管理人员提出书面请求并经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批准。</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主要施工管理人员擅自离开施工现场的违约责任：承担违约金500元/人次。</w:t>
      </w:r>
    </w:p>
    <w:p>
      <w:pPr>
        <w:spacing w:line="360" w:lineRule="auto"/>
        <w:ind w:firstLine="422" w:firstLineChars="175"/>
        <w:rPr>
          <w:rStyle w:val="498"/>
          <w:rFonts w:hint="eastAsia" w:ascii="宋体" w:hAnsi="宋体" w:eastAsia="宋体" w:cs="宋体"/>
          <w:b/>
          <w:color w:val="auto"/>
          <w:sz w:val="24"/>
          <w:szCs w:val="24"/>
        </w:rPr>
      </w:pPr>
      <w:r>
        <w:rPr>
          <w:rStyle w:val="498"/>
          <w:rFonts w:hint="eastAsia" w:ascii="宋体" w:hAnsi="宋体" w:eastAsia="宋体" w:cs="宋体"/>
          <w:b/>
          <w:color w:val="auto"/>
          <w:sz w:val="24"/>
          <w:szCs w:val="24"/>
        </w:rPr>
        <w:t>备注：主要施工管理人员即响应文件拟派的技术负责人、施工员、 安全员、 质检员、材料员、造价员、资料员。</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3.4 分包</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3.4.1 分包的一般约定</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禁止分包的工程包括：</w:t>
      </w:r>
      <w:r>
        <w:rPr>
          <w:rStyle w:val="498"/>
          <w:rFonts w:hint="eastAsia" w:ascii="宋体" w:hAnsi="宋体" w:eastAsia="宋体" w:cs="宋体"/>
          <w:color w:val="auto"/>
          <w:sz w:val="24"/>
          <w:szCs w:val="24"/>
          <w:u w:val="single"/>
        </w:rPr>
        <w:t>以暂估价形式包括在总承包范围内的工程属于依法必须进行招标的项目范围且达到国家和区政府相关规定规模标准的，应当依法进行招标。</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主体结构、关键性工作的范围：</w:t>
      </w:r>
      <w:r>
        <w:rPr>
          <w:rStyle w:val="498"/>
          <w:rFonts w:hint="eastAsia" w:ascii="宋体" w:hAnsi="宋体" w:eastAsia="宋体" w:cs="宋体"/>
          <w:color w:val="auto"/>
          <w:sz w:val="24"/>
          <w:szCs w:val="24"/>
          <w:u w:val="single"/>
        </w:rPr>
        <w:t>非主体、非关键性工程，经</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同意后，可依法分包。</w:t>
      </w:r>
    </w:p>
    <w:p>
      <w:pPr>
        <w:spacing w:line="360" w:lineRule="auto"/>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    3.4.2分包的确定</w:t>
      </w:r>
    </w:p>
    <w:p>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允许分包的专业工程包括：</w:t>
      </w:r>
      <w:r>
        <w:rPr>
          <w:rStyle w:val="498"/>
          <w:rFonts w:hint="eastAsia" w:ascii="宋体" w:hAnsi="宋体" w:eastAsia="宋体" w:cs="宋体"/>
          <w:color w:val="auto"/>
          <w:sz w:val="24"/>
          <w:szCs w:val="24"/>
          <w:u w:val="single"/>
        </w:rPr>
        <w:t xml:space="preserve">     /     。</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其他关于分包的约定：</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不得将其承包的工程转包给第三者；如需分包，应按国家及重庆市的有关规定执行，并报</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批准后实施。</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3.4.3 分包合同价款</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关于分包合同价款支付的约定：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支付       </w:t>
      </w:r>
      <w:r>
        <w:rPr>
          <w:rStyle w:val="498"/>
          <w:rFonts w:hint="eastAsia" w:ascii="宋体" w:hAnsi="宋体" w:eastAsia="宋体" w:cs="宋体"/>
          <w:color w:val="auto"/>
          <w:sz w:val="24"/>
          <w:szCs w:val="24"/>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3.5 工程照管与成品、半成品保护</w:t>
      </w:r>
    </w:p>
    <w:p>
      <w:pPr>
        <w:spacing w:line="360" w:lineRule="auto"/>
        <w:ind w:firstLine="420" w:firstLineChars="175"/>
        <w:rPr>
          <w:rStyle w:val="498"/>
          <w:rFonts w:hint="eastAsia" w:ascii="宋体" w:hAnsi="宋体" w:eastAsia="宋体" w:cs="宋体"/>
          <w:color w:val="auto"/>
          <w:kern w:val="0"/>
          <w:sz w:val="24"/>
          <w:szCs w:val="24"/>
          <w:u w:val="single"/>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负责照管工程及工程相关的材料、工程设备的起始时间：</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进场之日至移交给</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或</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指定的第三人之日。</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3.6 履约担保</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是否提供履约担保：</w:t>
      </w:r>
      <w:r>
        <w:rPr>
          <w:rStyle w:val="498"/>
          <w:rFonts w:hint="eastAsia" w:ascii="宋体" w:hAnsi="宋体" w:eastAsia="宋体" w:cs="宋体"/>
          <w:b/>
          <w:color w:val="auto"/>
          <w:kern w:val="0"/>
          <w:sz w:val="24"/>
          <w:szCs w:val="24"/>
          <w:u w:val="single"/>
        </w:rPr>
        <w:t>是</w:t>
      </w:r>
      <w:r>
        <w:rPr>
          <w:rStyle w:val="498"/>
          <w:rFonts w:hint="eastAsia" w:ascii="宋体" w:hAnsi="宋体" w:eastAsia="宋体" w:cs="宋体"/>
          <w:color w:val="auto"/>
          <w:sz w:val="24"/>
          <w:szCs w:val="24"/>
        </w:rPr>
        <w:t>。</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提供履约担保的形式、金额及期限</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递交形式：转账或提供同等金额保函方式。</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履约保证金的递交金额：成交合同金额的10%。</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履约保证金的递交时间：合同签订前</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一次性缴纳成交总金额10%的履约保证金。</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履约保证金的退还：</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在工程验收竣工合格后10个工作日内无息退还履约保证金。</w:t>
      </w:r>
    </w:p>
    <w:p>
      <w:pPr>
        <w:spacing w:line="360" w:lineRule="auto"/>
        <w:ind w:firstLine="482" w:firstLineChars="200"/>
        <w:jc w:val="left"/>
        <w:rPr>
          <w:rStyle w:val="498"/>
          <w:rFonts w:hint="eastAsia" w:ascii="宋体" w:hAnsi="宋体" w:eastAsia="宋体" w:cs="宋体"/>
          <w:color w:val="auto"/>
          <w:sz w:val="24"/>
          <w:szCs w:val="24"/>
        </w:rPr>
      </w:pPr>
      <w:r>
        <w:rPr>
          <w:rStyle w:val="498"/>
          <w:rFonts w:hint="eastAsia" w:ascii="宋体" w:hAnsi="宋体" w:eastAsia="宋体" w:cs="宋体"/>
          <w:b/>
          <w:color w:val="auto"/>
          <w:kern w:val="0"/>
          <w:sz w:val="24"/>
          <w:szCs w:val="24"/>
        </w:rPr>
        <w:t>注：履约担保</w:t>
      </w:r>
      <w:r>
        <w:rPr>
          <w:rStyle w:val="498"/>
          <w:rFonts w:hint="eastAsia" w:ascii="宋体" w:hAnsi="宋体" w:eastAsia="宋体" w:cs="宋体"/>
          <w:b/>
          <w:color w:val="auto"/>
          <w:kern w:val="0"/>
          <w:sz w:val="24"/>
          <w:szCs w:val="24"/>
          <w:lang w:eastAsia="zh-CN"/>
        </w:rPr>
        <w:t>承包人</w:t>
      </w:r>
      <w:r>
        <w:rPr>
          <w:rStyle w:val="498"/>
          <w:rFonts w:hint="eastAsia" w:ascii="宋体" w:hAnsi="宋体" w:eastAsia="宋体" w:cs="宋体"/>
          <w:b/>
          <w:color w:val="auto"/>
          <w:kern w:val="0"/>
          <w:sz w:val="24"/>
          <w:szCs w:val="24"/>
        </w:rPr>
        <w:t>须从其企业基本账户将相应的担保金额打入</w:t>
      </w:r>
      <w:r>
        <w:rPr>
          <w:rStyle w:val="498"/>
          <w:rFonts w:hint="eastAsia" w:ascii="宋体" w:hAnsi="宋体" w:eastAsia="宋体" w:cs="宋体"/>
          <w:b/>
          <w:color w:val="auto"/>
          <w:kern w:val="0"/>
          <w:sz w:val="24"/>
          <w:szCs w:val="24"/>
          <w:lang w:eastAsia="zh-CN"/>
        </w:rPr>
        <w:t>发包人</w:t>
      </w:r>
      <w:r>
        <w:rPr>
          <w:rStyle w:val="498"/>
          <w:rFonts w:hint="eastAsia" w:ascii="宋体" w:hAnsi="宋体" w:eastAsia="宋体" w:cs="宋体"/>
          <w:b/>
          <w:color w:val="auto"/>
          <w:kern w:val="0"/>
          <w:sz w:val="24"/>
          <w:szCs w:val="24"/>
        </w:rPr>
        <w:t>指定的账户。</w:t>
      </w:r>
    </w:p>
    <w:p>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4. 监理人</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4.1监理人的一般规定</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关于监理人的监理内容：</w:t>
      </w:r>
      <w:r>
        <w:rPr>
          <w:rStyle w:val="498"/>
          <w:rFonts w:hint="eastAsia" w:ascii="宋体" w:hAnsi="宋体" w:eastAsia="宋体" w:cs="宋体"/>
          <w:color w:val="auto"/>
          <w:sz w:val="24"/>
          <w:szCs w:val="24"/>
          <w:u w:val="single"/>
        </w:rPr>
        <w:t>见该建设工程项目监理合同</w:t>
      </w:r>
      <w:r>
        <w:rPr>
          <w:rStyle w:val="498"/>
          <w:rFonts w:hint="eastAsia" w:ascii="宋体" w:hAnsi="宋体" w:eastAsia="宋体" w:cs="宋体"/>
          <w:color w:val="auto"/>
          <w:sz w:val="24"/>
          <w:szCs w:val="24"/>
        </w:rPr>
        <w:t>。</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关于监理人的监理权限：</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须经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 xml:space="preserve">事先批准行使的权力： </w:t>
      </w:r>
      <w:r>
        <w:rPr>
          <w:rStyle w:val="498"/>
          <w:rFonts w:hint="eastAsia" w:ascii="宋体" w:hAnsi="宋体" w:eastAsia="宋体" w:cs="宋体"/>
          <w:color w:val="auto"/>
          <w:sz w:val="24"/>
          <w:szCs w:val="24"/>
          <w:u w:val="single"/>
        </w:rPr>
        <w:t>工程开工、停工、复工令的签发需经</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同意，工期延长、材料设备认质核价、工程变更、现场签证、价款调整、工程计量与支付、索赔及与工程价款相关事宜等需经</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核定和批准。</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监理人的职责：</w:t>
      </w:r>
      <w:r>
        <w:rPr>
          <w:rStyle w:val="498"/>
          <w:rFonts w:hint="eastAsia" w:ascii="宋体" w:hAnsi="宋体" w:eastAsia="宋体" w:cs="宋体"/>
          <w:color w:val="auto"/>
          <w:sz w:val="24"/>
          <w:szCs w:val="24"/>
          <w:u w:val="single"/>
        </w:rPr>
        <w:t>监理人按照与</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签订的监理合同对工程质量、工程进度、工程投资、施工安全进行控制，对合同和信息进行管理以及施工现场的协调。工程设计变更、施工方案变更、计划变更、材料设备标准变更、工程增减变更等需经</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批准。代表</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对工程质量、进度、投资进行控制，对合同和信息进行管理，对安全生产、文明施工、环保和环卫进行监督，并对现场施工组织进行协调。详见监理合同。</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在工程施工过程中，授权监理人对</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如下行为进行适当的经济处罚，</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应当予以接受。</w:t>
      </w:r>
    </w:p>
    <w:p>
      <w:pPr>
        <w:widowControl/>
        <w:numPr>
          <w:ilvl w:val="0"/>
          <w:numId w:val="5"/>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质量行为不规范，且经现场监理人员提出后仍不整改的。</w:t>
      </w:r>
    </w:p>
    <w:p>
      <w:pPr>
        <w:widowControl/>
        <w:numPr>
          <w:ilvl w:val="0"/>
          <w:numId w:val="5"/>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安全行为不规范，且经现场监理人员提出后仍不整改的。</w:t>
      </w:r>
    </w:p>
    <w:p>
      <w:pPr>
        <w:widowControl/>
        <w:numPr>
          <w:ilvl w:val="0"/>
          <w:numId w:val="5"/>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因</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原因，进度控制不力，连续两次检查进度滞后的。</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因</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原因，进度控制不力，连续两次检查进度滞后的。关于监理人在施工现场的办公场所、生活场所的提供和费用承担的约定：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免费向监理人提供</w:t>
      </w:r>
      <w:r>
        <w:rPr>
          <w:rStyle w:val="498"/>
          <w:rFonts w:hint="eastAsia" w:ascii="宋体" w:hAnsi="宋体" w:eastAsia="宋体" w:cs="宋体"/>
          <w:color w:val="auto"/>
          <w:sz w:val="24"/>
          <w:szCs w:val="24"/>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4.2 监理人员</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总监理工程师：</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姓    名：</w:t>
      </w:r>
      <w:r>
        <w:rPr>
          <w:rStyle w:val="498"/>
          <w:rFonts w:hint="eastAsia" w:ascii="宋体" w:hAnsi="宋体" w:eastAsia="宋体" w:cs="宋体"/>
          <w:color w:val="auto"/>
          <w:sz w:val="24"/>
          <w:szCs w:val="24"/>
          <w:u w:val="single"/>
        </w:rPr>
        <w:t>  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职    务：</w:t>
      </w:r>
      <w:r>
        <w:rPr>
          <w:rStyle w:val="498"/>
          <w:rFonts w:hint="eastAsia" w:ascii="宋体" w:hAnsi="宋体" w:eastAsia="宋体" w:cs="宋体"/>
          <w:color w:val="auto"/>
          <w:sz w:val="24"/>
          <w:szCs w:val="24"/>
          <w:u w:val="single"/>
        </w:rPr>
        <w:t>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监理工程师执业资格证书号：</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联系电话：</w:t>
      </w:r>
      <w:r>
        <w:rPr>
          <w:rStyle w:val="498"/>
          <w:rFonts w:hint="eastAsia" w:ascii="宋体" w:hAnsi="宋体" w:eastAsia="宋体" w:cs="宋体"/>
          <w:color w:val="auto"/>
          <w:sz w:val="24"/>
          <w:szCs w:val="24"/>
          <w:u w:val="single"/>
        </w:rPr>
        <w:t>   </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通信地址：</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u w:val="single"/>
          <w:lang w:val="en-US" w:eastAsia="zh-CN"/>
        </w:rPr>
        <w:t xml:space="preserve">            </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关于监理人的其他约定：</w:t>
      </w:r>
      <w:r>
        <w:rPr>
          <w:rStyle w:val="498"/>
          <w:rFonts w:hint="eastAsia" w:ascii="宋体" w:hAnsi="宋体" w:eastAsia="宋体" w:cs="宋体"/>
          <w:color w:val="auto"/>
          <w:sz w:val="24"/>
          <w:szCs w:val="24"/>
          <w:u w:val="single"/>
        </w:rPr>
        <w:t>无 </w:t>
      </w:r>
      <w:r>
        <w:rPr>
          <w:rStyle w:val="498"/>
          <w:rFonts w:hint="eastAsia" w:ascii="宋体" w:hAnsi="宋体" w:eastAsia="宋体" w:cs="宋体"/>
          <w:color w:val="auto"/>
          <w:sz w:val="24"/>
          <w:szCs w:val="24"/>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4.3商定或确定</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在</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和</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不能通过协商达成一致意见时，</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授权监理人对以下事项进行确定</w:t>
      </w:r>
      <w:r>
        <w:rPr>
          <w:rStyle w:val="498"/>
          <w:rFonts w:hint="eastAsia" w:ascii="宋体" w:hAnsi="宋体" w:eastAsia="宋体" w:cs="宋体"/>
          <w:color w:val="auto"/>
          <w:sz w:val="24"/>
          <w:szCs w:val="24"/>
          <w:u w:val="single"/>
        </w:rPr>
        <w:t>无</w:t>
      </w:r>
      <w:r>
        <w:rPr>
          <w:rStyle w:val="498"/>
          <w:rFonts w:hint="eastAsia" w:ascii="宋体" w:hAnsi="宋体" w:eastAsia="宋体" w:cs="宋体"/>
          <w:color w:val="auto"/>
          <w:sz w:val="24"/>
          <w:szCs w:val="24"/>
        </w:rPr>
        <w:t>。</w:t>
      </w:r>
    </w:p>
    <w:p>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5. 工程质量</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5.1 质量要求</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5.1.1.1在工程建设中，工程建设相关各方应执行以下规定：</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（1）《民用建筑工程节能质量监督管理办法》（建质[2006]192号）</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（2）《重庆市建筑节能条例》（重庆市人大[2007]第34号公告）</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（3）《重庆市建设工程十项施工质量通病防治要点》（渝建发[2004]172号）</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（4）《重庆市住宅工程质量分户检验管理办法（试行）》（渝建发[2007]199号）</w:t>
      </w:r>
    </w:p>
    <w:p>
      <w:pPr>
        <w:spacing w:line="360" w:lineRule="auto"/>
        <w:ind w:firstLine="464" w:firstLineChars="200"/>
        <w:jc w:val="left"/>
        <w:rPr>
          <w:rStyle w:val="498"/>
          <w:rFonts w:hint="eastAsia" w:ascii="宋体" w:hAnsi="宋体" w:eastAsia="宋体" w:cs="宋体"/>
          <w:color w:val="auto"/>
          <w:spacing w:val="-4"/>
          <w:sz w:val="24"/>
          <w:szCs w:val="24"/>
        </w:rPr>
      </w:pPr>
      <w:r>
        <w:rPr>
          <w:rStyle w:val="498"/>
          <w:rFonts w:hint="eastAsia" w:ascii="宋体" w:hAnsi="宋体" w:eastAsia="宋体" w:cs="宋体"/>
          <w:color w:val="auto"/>
          <w:spacing w:val="-4"/>
          <w:sz w:val="24"/>
          <w:szCs w:val="24"/>
        </w:rPr>
        <w:t>（5）重庆市建设委员会关于规范住宅工程初装饰竣工验收的通知》（渝建发[2007]226号）</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（6）《重庆城市桥梁荷载试验管理暂行办法》（渝建发[2007]112号）</w:t>
      </w:r>
    </w:p>
    <w:p>
      <w:pPr>
        <w:tabs>
          <w:tab w:val="left" w:pos="1560"/>
          <w:tab w:val="left" w:pos="3119"/>
        </w:tabs>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（7）《建设部关于贯彻执行工程勘察设计及施工质量验收规范若干问题的通知》（建标[2002]212号）</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（8）《重庆市建设委员会关于在房屋建筑和市政基础设施工程推行预拌商品砂浆的实施意见》（渝建发[2008]30号）</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（9）《重庆市建设委员会关于发布&lt;建筑工程施工质量验收规范用表（建筑节能分部工程）&gt;和&lt;建设工程技术用表（建筑节能工程）&gt;的通知》（渝建发[2008]76号）</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备注：若以上文件有废止情况的，则按照现行最新的相关法律法规及规范性文件执行。</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5.1.1.2特殊质量标准和要求：</w:t>
      </w:r>
      <w:r>
        <w:rPr>
          <w:rStyle w:val="498"/>
          <w:rFonts w:hint="eastAsia" w:ascii="宋体" w:hAnsi="宋体" w:eastAsia="宋体" w:cs="宋体"/>
          <w:color w:val="auto"/>
          <w:sz w:val="24"/>
          <w:szCs w:val="24"/>
          <w:u w:val="single"/>
        </w:rPr>
        <w:t xml:space="preserve"> 无  </w:t>
      </w:r>
      <w:r>
        <w:rPr>
          <w:rStyle w:val="498"/>
          <w:rFonts w:hint="eastAsia" w:ascii="宋体" w:hAnsi="宋体" w:eastAsia="宋体" w:cs="宋体"/>
          <w:color w:val="auto"/>
          <w:sz w:val="24"/>
          <w:szCs w:val="24"/>
        </w:rPr>
        <w:t>。</w:t>
      </w:r>
    </w:p>
    <w:p>
      <w:pPr>
        <w:spacing w:line="360" w:lineRule="auto"/>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关于工程奖项的约定：</w:t>
      </w:r>
      <w:r>
        <w:rPr>
          <w:rStyle w:val="498"/>
          <w:rFonts w:hint="eastAsia" w:ascii="宋体" w:hAnsi="宋体" w:eastAsia="宋体" w:cs="宋体"/>
          <w:color w:val="auto"/>
          <w:sz w:val="24"/>
          <w:szCs w:val="24"/>
          <w:u w:val="single"/>
        </w:rPr>
        <w:t xml:space="preserve"> 无    </w:t>
      </w:r>
      <w:r>
        <w:rPr>
          <w:rStyle w:val="498"/>
          <w:rFonts w:hint="eastAsia" w:ascii="宋体" w:hAnsi="宋体" w:eastAsia="宋体" w:cs="宋体"/>
          <w:color w:val="auto"/>
          <w:sz w:val="24"/>
          <w:szCs w:val="24"/>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5.2 隐蔽工程检查</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5.2.2</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提前通知监理人隐蔽工程检查的期限的约定：</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 xml:space="preserve">应提前 </w:t>
      </w:r>
      <w:r>
        <w:rPr>
          <w:rStyle w:val="498"/>
          <w:rFonts w:hint="eastAsia" w:ascii="宋体" w:hAnsi="宋体" w:eastAsia="宋体" w:cs="宋体"/>
          <w:color w:val="auto"/>
          <w:sz w:val="24"/>
          <w:szCs w:val="24"/>
          <w:u w:val="single"/>
        </w:rPr>
        <w:t xml:space="preserve">48小时 </w:t>
      </w:r>
      <w:r>
        <w:rPr>
          <w:rStyle w:val="498"/>
          <w:rFonts w:hint="eastAsia" w:ascii="宋体" w:hAnsi="宋体" w:eastAsia="宋体" w:cs="宋体"/>
          <w:color w:val="auto"/>
          <w:sz w:val="24"/>
          <w:szCs w:val="24"/>
        </w:rPr>
        <w:t xml:space="preserve">书面通知 </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现场代表、监理人、跟踪审核人员 进行工程隐蔽部位的检查；</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监理人、跟踪审核人员不能按时进行检查时，应提前</w:t>
      </w:r>
      <w:r>
        <w:rPr>
          <w:rStyle w:val="498"/>
          <w:rFonts w:hint="eastAsia" w:ascii="宋体" w:hAnsi="宋体" w:eastAsia="宋体" w:cs="宋体"/>
          <w:color w:val="auto"/>
          <w:sz w:val="24"/>
          <w:szCs w:val="24"/>
          <w:u w:val="single"/>
        </w:rPr>
        <w:t xml:space="preserve"> 24 </w:t>
      </w:r>
      <w:r>
        <w:rPr>
          <w:rStyle w:val="498"/>
          <w:rFonts w:hint="eastAsia" w:ascii="宋体" w:hAnsi="宋体" w:eastAsia="宋体" w:cs="宋体"/>
          <w:color w:val="auto"/>
          <w:sz w:val="24"/>
          <w:szCs w:val="24"/>
        </w:rPr>
        <w:t>小时提交书面延期要求，延期最长不得超过：</w:t>
      </w:r>
      <w:r>
        <w:rPr>
          <w:rStyle w:val="498"/>
          <w:rFonts w:hint="eastAsia" w:ascii="宋体" w:hAnsi="宋体" w:eastAsia="宋体" w:cs="宋体"/>
          <w:color w:val="auto"/>
          <w:sz w:val="24"/>
          <w:szCs w:val="24"/>
          <w:u w:val="single"/>
        </w:rPr>
        <w:t xml:space="preserve"> 24 </w:t>
      </w:r>
      <w:r>
        <w:rPr>
          <w:rStyle w:val="498"/>
          <w:rFonts w:hint="eastAsia" w:ascii="宋体" w:hAnsi="宋体" w:eastAsia="宋体" w:cs="宋体"/>
          <w:color w:val="auto"/>
          <w:sz w:val="24"/>
          <w:szCs w:val="24"/>
        </w:rPr>
        <w:t>小时，由此导致的工期延误不予顺延。</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应于</w:t>
      </w:r>
      <w:r>
        <w:rPr>
          <w:rStyle w:val="498"/>
          <w:rFonts w:hint="eastAsia" w:ascii="宋体" w:hAnsi="宋体" w:eastAsia="宋体" w:cs="宋体"/>
          <w:color w:val="auto"/>
          <w:sz w:val="24"/>
          <w:szCs w:val="24"/>
          <w:u w:val="single"/>
        </w:rPr>
        <w:t xml:space="preserve"> 48 </w:t>
      </w:r>
      <w:r>
        <w:rPr>
          <w:rStyle w:val="498"/>
          <w:rFonts w:hint="eastAsia" w:ascii="宋体" w:hAnsi="宋体" w:eastAsia="宋体" w:cs="宋体"/>
          <w:color w:val="auto"/>
          <w:sz w:val="24"/>
          <w:szCs w:val="24"/>
        </w:rPr>
        <w:t>小时内制作“隐蔽工程验收记录表”并报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现场代表、监理人、跟踪审核人员签字确认。</w:t>
      </w:r>
    </w:p>
    <w:p>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6. 安全文明施工与环境保护</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6.1安全文明施工</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项目建设中执行《重庆市建设工程安全文明施工费计取及使用管理规定》（渝建发[2014]25号）等有关安全生产和文明施工的现行相关规定。</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6.1.1 项目安全生产的达标目标及相应事项的约定：</w:t>
      </w:r>
      <w:r>
        <w:rPr>
          <w:rStyle w:val="498"/>
          <w:rFonts w:hint="eastAsia" w:ascii="宋体" w:hAnsi="宋体" w:eastAsia="宋体" w:cs="宋体"/>
          <w:color w:val="auto"/>
          <w:sz w:val="24"/>
          <w:szCs w:val="24"/>
          <w:u w:val="single"/>
        </w:rPr>
        <w:t xml:space="preserve"> </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应按照《重庆市建设工程安全生产监督管理办法》（渝建发〔2008〕177号）、《重庆市房屋建筑和市政基础设施工程现场文明施工标准》（渝建发〔2014〕25号）等相关规定履行好</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的施工安全责任。</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6.1.2</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应负责施工安全（包含但不仅限于施工现场及施工周边的施工人身安全、行人安全等），若发生一切安全事故和经济损失，责任由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全部承担，</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不承担任何责任。</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6.1.3关于治安保卫的特别约定：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负责现场治安管理机构或联防组织的组建并自行承担相应费用。</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关于编制施工场地治安管理计划的约定：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编制，并由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承担施工现场安全保卫工作及非夜间施工照明安全保卫工作。</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6.1.4文明施工</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合同当事人对文明施工的要求：</w:t>
      </w:r>
    </w:p>
    <w:p>
      <w:pPr>
        <w:spacing w:line="360" w:lineRule="auto"/>
        <w:ind w:left="368"/>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（1）按国务院令第393号《建设工程安全生产管理条例》和《通用条款》第五条执行，并按渝建发[2010]185号文件执行。</w:t>
      </w:r>
    </w:p>
    <w:p>
      <w:pPr>
        <w:spacing w:line="360" w:lineRule="auto"/>
        <w:ind w:left="368"/>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（2）工程开工前，</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必须按渝建发[2014]25号第九条规定及</w:t>
      </w:r>
      <w:r>
        <w:rPr>
          <w:rStyle w:val="498"/>
          <w:rFonts w:hint="eastAsia" w:ascii="宋体" w:hAnsi="宋体" w:eastAsia="宋体" w:cs="宋体"/>
          <w:color w:val="auto"/>
          <w:spacing w:val="19"/>
          <w:sz w:val="24"/>
          <w:szCs w:val="24"/>
        </w:rPr>
        <w:t>渝建发〔2016〕35号文</w:t>
      </w:r>
      <w:r>
        <w:rPr>
          <w:rStyle w:val="498"/>
          <w:rFonts w:hint="eastAsia" w:ascii="宋体" w:hAnsi="宋体" w:eastAsia="宋体" w:cs="宋体"/>
          <w:color w:val="auto"/>
          <w:sz w:val="24"/>
          <w:szCs w:val="24"/>
        </w:rPr>
        <w:t>制定《安全文明施工措施实施方案》及《安全文明施工费使用计划》，报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、监理单位、跟踪审核单位审查同意。</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必须保证本工程施工现场的安全文明施工，达到安全文明施工合格工地的要求，且安全文明施工专项费按合格标准支付。</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按单位工程安全生产文明施工状况综合评定结果，如评定为不合格，</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不得计取安全文明施工费，其已支付的安全文明施工费在结算价中扣除。</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应负责施工安全，发生安全事故，责任由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全部承担</w:t>
      </w:r>
    </w:p>
    <w:p>
      <w:pPr>
        <w:spacing w:line="360" w:lineRule="auto"/>
        <w:ind w:firstLine="480" w:firstLineChars="200"/>
        <w:jc w:val="left"/>
        <w:rPr>
          <w:rStyle w:val="498"/>
          <w:rFonts w:hint="eastAsia" w:ascii="宋体" w:hAnsi="宋体" w:eastAsia="宋体" w:cs="宋体"/>
          <w:color w:val="auto"/>
          <w:spacing w:val="-4"/>
          <w:sz w:val="24"/>
          <w:szCs w:val="24"/>
        </w:rPr>
      </w:pPr>
      <w:r>
        <w:rPr>
          <w:rStyle w:val="498"/>
          <w:rFonts w:hint="eastAsia" w:ascii="宋体" w:hAnsi="宋体" w:eastAsia="宋体" w:cs="宋体"/>
          <w:color w:val="auto"/>
          <w:sz w:val="24"/>
          <w:szCs w:val="24"/>
        </w:rPr>
        <w:t xml:space="preserve">6.1.5 </w:t>
      </w:r>
      <w:r>
        <w:rPr>
          <w:rStyle w:val="498"/>
          <w:rFonts w:hint="eastAsia" w:ascii="宋体" w:hAnsi="宋体" w:eastAsia="宋体" w:cs="宋体"/>
          <w:color w:val="auto"/>
          <w:spacing w:val="-4"/>
          <w:sz w:val="24"/>
          <w:szCs w:val="24"/>
        </w:rPr>
        <w:t>关于安全文明施工费支付比例和支付期限的约定：</w:t>
      </w:r>
      <w:r>
        <w:rPr>
          <w:rStyle w:val="498"/>
          <w:rFonts w:hint="eastAsia" w:ascii="宋体" w:hAnsi="宋体" w:eastAsia="宋体" w:cs="宋体"/>
          <w:b/>
          <w:color w:val="auto"/>
          <w:spacing w:val="-4"/>
          <w:sz w:val="24"/>
          <w:szCs w:val="24"/>
        </w:rPr>
        <w:t>在签订施工合同后至工程开工前，</w:t>
      </w:r>
      <w:r>
        <w:rPr>
          <w:rStyle w:val="498"/>
          <w:rFonts w:hint="eastAsia" w:ascii="宋体" w:hAnsi="宋体" w:eastAsia="宋体" w:cs="宋体"/>
          <w:b/>
          <w:color w:val="auto"/>
          <w:spacing w:val="-4"/>
          <w:sz w:val="24"/>
          <w:szCs w:val="24"/>
          <w:lang w:eastAsia="zh-CN"/>
        </w:rPr>
        <w:t>发包人</w:t>
      </w:r>
      <w:r>
        <w:rPr>
          <w:rStyle w:val="498"/>
          <w:rFonts w:hint="eastAsia" w:ascii="宋体" w:hAnsi="宋体" w:eastAsia="宋体" w:cs="宋体"/>
          <w:b/>
          <w:color w:val="auto"/>
          <w:spacing w:val="-4"/>
          <w:sz w:val="24"/>
          <w:szCs w:val="24"/>
        </w:rPr>
        <w:t>将50%的安全文明施工费拨付给</w:t>
      </w:r>
      <w:r>
        <w:rPr>
          <w:rStyle w:val="498"/>
          <w:rFonts w:hint="eastAsia" w:ascii="宋体" w:hAnsi="宋体" w:eastAsia="宋体" w:cs="宋体"/>
          <w:b/>
          <w:color w:val="auto"/>
          <w:spacing w:val="-4"/>
          <w:sz w:val="24"/>
          <w:szCs w:val="24"/>
          <w:lang w:eastAsia="zh-CN"/>
        </w:rPr>
        <w:t>承包人</w:t>
      </w:r>
      <w:r>
        <w:rPr>
          <w:rStyle w:val="498"/>
          <w:rFonts w:hint="eastAsia" w:ascii="宋体" w:hAnsi="宋体" w:eastAsia="宋体" w:cs="宋体"/>
          <w:b/>
          <w:color w:val="auto"/>
          <w:spacing w:val="-4"/>
          <w:sz w:val="24"/>
          <w:szCs w:val="24"/>
        </w:rPr>
        <w:t>，余下安全文明施工费按施工进度支付。</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6.2</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按照《房屋建筑和市政基础设施工程施工扬尘控制工作方案》（渝建发〔2009〕13号）、《重庆市房屋建筑和市政基础设施工程现场文明施工标准》（渝建发〔2008〕169号）等相关规定履行好施工扬尘控制、文明施工等责任。</w:t>
      </w:r>
    </w:p>
    <w:p>
      <w:pPr>
        <w:pStyle w:val="501"/>
        <w:spacing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7. 工期和进度</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7.1 施工组织设计</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7.1.1 合同当事人约定的施工组织设计应包括的其他内容：</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应根据施工内容及各个工程的实际情况编制总体工程和各分部分项工程施工方案。</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7.1.2 施工组织设计的提交和修改</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提交详细施工组织设计的期限的约定：</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在设计交底后5天内完成相关部分的施工组织设计及专项方案等编报及论证工作并提交给监理人审批，于设计交底后5天内（此时间包括</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与监理人沟通修改方案的时间）将监理人审批通过的资料提交给</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审批，否则</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有权在提供上述文件后再支付进度款，并由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承担违约金2000元，同时</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承担因此而造成的各项损失。</w:t>
      </w:r>
    </w:p>
    <w:p>
      <w:pPr>
        <w:widowControl/>
        <w:numPr>
          <w:ilvl w:val="0"/>
          <w:numId w:val="6"/>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最终完整施工组织设计及专项方案需在进场后 5日历天完成，否则由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承担违约金500元。</w:t>
      </w:r>
    </w:p>
    <w:p>
      <w:pPr>
        <w:widowControl/>
        <w:numPr>
          <w:ilvl w:val="0"/>
          <w:numId w:val="6"/>
        </w:numPr>
        <w:tabs>
          <w:tab w:val="left" w:pos="0"/>
        </w:tabs>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和监理人在收到详细的施工组织设计后确认或提出修改意见的期限：</w:t>
      </w:r>
      <w:r>
        <w:rPr>
          <w:rStyle w:val="498"/>
          <w:rFonts w:hint="eastAsia" w:ascii="宋体" w:hAnsi="宋体" w:eastAsia="宋体" w:cs="宋体"/>
          <w:color w:val="auto"/>
          <w:sz w:val="24"/>
          <w:szCs w:val="24"/>
          <w:u w:val="single"/>
        </w:rPr>
        <w:t>监理人及</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 xml:space="preserve">收到施工组织设计和进度计划后 7 天内审查确认。 </w:t>
      </w:r>
    </w:p>
    <w:p>
      <w:pPr>
        <w:widowControl/>
        <w:numPr>
          <w:ilvl w:val="0"/>
          <w:numId w:val="6"/>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上述进场时间节点依据为第一次监理例会会议纪要，设计交底时间节点依据为各方参与的交底会议纪要，施工组织设计及专项方案提交</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的时间节点依据为监理人审批签署时间，最终完整的施工组织设计及专项方案时间节点依据为</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审批的签署时间，涉及的违约金在工程结算时依据合同约定审减。</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7.2 施工进度计划</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7.2.2 施工进度计划的修订</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和监理人在收到修订的施工进度计划后确认或提出修改意见的期限：</w:t>
      </w:r>
      <w:r>
        <w:rPr>
          <w:rStyle w:val="498"/>
          <w:rFonts w:hint="eastAsia" w:ascii="宋体" w:hAnsi="宋体" w:eastAsia="宋体" w:cs="宋体"/>
          <w:color w:val="auto"/>
          <w:sz w:val="24"/>
          <w:szCs w:val="24"/>
          <w:u w:val="single"/>
        </w:rPr>
        <w:t>监理人及</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收到施工组织设计和进度计划后7天内审查确认。</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7.3 开工</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7.3.1 开工准备</w:t>
      </w:r>
    </w:p>
    <w:p>
      <w:pPr>
        <w:spacing w:line="360" w:lineRule="auto"/>
        <w:ind w:firstLine="645"/>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w:t>
      </w:r>
      <w:r>
        <w:rPr>
          <w:rStyle w:val="498"/>
          <w:rFonts w:hint="eastAsia" w:ascii="宋体" w:hAnsi="宋体" w:eastAsia="宋体" w:cs="宋体"/>
          <w:color w:val="auto"/>
          <w:kern w:val="0"/>
          <w:sz w:val="24"/>
          <w:szCs w:val="24"/>
        </w:rPr>
        <w:t>工程开工报审表的期限：</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通知进场前</w:t>
      </w:r>
      <w:r>
        <w:rPr>
          <w:rStyle w:val="498"/>
          <w:rFonts w:hint="eastAsia" w:ascii="宋体" w:hAnsi="宋体" w:eastAsia="宋体" w:cs="宋体"/>
          <w:color w:val="auto"/>
          <w:sz w:val="24"/>
          <w:szCs w:val="24"/>
        </w:rPr>
        <w:t>。</w:t>
      </w:r>
    </w:p>
    <w:p>
      <w:pPr>
        <w:spacing w:line="360" w:lineRule="auto"/>
        <w:ind w:firstLine="645"/>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应完成的其他开工准备工作及期限：</w:t>
      </w:r>
      <w:r>
        <w:rPr>
          <w:rStyle w:val="498"/>
          <w:rFonts w:hint="eastAsia" w:ascii="宋体" w:hAnsi="宋体" w:eastAsia="宋体" w:cs="宋体"/>
          <w:color w:val="auto"/>
          <w:sz w:val="24"/>
          <w:szCs w:val="24"/>
          <w:u w:val="single"/>
        </w:rPr>
        <w:t>/</w:t>
      </w:r>
      <w:r>
        <w:rPr>
          <w:rStyle w:val="498"/>
          <w:rFonts w:hint="eastAsia" w:ascii="宋体" w:hAnsi="宋体" w:eastAsia="宋体" w:cs="宋体"/>
          <w:color w:val="auto"/>
          <w:sz w:val="24"/>
          <w:szCs w:val="24"/>
        </w:rPr>
        <w:t>。</w:t>
      </w:r>
    </w:p>
    <w:p>
      <w:pPr>
        <w:spacing w:line="360" w:lineRule="auto"/>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应完成的其他开工准备工作及期限：。</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7.3.2开工通知</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原因造成监理人未能在计划开工日期之日起</w:t>
      </w:r>
      <w:r>
        <w:rPr>
          <w:rStyle w:val="498"/>
          <w:rFonts w:hint="eastAsia" w:ascii="宋体" w:hAnsi="宋体" w:eastAsia="宋体" w:cs="宋体"/>
          <w:color w:val="auto"/>
          <w:sz w:val="24"/>
          <w:szCs w:val="24"/>
          <w:u w:val="single"/>
        </w:rPr>
        <w:t>90</w:t>
      </w:r>
      <w:r>
        <w:rPr>
          <w:rStyle w:val="498"/>
          <w:rFonts w:hint="eastAsia" w:ascii="宋体" w:hAnsi="宋体" w:eastAsia="宋体" w:cs="宋体"/>
          <w:color w:val="auto"/>
          <w:sz w:val="24"/>
          <w:szCs w:val="24"/>
        </w:rPr>
        <w:t>天内发出开工通知的，</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有权提出价格调整要求，或者解除合同。</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7.4 测量放线</w:t>
      </w:r>
    </w:p>
    <w:p>
      <w:pPr>
        <w:spacing w:line="360" w:lineRule="auto"/>
        <w:ind w:firstLine="468" w:firstLineChars="19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7.4.1</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通过监理人向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提供测量基准点、基准线和水准点及其书面资料的期限：</w:t>
      </w:r>
      <w:r>
        <w:rPr>
          <w:rStyle w:val="498"/>
          <w:rFonts w:hint="eastAsia" w:ascii="宋体" w:hAnsi="宋体" w:eastAsia="宋体" w:cs="宋体"/>
          <w:color w:val="auto"/>
          <w:sz w:val="24"/>
          <w:szCs w:val="24"/>
          <w:u w:val="single"/>
        </w:rPr>
        <w:t>开工前。</w:t>
      </w:r>
    </w:p>
    <w:p>
      <w:pPr>
        <w:spacing w:line="360" w:lineRule="auto"/>
        <w:ind w:firstLine="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 施工控制网的测设：</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负责。</w:t>
      </w:r>
    </w:p>
    <w:p>
      <w:pPr>
        <w:spacing w:line="360" w:lineRule="auto"/>
        <w:ind w:firstLine="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 报监理人审批施工控制网资料的期限：</w:t>
      </w:r>
      <w:r>
        <w:rPr>
          <w:rStyle w:val="498"/>
          <w:rFonts w:hint="eastAsia" w:ascii="宋体" w:hAnsi="宋体" w:eastAsia="宋体" w:cs="宋体"/>
          <w:color w:val="auto"/>
          <w:sz w:val="24"/>
          <w:szCs w:val="24"/>
          <w:u w:val="single"/>
        </w:rPr>
        <w:t xml:space="preserve">  发出开工通知后5 天</w:t>
      </w:r>
      <w:r>
        <w:rPr>
          <w:rStyle w:val="498"/>
          <w:rFonts w:hint="eastAsia" w:ascii="宋体" w:hAnsi="宋体" w:eastAsia="宋体" w:cs="宋体"/>
          <w:color w:val="auto"/>
          <w:sz w:val="24"/>
          <w:szCs w:val="24"/>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7.5 工期延误</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7.5.1 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原因导致工期延误</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（1）因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原因导致工期延误的其他情形：</w:t>
      </w:r>
      <w:r>
        <w:rPr>
          <w:rStyle w:val="498"/>
          <w:rFonts w:hint="eastAsia" w:ascii="宋体" w:hAnsi="宋体" w:eastAsia="宋体" w:cs="宋体"/>
          <w:color w:val="auto"/>
          <w:sz w:val="24"/>
          <w:szCs w:val="24"/>
          <w:u w:val="single"/>
        </w:rPr>
        <w:t>除工期顺延和补偿</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实际发生的合理损失外，</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不承担任何责任。</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7.5.2 因</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原因导致工期延误</w:t>
      </w:r>
    </w:p>
    <w:p>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因</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原因造成工期延误，逾期竣工违约金的计算方法为：</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（1）若因</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无故拖延等自身原因造成工期延误的，每延工一日扣除1000元/天作为赔偿。违约金最高不超过成交金额的5%。</w:t>
      </w:r>
    </w:p>
    <w:p>
      <w:pPr>
        <w:spacing w:line="360" w:lineRule="auto"/>
        <w:ind w:firstLine="240" w:firstLineChars="1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（2）除不可抗力外，因</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原因当月达不到绩效，发包双方认定的施工进度计划的要求时，则视为</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违约，</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有权要求</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对</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所造成的损失进行赔偿。</w:t>
      </w:r>
    </w:p>
    <w:p>
      <w:pPr>
        <w:spacing w:line="360" w:lineRule="auto"/>
        <w:ind w:firstLine="240" w:firstLineChars="1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工期延误屡教不改，情节严重。</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有权终止合同并要求</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赔偿损失。</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7.6 不利物质条件</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不利物质条件的其他情形和有关约定：</w:t>
      </w:r>
      <w:r>
        <w:rPr>
          <w:rStyle w:val="498"/>
          <w:rFonts w:hint="eastAsia" w:ascii="宋体" w:hAnsi="宋体" w:eastAsia="宋体" w:cs="宋体"/>
          <w:color w:val="auto"/>
          <w:sz w:val="24"/>
          <w:szCs w:val="24"/>
          <w:u w:val="single"/>
        </w:rPr>
        <w:t>无</w:t>
      </w:r>
      <w:r>
        <w:rPr>
          <w:rStyle w:val="498"/>
          <w:rFonts w:hint="eastAsia" w:ascii="宋体" w:hAnsi="宋体" w:eastAsia="宋体" w:cs="宋体"/>
          <w:color w:val="auto"/>
          <w:sz w:val="24"/>
          <w:szCs w:val="24"/>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7.7异常恶劣的气候条件</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和</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同意以下情形视为异常恶劣的气候条件：</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u w:val="single"/>
        </w:rPr>
        <w:t>如发生100年一遇的自然灾害（如台风、雪灾、洪水、高温等），以政府相关部门发布的信息资料为准。出现异常恶劣的气候条件，</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可要求</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延长工期，但</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不支持因此而产生的费用索赔。</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7.8 提前竣工的奖励</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7.9提前竣工的奖励：</w:t>
      </w:r>
      <w:r>
        <w:rPr>
          <w:rStyle w:val="498"/>
          <w:rFonts w:hint="eastAsia" w:ascii="宋体" w:hAnsi="宋体" w:eastAsia="宋体" w:cs="宋体"/>
          <w:color w:val="auto"/>
          <w:sz w:val="24"/>
          <w:szCs w:val="24"/>
          <w:u w:val="single"/>
        </w:rPr>
        <w:t>无</w:t>
      </w:r>
      <w:r>
        <w:rPr>
          <w:rStyle w:val="498"/>
          <w:rFonts w:hint="eastAsia" w:ascii="宋体" w:hAnsi="宋体" w:eastAsia="宋体" w:cs="宋体"/>
          <w:color w:val="auto"/>
          <w:sz w:val="24"/>
          <w:szCs w:val="24"/>
        </w:rPr>
        <w:t>。</w:t>
      </w:r>
    </w:p>
    <w:p>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8. 材料与设备</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8.1材料与工程设备的保管与使用</w:t>
      </w:r>
    </w:p>
    <w:p>
      <w:pPr>
        <w:spacing w:line="360" w:lineRule="auto"/>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8.1.1</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供应的材料设备的保管费用的承担：</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负责。 </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8.2 样品</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8.2.1</w:t>
      </w:r>
      <w:r>
        <w:rPr>
          <w:rStyle w:val="498"/>
          <w:rFonts w:hint="eastAsia" w:ascii="宋体" w:hAnsi="宋体" w:eastAsia="宋体" w:cs="宋体"/>
          <w:color w:val="auto"/>
          <w:kern w:val="0"/>
          <w:sz w:val="24"/>
          <w:szCs w:val="24"/>
        </w:rPr>
        <w:tab/>
      </w:r>
      <w:r>
        <w:rPr>
          <w:rStyle w:val="498"/>
          <w:rFonts w:hint="eastAsia" w:ascii="宋体" w:hAnsi="宋体" w:eastAsia="宋体" w:cs="宋体"/>
          <w:color w:val="auto"/>
          <w:kern w:val="0"/>
          <w:sz w:val="24"/>
          <w:szCs w:val="24"/>
        </w:rPr>
        <w:t>样品的报送与封存</w:t>
      </w:r>
    </w:p>
    <w:p>
      <w:pPr>
        <w:spacing w:line="360" w:lineRule="auto"/>
        <w:ind w:firstLine="480" w:firstLineChars="200"/>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需要</w:t>
      </w: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报送样品的材料或工程设备，样品的种类、名称、规格、数量要求：</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（1）需要</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报送样品的材料或工程设备，样品的种类、名称、规格、数量要求：对于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负责采购、运输和保管的材料、工程设备，</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应在采购前十四日内将所采购材料的厂家、技术参数、品牌、质量等级等指标以书面形式通知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收到</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的书面报告后七日内予以确认，经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认质、封样后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方可采购进场。</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认为</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所使用的材料品质存在缺陷，或者偏离图纸及规范要求（以设计和监理书面意见为准），不能适用于本工程，</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有权指定三个及以上种品牌供</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选择使用，</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不因更换材料品牌而调整材料价格及相关费用，</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拒绝</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要求的，该种材料改为由</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确定的第三方供货，</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收取</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材料费的20%作为违约金，并按</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实际支付的货款从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的结算价款中扣除。</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报送监理人审批的时间：施工实施前7天。</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（3）材料运输距离由投标单位根据自身情况及踏勘现场情况自行确定,成交后不调整。</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8.3 施工设备和临时设施</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8.3.1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提供的施工设备和临时设施</w:t>
      </w:r>
    </w:p>
    <w:p>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关于修建临时设施费用承担的约定：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 xml:space="preserve">承担修建临时设施费用的范围： </w:t>
      </w:r>
      <w:r>
        <w:rPr>
          <w:rStyle w:val="498"/>
          <w:rFonts w:hint="eastAsia" w:ascii="宋体" w:hAnsi="宋体" w:eastAsia="宋体" w:cs="宋体"/>
          <w:color w:val="auto"/>
          <w:sz w:val="24"/>
          <w:szCs w:val="24"/>
          <w:u w:val="single"/>
        </w:rPr>
        <w:t>项目所需修建临时设施的费用均包含在合同总价内，不予调整，施工现场临时设施的布置和搭设应满足工程实际需要，具体方案必须报总监理工程师批准，</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 xml:space="preserve">认可。 </w:t>
      </w:r>
    </w:p>
    <w:p>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 xml:space="preserve">临时占地的申请：  </w:t>
      </w:r>
      <w:r>
        <w:rPr>
          <w:rStyle w:val="498"/>
          <w:rFonts w:hint="eastAsia" w:ascii="宋体" w:hAnsi="宋体" w:eastAsia="宋体" w:cs="宋体"/>
          <w:color w:val="auto"/>
          <w:sz w:val="24"/>
          <w:szCs w:val="24"/>
          <w:u w:val="single"/>
        </w:rPr>
        <w:t>如有需要，</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 xml:space="preserve">自行办理。  </w:t>
      </w:r>
    </w:p>
    <w:p>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临时占地相关费用：</w:t>
      </w:r>
      <w:r>
        <w:rPr>
          <w:rStyle w:val="498"/>
          <w:rFonts w:hint="eastAsia" w:ascii="宋体" w:hAnsi="宋体" w:eastAsia="宋体" w:cs="宋体"/>
          <w:color w:val="auto"/>
          <w:sz w:val="24"/>
          <w:szCs w:val="24"/>
          <w:u w:val="single"/>
        </w:rPr>
        <w:t>如有需要，</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自行承担。</w:t>
      </w:r>
    </w:p>
    <w:p>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9. 试验与检验</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9.1试验设备与试验人员</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9.1.2 试验设备</w:t>
      </w:r>
    </w:p>
    <w:p>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施工现场需要配置的试验场所：</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施工现场需要配备的试验设备：</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pPr>
        <w:spacing w:line="360" w:lineRule="auto"/>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施工现场需要具备的其他试验条件：</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9.2 现场工艺试验</w:t>
      </w:r>
    </w:p>
    <w:p>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现场工艺试验的有关约定：</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pPr>
        <w:spacing w:line="360" w:lineRule="auto"/>
        <w:ind w:firstLine="482" w:firstLineChars="200"/>
        <w:jc w:val="left"/>
        <w:rPr>
          <w:rStyle w:val="498"/>
          <w:rFonts w:hint="eastAsia" w:ascii="宋体" w:hAnsi="宋体" w:eastAsia="宋体" w:cs="宋体"/>
          <w:b/>
          <w:color w:val="auto"/>
          <w:sz w:val="24"/>
          <w:szCs w:val="24"/>
        </w:rPr>
      </w:pPr>
      <w:r>
        <w:rPr>
          <w:rStyle w:val="498"/>
          <w:rFonts w:hint="eastAsia" w:ascii="宋体" w:hAnsi="宋体" w:eastAsia="宋体" w:cs="宋体"/>
          <w:b/>
          <w:color w:val="auto"/>
          <w:sz w:val="24"/>
          <w:szCs w:val="24"/>
        </w:rPr>
        <w:t>10. 变更</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10.1变更的范围</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关于变更的范围的约定：</w:t>
      </w:r>
      <w:r>
        <w:rPr>
          <w:rStyle w:val="498"/>
          <w:rFonts w:hint="eastAsia" w:ascii="宋体" w:hAnsi="宋体" w:eastAsia="宋体" w:cs="宋体"/>
          <w:color w:val="auto"/>
          <w:sz w:val="24"/>
          <w:szCs w:val="24"/>
          <w:u w:val="single"/>
        </w:rPr>
        <w:t>无，不可抗力造成的除外。</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所有工程变更经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及监理人审批同意后才能实施，否则由此造成的各种费用增加及损失由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承担。</w:t>
      </w:r>
    </w:p>
    <w:p>
      <w:pPr>
        <w:pStyle w:val="502"/>
        <w:spacing w:line="360" w:lineRule="auto"/>
        <w:ind w:firstLine="422"/>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10.2变更程序</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（1）所有变更先填写变更申请报告（附本次变更的初步核算工程量及经跟踪审核单位初步审核的金额）提前交与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审批后通知设计单位，设计单位依此作出变更。设计变更申请报告应包括：</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1）变更申请人；</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2）变更原因；</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3）变更可能增加或减少工程造价的估算，包括返工重做的经济损失和工期影响（延误或提前）；</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批复意见。</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（2）设计单位作出对施工设计图自我完善和补充提出变更：在不改变原使用功能和不提高造价及不延误工期的前提下，由设计单位自行变更，变更经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确认后由监理人向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发出变更指示；</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（3）虽不改变使用功能，但提高（减少）工程造价或延误工期，应事先书面征求</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意见并填写变更申请报告，经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批准后方可变更，变更经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确认后由监理人向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发出变更指示；</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或监理人要求变更，应先填写变更申请报告报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批准后通知设计单位根据变更申请报告合理作出变更，变更经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确认后由监理人向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发出变更指示；</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提出变更要求，由现场代表填写变更申请报告，经批准后通知设计单位根据变更申请报告合理作出变更，变更经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确认后由监理人向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发出变更指示。</w:t>
      </w:r>
    </w:p>
    <w:p>
      <w:pPr>
        <w:pStyle w:val="503"/>
        <w:spacing w:line="360" w:lineRule="auto"/>
        <w:ind w:left="0" w:firstLine="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 xml:space="preserve">10.3.1 </w:t>
      </w:r>
      <w:r>
        <w:rPr>
          <w:rStyle w:val="498"/>
          <w:rFonts w:hint="eastAsia" w:ascii="宋体" w:hAnsi="宋体" w:eastAsia="宋体" w:cs="宋体"/>
          <w:b w:val="0"/>
          <w:color w:val="auto"/>
          <w:sz w:val="24"/>
          <w:szCs w:val="24"/>
          <w:lang w:eastAsia="zh-CN"/>
        </w:rPr>
        <w:t>发包人</w:t>
      </w:r>
      <w:r>
        <w:rPr>
          <w:rStyle w:val="498"/>
          <w:rFonts w:hint="eastAsia" w:ascii="宋体" w:hAnsi="宋体" w:eastAsia="宋体" w:cs="宋体"/>
          <w:b w:val="0"/>
          <w:color w:val="auto"/>
          <w:sz w:val="24"/>
          <w:szCs w:val="24"/>
        </w:rPr>
        <w:t>提出变更</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提出的合理化建议和变更，能够降低合同价格或者提高工程经济效益的，</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应当无条件执行，合同价格调整执行结算原则。</w:t>
      </w:r>
    </w:p>
    <w:p>
      <w:pPr>
        <w:pStyle w:val="503"/>
        <w:spacing w:line="360" w:lineRule="auto"/>
        <w:ind w:left="0" w:firstLine="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10.3.2 变更及签证的有效性</w:t>
      </w:r>
    </w:p>
    <w:p>
      <w:pPr>
        <w:widowControl/>
        <w:numPr>
          <w:ilvl w:val="0"/>
          <w:numId w:val="7"/>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对</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提出的洽商或技术核定单，应经监理单位、跟踪审核单位、设计（地勘）单位的项目负责人同意并盖章，报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审批后实施。如涉及合同价格变更的，由跟踪审核单位提出价格变更估算报告，作为洽商或技术核定单附件报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w:t>
      </w:r>
    </w:p>
    <w:p>
      <w:pPr>
        <w:widowControl/>
        <w:numPr>
          <w:ilvl w:val="0"/>
          <w:numId w:val="7"/>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洽商或技术核定单如涉及现场收方的，需由</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、监理单位、跟踪审核单位、</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共同在现场收方并签字确认，否则收方资料无效。</w:t>
      </w:r>
    </w:p>
    <w:p>
      <w:pPr>
        <w:widowControl/>
        <w:numPr>
          <w:ilvl w:val="0"/>
          <w:numId w:val="7"/>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现场收方资料在整理后形成正式收方单，参加收方的各方项目负责人应在正式收方单上签字并盖章。</w:t>
      </w:r>
    </w:p>
    <w:p>
      <w:pPr>
        <w:widowControl/>
        <w:numPr>
          <w:ilvl w:val="0"/>
          <w:numId w:val="7"/>
        </w:numPr>
        <w:tabs>
          <w:tab w:val="left" w:pos="0"/>
        </w:tabs>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正式收方单形成后应向</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提交报价资料，由监理人、跟踪审核单位审核后，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在收到</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提交的正式报价资料后进行审批。</w:t>
      </w:r>
    </w:p>
    <w:p>
      <w:pPr>
        <w:snapToGrid w:val="0"/>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10.4结算总价=分部分项工程量清单结算价+工程变更或增减部分结算+措施费+安全文明施工费+规费+税金+合同约定其它费用，最终竣工结算以市体育局委托的第三方审计机构审定的结果为准。</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1.分部分项工程量清单结算价</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分部分项工程量清单综合单价（结算单价）的确定：在申请人首次响应文件中的各分项单价的基础上，按照第一次总报价与第二次总报价（即最后报价）的差额比例同比例下浮作为结算单价。</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分部分项工程量清单结算价=</w:t>
      </w:r>
      <w:r>
        <w:rPr>
          <w:rFonts w:hint="eastAsia" w:ascii="宋体" w:hAnsi="宋体" w:eastAsia="宋体" w:cs="宋体"/>
          <w:color w:val="auto"/>
          <w:sz w:val="24"/>
          <w:szCs w:val="24"/>
          <w:lang w:eastAsia="zh-CN"/>
        </w:rPr>
        <w:t>投标人</w:t>
      </w:r>
      <w:r>
        <w:rPr>
          <w:rStyle w:val="498"/>
          <w:rFonts w:hint="eastAsia" w:ascii="宋体" w:hAnsi="宋体" w:eastAsia="宋体" w:cs="宋体"/>
          <w:color w:val="auto"/>
          <w:sz w:val="24"/>
          <w:szCs w:val="24"/>
        </w:rPr>
        <w:t>分部分项工程量清单中子项综合单价×子项工程量</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1.1子项工程量：按《房屋建筑与装饰工程工程量计算规范》(GB50854-2013)约定的计量规则计算的实际完成且经验收合格的工程量。</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1.2子项综合单价以</w:t>
      </w:r>
      <w:r>
        <w:rPr>
          <w:rFonts w:hint="eastAsia" w:ascii="宋体" w:hAnsi="宋体" w:eastAsia="宋体" w:cs="宋体"/>
          <w:color w:val="auto"/>
          <w:sz w:val="24"/>
          <w:szCs w:val="24"/>
          <w:lang w:eastAsia="zh-CN"/>
        </w:rPr>
        <w:t>投标人</w:t>
      </w:r>
      <w:r>
        <w:rPr>
          <w:rStyle w:val="498"/>
          <w:rFonts w:hint="eastAsia" w:ascii="宋体" w:hAnsi="宋体" w:eastAsia="宋体" w:cs="宋体"/>
          <w:color w:val="auto"/>
          <w:sz w:val="24"/>
          <w:szCs w:val="24"/>
        </w:rPr>
        <w:t>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成交总价小于各工程量清单报价之和，则结算总价按成交总价与工程量清单报价之和相比的同比例进行下浮。如两种情形均存在，则先按成交总价与工程量清单报价之和相比的同比例下浮该子项总价，再用下浮后的合价报价除以相应子项工程量清单量所得的单价为相应子项的结算单价，即申请人报价中有误差或歧义的，均按有利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的方式进行计算。</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1.3设计变更及调整工程变更项目价款的结算：设计变更、施工变更或施工过程中出现新增项目、合同范围外的零星项目等均属工程变更。按</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和</w:t>
      </w:r>
      <w:r>
        <w:rPr>
          <w:rStyle w:val="498"/>
          <w:rFonts w:hint="eastAsia" w:ascii="宋体" w:hAnsi="宋体" w:eastAsia="宋体" w:cs="宋体"/>
          <w:color w:val="auto"/>
          <w:sz w:val="24"/>
          <w:szCs w:val="24"/>
          <w:lang w:eastAsia="zh-CN"/>
        </w:rPr>
        <w:t>投标人</w:t>
      </w:r>
      <w:r>
        <w:rPr>
          <w:rStyle w:val="498"/>
          <w:rFonts w:hint="eastAsia" w:ascii="宋体" w:hAnsi="宋体" w:eastAsia="宋体" w:cs="宋体"/>
          <w:color w:val="auto"/>
          <w:sz w:val="24"/>
          <w:szCs w:val="24"/>
        </w:rPr>
        <w:t>共同认定的实际发生工程量据实结算。子项组价原则：</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1.3.1清单中有适用于设计变更及调整工程变更项目价款的，采用该工程量清单的单价；</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1.3.2清单中没有适用但有类似于变更工程项目的，在合理范围内参照类似工程量清单的单价；</w:t>
      </w:r>
    </w:p>
    <w:p>
      <w:pPr>
        <w:snapToGrid w:val="0"/>
        <w:spacing w:line="360" w:lineRule="auto"/>
        <w:ind w:firstLine="540" w:firstLineChars="225"/>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1.3.3清单中没有适用也没有类似于变更工程项目的，组价按《建设工程工程量清单计价规范》（GB50500-2013）、《重庆市建设工程工程量清单计价规则》（CQJJGZ-2013）、《房屋建筑与装饰工程量计算规范》（GB50854-2013）、《通用安装工程工程量计算规范》（GB50856-2013）、《市政工程工程量计算规范》（GB50857-2013）、《园林绿化工程工程量计算规范》（GB50858-2013）、《重庆市建设工程量计算规则》（CQJLGZ-2013）、《重庆市房屋建筑与装饰工程计价定额》（CQJZZSDE-2018）、《重庆市市政工程计价定额》（CQSZDE-2018）、《重庆市园林绿化工程计价定额》（CQYLLHDE-2018）、《重庆市绿色建筑工程计价定额》（CQLSJZDE-2018）、《重庆市仿古建筑工程计价定额》（CQFGDE-2018）、《重庆市房屋修缮工程计价定额》（CQXSDE-2018）、《重庆市构筑物工程计价定额》（CQGZWDE-2018）、《重庆市通用安装工程计价定额》（CQAZDE-2018）、《重庆市建设工程费用定额》（CQFYDE-2018）、《重庆市建设工程施工机械台班定额》（CQJXDE-2018）、《重庆市建设工程仪器仪表台班定额》（CQYQYBDE-2018）、《重庆市建设工程混凝土及砂浆配合比表》（CQPHBB-2018）以及相关配套文件的规定重新组价并按第二次总报价（即最后报价）与最高限价的差额同比例下浮，并经</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、监理人审核后作为结算综合单价，其中：人工工日单价、材料价格按投标截止日前最新《重庆工程造价信息》中的信息价执行，造价信息中没有的材料价格由</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、监理人</w:t>
      </w:r>
      <w:r>
        <w:rPr>
          <w:rStyle w:val="498"/>
          <w:rFonts w:hint="eastAsia" w:ascii="宋体" w:hAnsi="宋体" w:eastAsia="宋体" w:cs="宋体"/>
          <w:color w:val="auto"/>
          <w:sz w:val="24"/>
          <w:szCs w:val="24"/>
          <w:lang w:eastAsia="zh-CN"/>
        </w:rPr>
        <w:t>、跟审单位</w:t>
      </w:r>
      <w:r>
        <w:rPr>
          <w:rStyle w:val="498"/>
          <w:rFonts w:hint="eastAsia" w:ascii="宋体" w:hAnsi="宋体" w:eastAsia="宋体" w:cs="宋体"/>
          <w:color w:val="auto"/>
          <w:sz w:val="24"/>
          <w:szCs w:val="24"/>
        </w:rPr>
        <w:t>核质核价（核质核价材料价格不下浮）</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2.措施项目费</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2.1施工组织措施项目费</w:t>
      </w:r>
    </w:p>
    <w:p>
      <w:pPr>
        <w:snapToGrid w:val="0"/>
        <w:spacing w:line="360" w:lineRule="auto"/>
        <w:ind w:firstLine="540"/>
        <w:rPr>
          <w:rStyle w:val="498"/>
          <w:rFonts w:hint="eastAsia" w:ascii="宋体" w:hAnsi="宋体" w:eastAsia="宋体" w:cs="宋体"/>
          <w:color w:val="auto"/>
          <w:kern w:val="0"/>
          <w:sz w:val="24"/>
          <w:szCs w:val="24"/>
        </w:rPr>
      </w:pPr>
      <w:r>
        <w:rPr>
          <w:rStyle w:val="498"/>
          <w:rFonts w:hint="eastAsia" w:ascii="宋体" w:hAnsi="宋体" w:eastAsia="宋体" w:cs="宋体"/>
          <w:color w:val="auto"/>
          <w:sz w:val="24"/>
          <w:szCs w:val="24"/>
        </w:rPr>
        <w:t>2.1.1施工组织措施费：无论因设计变更或施工工艺变化等任何因素而引起实际措施费的变化，均按最后成交时施工组织措施项目费（除安全文明施工费外）的报价作为结算价包干使用。</w:t>
      </w:r>
    </w:p>
    <w:p>
      <w:pPr>
        <w:snapToGrid w:val="0"/>
        <w:spacing w:line="360" w:lineRule="auto"/>
        <w:ind w:firstLine="540" w:firstLineChars="225"/>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2.1.2安全文明施工费用：按渝建发〔2014〕25号文结合渝建〔2019〕143号文等相关配套规定标准进行结算。安全文明施工综合评定结果为不合格，则不计取。</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2.2施工技术措施项目费：</w:t>
      </w:r>
    </w:p>
    <w:p>
      <w:pPr>
        <w:snapToGrid w:val="0"/>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技术措施清单中以项计列的项目，无论因设计变更或施工工艺变化等任何因素而引起实际措施费的变化，均按最后成交时施工技术措施项目费的报价作为结算价包干使用。技术措施清单中以项目编码、项目名称、项目特征、工程内容、工程量及计量单位列项的项目，按实计量结算。</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3、规费：按现行规定费率结算。</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4、税金：按投标费率结算，若成交人的投标报价中税金费率高于规定费率，则以规定费率结算。</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w:t>
      </w:r>
      <w:r>
        <w:rPr>
          <w:rStyle w:val="498"/>
          <w:rFonts w:hint="eastAsia" w:ascii="宋体" w:hAnsi="宋体" w:eastAsia="宋体" w:cs="宋体"/>
          <w:color w:val="auto"/>
          <w:sz w:val="24"/>
          <w:szCs w:val="24"/>
          <w:lang w:eastAsia="zh-CN"/>
        </w:rPr>
        <w:t>投标人</w:t>
      </w:r>
      <w:r>
        <w:rPr>
          <w:rStyle w:val="498"/>
          <w:rFonts w:hint="eastAsia" w:ascii="宋体" w:hAnsi="宋体" w:eastAsia="宋体" w:cs="宋体"/>
          <w:color w:val="auto"/>
          <w:sz w:val="24"/>
          <w:szCs w:val="24"/>
        </w:rPr>
        <w:t>须如实申报工程结算，不得高估冒算。如工程结算由重庆市体育局委托的第三方审计机构进行审核，若审减率在5%（含）以内，审计机构收取的审核费由</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承担，若审减率超过5%，则审计机构收取审减效益费全部由申请人承担。</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6、申请人根据报价完成所有建设工作内容，包括完成招标范围内明示或暗示的工程项目的人工费、材料费、施工机具使用费、企业管理费、利润、风险费用、措施费、安全文明施工费、规费、税金、政策性文件规定的所有费用。申请人不得因低价成交等因素而要求增加工程内容、提高相关费用等事项。</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7、本工程的最终结算总价以重庆市体育局委托的跟踪审计单位审定金额为准，作为双方结算依据。。</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10.5</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的合理化建议</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监理人审查</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合理化建议的期限：</w:t>
      </w:r>
      <w:r>
        <w:rPr>
          <w:rStyle w:val="498"/>
          <w:rFonts w:hint="eastAsia" w:ascii="宋体" w:hAnsi="宋体" w:eastAsia="宋体" w:cs="宋体"/>
          <w:color w:val="auto"/>
          <w:sz w:val="24"/>
          <w:szCs w:val="24"/>
          <w:u w:val="single"/>
        </w:rPr>
        <w:t xml:space="preserve">  3天     </w:t>
      </w:r>
      <w:r>
        <w:rPr>
          <w:rStyle w:val="498"/>
          <w:rFonts w:hint="eastAsia" w:ascii="宋体" w:hAnsi="宋体" w:eastAsia="宋体" w:cs="宋体"/>
          <w:color w:val="auto"/>
          <w:sz w:val="24"/>
          <w:szCs w:val="24"/>
        </w:rPr>
        <w:t>。</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审批</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合理化建议的期限：</w:t>
      </w:r>
      <w:r>
        <w:rPr>
          <w:rStyle w:val="498"/>
          <w:rFonts w:hint="eastAsia" w:ascii="宋体" w:hAnsi="宋体" w:eastAsia="宋体" w:cs="宋体"/>
          <w:color w:val="auto"/>
          <w:sz w:val="24"/>
          <w:szCs w:val="24"/>
          <w:u w:val="single"/>
        </w:rPr>
        <w:t xml:space="preserve">  3天     </w:t>
      </w:r>
      <w:r>
        <w:rPr>
          <w:rStyle w:val="498"/>
          <w:rFonts w:hint="eastAsia" w:ascii="宋体" w:hAnsi="宋体" w:eastAsia="宋体" w:cs="宋体"/>
          <w:color w:val="auto"/>
          <w:sz w:val="24"/>
          <w:szCs w:val="24"/>
        </w:rPr>
        <w:t>。</w:t>
      </w:r>
    </w:p>
    <w:p>
      <w:pPr>
        <w:spacing w:line="360" w:lineRule="auto"/>
        <w:ind w:firstLine="456" w:firstLineChars="200"/>
        <w:jc w:val="left"/>
        <w:rPr>
          <w:rStyle w:val="498"/>
          <w:rFonts w:hint="eastAsia" w:ascii="宋体" w:hAnsi="宋体" w:eastAsia="宋体" w:cs="宋体"/>
          <w:color w:val="auto"/>
          <w:spacing w:val="-6"/>
          <w:sz w:val="24"/>
          <w:szCs w:val="24"/>
        </w:rPr>
      </w:pPr>
      <w:r>
        <w:rPr>
          <w:rStyle w:val="498"/>
          <w:rFonts w:hint="eastAsia" w:ascii="宋体" w:hAnsi="宋体" w:eastAsia="宋体" w:cs="宋体"/>
          <w:color w:val="auto"/>
          <w:spacing w:val="-6"/>
          <w:sz w:val="24"/>
          <w:szCs w:val="24"/>
          <w:lang w:eastAsia="zh-CN"/>
        </w:rPr>
        <w:t>承包人</w:t>
      </w:r>
      <w:r>
        <w:rPr>
          <w:rStyle w:val="498"/>
          <w:rFonts w:hint="eastAsia" w:ascii="宋体" w:hAnsi="宋体" w:eastAsia="宋体" w:cs="宋体"/>
          <w:color w:val="auto"/>
          <w:spacing w:val="-6"/>
          <w:sz w:val="24"/>
          <w:szCs w:val="24"/>
        </w:rPr>
        <w:t>提出的合理化建议降低了合同价格或者提高了工程经济效益的奖励的方法和金额为：</w:t>
      </w:r>
      <w:r>
        <w:rPr>
          <w:rStyle w:val="498"/>
          <w:rFonts w:hint="eastAsia" w:ascii="宋体" w:hAnsi="宋体" w:eastAsia="宋体" w:cs="宋体"/>
          <w:color w:val="auto"/>
          <w:spacing w:val="-6"/>
          <w:sz w:val="24"/>
          <w:szCs w:val="24"/>
          <w:u w:val="single"/>
        </w:rPr>
        <w:t>无</w:t>
      </w:r>
      <w:r>
        <w:rPr>
          <w:rStyle w:val="498"/>
          <w:rFonts w:hint="eastAsia" w:ascii="宋体" w:hAnsi="宋体" w:eastAsia="宋体" w:cs="宋体"/>
          <w:color w:val="auto"/>
          <w:spacing w:val="-6"/>
          <w:sz w:val="24"/>
          <w:szCs w:val="24"/>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10.6 暂估价</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暂估价材料和工程设备的明细详</w:t>
      </w:r>
      <w:r>
        <w:rPr>
          <w:rStyle w:val="498"/>
          <w:rFonts w:hint="eastAsia" w:ascii="宋体" w:hAnsi="宋体" w:eastAsia="宋体" w:cs="宋体"/>
          <w:color w:val="auto"/>
          <w:sz w:val="24"/>
          <w:szCs w:val="24"/>
          <w:u w:val="single"/>
        </w:rPr>
        <w:t>招标清单 。</w:t>
      </w:r>
      <w:r>
        <w:rPr>
          <w:rStyle w:val="498"/>
          <w:rFonts w:hint="eastAsia" w:ascii="宋体" w:hAnsi="宋体" w:eastAsia="宋体" w:cs="宋体"/>
          <w:color w:val="auto"/>
          <w:kern w:val="0"/>
          <w:sz w:val="24"/>
          <w:szCs w:val="24"/>
          <w:lang w:val="en-US" w:eastAsia="zh-CN"/>
        </w:rPr>
        <w:t>其价格的结算由</w:t>
      </w:r>
      <w:r>
        <w:rPr>
          <w:rStyle w:val="498"/>
          <w:rFonts w:hint="eastAsia" w:ascii="宋体" w:hAnsi="宋体" w:eastAsia="宋体" w:cs="宋体"/>
          <w:color w:val="auto"/>
          <w:kern w:val="0"/>
          <w:sz w:val="24"/>
          <w:szCs w:val="24"/>
        </w:rPr>
        <w:t>承包人申报，经监理人、跟审单位、发包人共同审定。</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10.6.1 依法必须招标的暂估价项目</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对于依法必须招标的暂估价项目的确认和批准采取通用条款10.7.2中第</w:t>
      </w:r>
      <w:r>
        <w:rPr>
          <w:rStyle w:val="498"/>
          <w:rFonts w:hint="eastAsia" w:ascii="宋体" w:hAnsi="宋体" w:eastAsia="宋体" w:cs="宋体"/>
          <w:color w:val="auto"/>
          <w:sz w:val="24"/>
          <w:szCs w:val="24"/>
          <w:u w:val="single"/>
        </w:rPr>
        <w:t>2</w:t>
      </w:r>
      <w:r>
        <w:rPr>
          <w:rStyle w:val="498"/>
          <w:rFonts w:hint="eastAsia" w:ascii="宋体" w:hAnsi="宋体" w:eastAsia="宋体" w:cs="宋体"/>
          <w:color w:val="auto"/>
          <w:sz w:val="24"/>
          <w:szCs w:val="24"/>
        </w:rPr>
        <w:t>种方式确定。</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10.7 不属于依法必须招标的暂估价项目</w:t>
      </w:r>
    </w:p>
    <w:p>
      <w:pPr>
        <w:spacing w:line="360" w:lineRule="auto"/>
        <w:ind w:firstLine="456" w:firstLineChars="200"/>
        <w:jc w:val="left"/>
        <w:rPr>
          <w:rStyle w:val="498"/>
          <w:rFonts w:hint="eastAsia" w:ascii="宋体" w:hAnsi="宋体" w:eastAsia="宋体" w:cs="宋体"/>
          <w:color w:val="auto"/>
          <w:spacing w:val="-6"/>
          <w:sz w:val="24"/>
          <w:szCs w:val="24"/>
        </w:rPr>
      </w:pPr>
      <w:r>
        <w:rPr>
          <w:rStyle w:val="498"/>
          <w:rFonts w:hint="eastAsia" w:ascii="宋体" w:hAnsi="宋体" w:eastAsia="宋体" w:cs="宋体"/>
          <w:color w:val="auto"/>
          <w:spacing w:val="-6"/>
          <w:sz w:val="24"/>
          <w:szCs w:val="24"/>
        </w:rPr>
        <w:t>对于不属于依法必须招标的暂估价项目的确认和批准采取通用条款10.7.2中第</w:t>
      </w:r>
      <w:r>
        <w:rPr>
          <w:rStyle w:val="498"/>
          <w:rFonts w:hint="eastAsia" w:ascii="宋体" w:hAnsi="宋体" w:eastAsia="宋体" w:cs="宋体"/>
          <w:color w:val="auto"/>
          <w:spacing w:val="-6"/>
          <w:sz w:val="24"/>
          <w:szCs w:val="24"/>
          <w:u w:val="single"/>
        </w:rPr>
        <w:t>1</w:t>
      </w:r>
      <w:r>
        <w:rPr>
          <w:rStyle w:val="498"/>
          <w:rFonts w:hint="eastAsia" w:ascii="宋体" w:hAnsi="宋体" w:eastAsia="宋体" w:cs="宋体"/>
          <w:color w:val="auto"/>
          <w:spacing w:val="-6"/>
          <w:sz w:val="24"/>
          <w:szCs w:val="24"/>
        </w:rPr>
        <w:t xml:space="preserve"> 种方式确定。</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sz w:val="24"/>
          <w:szCs w:val="24"/>
        </w:rPr>
        <w:t>第3种方式：</w:t>
      </w: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直接实施的暂估价项目</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直接实施的暂估价项目的约定：</w:t>
      </w:r>
      <w:r>
        <w:rPr>
          <w:rStyle w:val="498"/>
          <w:rFonts w:hint="eastAsia" w:ascii="宋体" w:hAnsi="宋体" w:eastAsia="宋体" w:cs="宋体"/>
          <w:color w:val="auto"/>
          <w:sz w:val="24"/>
          <w:szCs w:val="24"/>
          <w:u w:val="single"/>
        </w:rPr>
        <w:t>按</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的要求</w:t>
      </w:r>
      <w:r>
        <w:rPr>
          <w:rStyle w:val="498"/>
          <w:rFonts w:hint="eastAsia" w:ascii="宋体" w:hAnsi="宋体" w:eastAsia="宋体" w:cs="宋体"/>
          <w:color w:val="auto"/>
          <w:sz w:val="24"/>
          <w:szCs w:val="24"/>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10.8 暂列金额</w:t>
      </w:r>
    </w:p>
    <w:p>
      <w:pPr>
        <w:spacing w:line="360" w:lineRule="auto"/>
        <w:ind w:firstLine="240" w:firstLineChars="1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合同当事人关于暂列金额使用的约定：</w:t>
      </w:r>
      <w:r>
        <w:rPr>
          <w:rStyle w:val="498"/>
          <w:rFonts w:hint="eastAsia" w:ascii="宋体" w:hAnsi="宋体" w:eastAsia="宋体" w:cs="宋体"/>
          <w:color w:val="auto"/>
          <w:sz w:val="24"/>
          <w:szCs w:val="24"/>
          <w:u w:val="single"/>
        </w:rPr>
        <w:t xml:space="preserve"> 按</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 xml:space="preserve">的要求使用  </w:t>
      </w:r>
      <w:r>
        <w:rPr>
          <w:rStyle w:val="498"/>
          <w:rFonts w:hint="eastAsia" w:ascii="宋体" w:hAnsi="宋体" w:eastAsia="宋体" w:cs="宋体"/>
          <w:color w:val="auto"/>
          <w:kern w:val="0"/>
          <w:sz w:val="24"/>
          <w:szCs w:val="24"/>
        </w:rPr>
        <w:t>。</w:t>
      </w:r>
    </w:p>
    <w:p>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11. 价格调整</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11.1 市场价格波动引起的调整</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kern w:val="0"/>
          <w:sz w:val="24"/>
          <w:szCs w:val="24"/>
        </w:rPr>
        <w:t>市场价格波动是否调整合同价格的约定：</w:t>
      </w:r>
      <w:r>
        <w:rPr>
          <w:rStyle w:val="498"/>
          <w:rFonts w:hint="eastAsia" w:ascii="宋体" w:hAnsi="宋体" w:eastAsia="宋体" w:cs="宋体"/>
          <w:color w:val="auto"/>
          <w:sz w:val="24"/>
          <w:szCs w:val="24"/>
          <w:u w:val="single"/>
        </w:rPr>
        <w:t>不调整</w:t>
      </w:r>
      <w:r>
        <w:rPr>
          <w:rStyle w:val="498"/>
          <w:rFonts w:hint="eastAsia" w:ascii="宋体" w:hAnsi="宋体" w:eastAsia="宋体" w:cs="宋体"/>
          <w:color w:val="auto"/>
          <w:sz w:val="24"/>
          <w:szCs w:val="24"/>
        </w:rPr>
        <w:t>。</w:t>
      </w:r>
    </w:p>
    <w:p>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11.2法律变化引起的调整：</w:t>
      </w:r>
      <w:r>
        <w:rPr>
          <w:rStyle w:val="498"/>
          <w:rFonts w:hint="eastAsia" w:ascii="宋体" w:hAnsi="宋体" w:eastAsia="宋体" w:cs="宋体"/>
          <w:color w:val="auto"/>
          <w:sz w:val="24"/>
          <w:szCs w:val="24"/>
          <w:u w:val="single"/>
        </w:rPr>
        <w:t xml:space="preserve">   不调整   </w:t>
      </w:r>
    </w:p>
    <w:p>
      <w:pPr>
        <w:pStyle w:val="502"/>
        <w:tabs>
          <w:tab w:val="left" w:pos="7680"/>
        </w:tabs>
        <w:spacing w:before="120" w:after="120" w:line="360" w:lineRule="auto"/>
        <w:ind w:firstLine="240" w:firstLineChars="10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12. 合同价格、计量与支付</w:t>
      </w:r>
      <w:r>
        <w:rPr>
          <w:rStyle w:val="498"/>
          <w:rFonts w:hint="eastAsia" w:ascii="宋体" w:hAnsi="宋体" w:eastAsia="宋体" w:cs="宋体"/>
          <w:b w:val="0"/>
          <w:color w:val="auto"/>
          <w:sz w:val="24"/>
          <w:szCs w:val="24"/>
        </w:rPr>
        <w:tab/>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12.1 合同价格形式</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12.1.1本工程采用固定单价模式</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固定单价包含的风险范围：施工期间各类建材的市场价格风险、机械台班价格浮动的风险,以及其它风险。</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风险费用的计算方法：已包含在投标报价中。</w:t>
      </w:r>
    </w:p>
    <w:p>
      <w:pPr>
        <w:spacing w:line="360" w:lineRule="auto"/>
        <w:ind w:firstLine="456" w:firstLineChars="200"/>
        <w:jc w:val="left"/>
        <w:rPr>
          <w:rStyle w:val="498"/>
          <w:rFonts w:hint="eastAsia" w:ascii="宋体" w:hAnsi="宋体" w:eastAsia="宋体" w:cs="宋体"/>
          <w:color w:val="auto"/>
          <w:spacing w:val="-6"/>
          <w:sz w:val="24"/>
          <w:szCs w:val="24"/>
        </w:rPr>
      </w:pPr>
      <w:r>
        <w:rPr>
          <w:rStyle w:val="498"/>
          <w:rFonts w:hint="eastAsia" w:ascii="宋体" w:hAnsi="宋体" w:eastAsia="宋体" w:cs="宋体"/>
          <w:color w:val="auto"/>
          <w:spacing w:val="-6"/>
          <w:sz w:val="24"/>
          <w:szCs w:val="24"/>
        </w:rPr>
        <w:t>风险范围以外合同价格的调整方法：经监理和业主相关部门及领导签字认可并加盖业主公章的工程设计变更、现场签证，参照合同通用条款的约定调整合同价款。</w:t>
      </w:r>
      <w:r>
        <w:rPr>
          <w:rStyle w:val="498"/>
          <w:rFonts w:hint="eastAsia" w:ascii="宋体" w:hAnsi="宋体" w:eastAsia="宋体" w:cs="宋体"/>
          <w:color w:val="auto"/>
          <w:spacing w:val="-6"/>
          <w:sz w:val="24"/>
          <w:szCs w:val="24"/>
          <w:lang w:eastAsia="zh-CN"/>
        </w:rPr>
        <w:t>发包人</w:t>
      </w:r>
      <w:r>
        <w:rPr>
          <w:rStyle w:val="498"/>
          <w:rFonts w:hint="eastAsia" w:ascii="宋体" w:hAnsi="宋体" w:eastAsia="宋体" w:cs="宋体"/>
          <w:color w:val="auto"/>
          <w:spacing w:val="-6"/>
          <w:sz w:val="24"/>
          <w:szCs w:val="24"/>
        </w:rPr>
        <w:t>与</w:t>
      </w:r>
      <w:r>
        <w:rPr>
          <w:rStyle w:val="498"/>
          <w:rFonts w:hint="eastAsia" w:ascii="宋体" w:hAnsi="宋体" w:eastAsia="宋体" w:cs="宋体"/>
          <w:color w:val="auto"/>
          <w:spacing w:val="-6"/>
          <w:sz w:val="24"/>
          <w:szCs w:val="24"/>
          <w:lang w:eastAsia="zh-CN"/>
        </w:rPr>
        <w:t>承包人</w:t>
      </w:r>
      <w:r>
        <w:rPr>
          <w:rStyle w:val="498"/>
          <w:rFonts w:hint="eastAsia" w:ascii="宋体" w:hAnsi="宋体" w:eastAsia="宋体" w:cs="宋体"/>
          <w:color w:val="auto"/>
          <w:spacing w:val="-6"/>
          <w:sz w:val="24"/>
          <w:szCs w:val="24"/>
        </w:rPr>
        <w:t>在综合单价中确定的相应的人工费、材料费、机械费、管理费、利润及风险金等费用，对确定变更价款同样适用。</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风险费用的计算方法：</w:t>
      </w:r>
      <w:r>
        <w:rPr>
          <w:rStyle w:val="498"/>
          <w:rFonts w:hint="eastAsia" w:ascii="宋体" w:hAnsi="宋体" w:eastAsia="宋体" w:cs="宋体"/>
          <w:color w:val="auto"/>
          <w:sz w:val="24"/>
          <w:szCs w:val="24"/>
          <w:u w:val="single"/>
        </w:rPr>
        <w:t>除本合同另有约定外，由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承担所有风险。</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风险范围以外合同价格的调整方法：</w:t>
      </w:r>
      <w:r>
        <w:rPr>
          <w:rStyle w:val="498"/>
          <w:rFonts w:hint="eastAsia" w:ascii="宋体" w:hAnsi="宋体" w:eastAsia="宋体" w:cs="宋体"/>
          <w:color w:val="auto"/>
          <w:sz w:val="24"/>
          <w:szCs w:val="24"/>
          <w:u w:val="single"/>
        </w:rPr>
        <w:t>除本合同另有约定外，由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12.2 工程款</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（一）工程款支付办法: </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val="en-US" w:eastAsia="zh-CN"/>
        </w:rPr>
        <w:t>1</w:t>
      </w:r>
      <w:r>
        <w:rPr>
          <w:rStyle w:val="498"/>
          <w:rFonts w:hint="eastAsia" w:ascii="宋体" w:hAnsi="宋体" w:eastAsia="宋体" w:cs="宋体"/>
          <w:color w:val="auto"/>
          <w:sz w:val="24"/>
          <w:szCs w:val="24"/>
        </w:rPr>
        <w:t>.工程完工30%工程量时，</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支付已完成合格工程70%工程款；</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val="en-US" w:eastAsia="zh-CN"/>
        </w:rPr>
        <w:t>2</w:t>
      </w:r>
      <w:r>
        <w:rPr>
          <w:rStyle w:val="498"/>
          <w:rFonts w:hint="eastAsia" w:ascii="宋体" w:hAnsi="宋体" w:eastAsia="宋体" w:cs="宋体"/>
          <w:color w:val="auto"/>
          <w:sz w:val="24"/>
          <w:szCs w:val="24"/>
        </w:rPr>
        <w:t>.工程完工70%工程量时，</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支付已完成合格工程70%工程款，支付至合同金额的70%后不再支付；</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val="en-US" w:eastAsia="zh-CN"/>
        </w:rPr>
        <w:t>3</w:t>
      </w:r>
      <w:r>
        <w:rPr>
          <w:rStyle w:val="498"/>
          <w:rFonts w:hint="eastAsia" w:ascii="宋体" w:hAnsi="宋体" w:eastAsia="宋体" w:cs="宋体"/>
          <w:color w:val="auto"/>
          <w:sz w:val="24"/>
          <w:szCs w:val="24"/>
        </w:rPr>
        <w:t>.工程完工初步验收合格后，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支付已完成合格工程70%工程款，支付至合同金额的70%后不再支付；</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val="en-US" w:eastAsia="zh-CN"/>
        </w:rPr>
        <w:t>4</w:t>
      </w:r>
      <w:r>
        <w:rPr>
          <w:rStyle w:val="498"/>
          <w:rFonts w:hint="eastAsia" w:ascii="宋体" w:hAnsi="宋体" w:eastAsia="宋体" w:cs="宋体"/>
          <w:color w:val="auto"/>
          <w:sz w:val="24"/>
          <w:szCs w:val="24"/>
        </w:rPr>
        <w:t>.经结算审计后，由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先按结算审计金额的3%向</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缴纳质保金后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支付至结算审计价款的100%。</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val="en-US" w:eastAsia="zh-CN"/>
        </w:rPr>
        <w:t>5</w:t>
      </w:r>
      <w:r>
        <w:rPr>
          <w:rStyle w:val="498"/>
          <w:rFonts w:hint="eastAsia" w:ascii="宋体" w:hAnsi="宋体" w:eastAsia="宋体" w:cs="宋体"/>
          <w:color w:val="auto"/>
          <w:sz w:val="24"/>
          <w:szCs w:val="24"/>
        </w:rPr>
        <w:t>.缺陷责任期2年满后且无质量问题的，</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在10个工作日内无息退还</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的质量保修金。</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（二）支付方式</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根据</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要求出具征税机关开具的发票，由</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采用银行转帐支付或电汇至</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银行基本账户。</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12.3 计量</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12.3.1 计量原则</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工程量计算规则：</w:t>
      </w:r>
      <w:r>
        <w:rPr>
          <w:rStyle w:val="498"/>
          <w:rFonts w:hint="eastAsia" w:ascii="宋体" w:hAnsi="宋体" w:eastAsia="宋体" w:cs="宋体"/>
          <w:color w:val="auto"/>
          <w:sz w:val="24"/>
          <w:szCs w:val="24"/>
          <w:u w:val="single"/>
        </w:rPr>
        <w:t>需由</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、监理单位、跟踪审核单位、</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共同计量并签字确认，否则计量资料无效。</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12.3.2 计量周期</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关于计量周期的约定：</w:t>
      </w:r>
      <w:r>
        <w:rPr>
          <w:rStyle w:val="498"/>
          <w:rFonts w:hint="eastAsia" w:ascii="宋体" w:hAnsi="宋体" w:eastAsia="宋体" w:cs="宋体"/>
          <w:color w:val="auto"/>
          <w:sz w:val="24"/>
          <w:szCs w:val="24"/>
          <w:u w:val="single"/>
        </w:rPr>
        <w:t>单价子目按月计量，总价子目按项实施进度计量，</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每月 30 日前向</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提交 3 份经监理人、跟踪审核单位审核了的工程量报表和有关计量资料。</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12.3.3 单价合同的计量</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关于单价合同计量的约定：</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需向监理人、跟踪审核单位报送工程量报告进行审核，并完善签字盖章手续。</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12.3.4 总价合同的计量</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关于总价合同计量的约定：</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需向监理人、跟踪审核单位报送工程量报告进行审核，并完善签字盖章手续。</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12.3.5总价合同采用支付分解表计量支付的，是否适用第</w:t>
      </w:r>
      <w:r>
        <w:rPr>
          <w:rStyle w:val="498"/>
          <w:rFonts w:hint="eastAsia" w:ascii="宋体" w:hAnsi="宋体" w:eastAsia="宋体" w:cs="宋体"/>
          <w:color w:val="auto"/>
          <w:kern w:val="0"/>
          <w:sz w:val="24"/>
          <w:szCs w:val="24"/>
        </w:rPr>
        <w:t xml:space="preserve">12.3.4 </w:t>
      </w:r>
      <w:r>
        <w:rPr>
          <w:rStyle w:val="498"/>
          <w:rFonts w:hint="eastAsia" w:ascii="宋体" w:hAnsi="宋体" w:eastAsia="宋体" w:cs="宋体"/>
          <w:color w:val="auto"/>
          <w:sz w:val="24"/>
          <w:szCs w:val="24"/>
        </w:rPr>
        <w:t>项</w:t>
      </w:r>
      <w:r>
        <w:rPr>
          <w:rStyle w:val="498"/>
          <w:rFonts w:hint="eastAsia" w:ascii="宋体" w:hAnsi="宋体" w:eastAsia="宋体" w:cs="宋体"/>
          <w:color w:val="auto"/>
          <w:kern w:val="0"/>
          <w:sz w:val="24"/>
          <w:szCs w:val="24"/>
        </w:rPr>
        <w:t>〔总价合同的计量〕</w:t>
      </w:r>
      <w:r>
        <w:rPr>
          <w:rStyle w:val="498"/>
          <w:rFonts w:hint="eastAsia" w:ascii="宋体" w:hAnsi="宋体" w:eastAsia="宋体" w:cs="宋体"/>
          <w:color w:val="auto"/>
          <w:sz w:val="24"/>
          <w:szCs w:val="24"/>
        </w:rPr>
        <w:t>约定进行计量：</w:t>
      </w:r>
      <w:r>
        <w:rPr>
          <w:rStyle w:val="498"/>
          <w:rFonts w:hint="eastAsia" w:ascii="宋体" w:hAnsi="宋体" w:eastAsia="宋体" w:cs="宋体"/>
          <w:color w:val="auto"/>
          <w:sz w:val="24"/>
          <w:szCs w:val="24"/>
          <w:u w:val="single"/>
        </w:rPr>
        <w:t>按照</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对计量的要求</w:t>
      </w:r>
      <w:r>
        <w:rPr>
          <w:rStyle w:val="498"/>
          <w:rFonts w:hint="eastAsia" w:ascii="宋体" w:hAnsi="宋体" w:eastAsia="宋体" w:cs="宋体"/>
          <w:color w:val="auto"/>
          <w:sz w:val="24"/>
          <w:szCs w:val="24"/>
        </w:rPr>
        <w:t>。。</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12.3.6 其他价格形式合同的计量</w:t>
      </w:r>
    </w:p>
    <w:p>
      <w:pPr>
        <w:spacing w:line="360" w:lineRule="auto"/>
        <w:ind w:firstLine="420" w:firstLineChars="175"/>
        <w:rPr>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12.4 </w:t>
      </w:r>
      <w:r>
        <w:rPr>
          <w:rFonts w:hint="eastAsia" w:ascii="宋体" w:hAnsi="宋体" w:eastAsia="宋体" w:cs="宋体"/>
          <w:color w:val="auto"/>
          <w:sz w:val="24"/>
          <w:szCs w:val="24"/>
        </w:rPr>
        <w:t>进度付款申请单的份数：</w:t>
      </w:r>
      <w:r>
        <w:rPr>
          <w:rFonts w:hint="eastAsia" w:ascii="宋体" w:hAnsi="宋体" w:eastAsia="宋体" w:cs="宋体"/>
          <w:color w:val="auto"/>
          <w:sz w:val="24"/>
          <w:szCs w:val="24"/>
          <w:u w:val="single"/>
        </w:rPr>
        <w:t xml:space="preserve"> 5份 （</w:t>
      </w:r>
      <w:r>
        <w:rPr>
          <w:rFonts w:hint="eastAsia" w:ascii="宋体" w:hAnsi="宋体" w:eastAsia="宋体" w:cs="宋体"/>
          <w:color w:val="auto"/>
          <w:sz w:val="24"/>
          <w:szCs w:val="24"/>
          <w:u w:val="single"/>
          <w:lang w:eastAsia="zh-CN"/>
        </w:rPr>
        <w:t>发包人</w:t>
      </w:r>
      <w:r>
        <w:rPr>
          <w:rFonts w:hint="eastAsia" w:ascii="宋体" w:hAnsi="宋体" w:eastAsia="宋体" w:cs="宋体"/>
          <w:color w:val="auto"/>
          <w:sz w:val="24"/>
          <w:szCs w:val="24"/>
          <w:u w:val="single"/>
        </w:rPr>
        <w:t>3份，监理人存档1份，</w:t>
      </w:r>
      <w:r>
        <w:rPr>
          <w:rFonts w:hint="eastAsia" w:ascii="宋体" w:hAnsi="宋体" w:eastAsia="宋体" w:cs="宋体"/>
          <w:color w:val="auto"/>
          <w:sz w:val="24"/>
          <w:szCs w:val="24"/>
          <w:u w:val="single"/>
          <w:lang w:eastAsia="zh-CN"/>
        </w:rPr>
        <w:t>承包人</w:t>
      </w:r>
      <w:r>
        <w:rPr>
          <w:rFonts w:hint="eastAsia" w:ascii="宋体" w:hAnsi="宋体" w:eastAsia="宋体" w:cs="宋体"/>
          <w:color w:val="auto"/>
          <w:sz w:val="24"/>
          <w:szCs w:val="24"/>
          <w:u w:val="single"/>
        </w:rPr>
        <w:t>存档1份）。</w:t>
      </w:r>
    </w:p>
    <w:p>
      <w:pPr>
        <w:spacing w:line="360" w:lineRule="auto"/>
        <w:ind w:firstLine="480" w:firstLineChars="200"/>
        <w:rPr>
          <w:rStyle w:val="498"/>
          <w:rFonts w:hint="eastAsia" w:ascii="宋体" w:hAnsi="宋体" w:eastAsia="宋体" w:cs="宋体"/>
          <w:color w:val="auto"/>
          <w:sz w:val="24"/>
          <w:szCs w:val="24"/>
        </w:rPr>
      </w:pPr>
      <w:r>
        <w:rPr>
          <w:rFonts w:hint="eastAsia" w:ascii="宋体" w:hAnsi="宋体" w:eastAsia="宋体" w:cs="宋体"/>
          <w:color w:val="auto"/>
          <w:sz w:val="24"/>
          <w:szCs w:val="24"/>
        </w:rPr>
        <w:t>进度付款申请单的内容：</w:t>
      </w:r>
      <w:r>
        <w:rPr>
          <w:rFonts w:hint="eastAsia" w:ascii="宋体" w:hAnsi="宋体" w:eastAsia="宋体" w:cs="宋体"/>
          <w:color w:val="auto"/>
          <w:sz w:val="24"/>
          <w:szCs w:val="24"/>
          <w:u w:val="single"/>
        </w:rPr>
        <w:t>(1)付款次数或编号；(2)截至本次付款周期末已实施工程的价款；(3)变更金额；(4)索赔金额；(5) 本次扣减的质量保证金；(6)根据合同应增加和扣减的其他金额。</w:t>
      </w:r>
    </w:p>
    <w:p>
      <w:pPr>
        <w:spacing w:line="360" w:lineRule="auto"/>
        <w:ind w:firstLine="482" w:firstLineChars="200"/>
        <w:jc w:val="left"/>
        <w:rPr>
          <w:rStyle w:val="498"/>
          <w:rFonts w:hint="eastAsia" w:ascii="宋体" w:hAnsi="宋体" w:eastAsia="宋体" w:cs="宋体"/>
          <w:color w:val="auto"/>
          <w:sz w:val="24"/>
          <w:szCs w:val="24"/>
        </w:rPr>
      </w:pPr>
      <w:r>
        <w:rPr>
          <w:rStyle w:val="498"/>
          <w:rFonts w:hint="eastAsia" w:ascii="宋体" w:hAnsi="宋体" w:eastAsia="宋体" w:cs="宋体"/>
          <w:b/>
          <w:color w:val="auto"/>
          <w:sz w:val="24"/>
          <w:szCs w:val="24"/>
        </w:rPr>
        <w:t>13.验收和工程试车</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13.1 分部分项工程验收</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13.1.2监理人不能按时进行验收时，应提前48小时提交书面延期要求。</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关于延期最长不得超过：48小时。</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13.2 竣工验收</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13.2.2竣工验收程序</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关于竣工验收程序的约定：按通用条款执行。</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13.2.3 实际竣工日期</w:t>
      </w:r>
    </w:p>
    <w:p>
      <w:pPr>
        <w:snapToGrid w:val="0"/>
        <w:spacing w:line="360" w:lineRule="auto"/>
        <w:ind w:firstLine="54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工程经竣工验收合格的，以</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签发的工程接受证书之日或有关政府部门签发的验收合格证书（竣工验收备案证上日期为准)之日为实际竣工日期。</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13.2.4移交、接收全部与部分工程</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移交工程的期限：竣工验收合格之日或</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要求接受之日。</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未按时移交工程的，违约金的计算方法为：除不可抗力的因素或因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的原因导致工期延期以外，因</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导致工期延工的，每延工一日扣除1000元/天作为赔偿。违约金最高不超过成交金额的5%。</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13.3 工程试车</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13.3.1 试车程序</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工程试车内容：</w:t>
      </w:r>
      <w:r>
        <w:rPr>
          <w:rStyle w:val="498"/>
          <w:rFonts w:hint="eastAsia" w:ascii="宋体" w:hAnsi="宋体" w:eastAsia="宋体" w:cs="宋体"/>
          <w:color w:val="auto"/>
          <w:sz w:val="24"/>
          <w:szCs w:val="24"/>
          <w:u w:val="single"/>
        </w:rPr>
        <w:t xml:space="preserve">  /。</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（1）单机无负荷试车费用由</w:t>
      </w:r>
      <w:r>
        <w:rPr>
          <w:rStyle w:val="498"/>
          <w:rFonts w:hint="eastAsia" w:ascii="宋体" w:hAnsi="宋体" w:eastAsia="宋体" w:cs="宋体"/>
          <w:color w:val="auto"/>
          <w:sz w:val="24"/>
          <w:szCs w:val="24"/>
          <w:u w:val="single"/>
        </w:rPr>
        <w:t xml:space="preserve">  /  </w:t>
      </w:r>
      <w:r>
        <w:rPr>
          <w:rStyle w:val="498"/>
          <w:rFonts w:hint="eastAsia" w:ascii="宋体" w:hAnsi="宋体" w:eastAsia="宋体" w:cs="宋体"/>
          <w:color w:val="auto"/>
          <w:kern w:val="0"/>
          <w:sz w:val="24"/>
          <w:szCs w:val="24"/>
        </w:rPr>
        <w:t>承担；</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kern w:val="0"/>
          <w:sz w:val="24"/>
          <w:szCs w:val="24"/>
        </w:rPr>
        <w:t>（2）无负荷联动试车费用由</w:t>
      </w:r>
      <w:r>
        <w:rPr>
          <w:rStyle w:val="498"/>
          <w:rFonts w:hint="eastAsia" w:ascii="宋体" w:hAnsi="宋体" w:eastAsia="宋体" w:cs="宋体"/>
          <w:color w:val="auto"/>
          <w:sz w:val="24"/>
          <w:szCs w:val="24"/>
          <w:u w:val="single"/>
        </w:rPr>
        <w:t xml:space="preserve">  /  </w:t>
      </w:r>
      <w:r>
        <w:rPr>
          <w:rStyle w:val="498"/>
          <w:rFonts w:hint="eastAsia" w:ascii="宋体" w:hAnsi="宋体" w:eastAsia="宋体" w:cs="宋体"/>
          <w:color w:val="auto"/>
          <w:sz w:val="24"/>
          <w:szCs w:val="24"/>
        </w:rPr>
        <w:t>承担。</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13.3.3 投料试车</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关于投料试车相关事项的约定：</w:t>
      </w:r>
      <w:r>
        <w:rPr>
          <w:rStyle w:val="498"/>
          <w:rFonts w:hint="eastAsia" w:ascii="宋体" w:hAnsi="宋体" w:eastAsia="宋体" w:cs="宋体"/>
          <w:color w:val="auto"/>
          <w:sz w:val="24"/>
          <w:szCs w:val="24"/>
          <w:u w:val="single"/>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13.6 竣工退场</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13.6.1 竣工退场</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完成竣工退场的期限：</w:t>
      </w:r>
      <w:r>
        <w:rPr>
          <w:rStyle w:val="498"/>
          <w:rFonts w:hint="eastAsia" w:ascii="宋体" w:hAnsi="宋体" w:eastAsia="宋体" w:cs="宋体"/>
          <w:color w:val="auto"/>
          <w:sz w:val="24"/>
          <w:szCs w:val="24"/>
          <w:u w:val="single"/>
        </w:rPr>
        <w:t>竣工验收合格后10日内撤离，逾期未完成的，</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有权出售或另行处理</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遗留的物品，所得收益归</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所有；由此支出的费用超出出售或处理遗留物品所得收益的由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14. 竣工结算</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14.1 竣工付款申请</w:t>
      </w:r>
    </w:p>
    <w:p>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提交竣工付款申请单的期限：</w:t>
      </w:r>
      <w:r>
        <w:rPr>
          <w:rStyle w:val="498"/>
          <w:rFonts w:hint="eastAsia" w:ascii="宋体" w:hAnsi="宋体" w:eastAsia="宋体" w:cs="宋体"/>
          <w:color w:val="auto"/>
          <w:sz w:val="24"/>
          <w:szCs w:val="24"/>
          <w:u w:val="single"/>
        </w:rPr>
        <w:t xml:space="preserve"> 竣工报告批准后，</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应在20天内以书面方式向</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代表提出结算报告以及完整的结算资料，申请办理竣工结算</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上报的工程量要求准确，不得高估冒算。</w:t>
      </w:r>
    </w:p>
    <w:p>
      <w:pPr>
        <w:spacing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竣工付款申请单应包括的内容：</w:t>
      </w:r>
      <w:r>
        <w:rPr>
          <w:rStyle w:val="498"/>
          <w:rFonts w:hint="eastAsia" w:ascii="宋体" w:hAnsi="宋体" w:eastAsia="宋体" w:cs="宋体"/>
          <w:color w:val="auto"/>
          <w:sz w:val="24"/>
          <w:szCs w:val="24"/>
          <w:u w:val="single"/>
        </w:rPr>
        <w:t xml:space="preserve"> 如竣工结算合同总价、已支付的工程价款、应扣留的质量保证金、应支付的竣工付款金额、竣工验收表格等。 </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14.2 竣工结算审核</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工程竣工验收合格，</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向</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供经重庆市城建档案馆档案专项验收合格的完整竣工档案资料、竣工验收报告和竣工图（含相应的电子文档），由重庆市体育局委托跟审单位进行结算审核，最终以重庆市体育局委托的跟踪审计单位审核出具的审核报告金额作为本工程结算依据。</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14.3 最终结清</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14.3.1 最终结清申请单</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提交最终结清申请单的份数：</w:t>
      </w:r>
      <w:r>
        <w:rPr>
          <w:rStyle w:val="498"/>
          <w:rFonts w:hint="eastAsia" w:ascii="宋体" w:hAnsi="宋体" w:eastAsia="宋体" w:cs="宋体"/>
          <w:color w:val="auto"/>
          <w:sz w:val="24"/>
          <w:szCs w:val="24"/>
          <w:u w:val="single"/>
        </w:rPr>
        <w:t>提交四份最终结算申请单，附</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、监理人、结算审核单位、</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认可的最终结算资料和相关证明材料</w:t>
      </w:r>
      <w:r>
        <w:rPr>
          <w:rStyle w:val="498"/>
          <w:rFonts w:hint="eastAsia" w:ascii="宋体" w:hAnsi="宋体" w:eastAsia="宋体" w:cs="宋体"/>
          <w:color w:val="auto"/>
          <w:sz w:val="24"/>
          <w:szCs w:val="24"/>
        </w:rPr>
        <w:t>。</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提交最终结算申请单的期限：</w:t>
      </w:r>
      <w:r>
        <w:rPr>
          <w:rStyle w:val="498"/>
          <w:rFonts w:hint="eastAsia" w:ascii="宋体" w:hAnsi="宋体" w:eastAsia="宋体" w:cs="宋体"/>
          <w:color w:val="auto"/>
          <w:sz w:val="24"/>
          <w:szCs w:val="24"/>
          <w:u w:val="single"/>
        </w:rPr>
        <w:t>在工程质量缺陷责任期满后7天内</w:t>
      </w:r>
      <w:r>
        <w:rPr>
          <w:rStyle w:val="498"/>
          <w:rFonts w:hint="eastAsia" w:ascii="宋体" w:hAnsi="宋体" w:eastAsia="宋体" w:cs="宋体"/>
          <w:color w:val="auto"/>
          <w:sz w:val="24"/>
          <w:szCs w:val="24"/>
        </w:rPr>
        <w:t xml:space="preserve">。 </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14.3.2 最终结清证书和支付</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完成最终结清申请单的审批并颁发最终结清证书的期限：</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提供最终结算清单及完整的证明材料后20个工作日</w:t>
      </w:r>
      <w:r>
        <w:rPr>
          <w:rStyle w:val="498"/>
          <w:rFonts w:hint="eastAsia" w:ascii="宋体" w:hAnsi="宋体" w:eastAsia="宋体" w:cs="宋体"/>
          <w:color w:val="auto"/>
          <w:sz w:val="24"/>
          <w:szCs w:val="24"/>
        </w:rPr>
        <w:t>。</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完成支付的期限：</w:t>
      </w:r>
      <w:r>
        <w:rPr>
          <w:rStyle w:val="498"/>
          <w:rFonts w:hint="eastAsia" w:ascii="宋体" w:hAnsi="宋体" w:eastAsia="宋体" w:cs="宋体"/>
          <w:color w:val="auto"/>
          <w:sz w:val="24"/>
          <w:szCs w:val="24"/>
          <w:u w:val="single"/>
        </w:rPr>
        <w:t>颁发最终结清证书后15个工作日</w:t>
      </w:r>
      <w:r>
        <w:rPr>
          <w:rStyle w:val="498"/>
          <w:rFonts w:hint="eastAsia" w:ascii="宋体" w:hAnsi="宋体" w:eastAsia="宋体" w:cs="宋体"/>
          <w:color w:val="auto"/>
          <w:sz w:val="24"/>
          <w:szCs w:val="24"/>
        </w:rPr>
        <w:t>。</w:t>
      </w:r>
    </w:p>
    <w:p>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15. 缺陷责任期与保修</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15.2缺陷责任期</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缺陷责任期的具体期限：</w:t>
      </w:r>
      <w:r>
        <w:rPr>
          <w:rStyle w:val="498"/>
          <w:rFonts w:hint="eastAsia" w:ascii="宋体" w:hAnsi="宋体" w:eastAsia="宋体" w:cs="宋体"/>
          <w:color w:val="auto"/>
          <w:sz w:val="24"/>
          <w:szCs w:val="24"/>
          <w:u w:val="single"/>
        </w:rPr>
        <w:t>2年</w:t>
      </w:r>
      <w:r>
        <w:rPr>
          <w:rStyle w:val="498"/>
          <w:rFonts w:hint="eastAsia" w:ascii="宋体" w:hAnsi="宋体" w:eastAsia="宋体" w:cs="宋体"/>
          <w:color w:val="auto"/>
          <w:sz w:val="24"/>
          <w:szCs w:val="24"/>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15.3 质量保证金</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关于是否扣留质量保证金的约定：</w:t>
      </w:r>
      <w:r>
        <w:rPr>
          <w:rStyle w:val="498"/>
          <w:rFonts w:hint="eastAsia" w:ascii="宋体" w:hAnsi="宋体" w:eastAsia="宋体" w:cs="宋体"/>
          <w:color w:val="auto"/>
          <w:sz w:val="24"/>
          <w:szCs w:val="24"/>
          <w:u w:val="single"/>
        </w:rPr>
        <w:t>扣留</w:t>
      </w:r>
      <w:r>
        <w:rPr>
          <w:rStyle w:val="498"/>
          <w:rFonts w:hint="eastAsia" w:ascii="宋体" w:hAnsi="宋体" w:eastAsia="宋体" w:cs="宋体"/>
          <w:color w:val="auto"/>
          <w:sz w:val="24"/>
          <w:szCs w:val="24"/>
        </w:rPr>
        <w:t>。</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15.3.1 </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提供质量保证金的方式</w:t>
      </w:r>
    </w:p>
    <w:p>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质量保证金采用以下方式：经结算审计后，由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先按结算审计金额的3%向</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缴纳质保金</w:t>
      </w:r>
      <w:r>
        <w:rPr>
          <w:rStyle w:val="498"/>
          <w:rFonts w:hint="eastAsia" w:ascii="宋体" w:hAnsi="宋体" w:eastAsia="宋体" w:cs="宋体"/>
          <w:color w:val="auto"/>
          <w:sz w:val="24"/>
          <w:szCs w:val="24"/>
          <w:u w:val="single"/>
        </w:rPr>
        <w:t>。</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15.4保修</w:t>
      </w:r>
    </w:p>
    <w:p>
      <w:pPr>
        <w:spacing w:line="360" w:lineRule="auto"/>
        <w:ind w:firstLine="468" w:firstLineChars="195"/>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15.4.1 保修责任</w:t>
      </w:r>
    </w:p>
    <w:p>
      <w:pPr>
        <w:spacing w:line="360" w:lineRule="auto"/>
        <w:ind w:firstLine="420" w:firstLineChars="175"/>
        <w:rPr>
          <w:rStyle w:val="498"/>
          <w:rFonts w:hint="eastAsia" w:ascii="宋体" w:hAnsi="宋体" w:eastAsia="宋体" w:cs="宋体"/>
          <w:color w:val="auto"/>
          <w:kern w:val="0"/>
          <w:sz w:val="24"/>
          <w:szCs w:val="24"/>
        </w:rPr>
      </w:pPr>
      <w:r>
        <w:rPr>
          <w:rStyle w:val="498"/>
          <w:rFonts w:hint="eastAsia" w:ascii="宋体" w:hAnsi="宋体" w:eastAsia="宋体" w:cs="宋体"/>
          <w:color w:val="auto"/>
          <w:sz w:val="24"/>
          <w:szCs w:val="24"/>
        </w:rPr>
        <w:t>工程保修期为：</w:t>
      </w:r>
      <w:r>
        <w:rPr>
          <w:rStyle w:val="498"/>
          <w:rFonts w:hint="eastAsia" w:ascii="宋体" w:hAnsi="宋体" w:eastAsia="宋体" w:cs="宋体"/>
          <w:color w:val="auto"/>
          <w:sz w:val="24"/>
          <w:szCs w:val="24"/>
          <w:u w:val="single"/>
        </w:rPr>
        <w:t xml:space="preserve">  2年         </w:t>
      </w:r>
      <w:r>
        <w:rPr>
          <w:rStyle w:val="498"/>
          <w:rFonts w:hint="eastAsia" w:ascii="宋体" w:hAnsi="宋体" w:eastAsia="宋体" w:cs="宋体"/>
          <w:color w:val="auto"/>
          <w:sz w:val="24"/>
          <w:szCs w:val="24"/>
        </w:rPr>
        <w:t>。</w:t>
      </w:r>
    </w:p>
    <w:p>
      <w:pPr>
        <w:spacing w:line="360" w:lineRule="auto"/>
        <w:ind w:firstLine="468" w:firstLineChars="195"/>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15.4.3 修复通知</w:t>
      </w:r>
    </w:p>
    <w:p>
      <w:pPr>
        <w:spacing w:line="400" w:lineRule="exact"/>
        <w:ind w:firstLine="480" w:firstLineChars="200"/>
        <w:rPr>
          <w:rFonts w:hint="eastAsia" w:ascii="宋体" w:hAnsi="宋体" w:eastAsia="宋体" w:cs="宋体"/>
          <w:color w:val="auto"/>
          <w:sz w:val="24"/>
          <w:szCs w:val="24"/>
          <w:u w:val="single"/>
        </w:rPr>
      </w:pPr>
      <w:r>
        <w:rPr>
          <w:rStyle w:val="498"/>
          <w:rFonts w:hint="eastAsia" w:ascii="宋体" w:hAnsi="宋体" w:eastAsia="宋体" w:cs="宋体"/>
          <w:color w:val="auto"/>
          <w:kern w:val="0"/>
          <w:sz w:val="24"/>
          <w:szCs w:val="24"/>
          <w:lang w:eastAsia="zh-CN"/>
        </w:rPr>
        <w:t>承包人</w:t>
      </w:r>
      <w:r>
        <w:rPr>
          <w:rStyle w:val="498"/>
          <w:rFonts w:hint="eastAsia" w:ascii="宋体" w:hAnsi="宋体" w:eastAsia="宋体" w:cs="宋体"/>
          <w:color w:val="auto"/>
          <w:kern w:val="0"/>
          <w:sz w:val="24"/>
          <w:szCs w:val="24"/>
        </w:rPr>
        <w:t>收到保修通知并到达工程现场的合理时间：</w:t>
      </w:r>
      <w:r>
        <w:rPr>
          <w:rStyle w:val="498"/>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属于保修范围、内容的项目，</w:t>
      </w:r>
      <w:r>
        <w:rPr>
          <w:rFonts w:hint="eastAsia" w:ascii="宋体" w:hAnsi="宋体" w:eastAsia="宋体" w:cs="宋体"/>
          <w:color w:val="auto"/>
          <w:sz w:val="24"/>
          <w:szCs w:val="24"/>
          <w:u w:val="single"/>
          <w:lang w:eastAsia="zh-CN"/>
        </w:rPr>
        <w:t>投标人</w:t>
      </w:r>
      <w:r>
        <w:rPr>
          <w:rFonts w:hint="eastAsia" w:ascii="宋体" w:hAnsi="宋体" w:eastAsia="宋体" w:cs="宋体"/>
          <w:color w:val="auto"/>
          <w:sz w:val="24"/>
          <w:szCs w:val="24"/>
          <w:u w:val="single"/>
        </w:rPr>
        <w:t>接到</w:t>
      </w:r>
      <w:r>
        <w:rPr>
          <w:rFonts w:hint="eastAsia" w:ascii="宋体" w:hAnsi="宋体" w:eastAsia="宋体" w:cs="宋体"/>
          <w:color w:val="auto"/>
          <w:sz w:val="24"/>
          <w:szCs w:val="24"/>
          <w:u w:val="single"/>
          <w:lang w:eastAsia="zh-CN"/>
        </w:rPr>
        <w:t>发包人</w:t>
      </w:r>
      <w:r>
        <w:rPr>
          <w:rFonts w:hint="eastAsia" w:ascii="宋体" w:hAnsi="宋体" w:eastAsia="宋体" w:cs="宋体"/>
          <w:color w:val="auto"/>
          <w:sz w:val="24"/>
          <w:szCs w:val="24"/>
          <w:u w:val="single"/>
        </w:rPr>
        <w:t>提出问题的通知后立即作出响应，24小时内到达现场进行处理。</w:t>
      </w:r>
    </w:p>
    <w:p>
      <w:pPr>
        <w:spacing w:line="360" w:lineRule="auto"/>
        <w:rPr>
          <w:rStyle w:val="498"/>
          <w:rFonts w:hint="eastAsia" w:ascii="宋体" w:hAnsi="宋体" w:eastAsia="宋体" w:cs="宋体"/>
          <w:color w:val="auto"/>
          <w:sz w:val="24"/>
          <w:szCs w:val="24"/>
          <w:u w:val="single"/>
        </w:rPr>
      </w:pPr>
    </w:p>
    <w:p>
      <w:pPr>
        <w:pStyle w:val="502"/>
        <w:spacing w:before="120" w:after="120" w:line="360" w:lineRule="auto"/>
        <w:ind w:firstLine="480" w:firstLineChars="20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16. 违约</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16.1 </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违约</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16.1.1</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违约的情形</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违约的其他情形：</w:t>
      </w:r>
      <w:r>
        <w:rPr>
          <w:rStyle w:val="498"/>
          <w:rFonts w:hint="eastAsia" w:ascii="宋体" w:hAnsi="宋体" w:eastAsia="宋体" w:cs="宋体"/>
          <w:color w:val="auto"/>
          <w:kern w:val="0"/>
          <w:sz w:val="24"/>
          <w:szCs w:val="24"/>
          <w:u w:val="single"/>
        </w:rPr>
        <w:t>无</w:t>
      </w:r>
      <w:r>
        <w:rPr>
          <w:rStyle w:val="498"/>
          <w:rFonts w:hint="eastAsia" w:ascii="宋体" w:hAnsi="宋体" w:eastAsia="宋体" w:cs="宋体"/>
          <w:color w:val="auto"/>
          <w:kern w:val="0"/>
          <w:sz w:val="24"/>
          <w:szCs w:val="24"/>
        </w:rPr>
        <w:t>。</w:t>
      </w:r>
    </w:p>
    <w:p>
      <w:pPr>
        <w:spacing w:line="360" w:lineRule="auto"/>
        <w:ind w:firstLine="240" w:firstLineChars="1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 xml:space="preserve">  16.1.2 </w:t>
      </w: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违约的责任</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lang w:eastAsia="zh-CN"/>
        </w:rPr>
        <w:t>发包人</w:t>
      </w:r>
      <w:r>
        <w:rPr>
          <w:rStyle w:val="498"/>
          <w:rFonts w:hint="eastAsia" w:ascii="宋体" w:hAnsi="宋体" w:eastAsia="宋体" w:cs="宋体"/>
          <w:color w:val="auto"/>
          <w:kern w:val="0"/>
          <w:sz w:val="24"/>
          <w:szCs w:val="24"/>
        </w:rPr>
        <w:t>违约责任的承担方式和计算方法：</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原因未能在计划开工日期前7天内下达开工通知的违约责任：</w:t>
      </w:r>
      <w:r>
        <w:rPr>
          <w:rStyle w:val="498"/>
          <w:rFonts w:hint="eastAsia" w:ascii="宋体" w:hAnsi="宋体" w:eastAsia="宋体" w:cs="宋体"/>
          <w:color w:val="auto"/>
          <w:sz w:val="24"/>
          <w:szCs w:val="24"/>
          <w:u w:val="single"/>
        </w:rPr>
        <w:t>除顺延工期外不承担其他责任。</w:t>
      </w:r>
    </w:p>
    <w:p>
      <w:pPr>
        <w:spacing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原因未能按合同约定支付合同价款的违约责任：</w:t>
      </w:r>
      <w:r>
        <w:rPr>
          <w:rStyle w:val="498"/>
          <w:rFonts w:hint="eastAsia" w:ascii="宋体" w:hAnsi="宋体" w:eastAsia="宋体" w:cs="宋体"/>
          <w:b/>
          <w:bCs/>
          <w:color w:val="auto"/>
          <w:sz w:val="24"/>
          <w:szCs w:val="24"/>
          <w:u w:val="single"/>
        </w:rPr>
        <w:t>/。</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（3）</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自行实施被取消的工作或转由他人实施的违约责任：</w:t>
      </w:r>
      <w:r>
        <w:rPr>
          <w:rStyle w:val="498"/>
          <w:rFonts w:hint="eastAsia" w:ascii="宋体" w:hAnsi="宋体" w:eastAsia="宋体" w:cs="宋体"/>
          <w:color w:val="auto"/>
          <w:sz w:val="24"/>
          <w:szCs w:val="24"/>
          <w:u w:val="single"/>
        </w:rPr>
        <w:t>不承担</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（4）</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提供的材料、工程设备的规格、数量或质量不符合合同约定，或因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原因导致交货日期延误或交货地点变更等情况的违约责任：</w:t>
      </w:r>
      <w:r>
        <w:rPr>
          <w:rStyle w:val="498"/>
          <w:rFonts w:hint="eastAsia" w:ascii="宋体" w:hAnsi="宋体" w:eastAsia="宋体" w:cs="宋体"/>
          <w:color w:val="auto"/>
          <w:sz w:val="24"/>
          <w:szCs w:val="24"/>
          <w:u w:val="single"/>
        </w:rPr>
        <w:t>除顺延工期外不承担其他责任</w:t>
      </w:r>
      <w:r>
        <w:rPr>
          <w:rStyle w:val="498"/>
          <w:rFonts w:hint="eastAsia" w:ascii="宋体" w:hAnsi="宋体" w:eastAsia="宋体" w:cs="宋体"/>
          <w:color w:val="auto"/>
          <w:sz w:val="24"/>
          <w:szCs w:val="24"/>
        </w:rPr>
        <w:t>。</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（5）因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违反合同约定造成暂停施工的违约责任：</w:t>
      </w:r>
      <w:r>
        <w:rPr>
          <w:rStyle w:val="498"/>
          <w:rFonts w:hint="eastAsia" w:ascii="宋体" w:hAnsi="宋体" w:eastAsia="宋体" w:cs="宋体"/>
          <w:color w:val="auto"/>
          <w:sz w:val="24"/>
          <w:szCs w:val="24"/>
          <w:u w:val="single"/>
        </w:rPr>
        <w:t>除顺延工期外不承担其他责任</w:t>
      </w:r>
    </w:p>
    <w:p>
      <w:pPr>
        <w:spacing w:line="360" w:lineRule="auto"/>
        <w:ind w:firstLine="420" w:firstLineChars="175"/>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（6）</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无正当理由没有在约定期限内发出复工指示，导致</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无法复工的违约责任：</w:t>
      </w:r>
      <w:r>
        <w:rPr>
          <w:rStyle w:val="498"/>
          <w:rFonts w:hint="eastAsia" w:ascii="宋体" w:hAnsi="宋体" w:eastAsia="宋体" w:cs="宋体"/>
          <w:color w:val="auto"/>
          <w:sz w:val="24"/>
          <w:szCs w:val="24"/>
          <w:u w:val="single"/>
        </w:rPr>
        <w:t>不承担。</w:t>
      </w:r>
    </w:p>
    <w:p>
      <w:pPr>
        <w:spacing w:line="360" w:lineRule="auto"/>
        <w:ind w:firstLine="420" w:firstLineChars="175"/>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（7）其他：</w:t>
      </w:r>
      <w:r>
        <w:rPr>
          <w:rStyle w:val="498"/>
          <w:rFonts w:hint="eastAsia" w:ascii="宋体" w:hAnsi="宋体" w:eastAsia="宋体" w:cs="宋体"/>
          <w:color w:val="auto"/>
          <w:sz w:val="24"/>
          <w:szCs w:val="24"/>
          <w:u w:val="single"/>
        </w:rPr>
        <w:t xml:space="preserve">           /          </w:t>
      </w:r>
      <w:r>
        <w:rPr>
          <w:rStyle w:val="498"/>
          <w:rFonts w:hint="eastAsia" w:ascii="宋体" w:hAnsi="宋体" w:eastAsia="宋体" w:cs="宋体"/>
          <w:color w:val="auto"/>
          <w:sz w:val="24"/>
          <w:szCs w:val="24"/>
        </w:rPr>
        <w:t>。</w:t>
      </w:r>
    </w:p>
    <w:p>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16.1.3 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违约解除合同：</w:t>
      </w:r>
      <w:r>
        <w:rPr>
          <w:rStyle w:val="498"/>
          <w:rFonts w:hint="eastAsia" w:ascii="宋体" w:hAnsi="宋体" w:eastAsia="宋体" w:cs="宋体"/>
          <w:color w:val="auto"/>
          <w:sz w:val="24"/>
          <w:szCs w:val="24"/>
          <w:u w:val="single"/>
        </w:rPr>
        <w:t>无  。</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16.1.4 因</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违约解除合同后的付款</w:t>
      </w:r>
    </w:p>
    <w:p>
      <w:pPr>
        <w:spacing w:after="120"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为工程施工订购并已付款的材料、工程设备和其他物品的价款，该材料、工程设备和其他物品应当是符合工程施工质量要求并已完好地交付给</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w:t>
      </w:r>
    </w:p>
    <w:p>
      <w:pPr>
        <w:pStyle w:val="503"/>
        <w:spacing w:line="360" w:lineRule="auto"/>
        <w:ind w:left="0" w:firstLine="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16.2.3 因</w:t>
      </w:r>
      <w:r>
        <w:rPr>
          <w:rStyle w:val="498"/>
          <w:rFonts w:hint="eastAsia" w:ascii="宋体" w:hAnsi="宋体" w:eastAsia="宋体" w:cs="宋体"/>
          <w:b w:val="0"/>
          <w:color w:val="auto"/>
          <w:sz w:val="24"/>
          <w:szCs w:val="24"/>
          <w:lang w:eastAsia="zh-CN"/>
        </w:rPr>
        <w:t>承包人</w:t>
      </w:r>
      <w:r>
        <w:rPr>
          <w:rStyle w:val="498"/>
          <w:rFonts w:hint="eastAsia" w:ascii="宋体" w:hAnsi="宋体" w:eastAsia="宋体" w:cs="宋体"/>
          <w:b w:val="0"/>
          <w:color w:val="auto"/>
          <w:sz w:val="24"/>
          <w:szCs w:val="24"/>
        </w:rPr>
        <w:t>违约解除合同</w:t>
      </w:r>
      <w:r>
        <w:rPr>
          <w:rStyle w:val="498"/>
          <w:rFonts w:hint="eastAsia" w:ascii="宋体" w:hAnsi="宋体" w:eastAsia="宋体" w:cs="宋体"/>
          <w:b w:val="0"/>
          <w:color w:val="auto"/>
          <w:sz w:val="24"/>
          <w:szCs w:val="24"/>
        </w:rPr>
        <w:tab/>
      </w:r>
    </w:p>
    <w:p>
      <w:pPr>
        <w:spacing w:line="360" w:lineRule="auto"/>
        <w:ind w:firstLine="360" w:firstLineChars="15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关于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违约解除合同的特别约定：</w:t>
      </w:r>
      <w:r>
        <w:rPr>
          <w:rStyle w:val="498"/>
          <w:rFonts w:hint="eastAsia" w:ascii="宋体" w:hAnsi="宋体" w:eastAsia="宋体" w:cs="宋体"/>
          <w:color w:val="auto"/>
          <w:sz w:val="24"/>
          <w:szCs w:val="24"/>
          <w:u w:val="single"/>
        </w:rPr>
        <w:t>按通用合同条款第16.2.3项、第16.2.4项和第16.2.5项的约定进行处理，</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没收履约保证金外，</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还应当承担</w:t>
      </w:r>
      <w:r>
        <w:rPr>
          <w:rStyle w:val="498"/>
          <w:rFonts w:hint="eastAsia" w:ascii="宋体" w:hAnsi="宋体" w:eastAsia="宋体" w:cs="宋体"/>
          <w:color w:val="auto"/>
          <w:sz w:val="24"/>
          <w:szCs w:val="24"/>
          <w:u w:val="single"/>
          <w:lang w:eastAsia="zh-CN"/>
        </w:rPr>
        <w:t>发包人</w:t>
      </w:r>
      <w:r>
        <w:rPr>
          <w:rStyle w:val="498"/>
          <w:rFonts w:hint="eastAsia" w:ascii="宋体" w:hAnsi="宋体" w:eastAsia="宋体" w:cs="宋体"/>
          <w:color w:val="auto"/>
          <w:sz w:val="24"/>
          <w:szCs w:val="24"/>
          <w:u w:val="single"/>
        </w:rPr>
        <w:t>由此产生的损失。</w:t>
      </w:r>
    </w:p>
    <w:p>
      <w:pPr>
        <w:spacing w:line="360" w:lineRule="auto"/>
        <w:ind w:firstLine="360" w:firstLineChars="15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继续使用</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在施工现场的材料、设备、临时工程、</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文件和由</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或以其名义编制的其他文件的费用承担方式：</w:t>
      </w:r>
      <w:r>
        <w:rPr>
          <w:rStyle w:val="498"/>
          <w:rFonts w:hint="eastAsia" w:ascii="宋体" w:hAnsi="宋体" w:eastAsia="宋体" w:cs="宋体"/>
          <w:color w:val="auto"/>
          <w:sz w:val="24"/>
          <w:szCs w:val="24"/>
          <w:u w:val="single"/>
        </w:rPr>
        <w:t>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w:t>
      </w:r>
    </w:p>
    <w:p>
      <w:pPr>
        <w:spacing w:line="360" w:lineRule="auto"/>
        <w:ind w:firstLine="360" w:firstLineChars="15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或监理人发出整改通知后，</w:t>
      </w:r>
      <w:r>
        <w:rPr>
          <w:rStyle w:val="498"/>
          <w:rFonts w:hint="eastAsia" w:ascii="宋体" w:hAnsi="宋体" w:eastAsia="宋体" w:cs="宋体"/>
          <w:color w:val="auto"/>
          <w:sz w:val="24"/>
          <w:szCs w:val="24"/>
          <w:lang w:eastAsia="zh-CN"/>
        </w:rPr>
        <w:t>承包人</w:t>
      </w:r>
      <w:r>
        <w:rPr>
          <w:rStyle w:val="498"/>
          <w:rFonts w:hint="eastAsia" w:ascii="宋体" w:hAnsi="宋体" w:eastAsia="宋体" w:cs="宋体"/>
          <w:color w:val="auto"/>
          <w:sz w:val="24"/>
          <w:szCs w:val="24"/>
        </w:rPr>
        <w:t>在指定的合理期限内仍不纠正违约行为并致使合同目的不能实现的，</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有权解除合同。</w:t>
      </w:r>
    </w:p>
    <w:p>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17. 不可抗力</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17.1 不可抗力的确认</w:t>
      </w:r>
    </w:p>
    <w:p>
      <w:pPr>
        <w:spacing w:line="360" w:lineRule="auto"/>
        <w:ind w:firstLine="240" w:firstLineChars="100"/>
        <w:rPr>
          <w:rStyle w:val="498"/>
          <w:rFonts w:hint="eastAsia" w:ascii="宋体" w:hAnsi="宋体" w:eastAsia="宋体" w:cs="宋体"/>
          <w:color w:val="auto"/>
          <w:kern w:val="0"/>
          <w:sz w:val="24"/>
          <w:szCs w:val="24"/>
          <w:u w:val="single"/>
        </w:rPr>
      </w:pPr>
      <w:r>
        <w:rPr>
          <w:rStyle w:val="498"/>
          <w:rFonts w:hint="eastAsia" w:ascii="宋体" w:hAnsi="宋体" w:eastAsia="宋体" w:cs="宋体"/>
          <w:color w:val="auto"/>
          <w:sz w:val="24"/>
          <w:szCs w:val="24"/>
        </w:rPr>
        <w:t xml:space="preserve">除通用合同条款约定的不可抗力事件之外，视为不可抗力的其他情形： </w:t>
      </w:r>
      <w:r>
        <w:rPr>
          <w:rStyle w:val="498"/>
          <w:rFonts w:hint="eastAsia" w:ascii="宋体" w:hAnsi="宋体" w:eastAsia="宋体" w:cs="宋体"/>
          <w:color w:val="auto"/>
          <w:sz w:val="24"/>
          <w:szCs w:val="24"/>
          <w:u w:val="single"/>
        </w:rPr>
        <w:t>不可抗力事件为 战争动乱、100年一遇的自然灾害（如台风、雪灾、洪水、高温）。</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17.2 因不可抗力解除合同</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合同解除后，</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应在商定或确定</w:t>
      </w:r>
      <w:r>
        <w:rPr>
          <w:rStyle w:val="498"/>
          <w:rFonts w:hint="eastAsia" w:ascii="宋体" w:hAnsi="宋体" w:eastAsia="宋体" w:cs="宋体"/>
          <w:color w:val="auto"/>
          <w:sz w:val="24"/>
          <w:szCs w:val="24"/>
          <w:lang w:eastAsia="zh-CN"/>
        </w:rPr>
        <w:t>发包人</w:t>
      </w:r>
      <w:r>
        <w:rPr>
          <w:rStyle w:val="498"/>
          <w:rFonts w:hint="eastAsia" w:ascii="宋体" w:hAnsi="宋体" w:eastAsia="宋体" w:cs="宋体"/>
          <w:color w:val="auto"/>
          <w:sz w:val="24"/>
          <w:szCs w:val="24"/>
        </w:rPr>
        <w:t>应支付款项后</w:t>
      </w:r>
      <w:r>
        <w:rPr>
          <w:rStyle w:val="498"/>
          <w:rFonts w:hint="eastAsia" w:ascii="宋体" w:hAnsi="宋体" w:eastAsia="宋体" w:cs="宋体"/>
          <w:color w:val="auto"/>
          <w:sz w:val="24"/>
          <w:szCs w:val="24"/>
          <w:u w:val="single"/>
        </w:rPr>
        <w:t>90</w:t>
      </w:r>
      <w:r>
        <w:rPr>
          <w:rStyle w:val="498"/>
          <w:rFonts w:hint="eastAsia" w:ascii="宋体" w:hAnsi="宋体" w:eastAsia="宋体" w:cs="宋体"/>
          <w:color w:val="auto"/>
          <w:sz w:val="24"/>
          <w:szCs w:val="24"/>
        </w:rPr>
        <w:t>天内完成款项的支付。</w:t>
      </w:r>
    </w:p>
    <w:p>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18. 保险</w:t>
      </w:r>
    </w:p>
    <w:p>
      <w:pPr>
        <w:pStyle w:val="502"/>
        <w:spacing w:line="360" w:lineRule="auto"/>
        <w:ind w:firstLine="422"/>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18.1 工程保险、第三责任险及其它保险</w:t>
      </w:r>
    </w:p>
    <w:p>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投保人及投保内容：</w:t>
      </w:r>
      <w:r>
        <w:rPr>
          <w:rStyle w:val="498"/>
          <w:rFonts w:hint="eastAsia" w:ascii="宋体" w:hAnsi="宋体" w:eastAsia="宋体" w:cs="宋体"/>
          <w:color w:val="auto"/>
          <w:sz w:val="24"/>
          <w:szCs w:val="24"/>
          <w:u w:val="single"/>
        </w:rPr>
        <w:t>本合同工程的建筑工程一切险、安装工程一切险以及第三者责任险、</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装备险和</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职工的（人身）事故险由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自行投保，保险费由</w:t>
      </w:r>
      <w:r>
        <w:rPr>
          <w:rStyle w:val="498"/>
          <w:rFonts w:hint="eastAsia" w:ascii="宋体" w:hAnsi="宋体" w:eastAsia="宋体" w:cs="宋体"/>
          <w:color w:val="auto"/>
          <w:sz w:val="24"/>
          <w:szCs w:val="24"/>
          <w:u w:val="single"/>
          <w:lang w:eastAsia="zh-CN"/>
        </w:rPr>
        <w:t>承包人</w:t>
      </w:r>
      <w:r>
        <w:rPr>
          <w:rStyle w:val="498"/>
          <w:rFonts w:hint="eastAsia" w:ascii="宋体" w:hAnsi="宋体" w:eastAsia="宋体" w:cs="宋体"/>
          <w:color w:val="auto"/>
          <w:sz w:val="24"/>
          <w:szCs w:val="24"/>
          <w:u w:val="single"/>
        </w:rPr>
        <w:t>承担支付，并包含在所报的总额价中，不单独报价。</w:t>
      </w:r>
    </w:p>
    <w:p>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保险金额、保险费率和保险期限：</w:t>
      </w:r>
      <w:r>
        <w:rPr>
          <w:rStyle w:val="498"/>
          <w:rFonts w:hint="eastAsia" w:ascii="宋体" w:hAnsi="宋体" w:eastAsia="宋体" w:cs="宋体"/>
          <w:color w:val="auto"/>
          <w:sz w:val="24"/>
          <w:szCs w:val="24"/>
          <w:u w:val="single"/>
        </w:rPr>
        <w:t>按相关规定办理。</w:t>
      </w:r>
    </w:p>
    <w:p>
      <w:pPr>
        <w:pStyle w:val="502"/>
        <w:spacing w:before="100" w:after="100" w:line="360" w:lineRule="auto"/>
        <w:ind w:firstLine="480" w:firstLineChars="20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18.1.1 保险凭证</w:t>
      </w:r>
    </w:p>
    <w:p>
      <w:pPr>
        <w:pStyle w:val="502"/>
        <w:spacing w:before="100" w:after="100" w:line="360" w:lineRule="auto"/>
        <w:ind w:firstLine="480" w:firstLineChars="20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保险条件：按相关规定。</w:t>
      </w:r>
    </w:p>
    <w:p>
      <w:pPr>
        <w:pStyle w:val="502"/>
        <w:spacing w:before="100" w:after="100" w:line="360" w:lineRule="auto"/>
        <w:ind w:firstLine="480" w:firstLineChars="20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lang w:eastAsia="zh-CN"/>
        </w:rPr>
        <w:t>承包人</w:t>
      </w:r>
      <w:r>
        <w:rPr>
          <w:rStyle w:val="498"/>
          <w:rFonts w:hint="eastAsia" w:ascii="宋体" w:hAnsi="宋体" w:eastAsia="宋体" w:cs="宋体"/>
          <w:b w:val="0"/>
          <w:color w:val="auto"/>
          <w:sz w:val="24"/>
          <w:szCs w:val="24"/>
        </w:rPr>
        <w:t>提交保险凭证的期限：施工合同签订后30日内。</w:t>
      </w:r>
    </w:p>
    <w:p>
      <w:pPr>
        <w:pStyle w:val="502"/>
        <w:spacing w:before="100" w:after="100" w:line="360" w:lineRule="auto"/>
        <w:ind w:firstLine="480" w:firstLineChars="20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18.1.2 对各项保险的一般要求</w:t>
      </w:r>
    </w:p>
    <w:p>
      <w:pPr>
        <w:pStyle w:val="502"/>
        <w:spacing w:before="100" w:after="100" w:line="360" w:lineRule="auto"/>
        <w:ind w:firstLine="480" w:firstLineChars="200"/>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保险金不足以补偿损失时，应由</w:t>
      </w:r>
      <w:r>
        <w:rPr>
          <w:rStyle w:val="498"/>
          <w:rFonts w:hint="eastAsia" w:ascii="宋体" w:hAnsi="宋体" w:eastAsia="宋体" w:cs="宋体"/>
          <w:b w:val="0"/>
          <w:color w:val="auto"/>
          <w:sz w:val="24"/>
          <w:szCs w:val="24"/>
          <w:lang w:eastAsia="zh-CN"/>
        </w:rPr>
        <w:t>承包人</w:t>
      </w:r>
      <w:r>
        <w:rPr>
          <w:rStyle w:val="498"/>
          <w:rFonts w:hint="eastAsia" w:ascii="宋体" w:hAnsi="宋体" w:eastAsia="宋体" w:cs="宋体"/>
          <w:b w:val="0"/>
          <w:color w:val="auto"/>
          <w:sz w:val="24"/>
          <w:szCs w:val="24"/>
        </w:rPr>
        <w:t>自行负责。</w:t>
      </w:r>
    </w:p>
    <w:p>
      <w:pPr>
        <w:pStyle w:val="502"/>
        <w:spacing w:before="120" w:after="120" w:line="360" w:lineRule="auto"/>
        <w:rPr>
          <w:rStyle w:val="498"/>
          <w:rFonts w:hint="eastAsia" w:ascii="宋体" w:hAnsi="宋体" w:eastAsia="宋体" w:cs="宋体"/>
          <w:b w:val="0"/>
          <w:color w:val="auto"/>
          <w:sz w:val="24"/>
          <w:szCs w:val="24"/>
        </w:rPr>
      </w:pPr>
      <w:r>
        <w:rPr>
          <w:rStyle w:val="498"/>
          <w:rFonts w:hint="eastAsia" w:ascii="宋体" w:hAnsi="宋体" w:eastAsia="宋体" w:cs="宋体"/>
          <w:b w:val="0"/>
          <w:color w:val="auto"/>
          <w:sz w:val="24"/>
          <w:szCs w:val="24"/>
        </w:rPr>
        <w:t>19. 争议解决</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19.1 争议评审</w:t>
      </w:r>
    </w:p>
    <w:p>
      <w:pPr>
        <w:spacing w:line="360" w:lineRule="auto"/>
        <w:ind w:left="170" w:leftChars="71" w:firstLine="360" w:firstLineChars="15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 xml:space="preserve">合同当事人是否同意将工程争议提交争议评审小组决定：。  </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19.1.1 争议评审小组的确定</w:t>
      </w:r>
    </w:p>
    <w:p>
      <w:pPr>
        <w:spacing w:line="360" w:lineRule="auto"/>
        <w:ind w:firstLine="480" w:firstLineChars="200"/>
        <w:jc w:val="left"/>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争议评审小组成员的确定：。</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选定争议评审员的期限：。</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争议评审小组成员的报酬承担方式：。</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其他事项的约定：。</w:t>
      </w:r>
    </w:p>
    <w:p>
      <w:pPr>
        <w:spacing w:line="360" w:lineRule="auto"/>
        <w:ind w:firstLine="480" w:firstLineChars="200"/>
        <w:jc w:val="left"/>
        <w:rPr>
          <w:rStyle w:val="498"/>
          <w:rFonts w:hint="eastAsia" w:ascii="宋体" w:hAnsi="宋体" w:eastAsia="宋体" w:cs="宋体"/>
          <w:color w:val="auto"/>
          <w:kern w:val="0"/>
          <w:sz w:val="24"/>
          <w:szCs w:val="24"/>
        </w:rPr>
      </w:pPr>
      <w:r>
        <w:rPr>
          <w:rStyle w:val="498"/>
          <w:rFonts w:hint="eastAsia" w:ascii="宋体" w:hAnsi="宋体" w:eastAsia="宋体" w:cs="宋体"/>
          <w:color w:val="auto"/>
          <w:kern w:val="0"/>
          <w:sz w:val="24"/>
          <w:szCs w:val="24"/>
        </w:rPr>
        <w:t>19.2.1 争议评审小组的决定</w:t>
      </w:r>
    </w:p>
    <w:p>
      <w:pPr>
        <w:spacing w:line="360" w:lineRule="auto"/>
        <w:ind w:firstLine="480" w:firstLineChars="200"/>
        <w:jc w:val="left"/>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合同当事人关于本项的约定：。</w:t>
      </w:r>
    </w:p>
    <w:p>
      <w:pPr>
        <w:spacing w:after="120" w:line="360" w:lineRule="auto"/>
        <w:ind w:firstLine="480" w:firstLineChars="200"/>
        <w:rPr>
          <w:rStyle w:val="498"/>
          <w:rFonts w:hint="eastAsia" w:ascii="宋体" w:hAnsi="宋体" w:eastAsia="宋体" w:cs="宋体"/>
          <w:color w:val="auto"/>
          <w:sz w:val="24"/>
          <w:szCs w:val="24"/>
        </w:rPr>
      </w:pPr>
      <w:r>
        <w:rPr>
          <w:rStyle w:val="498"/>
          <w:rFonts w:hint="eastAsia" w:ascii="宋体" w:hAnsi="宋体" w:eastAsia="宋体" w:cs="宋体"/>
          <w:color w:val="auto"/>
          <w:sz w:val="24"/>
          <w:szCs w:val="24"/>
        </w:rPr>
        <w:t>20.仲裁或诉讼</w:t>
      </w:r>
    </w:p>
    <w:p>
      <w:pPr>
        <w:spacing w:after="120" w:line="360" w:lineRule="auto"/>
        <w:ind w:firstLine="480" w:firstLineChars="200"/>
        <w:rPr>
          <w:rStyle w:val="498"/>
          <w:rFonts w:hint="eastAsia" w:ascii="宋体" w:hAnsi="宋体" w:eastAsia="宋体" w:cs="宋体"/>
          <w:color w:val="auto"/>
          <w:sz w:val="24"/>
          <w:szCs w:val="24"/>
          <w:u w:val="single"/>
        </w:rPr>
      </w:pPr>
      <w:r>
        <w:rPr>
          <w:rStyle w:val="498"/>
          <w:rFonts w:hint="eastAsia" w:ascii="宋体" w:hAnsi="宋体" w:eastAsia="宋体" w:cs="宋体"/>
          <w:color w:val="auto"/>
          <w:sz w:val="24"/>
          <w:szCs w:val="24"/>
        </w:rPr>
        <w:t>因合同及合同有关事项发生的争议，按下列方式解决：</w:t>
      </w:r>
      <w:r>
        <w:rPr>
          <w:rStyle w:val="498"/>
          <w:rFonts w:hint="eastAsia" w:ascii="宋体" w:hAnsi="宋体" w:eastAsia="宋体" w:cs="宋体"/>
          <w:color w:val="auto"/>
          <w:sz w:val="24"/>
          <w:szCs w:val="24"/>
          <w:u w:val="single"/>
        </w:rPr>
        <w:t>向项目管辖权的人民法院起诉。</w:t>
      </w:r>
    </w:p>
    <w:p>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附件1：安全管理协议</w:t>
      </w:r>
    </w:p>
    <w:p>
      <w:pPr>
        <w:spacing w:before="120" w:beforeLines="50" w:after="120" w:afterLines="50" w:line="480" w:lineRule="auto"/>
        <w:jc w:val="center"/>
        <w:rPr>
          <w:rFonts w:hint="eastAsia" w:ascii="宋体" w:hAnsi="宋体" w:eastAsia="宋体" w:cs="宋体"/>
          <w:color w:val="auto"/>
          <w:sz w:val="24"/>
          <w:szCs w:val="24"/>
        </w:rPr>
      </w:pPr>
      <w:bookmarkStart w:id="152" w:name="_Toc336680145"/>
      <w:bookmarkStart w:id="153" w:name="_Toc448406299"/>
      <w:bookmarkStart w:id="154" w:name="_Toc247431422"/>
      <w:bookmarkStart w:id="155" w:name="_Toc435690184"/>
      <w:bookmarkStart w:id="156" w:name="_Toc239510288"/>
      <w:bookmarkStart w:id="157" w:name="_Toc435689499"/>
      <w:r>
        <w:rPr>
          <w:rFonts w:hint="eastAsia" w:ascii="宋体" w:hAnsi="宋体" w:eastAsia="宋体" w:cs="宋体"/>
          <w:color w:val="auto"/>
          <w:sz w:val="24"/>
          <w:szCs w:val="24"/>
        </w:rPr>
        <w:t>安全管理协议</w:t>
      </w:r>
      <w:bookmarkEnd w:id="152"/>
      <w:bookmarkEnd w:id="153"/>
      <w:bookmarkEnd w:id="154"/>
      <w:bookmarkEnd w:id="155"/>
      <w:bookmarkEnd w:id="156"/>
      <w:bookmarkEnd w:id="157"/>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为了确保实现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color w:val="auto"/>
          <w:sz w:val="24"/>
          <w:szCs w:val="24"/>
        </w:rPr>
        <w:t xml:space="preserve">安全生产目标，进一步明确双方的安全管理责任，加强安全生产管理工作的协调、管理力度，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color w:val="auto"/>
          <w:sz w:val="24"/>
          <w:szCs w:val="24"/>
        </w:rPr>
        <w:t>（以下简称“</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color w:val="auto"/>
          <w:sz w:val="24"/>
          <w:szCs w:val="24"/>
        </w:rPr>
        <w:t>（以下简称“</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80" w:firstLineChars="200"/>
        <w:rPr>
          <w:rFonts w:hint="eastAsia" w:ascii="宋体" w:hAnsi="宋体" w:eastAsia="宋体" w:cs="宋体"/>
          <w:color w:val="auto"/>
          <w:sz w:val="24"/>
          <w:szCs w:val="24"/>
        </w:rPr>
      </w:pPr>
      <w:bookmarkStart w:id="158" w:name="_Toc247431423"/>
      <w:bookmarkStart w:id="159" w:name="_Toc247418263"/>
      <w:bookmarkStart w:id="160" w:name="_Toc532375700"/>
      <w:bookmarkStart w:id="161" w:name="_Toc239510289"/>
      <w:r>
        <w:rPr>
          <w:rFonts w:hint="eastAsia" w:ascii="宋体" w:hAnsi="宋体" w:eastAsia="宋体" w:cs="宋体"/>
          <w:color w:val="auto"/>
          <w:sz w:val="24"/>
          <w:szCs w:val="24"/>
        </w:rPr>
        <w:t>一、协议有效期限</w:t>
      </w:r>
      <w:bookmarkEnd w:id="158"/>
      <w:bookmarkEnd w:id="159"/>
      <w:bookmarkEnd w:id="160"/>
      <w:bookmarkEnd w:id="161"/>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本协议中所涉及的安全管理责任自合同签订之日起开始生效，至合同工程全部完工验收且经</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签订移交协议生效后之日终止。</w:t>
      </w:r>
    </w:p>
    <w:p>
      <w:pPr>
        <w:spacing w:line="360" w:lineRule="auto"/>
        <w:ind w:firstLine="480" w:firstLineChars="200"/>
        <w:rPr>
          <w:rFonts w:hint="eastAsia" w:ascii="宋体" w:hAnsi="宋体" w:eastAsia="宋体" w:cs="宋体"/>
          <w:color w:val="auto"/>
          <w:sz w:val="24"/>
          <w:szCs w:val="24"/>
        </w:rPr>
      </w:pPr>
      <w:bookmarkStart w:id="162" w:name="_Toc247418264"/>
      <w:bookmarkStart w:id="163" w:name="_Toc247431424"/>
      <w:bookmarkStart w:id="164" w:name="_Toc239510290"/>
      <w:bookmarkStart w:id="165" w:name="_Toc532375701"/>
      <w:r>
        <w:rPr>
          <w:rFonts w:hint="eastAsia" w:ascii="宋体" w:hAnsi="宋体" w:eastAsia="宋体" w:cs="宋体"/>
          <w:color w:val="auto"/>
          <w:sz w:val="24"/>
          <w:szCs w:val="24"/>
        </w:rPr>
        <w:t>二、责任目标</w:t>
      </w:r>
      <w:bookmarkEnd w:id="162"/>
      <w:bookmarkEnd w:id="163"/>
      <w:bookmarkEnd w:id="164"/>
      <w:bookmarkEnd w:id="165"/>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承诺承担和履行合同和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所规定的安全责任，且满足要求。</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的安全控制目标是确保本工程在实施过程中：</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1．不发生人身重伤事故；</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2．不发生火灾事故；</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3．不发生负有同等及以上事故责任的造成人身重伤的一般交通事故；</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4．不发生集体食物中毒事件（同时5人及以上的食物中毒）；</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5．不发生流行性传染病 （无甲型传染病、其他常见传染病未形成多人同时患病）；</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6．不发生重大环境污染事件（生活、工业垃圾及其他污染物造成环境污染和大面积水土流失）；</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7．不发生对施工区附近生产、生活造成重大影响的事件（如造成重大设备损坏、重大财产损失、人员伤害等）；</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8．不发生治安保卫事件（构成刑事拘留及以上的事件、盗窃直接损失超过1万元人民币的事件）。</w:t>
      </w:r>
    </w:p>
    <w:p>
      <w:pPr>
        <w:spacing w:line="360" w:lineRule="auto"/>
        <w:ind w:firstLine="480" w:firstLineChars="200"/>
        <w:jc w:val="left"/>
        <w:rPr>
          <w:rFonts w:hint="eastAsia" w:ascii="宋体" w:hAnsi="宋体" w:eastAsia="宋体" w:cs="宋体"/>
          <w:color w:val="auto"/>
          <w:sz w:val="24"/>
          <w:szCs w:val="24"/>
        </w:rPr>
      </w:pPr>
      <w:bookmarkStart w:id="166" w:name="_Toc247431425"/>
      <w:bookmarkStart w:id="167" w:name="_Toc247418265"/>
      <w:bookmarkStart w:id="168" w:name="_Toc239510291"/>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承诺在施工中控制以下安全事故的发生：</w:t>
      </w:r>
      <w:bookmarkEnd w:id="166"/>
      <w:bookmarkEnd w:id="167"/>
      <w:bookmarkEnd w:id="168"/>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1．人员轻伤事故。</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2．负有同等及以上事故责任的人身轻伤交通事故。</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3．其他安全未遂事故和异常事件。</w:t>
      </w:r>
    </w:p>
    <w:p>
      <w:pPr>
        <w:spacing w:line="360" w:lineRule="auto"/>
        <w:ind w:firstLine="480" w:firstLineChars="200"/>
        <w:rPr>
          <w:rFonts w:hint="eastAsia" w:ascii="宋体" w:hAnsi="宋体" w:eastAsia="宋体" w:cs="宋体"/>
          <w:color w:val="auto"/>
          <w:sz w:val="24"/>
          <w:szCs w:val="24"/>
        </w:rPr>
      </w:pPr>
      <w:bookmarkStart w:id="169" w:name="_Toc239510292"/>
      <w:bookmarkStart w:id="170" w:name="_Toc247418266"/>
      <w:bookmarkStart w:id="171" w:name="_Toc247431426"/>
      <w:bookmarkStart w:id="172" w:name="_Toc532375702"/>
      <w:r>
        <w:rPr>
          <w:rFonts w:hint="eastAsia" w:ascii="宋体" w:hAnsi="宋体" w:eastAsia="宋体" w:cs="宋体"/>
          <w:color w:val="auto"/>
          <w:sz w:val="24"/>
          <w:szCs w:val="24"/>
        </w:rPr>
        <w:t>三、安全责任</w:t>
      </w:r>
      <w:bookmarkEnd w:id="169"/>
      <w:bookmarkEnd w:id="170"/>
      <w:bookmarkEnd w:id="171"/>
      <w:bookmarkEnd w:id="172"/>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负有安全生产的管理责任和直接责任。</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的法人或签署合同的公司总经理或受委托的代理人对合同安全负有全面的领导责任。</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项目经理对施工现场的安全工作负有全面的直接领导责任。</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保证执行“谁施工、谁负责”的施工安全原则。</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保证服从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对安全工作的统一协调和管理。</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保证对本工程项目安全生产条件及其管理资源自行投入，保证安全资金的专款专用。</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保证建立本工程项目的安全管理体系及安全保证体系（注：项目安全管理大纲/手册、管理性的程序文件等）。</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保证现场的安全管理专职人员必须持有建设主管部门安全生产培训考核合格证书。</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保证为现场所有工作人员（含分包商员工及劳务人员）配备符合国家标准的有</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和/或其下属分包商标志的个人基本劳动保护用品。</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保证按照国家法律规定为现场所有工作人员（含分包商员工及劳务人员）购买意外伤害保险。</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保证施工生活营地（包括自建的和租用的营地）满足消防、安全用电、卫生防疫、防暴雨、防雷击等方面的安全要求。</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保证对带入现场的设备、工具、材料按照国家法规和标准进行检测、试验，并持有法定部门出具的检验证书。</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保证制订施工现场的文明施工措施，保护环境、树木和植被，保持施工现场的良好秩序和整洁的作业环境。</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负责在施工过程中与当地政府、周边群众及其他承包商保持良好的沟通和交流。</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遇到与周边群众发生纠纷时，应负责协调工作，确保工程能够顺利进行。</w:t>
      </w:r>
    </w:p>
    <w:p>
      <w:pPr>
        <w:spacing w:line="360" w:lineRule="auto"/>
        <w:ind w:firstLine="480" w:firstLineChars="200"/>
        <w:rPr>
          <w:rFonts w:hint="eastAsia" w:ascii="宋体" w:hAnsi="宋体" w:eastAsia="宋体" w:cs="宋体"/>
          <w:color w:val="auto"/>
          <w:sz w:val="24"/>
          <w:szCs w:val="24"/>
        </w:rPr>
      </w:pPr>
      <w:bookmarkStart w:id="173" w:name="_Toc532375703"/>
      <w:bookmarkStart w:id="174" w:name="_Toc247431427"/>
      <w:bookmarkStart w:id="175" w:name="_Toc239510293"/>
      <w:bookmarkStart w:id="176" w:name="_Toc247418267"/>
      <w:r>
        <w:rPr>
          <w:rFonts w:hint="eastAsia" w:ascii="宋体" w:hAnsi="宋体" w:eastAsia="宋体" w:cs="宋体"/>
          <w:color w:val="auto"/>
          <w:sz w:val="24"/>
          <w:szCs w:val="24"/>
        </w:rPr>
        <w:t>四、接口及协调</w:t>
      </w:r>
      <w:bookmarkEnd w:id="173"/>
      <w:bookmarkEnd w:id="174"/>
      <w:bookmarkEnd w:id="175"/>
      <w:bookmarkEnd w:id="176"/>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委托监理公司对该工程实施监理，监理公司在安全管理方面代表</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行使监督检查职能，</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必须给予配合和支持。</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人员、车辆的出入，带入现场的设备、机具、材料，在现场使用的或直接管理的办公、生活、生产性设施的安全管理须满足</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现场管理的基本要求。</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应指定专职安全管理人员与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委托的监理公司接口，参与安全协调和管理。安全协调和管理的内容包括职业健康、工业安全、消防安全、卫生防疫、交通安全、环境保护、治安保卫等各方面。</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的专职安全管理人员应具备协调安全工作的能力和授权。</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委托的监理公司有权对专职安全管理人员的能力和权力做出评价，对于不能胜任的专职安全管理人员，</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委托的监理公司有权要求</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换人。</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指定的专职安全管理人员应与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委托的监理公司建立联系，在业务上接受</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委托的监理公司的协调和指导。</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6．开工后</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的专职安全管理人员应按照</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委托的监理公司的规定，定期报送安全月度快报、季报、年报和各种专项事故报告等。</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7．在工程实体未全部正式移交</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施工管理部门之前，</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依旧对施工范围内的安全管理负责。</w:t>
      </w:r>
    </w:p>
    <w:p>
      <w:pPr>
        <w:spacing w:line="360" w:lineRule="auto"/>
        <w:ind w:firstLine="480" w:firstLineChars="200"/>
        <w:rPr>
          <w:rFonts w:hint="eastAsia" w:ascii="宋体" w:hAnsi="宋体" w:eastAsia="宋体" w:cs="宋体"/>
          <w:color w:val="auto"/>
          <w:sz w:val="24"/>
          <w:szCs w:val="24"/>
        </w:rPr>
      </w:pPr>
      <w:bookmarkStart w:id="177" w:name="_Toc532375704"/>
      <w:bookmarkStart w:id="178" w:name="_Toc247431428"/>
      <w:bookmarkStart w:id="179" w:name="_Toc239510294"/>
      <w:bookmarkStart w:id="180" w:name="_Toc247418268"/>
      <w:r>
        <w:rPr>
          <w:rFonts w:hint="eastAsia" w:ascii="宋体" w:hAnsi="宋体" w:eastAsia="宋体" w:cs="宋体"/>
          <w:color w:val="auto"/>
          <w:sz w:val="24"/>
          <w:szCs w:val="24"/>
        </w:rPr>
        <w:t>五、安全资质审查</w:t>
      </w:r>
      <w:bookmarkEnd w:id="177"/>
      <w:bookmarkEnd w:id="178"/>
      <w:bookmarkEnd w:id="179"/>
      <w:bookmarkEnd w:id="180"/>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在项目开工前5个工作天内向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委托的监理公司提供以下安全资质供审查和存档：</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1．企业安全生产许可证书复印件。</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2．企业近三年的施工简历及安全施工业绩证明文件。</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3．企业主要安全管理人员（包括项目经理、专职安全管理人员）经建设主管部门安全生产知识考核合格证书。</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4．特种作业人员资格证书。</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5．项目安全管理机构及其人员配备（</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必须配有专职的安全员）。</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6．适用于项目的安全管理体系及保证体系文件（安全管理大纲及管理程序文件）。</w:t>
      </w:r>
    </w:p>
    <w:p>
      <w:pPr>
        <w:spacing w:line="360" w:lineRule="auto"/>
        <w:ind w:firstLine="480" w:firstLineChars="200"/>
        <w:rPr>
          <w:rFonts w:hint="eastAsia" w:ascii="宋体" w:hAnsi="宋体" w:eastAsia="宋体" w:cs="宋体"/>
          <w:color w:val="auto"/>
          <w:sz w:val="24"/>
          <w:szCs w:val="24"/>
        </w:rPr>
      </w:pPr>
      <w:bookmarkStart w:id="181" w:name="_Toc532375705"/>
      <w:bookmarkStart w:id="182" w:name="_Toc239510295"/>
      <w:bookmarkStart w:id="183" w:name="_Toc247431429"/>
      <w:bookmarkStart w:id="184" w:name="_Toc247418269"/>
      <w:r>
        <w:rPr>
          <w:rFonts w:hint="eastAsia" w:ascii="宋体" w:hAnsi="宋体" w:eastAsia="宋体" w:cs="宋体"/>
          <w:color w:val="auto"/>
          <w:sz w:val="24"/>
          <w:szCs w:val="24"/>
        </w:rPr>
        <w:t>六、人员基本素质</w:t>
      </w:r>
      <w:bookmarkEnd w:id="181"/>
      <w:bookmarkEnd w:id="182"/>
      <w:bookmarkEnd w:id="183"/>
      <w:bookmarkEnd w:id="184"/>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提供的人员必须满足下列要求:</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1．身体健康，无影响工作的精神疾病、无传染病和其他重大疾病；</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需对其雇用的施工人员签发健康声明并保证其健康。其中体检证明材料（县级以上医院）和健康声明作为人员办理入场证件的必备材料。</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2．无刑事案件牵连。</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3．无吸毒、酗酒、赌博、嫖娼等恶习及违法行为。</w:t>
      </w:r>
    </w:p>
    <w:p>
      <w:pPr>
        <w:spacing w:line="360" w:lineRule="auto"/>
        <w:ind w:firstLine="480" w:firstLineChars="200"/>
        <w:rPr>
          <w:rFonts w:hint="eastAsia" w:ascii="宋体" w:hAnsi="宋体" w:eastAsia="宋体" w:cs="宋体"/>
          <w:color w:val="auto"/>
          <w:sz w:val="24"/>
          <w:szCs w:val="24"/>
        </w:rPr>
      </w:pPr>
      <w:bookmarkStart w:id="185" w:name="_Toc247431430"/>
      <w:bookmarkStart w:id="186" w:name="_Toc532375706"/>
      <w:bookmarkStart w:id="187" w:name="_Toc247418270"/>
      <w:bookmarkStart w:id="188" w:name="_Toc239510296"/>
      <w:r>
        <w:rPr>
          <w:rFonts w:hint="eastAsia" w:ascii="宋体" w:hAnsi="宋体" w:eastAsia="宋体" w:cs="宋体"/>
          <w:color w:val="auto"/>
          <w:sz w:val="24"/>
          <w:szCs w:val="24"/>
        </w:rPr>
        <w:t>七、劳动保护</w:t>
      </w:r>
      <w:bookmarkEnd w:id="185"/>
      <w:bookmarkEnd w:id="186"/>
      <w:bookmarkEnd w:id="187"/>
      <w:bookmarkEnd w:id="188"/>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负责为本单位任何用工形式的员工提供个人劳动保护用品（包括工作服、安全帽、安全鞋等）。</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负责向特殊工种的员工提供特殊劳动保护，否则不得从事特殊工种作业。</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委托的监理公司有权检查</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的个人劳动保护用品是否符合国家的相应标准。</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4． </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在特殊风险场所作业而需要特殊防护用品或安全仪表时，必须在上述防护用品全部到位后才能开工。</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应配备临时安全围栏、警示带、警告标志、防火布等集体防护用品。</w:t>
      </w:r>
    </w:p>
    <w:p>
      <w:pPr>
        <w:spacing w:line="360" w:lineRule="auto"/>
        <w:ind w:firstLine="480" w:firstLineChars="200"/>
        <w:rPr>
          <w:rFonts w:hint="eastAsia" w:ascii="宋体" w:hAnsi="宋体" w:eastAsia="宋体" w:cs="宋体"/>
          <w:color w:val="auto"/>
          <w:sz w:val="24"/>
          <w:szCs w:val="24"/>
        </w:rPr>
      </w:pPr>
      <w:bookmarkStart w:id="189" w:name="_Toc247431431"/>
      <w:bookmarkStart w:id="190" w:name="_Toc239510297"/>
      <w:bookmarkStart w:id="191" w:name="_Toc247418271"/>
      <w:bookmarkStart w:id="192" w:name="_Toc532375707"/>
      <w:r>
        <w:rPr>
          <w:rFonts w:hint="eastAsia" w:ascii="宋体" w:hAnsi="宋体" w:eastAsia="宋体" w:cs="宋体"/>
          <w:color w:val="auto"/>
          <w:sz w:val="24"/>
          <w:szCs w:val="24"/>
        </w:rPr>
        <w:t>八、施工机具与材料</w:t>
      </w:r>
      <w:bookmarkEnd w:id="189"/>
      <w:bookmarkEnd w:id="190"/>
      <w:bookmarkEnd w:id="191"/>
      <w:bookmarkEnd w:id="192"/>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对带入现场的施工机械和工器具的安全负责。</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2．对于</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带入现场的特殊工器具，如起重设备、索具、机动车辆、压缩气瓶等，</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必须按国家法规和标准进行检测、试验，并持有法定部门出具的检验证书。</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3．对于不属于法定检测的工器具，</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也必须建立相应的管理、检测制度，这些工器具包括登高工具、脚手架材料、电动工具、安全防护设备及用具等。</w:t>
      </w:r>
    </w:p>
    <w:p>
      <w:pPr>
        <w:spacing w:line="360" w:lineRule="auto"/>
        <w:ind w:firstLine="480" w:firstLineChars="200"/>
        <w:rPr>
          <w:rFonts w:hint="eastAsia" w:ascii="宋体" w:hAnsi="宋体" w:eastAsia="宋体" w:cs="宋体"/>
          <w:color w:val="auto"/>
          <w:sz w:val="24"/>
          <w:szCs w:val="24"/>
        </w:rPr>
      </w:pPr>
      <w:bookmarkStart w:id="193" w:name="_Toc239510298"/>
      <w:bookmarkStart w:id="194" w:name="_Toc247431432"/>
      <w:bookmarkStart w:id="195" w:name="_Toc532375708"/>
      <w:bookmarkStart w:id="196" w:name="_Toc247418272"/>
      <w:r>
        <w:rPr>
          <w:rFonts w:hint="eastAsia" w:ascii="宋体" w:hAnsi="宋体" w:eastAsia="宋体" w:cs="宋体"/>
          <w:color w:val="auto"/>
          <w:sz w:val="24"/>
          <w:szCs w:val="24"/>
        </w:rPr>
        <w:t>九、开工前安全条件检查</w:t>
      </w:r>
      <w:bookmarkEnd w:id="193"/>
      <w:bookmarkEnd w:id="194"/>
      <w:bookmarkEnd w:id="195"/>
      <w:bookmarkEnd w:id="196"/>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委托的监理公司将在合同生效后，工程项目正式开工5个工作日前，依据合同安全条款的要求逐项对</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安全准备情况进行检查。不满足开工安全条件时，</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将不得开工，由此产生的工期和成本的影响，由</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自行负责。</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委托的监理公司检查发现的缺陷，</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应在规定期限内完成整改。对于重大缺陷，</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委托的监理公司有权要求</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推迟开工，由此对工期产生的影响或经济损失，由</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承担。</w:t>
      </w:r>
    </w:p>
    <w:p>
      <w:pPr>
        <w:spacing w:line="360" w:lineRule="auto"/>
        <w:ind w:firstLine="480" w:firstLineChars="200"/>
        <w:rPr>
          <w:rFonts w:hint="eastAsia" w:ascii="宋体" w:hAnsi="宋体" w:eastAsia="宋体" w:cs="宋体"/>
          <w:color w:val="auto"/>
          <w:sz w:val="24"/>
          <w:szCs w:val="24"/>
        </w:rPr>
      </w:pPr>
      <w:bookmarkStart w:id="197" w:name="_Toc247418273"/>
      <w:bookmarkStart w:id="198" w:name="_Toc247431433"/>
      <w:bookmarkStart w:id="199" w:name="_Toc532375709"/>
      <w:bookmarkStart w:id="200" w:name="_Toc239510299"/>
      <w:r>
        <w:rPr>
          <w:rFonts w:hint="eastAsia" w:ascii="宋体" w:hAnsi="宋体" w:eastAsia="宋体" w:cs="宋体"/>
          <w:color w:val="auto"/>
          <w:sz w:val="24"/>
          <w:szCs w:val="24"/>
        </w:rPr>
        <w:t>十、安全监督</w:t>
      </w:r>
      <w:bookmarkEnd w:id="197"/>
      <w:bookmarkEnd w:id="198"/>
      <w:bookmarkEnd w:id="199"/>
      <w:bookmarkEnd w:id="200"/>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应配备有满足项目安全管理需要的专职安全管理人员。</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的专职安全管理人员必须持建设主管部门颁发的安全生产知识考核合格证书。</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的专职安全管理人员在业务上接受</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安全管理部门的协调和指导。</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应建立班前安全交底制度；施工期间坚持开展安全检查和日常安全监督并形成相应的记录。</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应在每个作业区任命兼职安全员，赋予兼职安全员相应的授权和义务，并对兼职安全员进行定期考核。</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应接受和配合</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专业部门及委托的监理公司的监督与安全评价。</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和委托的监理公司有权对</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履行安全管理协议的情况进行监督，并有权对违章行为实行停工和处罚，处罚情况将通知</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。涉及经济处罚时将直接通知合同管理部门从合同结算中扣除。</w:t>
      </w:r>
    </w:p>
    <w:p>
      <w:pPr>
        <w:spacing w:line="360" w:lineRule="auto"/>
        <w:ind w:firstLine="480" w:firstLineChars="200"/>
        <w:rPr>
          <w:rFonts w:hint="eastAsia" w:ascii="宋体" w:hAnsi="宋体" w:eastAsia="宋体" w:cs="宋体"/>
          <w:color w:val="auto"/>
          <w:sz w:val="24"/>
          <w:szCs w:val="24"/>
        </w:rPr>
      </w:pPr>
      <w:bookmarkStart w:id="201" w:name="_Toc247418274"/>
      <w:bookmarkStart w:id="202" w:name="_Toc239510300"/>
      <w:bookmarkStart w:id="203" w:name="_Toc247431434"/>
      <w:bookmarkStart w:id="204" w:name="_Toc532375710"/>
      <w:r>
        <w:rPr>
          <w:rFonts w:hint="eastAsia" w:ascii="宋体" w:hAnsi="宋体" w:eastAsia="宋体" w:cs="宋体"/>
          <w:color w:val="auto"/>
          <w:sz w:val="24"/>
          <w:szCs w:val="24"/>
        </w:rPr>
        <w:t>十一、安全培训与授权</w:t>
      </w:r>
      <w:bookmarkEnd w:id="201"/>
      <w:bookmarkEnd w:id="202"/>
      <w:bookmarkEnd w:id="203"/>
      <w:bookmarkEnd w:id="204"/>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所有特殊工种人员必须持证上岗，</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委托的监理公司有权对其进行抽查。</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要建立特殊工种定期培训和检查计划，这些工种包括但不限于：机动车驾驶员、焊工、起重工、电工等。</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应在特殊工种之外的其他工种中，筛选出高风险工种，并对其开展针对性的专题安全培训。</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应组织 “入场培训”和考核。</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委托的监理公司有权监督培训、考核情况或组织抽查考核。</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应建立安全培训和考核机制，编制培训教材和培训滚动计划。</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应组织安全考试/考核，建立培训考核记录，</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委托的监理公司有权查看这些记录。</w:t>
      </w:r>
    </w:p>
    <w:p>
      <w:pPr>
        <w:spacing w:line="360" w:lineRule="auto"/>
        <w:ind w:firstLine="480" w:firstLineChars="200"/>
        <w:rPr>
          <w:rFonts w:hint="eastAsia" w:ascii="宋体" w:hAnsi="宋体" w:eastAsia="宋体" w:cs="宋体"/>
          <w:color w:val="auto"/>
          <w:sz w:val="24"/>
          <w:szCs w:val="24"/>
        </w:rPr>
      </w:pPr>
      <w:bookmarkStart w:id="205" w:name="_Toc532375711"/>
      <w:bookmarkStart w:id="206" w:name="_Toc239510301"/>
      <w:bookmarkStart w:id="207" w:name="_Toc247431435"/>
      <w:bookmarkStart w:id="208" w:name="_Toc247418275"/>
      <w:r>
        <w:rPr>
          <w:rFonts w:hint="eastAsia" w:ascii="宋体" w:hAnsi="宋体" w:eastAsia="宋体" w:cs="宋体"/>
          <w:color w:val="auto"/>
          <w:sz w:val="24"/>
          <w:szCs w:val="24"/>
        </w:rPr>
        <w:t>十二、职业健康与卫生防疫</w:t>
      </w:r>
      <w:bookmarkEnd w:id="205"/>
      <w:bookmarkEnd w:id="206"/>
      <w:bookmarkEnd w:id="207"/>
      <w:bookmarkEnd w:id="208"/>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应保证卫生防疫基本设施的投入，以满足医疗、急救的要求，建立外部医疗支持渠道。</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80" w:firstLineChars="200"/>
        <w:rPr>
          <w:rFonts w:hint="eastAsia" w:ascii="宋体" w:hAnsi="宋体" w:eastAsia="宋体" w:cs="宋体"/>
          <w:color w:val="auto"/>
          <w:sz w:val="24"/>
          <w:szCs w:val="24"/>
        </w:rPr>
      </w:pPr>
      <w:bookmarkStart w:id="209" w:name="_Toc247431436"/>
      <w:bookmarkStart w:id="210" w:name="_Toc247418276"/>
      <w:bookmarkStart w:id="211" w:name="_Toc239510302"/>
      <w:bookmarkStart w:id="212" w:name="_Toc532375712"/>
      <w:r>
        <w:rPr>
          <w:rFonts w:hint="eastAsia" w:ascii="宋体" w:hAnsi="宋体" w:eastAsia="宋体" w:cs="宋体"/>
          <w:color w:val="auto"/>
          <w:sz w:val="24"/>
          <w:szCs w:val="24"/>
        </w:rPr>
        <w:t>十三、文明施工与环保要求</w:t>
      </w:r>
      <w:bookmarkEnd w:id="209"/>
      <w:bookmarkEnd w:id="210"/>
      <w:bookmarkEnd w:id="211"/>
      <w:bookmarkEnd w:id="212"/>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需制订施工现场的文明施工措施，保持良好的施工现场秩序。施工现场的物料堆放要摆放整齐，安全标志和宣传标志要清楚醒目，废料、废物要分类收集，安全通道要畅通。</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作业时应避免建筑材料抛洒、飞扬、流淌；应尽可能降低噪音、震动。</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应根据实际需要，在施工现场布置临时卫生设施（洗手间、卫生间等），施工作业不破坏环境卫生，不污染现场环境。</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在施工中应充分重视对环境的保护，保护绿色植被，保护古树。施工如需伤害古树，必须报告</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委托的监理公司，在未得到指令前，禁止擅自伤害古树。</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在施工中应禁止向环境，排放工业污水、生活污水、废油或其他有害物质。</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在施工中应防止水土流失，应及时对裸露的地基、边坡、开挖出来的沙/土以及砂、石、水泥等建筑材料予以保护，防止风刮扬尘，雨水冲刷，流入下水道、排洪沟。如因防护不及时而造成大量水土流失、淤塞道路、沟道或污染环境的，</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应承担清淤、清扫以及相应的赔偿责任。</w:t>
      </w:r>
    </w:p>
    <w:p>
      <w:pPr>
        <w:spacing w:line="360" w:lineRule="auto"/>
        <w:ind w:firstLine="480" w:firstLineChars="200"/>
        <w:rPr>
          <w:rFonts w:hint="eastAsia" w:ascii="宋体" w:hAnsi="宋体" w:eastAsia="宋体" w:cs="宋体"/>
          <w:color w:val="auto"/>
          <w:sz w:val="24"/>
          <w:szCs w:val="24"/>
        </w:rPr>
      </w:pPr>
      <w:bookmarkStart w:id="213" w:name="_Toc532375713"/>
      <w:bookmarkStart w:id="214" w:name="_Toc247431437"/>
      <w:bookmarkStart w:id="215" w:name="_Toc239510303"/>
      <w:bookmarkStart w:id="216" w:name="_Toc247418277"/>
      <w:r>
        <w:rPr>
          <w:rFonts w:hint="eastAsia" w:ascii="宋体" w:hAnsi="宋体" w:eastAsia="宋体" w:cs="宋体"/>
          <w:color w:val="auto"/>
          <w:sz w:val="24"/>
          <w:szCs w:val="24"/>
        </w:rPr>
        <w:t>十四、工程风险管理与事故预防</w:t>
      </w:r>
      <w:bookmarkEnd w:id="213"/>
      <w:bookmarkEnd w:id="214"/>
      <w:bookmarkEnd w:id="215"/>
      <w:bookmarkEnd w:id="216"/>
    </w:p>
    <w:p>
      <w:pPr>
        <w:spacing w:line="360" w:lineRule="auto"/>
        <w:ind w:firstLine="480" w:firstLineChars="200"/>
        <w:jc w:val="left"/>
        <w:rPr>
          <w:rFonts w:hint="eastAsia" w:ascii="宋体" w:hAnsi="宋体" w:eastAsia="宋体" w:cs="宋体"/>
          <w:color w:val="auto"/>
          <w:sz w:val="24"/>
          <w:szCs w:val="24"/>
        </w:rPr>
      </w:pPr>
      <w:bookmarkStart w:id="217" w:name="_Toc247431438"/>
      <w:bookmarkStart w:id="218" w:name="_Toc247418278"/>
      <w:bookmarkStart w:id="219" w:name="_Toc239510304"/>
      <w:r>
        <w:rPr>
          <w:rFonts w:hint="eastAsia" w:ascii="宋体" w:hAnsi="宋体" w:eastAsia="宋体" w:cs="宋体"/>
          <w:color w:val="auto"/>
          <w:sz w:val="24"/>
          <w:szCs w:val="24"/>
        </w:rPr>
        <w:t>（一）基本要求</w:t>
      </w:r>
      <w:bookmarkEnd w:id="217"/>
      <w:bookmarkEnd w:id="218"/>
      <w:bookmarkEnd w:id="219"/>
    </w:p>
    <w:p>
      <w:pPr>
        <w:spacing w:line="360" w:lineRule="auto"/>
        <w:ind w:firstLine="480" w:firstLineChars="200"/>
        <w:jc w:val="left"/>
        <w:rPr>
          <w:rFonts w:hint="eastAsia" w:ascii="宋体" w:hAnsi="宋体" w:eastAsia="宋体" w:cs="宋体"/>
          <w:color w:val="auto"/>
          <w:sz w:val="24"/>
          <w:szCs w:val="24"/>
        </w:rPr>
      </w:pPr>
      <w:bookmarkStart w:id="220" w:name="_Toc532375714"/>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应对施工过程进行全面、深入的危险源识别和风险分析。在施工安全组织设计中提供危险源及重要危险源清单、作业风险分析报告，该报告应包括（但不限于）如下信息：</w:t>
      </w:r>
      <w:bookmarkEnd w:id="220"/>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（1）高风险作业和工种清单：作业名称、类别和数量、主要事故风险。</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（2）施工能源和机械的种类、数量和主要事故风险。</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（3）施工作业条件的类型和主要事故风险。</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（4）主要工艺过程（或施工活动）的类别及其相关的事故风险。</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（5）主要火灾危险（可燃物、点火源）。</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（6）主要自然灾害（洪水、大风、雷暴、暴雨、地质灾害等）。</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（7）主要环境保护事件（有害垃圾、机械的跑冒滴漏、原材料流失、水土流失等）。</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（8）其他。</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应针对识别出的危险源制定有针对性的事故预防措施并确保在施工中得到有效落实。</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应建立日常施工活动的动态作业风险分析和安全交底制度。该制度应明确规定风险分析的方法、责任和交底的内容、时间及记录。</w:t>
      </w:r>
    </w:p>
    <w:p>
      <w:pPr>
        <w:spacing w:line="360" w:lineRule="auto"/>
        <w:ind w:firstLine="480" w:firstLineChars="200"/>
        <w:jc w:val="left"/>
        <w:rPr>
          <w:rFonts w:hint="eastAsia" w:ascii="宋体" w:hAnsi="宋体" w:eastAsia="宋体" w:cs="宋体"/>
          <w:color w:val="auto"/>
          <w:sz w:val="24"/>
          <w:szCs w:val="24"/>
        </w:rPr>
      </w:pPr>
      <w:bookmarkStart w:id="221" w:name="_Toc247431439"/>
      <w:bookmarkStart w:id="222" w:name="_Toc247418279"/>
      <w:bookmarkStart w:id="223" w:name="_Toc239510305"/>
      <w:r>
        <w:rPr>
          <w:rFonts w:hint="eastAsia" w:ascii="宋体" w:hAnsi="宋体" w:eastAsia="宋体" w:cs="宋体"/>
          <w:color w:val="auto"/>
          <w:sz w:val="24"/>
          <w:szCs w:val="24"/>
        </w:rPr>
        <w:t>（二）现场作业基本安全条件</w:t>
      </w:r>
      <w:bookmarkEnd w:id="221"/>
      <w:bookmarkEnd w:id="222"/>
      <w:bookmarkEnd w:id="223"/>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80" w:firstLineChars="200"/>
        <w:rPr>
          <w:rFonts w:hint="eastAsia" w:ascii="宋体" w:hAnsi="宋体" w:eastAsia="宋体" w:cs="宋体"/>
          <w:color w:val="auto"/>
          <w:sz w:val="24"/>
          <w:szCs w:val="24"/>
        </w:rPr>
      </w:pPr>
      <w:bookmarkStart w:id="224" w:name="_Toc239510306"/>
      <w:bookmarkStart w:id="225" w:name="_Toc532375715"/>
      <w:bookmarkStart w:id="226" w:name="_Toc247418280"/>
      <w:bookmarkStart w:id="227" w:name="_Toc247431440"/>
      <w:r>
        <w:rPr>
          <w:rFonts w:hint="eastAsia" w:ascii="宋体" w:hAnsi="宋体" w:eastAsia="宋体" w:cs="宋体"/>
          <w:color w:val="auto"/>
          <w:sz w:val="24"/>
          <w:szCs w:val="24"/>
        </w:rPr>
        <w:t>十五、事故报告与应急救援</w:t>
      </w:r>
      <w:bookmarkEnd w:id="224"/>
      <w:bookmarkEnd w:id="225"/>
      <w:bookmarkEnd w:id="226"/>
      <w:bookmarkEnd w:id="227"/>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应制定对于未遂事故及以上级别的安全事件和事故，定期报送安全月度快报、季报、年报和各种专项事故报告等。</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应建立安全事故统计记录、未遂事故统计记录、违章统计记录，并根据统计情况进行分析，并就分析结果制定相应的预防措施。</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应建立事故应急救援机制，明确事故处置的基本原则，即现场发生事故时，首先抢救生命，向救援组织报警，并采取措施限制事故扩大。</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应建立相应的应急响应组织，以便能迅速处理突发意外。</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应建立专项应急响应预案，包括重大人身伤亡事故的救护预案、火灾响应预案、“四防”预案（防风、防冻、防雷、防暴雨）、重大疫病防护预案、环境污染防护预案、地质灾害防护预案等。</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应对应急预案进行适当演练，保证应急预案的可操作性。</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7．在工地的其他施工单位发生重大事故时，</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应无条件立即配合、支持事故抢险。</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必须为事故处置支付各项费用，包括受伤者的抚恤、补偿等费用，并按合同要求赔偿对</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9．由于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原因而造成的事故，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应负责按事故的具体损失情况给予</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经济赔偿。</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10．涉及</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员工的伤害事故，</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除要报告</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委托的监理公司外，还应负责按照国家、行业和本单位上级公司的要求，上报事故。</w:t>
      </w:r>
    </w:p>
    <w:p>
      <w:pPr>
        <w:spacing w:line="360" w:lineRule="auto"/>
        <w:ind w:firstLine="480" w:firstLineChars="200"/>
        <w:rPr>
          <w:rFonts w:hint="eastAsia" w:ascii="宋体" w:hAnsi="宋体" w:eastAsia="宋体" w:cs="宋体"/>
          <w:color w:val="auto"/>
          <w:sz w:val="24"/>
          <w:szCs w:val="24"/>
        </w:rPr>
      </w:pPr>
      <w:bookmarkStart w:id="228" w:name="_Toc247431441"/>
      <w:bookmarkStart w:id="229" w:name="_Toc247418281"/>
      <w:bookmarkStart w:id="230" w:name="_Toc532375716"/>
      <w:bookmarkStart w:id="231" w:name="_Toc239510307"/>
      <w:r>
        <w:rPr>
          <w:rFonts w:hint="eastAsia" w:ascii="宋体" w:hAnsi="宋体" w:eastAsia="宋体" w:cs="宋体"/>
          <w:color w:val="auto"/>
          <w:sz w:val="24"/>
          <w:szCs w:val="24"/>
        </w:rPr>
        <w:t>十六、安全业绩考核</w:t>
      </w:r>
      <w:bookmarkEnd w:id="228"/>
      <w:bookmarkEnd w:id="229"/>
      <w:bookmarkEnd w:id="230"/>
      <w:bookmarkEnd w:id="231"/>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为了落实安全管理的责任，</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在施工过程中发生安全事故时，</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除应按国家有关规定承担责任和处罚外，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还将按照以下标准进行考核：</w:t>
      </w:r>
    </w:p>
    <w:tbl>
      <w:tblPr>
        <w:tblStyle w:val="62"/>
        <w:tblW w:w="0" w:type="auto"/>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事件类型</w:t>
            </w:r>
          </w:p>
        </w:tc>
        <w:tc>
          <w:tcPr>
            <w:tcW w:w="3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一般事故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rPr>
              <w:t>签约合同价</w:t>
            </w:r>
            <w:r>
              <w:rPr>
                <w:rFonts w:hint="eastAsia" w:ascii="宋体" w:hAnsi="宋体" w:eastAsia="宋体" w:cs="宋体"/>
                <w:color w:val="auto"/>
                <w:sz w:val="24"/>
                <w:szCs w:val="24"/>
              </w:rPr>
              <w:t>的0.5‰</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较大事故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签约合同价</w:t>
            </w:r>
            <w:r>
              <w:rPr>
                <w:rFonts w:hint="eastAsia" w:ascii="宋体" w:hAnsi="宋体" w:eastAsia="宋体" w:cs="宋体"/>
                <w:color w:val="auto"/>
                <w:sz w:val="24"/>
                <w:szCs w:val="24"/>
              </w:rPr>
              <w:t>的1‰</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重大事故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特别重大事故</w:t>
            </w:r>
          </w:p>
        </w:tc>
        <w:tc>
          <w:tcPr>
            <w:tcW w:w="3765" w:type="dxa"/>
            <w:tcBorders>
              <w:top w:val="single" w:color="auto" w:sz="8" w:space="0"/>
              <w:left w:val="nil"/>
              <w:bottom w:val="single" w:color="auto" w:sz="8" w:space="0"/>
              <w:right w:val="single" w:color="auto" w:sz="8" w:space="0"/>
            </w:tcBorders>
            <w:noWrap w:val="0"/>
            <w:vAlign w:val="center"/>
          </w:tcPr>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签约合同价的4‰</w:t>
            </w:r>
          </w:p>
        </w:tc>
      </w:tr>
    </w:tbl>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（1）一般事故，是指造成3人以下死亡，或者10人以下重伤，或者1000万元以下直接经济损失的事故；</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（2）较大事故，是指造成3人以上10人以下死亡，或者10人以上50人以下重伤，或者1000万元以上5000万元以下直接经济损失的事故；</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（3）重大事故，是指造成10人以上30人以下死亡，或者50人以上100人以下重伤，或者5000万元以上1亿元以下直接经济损失的事故；</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（4）特别重大事故，是指造成30人以上死亡，或者100人以上重伤（包括急性工业中毒，下同），或者1亿元以上直接经济损失的事故；</w:t>
      </w:r>
    </w:p>
    <w:p>
      <w:pPr>
        <w:spacing w:line="276"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（4）所称的“以上”包括本数，所称的“以下”不包括本数。</w:t>
      </w:r>
    </w:p>
    <w:p>
      <w:pPr>
        <w:spacing w:line="276"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委托的监理公司负责对</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的安全业绩进行考核。每次合同支付前，</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提交自我安全业绩评估报告，然后交</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委托的监理公司评价。</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委托的监理公司在签署评价意见后，将作为合同支付依据之一，同时也作为是否可接受</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再次参加</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 xml:space="preserve">项目投标的依据之一。 </w:t>
      </w:r>
    </w:p>
    <w:p>
      <w:pPr>
        <w:spacing w:line="276" w:lineRule="auto"/>
        <w:ind w:firstLine="480" w:firstLineChars="200"/>
        <w:rPr>
          <w:rFonts w:hint="eastAsia" w:ascii="宋体" w:hAnsi="宋体" w:eastAsia="宋体" w:cs="宋体"/>
          <w:color w:val="auto"/>
          <w:sz w:val="24"/>
          <w:szCs w:val="24"/>
        </w:rPr>
      </w:pPr>
      <w:bookmarkStart w:id="232" w:name="_Toc247418282"/>
      <w:bookmarkStart w:id="233" w:name="_Toc239510308"/>
      <w:bookmarkStart w:id="234" w:name="_Toc532375717"/>
      <w:bookmarkStart w:id="235" w:name="_Toc247431442"/>
      <w:r>
        <w:rPr>
          <w:rFonts w:hint="eastAsia" w:ascii="宋体" w:hAnsi="宋体" w:eastAsia="宋体" w:cs="宋体"/>
          <w:color w:val="auto"/>
          <w:sz w:val="24"/>
          <w:szCs w:val="24"/>
        </w:rPr>
        <w:t>十七、协议条款的修订</w:t>
      </w:r>
      <w:bookmarkEnd w:id="232"/>
      <w:bookmarkEnd w:id="233"/>
      <w:bookmarkEnd w:id="234"/>
      <w:bookmarkEnd w:id="235"/>
    </w:p>
    <w:p>
      <w:pPr>
        <w:spacing w:line="276"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在项目实施过程中，经双方友好协商，本协议的有关条款也可做出相应的修改。</w:t>
      </w:r>
    </w:p>
    <w:p>
      <w:pPr>
        <w:spacing w:line="276"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本工程安全管理协议，由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双方在施工承包合同签订后7天内共同签署，作为施工合同附件。</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发  包  人（公章）：</w:t>
      </w:r>
      <w:r>
        <w:rPr>
          <w:rFonts w:hint="eastAsia" w:ascii="宋体" w:hAnsi="宋体" w:eastAsia="宋体" w:cs="宋体"/>
          <w:color w:val="auto"/>
          <w:sz w:val="24"/>
          <w:szCs w:val="24"/>
          <w:u w:val="single"/>
        </w:rPr>
        <w:t xml:space="preserve">  重庆市体育设施建设维护中心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或其委托代理人（签字）：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360" w:lineRule="auto"/>
        <w:ind w:firstLine="480" w:firstLineChars="200"/>
        <w:jc w:val="left"/>
        <w:rPr>
          <w:rFonts w:hint="eastAsia" w:ascii="宋体" w:hAnsi="宋体" w:eastAsia="宋体" w:cs="宋体"/>
          <w:color w:val="auto"/>
          <w:sz w:val="24"/>
          <w:szCs w:val="24"/>
        </w:rPr>
      </w:pPr>
    </w:p>
    <w:p>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承  包  人（公章）：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r>
        <w:rPr>
          <w:rFonts w:hint="eastAsia" w:ascii="宋体" w:hAnsi="宋体" w:eastAsia="宋体" w:cs="宋体"/>
          <w:color w:val="auto"/>
          <w:sz w:val="24"/>
          <w:szCs w:val="24"/>
          <w:u w:val="single"/>
        </w:rPr>
        <w:t xml:space="preserve">                       </w:t>
      </w:r>
    </w:p>
    <w:p>
      <w:pPr>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t>或其委托代理人（签字）：</w:t>
      </w:r>
      <w:r>
        <w:rPr>
          <w:rFonts w:hint="eastAsia" w:ascii="宋体" w:hAnsi="宋体" w:eastAsia="宋体" w:cs="宋体"/>
          <w:color w:val="auto"/>
          <w:sz w:val="24"/>
          <w:szCs w:val="24"/>
          <w:u w:val="single"/>
        </w:rPr>
        <w:t xml:space="preserve">                   </w:t>
      </w:r>
    </w:p>
    <w:p>
      <w:pPr>
        <w:snapToGrid w:val="0"/>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rPr>
        <w:t>附件2保障农民工工资支付协议</w:t>
      </w:r>
    </w:p>
    <w:p>
      <w:pPr>
        <w:spacing w:before="120" w:beforeLines="50" w:after="120" w:afterLines="50"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保障农民工工资支付协议</w:t>
      </w:r>
    </w:p>
    <w:p>
      <w:pPr>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重庆市体育设施建设维护中心</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审核合格后，才进行当期工程进度款的支付。</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二、由于工程进度款申报和审查需一定时间，其与农民工工资发放时间存在一定时间的延后，</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应具有垫付不低于3个月农民工工资能力。</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在本补充协议签订后申请的第一笔工程进度款时应出具垫付不低于3个月农民工工资的书面承诺给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是否做出承诺作为支付工程进度款的前提条件之一。</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每月10日前将本月作业班组、班组人数、农民工身份信息等报监理单位，10日～15日分别以作业班组为小组，每小组自行选举产生一名农民工代表，监理单位应全程监督，选举结果与当期工程款支付申请一并报送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四、若发现</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有下列事项的，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有权在进度款中扣除民工工资，直接支付给民工个人。</w:t>
      </w:r>
    </w:p>
    <w:p>
      <w:pPr>
        <w:pStyle w:val="2"/>
        <w:rPr>
          <w:rFonts w:hint="eastAsia"/>
          <w:color w:val="auto"/>
          <w:lang w:eastAsia="zh-CN"/>
        </w:rPr>
      </w:pPr>
    </w:p>
    <w:p>
      <w:pPr>
        <w:pStyle w:val="2"/>
        <w:rPr>
          <w:rFonts w:hint="eastAsia"/>
          <w:color w:val="auto"/>
          <w:lang w:eastAsia="zh-CN"/>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（一）现场检查发现项目存在拖欠农民工工资情况并经核查属实的；</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（二）相关行政管理部门检查发现存在拖欠农民工工资情况并经核查属实的；</w:t>
      </w:r>
    </w:p>
    <w:p>
      <w:pPr>
        <w:pStyle w:val="2"/>
        <w:rPr>
          <w:rFonts w:hint="eastAsia"/>
          <w:color w:val="auto"/>
          <w:lang w:eastAsia="zh-CN"/>
        </w:rPr>
      </w:pPr>
    </w:p>
    <w:p>
      <w:pPr>
        <w:pStyle w:val="2"/>
        <w:rPr>
          <w:rFonts w:hint="eastAsia"/>
          <w:color w:val="auto"/>
          <w:lang w:eastAsia="zh-CN"/>
        </w:rPr>
      </w:pP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（三）有拖欠农民工工资投诉事项并经核查属实的。</w:t>
      </w:r>
    </w:p>
    <w:p>
      <w:pPr>
        <w:pStyle w:val="2"/>
        <w:rPr>
          <w:rFonts w:hint="eastAsia"/>
          <w:color w:val="auto"/>
          <w:lang w:eastAsia="zh-CN"/>
        </w:rPr>
      </w:pPr>
    </w:p>
    <w:p>
      <w:pPr>
        <w:pStyle w:val="2"/>
        <w:rPr>
          <w:rFonts w:hint="eastAsia"/>
          <w:color w:val="auto"/>
          <w:lang w:eastAsia="zh-CN"/>
        </w:rPr>
      </w:pP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五、对发现的存在拖欠农民工工资事项，</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应在3天内限时整改，并将整改措施和结果报</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审查，经</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批准同意后，在下一期工程进度款支付中返还暂扣的工程款；如</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未在3天内限时整改，暂扣工程款将继续扣留，直至整改完毕。暂扣款不计息。</w:t>
      </w:r>
    </w:p>
    <w:p>
      <w:pPr>
        <w:tabs>
          <w:tab w:val="left" w:pos="1080"/>
          <w:tab w:val="left" w:pos="1260"/>
          <w:tab w:val="left" w:pos="1440"/>
        </w:tabs>
        <w:spacing w:line="360" w:lineRule="auto"/>
        <w:ind w:firstLine="480" w:firstLineChars="200"/>
        <w:rPr>
          <w:rFonts w:hint="eastAsia" w:ascii="宋体" w:hAnsi="宋体" w:eastAsia="宋体" w:cs="宋体"/>
          <w:snapToGrid w:val="0"/>
          <w:color w:val="auto"/>
          <w:spacing w:val="-4"/>
          <w:kern w:val="0"/>
          <w:sz w:val="24"/>
          <w:szCs w:val="24"/>
        </w:rPr>
      </w:pPr>
      <w:r>
        <w:rPr>
          <w:rFonts w:hint="eastAsia" w:ascii="宋体" w:hAnsi="宋体" w:eastAsia="宋体" w:cs="宋体"/>
          <w:color w:val="auto"/>
          <w:sz w:val="24"/>
          <w:szCs w:val="24"/>
        </w:rPr>
        <w:t>六、本协议经双方法定代表人或委托代理人签字并加盖公章后生效，履行完毕后自然失效。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1、关于农民工工资发放情况的说明表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spacing w:line="360" w:lineRule="auto"/>
        <w:ind w:firstLine="480" w:firstLineChars="200"/>
        <w:rPr>
          <w:rFonts w:hint="eastAsia" w:ascii="宋体" w:hAnsi="宋体" w:eastAsia="宋体" w:cs="宋体"/>
          <w:color w:val="auto"/>
          <w:sz w:val="24"/>
          <w:szCs w:val="24"/>
        </w:rPr>
      </w:pPr>
    </w:p>
    <w:p>
      <w:pPr>
        <w:pStyle w:val="2"/>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重庆市体育设施建设维护中心</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或委托代理人：</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或委托代理人：</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widowControl/>
        <w:snapToGrid w:val="0"/>
        <w:spacing w:after="100" w:afterAutospacing="1"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关于农民工工资发放情况的说明表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noWrap w:val="0"/>
            <w:vAlign w:val="top"/>
          </w:tcPr>
          <w:p>
            <w:pPr>
              <w:widowControl/>
              <w:snapToGrid w:val="0"/>
              <w:spacing w:after="100" w:afterAutospacing="1" w:line="40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工程名称：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noWrap w:val="0"/>
            <w:vAlign w:val="top"/>
          </w:tcPr>
          <w:p>
            <w:pPr>
              <w:widowControl/>
              <w:snapToGrid w:val="0"/>
              <w:spacing w:after="100" w:afterAutospacing="1"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施工单位：</w:t>
            </w:r>
          </w:p>
        </w:tc>
        <w:tc>
          <w:tcPr>
            <w:tcW w:w="6201" w:type="dxa"/>
            <w:noWrap w:val="0"/>
            <w:vAlign w:val="top"/>
          </w:tcPr>
          <w:p>
            <w:pPr>
              <w:widowControl/>
              <w:snapToGrid w:val="0"/>
              <w:spacing w:after="100" w:afterAutospacing="1" w:line="400" w:lineRule="exac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noWrap w:val="0"/>
            <w:vAlign w:val="top"/>
          </w:tcPr>
          <w:p>
            <w:pPr>
              <w:widowControl/>
              <w:snapToGrid w:val="0"/>
              <w:spacing w:after="100" w:afterAutospacing="1" w:line="40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监理单位：</w:t>
            </w:r>
          </w:p>
        </w:tc>
        <w:tc>
          <w:tcPr>
            <w:tcW w:w="6201" w:type="dxa"/>
            <w:noWrap w:val="0"/>
            <w:vAlign w:val="top"/>
          </w:tcPr>
          <w:p>
            <w:pPr>
              <w:widowControl/>
              <w:snapToGrid w:val="0"/>
              <w:spacing w:after="100" w:afterAutospacing="1" w:line="400" w:lineRule="exact"/>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noWrap w:val="0"/>
            <w:vAlign w:val="top"/>
          </w:tcPr>
          <w:p>
            <w:pPr>
              <w:widowControl/>
              <w:snapToGrid w:val="0"/>
              <w:spacing w:after="100" w:afterAutospacing="1" w:line="400" w:lineRule="exact"/>
              <w:rPr>
                <w:rFonts w:hint="eastAsia" w:ascii="宋体" w:hAnsi="宋体" w:eastAsia="宋体" w:cs="宋体"/>
                <w:color w:val="auto"/>
                <w:kern w:val="0"/>
                <w:sz w:val="24"/>
                <w:szCs w:val="24"/>
                <w:u w:val="single"/>
              </w:rPr>
            </w:pPr>
          </w:p>
          <w:p>
            <w:pPr>
              <w:widowControl/>
              <w:snapToGrid w:val="0"/>
              <w:spacing w:after="100" w:afterAutospacing="1" w:line="400" w:lineRule="exact"/>
              <w:rPr>
                <w:rFonts w:hint="eastAsia" w:ascii="宋体" w:hAnsi="宋体" w:eastAsia="宋体" w:cs="宋体"/>
                <w:color w:val="auto"/>
                <w:kern w:val="0"/>
                <w:sz w:val="24"/>
                <w:szCs w:val="24"/>
                <w:u w:val="single"/>
                <w:lang w:eastAsia="zh-CN"/>
              </w:rPr>
            </w:pPr>
            <w:r>
              <w:rPr>
                <w:rFonts w:hint="eastAsia" w:ascii="宋体" w:hAnsi="宋体" w:eastAsia="宋体" w:cs="宋体"/>
                <w:color w:val="auto"/>
                <w:kern w:val="0"/>
                <w:sz w:val="24"/>
                <w:szCs w:val="24"/>
              </w:rPr>
              <w:t>（项目业主单位名称）：</w:t>
            </w:r>
          </w:p>
          <w:p>
            <w:pPr>
              <w:pStyle w:val="2"/>
              <w:rPr>
                <w:rFonts w:hint="eastAsia"/>
                <w:color w:val="auto"/>
                <w:lang w:eastAsia="zh-CN"/>
              </w:rPr>
            </w:pPr>
          </w:p>
          <w:p>
            <w:pPr>
              <w:pStyle w:val="2"/>
              <w:rPr>
                <w:rFonts w:hint="eastAsia"/>
                <w:color w:val="auto"/>
                <w:lang w:eastAsia="zh-CN"/>
              </w:rPr>
            </w:pPr>
          </w:p>
          <w:p>
            <w:pPr>
              <w:widowControl/>
              <w:snapToGrid w:val="0"/>
              <w:spacing w:after="100" w:afterAutospacing="1" w:line="40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 xml:space="preserve">    我单位负责承建的（       ）无拖欠农民工资的情况，贵单位先期支付我单位的工程款已优先用于支付了农民工工资，农民工工资全部按时足额进行了发放，请贵单位予以审核。</w:t>
            </w:r>
          </w:p>
          <w:p>
            <w:pPr>
              <w:pStyle w:val="2"/>
              <w:rPr>
                <w:rFonts w:hint="eastAsia"/>
                <w:color w:val="auto"/>
                <w:lang w:eastAsia="zh-CN"/>
              </w:rPr>
            </w:pPr>
          </w:p>
          <w:p>
            <w:pPr>
              <w:pStyle w:val="2"/>
              <w:rPr>
                <w:rFonts w:hint="eastAsia"/>
                <w:color w:val="auto"/>
                <w:lang w:eastAsia="zh-CN"/>
              </w:rPr>
            </w:pPr>
          </w:p>
          <w:p>
            <w:pPr>
              <w:pStyle w:val="2"/>
              <w:rPr>
                <w:rFonts w:hint="eastAsia"/>
                <w:color w:val="auto"/>
                <w:lang w:eastAsia="zh-CN"/>
              </w:rPr>
            </w:pPr>
          </w:p>
          <w:p>
            <w:pPr>
              <w:widowControl/>
              <w:snapToGrid w:val="0"/>
              <w:spacing w:after="100" w:afterAutospacing="1" w:line="400" w:lineRule="exact"/>
              <w:ind w:firstLine="1440" w:firstLineChars="600"/>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施工单位项目负责人签字（加盖项目章）：</w:t>
            </w:r>
            <w:r>
              <w:rPr>
                <w:rFonts w:hint="eastAsia" w:ascii="宋体" w:hAnsi="宋体" w:eastAsia="宋体" w:cs="宋体"/>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noWrap w:val="0"/>
            <w:vAlign w:val="center"/>
          </w:tcPr>
          <w:p>
            <w:pPr>
              <w:widowControl/>
              <w:snapToGrid w:val="0"/>
              <w:spacing w:after="100" w:afterAutospacing="1"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监理单位意见：</w:t>
            </w:r>
          </w:p>
        </w:tc>
        <w:tc>
          <w:tcPr>
            <w:tcW w:w="6201" w:type="dxa"/>
            <w:noWrap w:val="0"/>
            <w:vAlign w:val="top"/>
          </w:tcPr>
          <w:p>
            <w:pPr>
              <w:widowControl/>
              <w:snapToGrid w:val="0"/>
              <w:spacing w:after="100" w:afterAutospacing="1" w:line="400" w:lineRule="exact"/>
              <w:rPr>
                <w:rFonts w:hint="eastAsia" w:ascii="宋体" w:hAnsi="宋体" w:eastAsia="宋体" w:cs="宋体"/>
                <w:color w:val="auto"/>
                <w:kern w:val="0"/>
                <w:sz w:val="24"/>
                <w:szCs w:val="24"/>
                <w:u w:val="single"/>
              </w:rPr>
            </w:pPr>
          </w:p>
          <w:p>
            <w:pPr>
              <w:widowControl/>
              <w:snapToGrid w:val="0"/>
              <w:spacing w:after="100" w:afterAutospacing="1" w:line="40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 xml:space="preserve">             总监签字并加盖项目章：</w:t>
            </w:r>
            <w:r>
              <w:rPr>
                <w:rFonts w:hint="eastAsia" w:ascii="宋体" w:hAnsi="宋体" w:eastAsia="宋体" w:cs="宋体"/>
                <w:color w:val="auto"/>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noWrap w:val="0"/>
            <w:vAlign w:val="center"/>
          </w:tcPr>
          <w:p>
            <w:pPr>
              <w:widowControl/>
              <w:snapToGrid w:val="0"/>
              <w:spacing w:after="100" w:afterAutospacing="1" w:line="40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工程部项目负责人意见：</w:t>
            </w:r>
          </w:p>
        </w:tc>
        <w:tc>
          <w:tcPr>
            <w:tcW w:w="6201" w:type="dxa"/>
            <w:noWrap w:val="0"/>
            <w:vAlign w:val="top"/>
          </w:tcPr>
          <w:p>
            <w:pPr>
              <w:widowControl/>
              <w:snapToGrid w:val="0"/>
              <w:spacing w:after="100" w:afterAutospacing="1" w:line="400" w:lineRule="exact"/>
              <w:rPr>
                <w:rFonts w:hint="eastAsia" w:ascii="宋体" w:hAnsi="宋体" w:eastAsia="宋体" w:cs="宋体"/>
                <w:color w:val="auto"/>
                <w:kern w:val="0"/>
                <w:sz w:val="24"/>
                <w:szCs w:val="24"/>
                <w:u w:val="single"/>
              </w:rPr>
            </w:pPr>
          </w:p>
          <w:p>
            <w:pPr>
              <w:widowControl/>
              <w:snapToGrid w:val="0"/>
              <w:spacing w:after="100" w:afterAutospacing="1" w:line="400" w:lineRule="exac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 xml:space="preserve">                   项目负责人签字：</w:t>
            </w:r>
            <w:r>
              <w:rPr>
                <w:rFonts w:hint="eastAsia" w:ascii="宋体" w:hAnsi="宋体" w:eastAsia="宋体" w:cs="宋体"/>
                <w:color w:val="auto"/>
                <w:kern w:val="0"/>
                <w:sz w:val="24"/>
                <w:szCs w:val="24"/>
                <w:u w:val="single"/>
              </w:rPr>
              <w:t xml:space="preserve">        </w:t>
            </w:r>
          </w:p>
        </w:tc>
      </w:tr>
    </w:tbl>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5"/>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color w:val="auto"/>
        </w:rPr>
      </w:pPr>
    </w:p>
    <w:p>
      <w:pPr>
        <w:rPr>
          <w:rFonts w:hint="eastAsia" w:ascii="宋体" w:hAnsi="宋体" w:eastAsia="宋体" w:cs="宋体"/>
          <w:color w:val="auto"/>
          <w:sz w:val="24"/>
          <w:szCs w:val="24"/>
        </w:rPr>
      </w:pPr>
    </w:p>
    <w:p>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附件3：廉洁从业协议</w:t>
      </w:r>
    </w:p>
    <w:p>
      <w:pPr>
        <w:spacing w:before="120" w:beforeLines="50" w:after="120" w:afterLines="50"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廉洁从业协议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根据国家有关部门以及有关工程建设、廉政建设的规定，为做好工程建设中的党风廉政建设，保证工程建设高效优质，保证建设资金的安全和有效使用以及投资效益，建设工程的项目法人（以下简称“</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（以下简称“</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”），特订立如下合同。</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1. </w:t>
      </w:r>
      <w:r>
        <w:rPr>
          <w:rFonts w:hint="eastAsia" w:ascii="宋体" w:hAnsi="宋体" w:eastAsia="宋体" w:cs="宋体"/>
          <w:color w:val="auto"/>
          <w:sz w:val="24"/>
          <w:szCs w:val="24"/>
          <w:lang w:eastAsia="zh-CN"/>
        </w:rPr>
        <w:t>发包人承包人</w:t>
      </w:r>
      <w:r>
        <w:rPr>
          <w:rFonts w:hint="eastAsia" w:ascii="宋体" w:hAnsi="宋体" w:eastAsia="宋体" w:cs="宋体"/>
          <w:color w:val="auto"/>
          <w:sz w:val="24"/>
          <w:szCs w:val="24"/>
        </w:rPr>
        <w:t>的权利和义务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（1）严格遵守党的政策规定和国家有关法律法规及相关部门的有关规定。</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（2）严格执行 工程的合同文件，自觉按合同办事。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（3）双方的业务活动坚持公开、公正、诚信、透明的原则（法律认定的商业秘密和合同文件另有规定除外），不得损害国家和集体利益，违反工程建设管理规章制度。</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（4）建立健全廉政制度，开展廉政教育，设立廉政告示牌，公布举报电话，监督并认真查处违法违纪行为。</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（5）发现对方在业务活动中有违反廉政规定的行为，有及时提醒对方纠正的权利和义务。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（6）发现对方严重违反协议义务条款的行为，有向其上级有关部门举报、建议给予处理并要求告知处理结果的权利。</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 </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及其工作人员不得索要或接受</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的礼金、有价证券和贵重物品，不得在</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报销任何应由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工作人员个人支付的费用等。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工作人员不得参加</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安排的超标准宴请和娱乐活动；不得接受</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提供的通讯工具、交通工具和高档办公用品等。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及其工作人员不得要求或者接受</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为其住房装修、婚丧嫁娶活动、配偶子女的工作安排以及出国出境、旅游等提供方便等。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工作人员及其配偶、子女不得从事与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工程有关的材料设备供应、工程分包、劳务等经济活动等。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及其工作人员不得以任何理由向</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推荐分包单位或推销材料，不得要求</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购买合同规定外的材料和设备。</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工作人员要秉公办事，不准营私舞弊，不准利用职权从事各种个人有偿中介活动和安排个人施工队伍。</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 </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不得以任何理由向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及其工作人员行贿或馈赠礼金、有价证券、贵重礼品。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不得以任何名义为</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及其工作人员报销应由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单位或个人支付的任何费用。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不得以任何理由安排</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工作人员参加超标准宴请及娱乐活动。</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不得为</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单位和个人购置或提供通讯工具、交通工具和高档办公用品等。</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违约责任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及其工作人员违反合同第1、2条，按管理权限，依据有关规定给予党纪、政纪或组织处理；涉嫌犯罪的，移交司法机关追究刑事责任；给</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及其工作人员违反合同第1、3条，按管理权限，依据有关规定给予党纪、政纪或组织处理；给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单位造成经济损失的，应予以赔偿。</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 双方约定：协议由双方或双方上级单位的纪检监察机关负责监督执行。由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上级单位的纪检监察机关约请</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承包人</w:t>
      </w:r>
      <w:r>
        <w:rPr>
          <w:rFonts w:hint="eastAsia" w:ascii="宋体" w:hAnsi="宋体" w:eastAsia="宋体" w:cs="宋体"/>
          <w:color w:val="auto"/>
          <w:sz w:val="24"/>
          <w:szCs w:val="24"/>
        </w:rPr>
        <w:t>上级单位纪检监察机关对合同执行情况进行检查，提出在协议规定范围内的裁定意见。</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协议有效期为甲乙双方签署之日起至该工程项目竣工验收后止。</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7.协议作为 工程施工合同的附件，与工程施工合同具有同等的法律效力，经合同双方签署立即生效。</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pStyle w:val="2"/>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甲     方： 重庆市体育设施建设维护中心                        </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乙     方：</w:t>
      </w:r>
      <w:r>
        <w:rPr>
          <w:rFonts w:hint="eastAsia" w:ascii="宋体" w:hAnsi="宋体" w:eastAsia="宋体" w:cs="宋体"/>
          <w:color w:val="auto"/>
          <w:sz w:val="24"/>
          <w:szCs w:val="24"/>
          <w:lang w:val="en-US" w:eastAsia="zh-CN"/>
        </w:rPr>
        <w:t xml:space="preserve"> </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                          法定代表人                      </w: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sectPr>
          <w:headerReference r:id="rId11" w:type="default"/>
          <w:footerReference r:id="rId12" w:type="default"/>
          <w:footerReference r:id="rId13" w:type="even"/>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color w:val="auto"/>
          <w:sz w:val="24"/>
          <w:szCs w:val="24"/>
        </w:rPr>
        <w:t>或其授权的代理人：                  或授权的代理人：</w:t>
      </w:r>
      <w:bookmarkStart w:id="236" w:name="招标文件05章工程量清单"/>
      <w:bookmarkEnd w:id="236"/>
    </w:p>
    <w:p>
      <w:pPr>
        <w:rPr>
          <w:rFonts w:hint="eastAsia" w:ascii="宋体" w:hAnsi="宋体" w:eastAsia="宋体" w:cs="宋体"/>
          <w:color w:val="auto"/>
          <w:sz w:val="24"/>
          <w:szCs w:val="24"/>
        </w:rPr>
      </w:pPr>
    </w:p>
    <w:p>
      <w:pPr>
        <w:pStyle w:val="4"/>
        <w:spacing w:before="0" w:after="0" w:line="360" w:lineRule="auto"/>
        <w:jc w:val="center"/>
        <w:rPr>
          <w:rFonts w:cs="方正仿宋_GBK"/>
          <w:b w:val="0"/>
          <w:color w:val="auto"/>
          <w:sz w:val="36"/>
          <w:szCs w:val="30"/>
          <w:highlight w:val="none"/>
        </w:rPr>
      </w:pPr>
      <w:r>
        <w:rPr>
          <w:rFonts w:hint="eastAsia" w:cs="方正仿宋_GBK"/>
          <w:bCs/>
          <w:color w:val="auto"/>
          <w:sz w:val="36"/>
          <w:szCs w:val="30"/>
          <w:highlight w:val="none"/>
        </w:rPr>
        <w:t>第七篇</w:t>
      </w:r>
      <w:r>
        <w:rPr>
          <w:rFonts w:cs="方正仿宋_GBK"/>
          <w:bCs/>
          <w:color w:val="auto"/>
          <w:sz w:val="36"/>
          <w:szCs w:val="30"/>
          <w:highlight w:val="none"/>
        </w:rPr>
        <w:t xml:space="preserve"> </w:t>
      </w:r>
      <w:r>
        <w:rPr>
          <w:rFonts w:hint="eastAsia" w:cs="方正仿宋_GBK"/>
          <w:bCs/>
          <w:color w:val="auto"/>
          <w:sz w:val="36"/>
          <w:szCs w:val="30"/>
          <w:highlight w:val="none"/>
        </w:rPr>
        <w:t>响应文件编制要求</w:t>
      </w:r>
      <w:bookmarkEnd w:id="149"/>
      <w:bookmarkEnd w:id="150"/>
      <w:bookmarkEnd w:id="151"/>
    </w:p>
    <w:p>
      <w:pPr>
        <w:jc w:val="center"/>
        <w:rPr>
          <w:rFonts w:ascii="宋体" w:hAnsi="宋体" w:eastAsia="宋体" w:cs="方正仿宋_GBK"/>
          <w:color w:val="auto"/>
          <w:szCs w:val="28"/>
          <w:highlight w:val="none"/>
        </w:rPr>
      </w:pPr>
      <w:bookmarkStart w:id="237" w:name="_Toc1698"/>
      <w:r>
        <w:rPr>
          <w:rFonts w:hint="eastAsia" w:ascii="宋体" w:hAnsi="宋体" w:eastAsia="宋体" w:cs="方正仿宋_GBK"/>
          <w:color w:val="auto"/>
          <w:szCs w:val="28"/>
          <w:highlight w:val="none"/>
        </w:rPr>
        <w:t>（请按本篇要求提供，但不限于以下格式内容）</w:t>
      </w:r>
      <w:bookmarkEnd w:id="237"/>
    </w:p>
    <w:p>
      <w:pPr>
        <w:spacing w:line="440" w:lineRule="exact"/>
        <w:ind w:firstLine="480" w:firstLineChars="200"/>
        <w:rPr>
          <w:rFonts w:ascii="宋体" w:hAnsi="宋体" w:eastAsia="宋体" w:cs="方正仿宋_GBK"/>
          <w:color w:val="auto"/>
          <w:szCs w:val="28"/>
          <w:highlight w:val="none"/>
        </w:rPr>
      </w:pPr>
      <w:bookmarkStart w:id="238" w:name="_Toc25570"/>
      <w:r>
        <w:rPr>
          <w:rFonts w:hint="eastAsia" w:ascii="宋体" w:hAnsi="宋体" w:eastAsia="宋体" w:cs="方正仿宋_GBK"/>
          <w:color w:val="auto"/>
          <w:szCs w:val="28"/>
          <w:highlight w:val="none"/>
        </w:rPr>
        <w:t>一、经济部分</w:t>
      </w:r>
      <w:bookmarkEnd w:id="238"/>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（一）磋商报价函</w:t>
      </w:r>
    </w:p>
    <w:p>
      <w:pPr>
        <w:spacing w:line="440" w:lineRule="exact"/>
        <w:ind w:firstLine="480" w:firstLineChars="200"/>
        <w:rPr>
          <w:rFonts w:hint="eastAsia" w:ascii="宋体" w:hAnsi="宋体" w:eastAsia="宋体" w:cs="方正仿宋_GBK"/>
          <w:color w:val="auto"/>
          <w:szCs w:val="28"/>
          <w:highlight w:val="none"/>
          <w:lang w:eastAsia="zh-CN"/>
        </w:rPr>
      </w:pPr>
      <w:r>
        <w:rPr>
          <w:rFonts w:hint="eastAsia" w:ascii="宋体" w:hAnsi="宋体" w:eastAsia="宋体" w:cs="方正仿宋_GBK"/>
          <w:color w:val="auto"/>
          <w:szCs w:val="28"/>
          <w:highlight w:val="none"/>
          <w:lang w:eastAsia="zh-CN"/>
        </w:rPr>
        <w:t>（二）其它资料</w:t>
      </w: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w:t>
      </w:r>
      <w:r>
        <w:rPr>
          <w:rFonts w:hint="eastAsia" w:ascii="宋体" w:hAnsi="宋体" w:eastAsia="宋体" w:cs="方正仿宋_GBK"/>
          <w:color w:val="auto"/>
          <w:szCs w:val="28"/>
          <w:highlight w:val="none"/>
          <w:lang w:eastAsia="zh-CN"/>
        </w:rPr>
        <w:t>三</w:t>
      </w:r>
      <w:r>
        <w:rPr>
          <w:rFonts w:hint="eastAsia" w:ascii="宋体" w:hAnsi="宋体" w:eastAsia="宋体" w:cs="方正仿宋_GBK"/>
          <w:color w:val="auto"/>
          <w:szCs w:val="28"/>
          <w:highlight w:val="none"/>
        </w:rPr>
        <w:t>）填报的工程量清单</w:t>
      </w:r>
    </w:p>
    <w:p>
      <w:pPr>
        <w:spacing w:line="440" w:lineRule="exact"/>
        <w:ind w:firstLine="480" w:firstLineChars="200"/>
        <w:rPr>
          <w:rFonts w:ascii="宋体" w:hAnsi="宋体" w:eastAsia="宋体" w:cs="方正仿宋_GBK"/>
          <w:color w:val="auto"/>
          <w:szCs w:val="28"/>
          <w:highlight w:val="none"/>
        </w:rPr>
      </w:pPr>
      <w:bookmarkStart w:id="239" w:name="_Toc23881"/>
      <w:r>
        <w:rPr>
          <w:rFonts w:hint="eastAsia" w:ascii="宋体" w:hAnsi="宋体" w:eastAsia="宋体" w:cs="方正仿宋_GBK"/>
          <w:color w:val="auto"/>
          <w:szCs w:val="28"/>
          <w:highlight w:val="none"/>
        </w:rPr>
        <w:t>二、技术部分</w:t>
      </w:r>
      <w:bookmarkEnd w:id="239"/>
    </w:p>
    <w:p>
      <w:pPr>
        <w:spacing w:line="440" w:lineRule="exact"/>
        <w:ind w:firstLine="480" w:firstLineChars="200"/>
        <w:jc w:val="left"/>
        <w:rPr>
          <w:rFonts w:ascii="宋体" w:hAnsi="宋体" w:eastAsia="宋体"/>
          <w:color w:val="auto"/>
          <w:kern w:val="0"/>
          <w:highlight w:val="none"/>
        </w:rPr>
      </w:pPr>
      <w:r>
        <w:rPr>
          <w:rFonts w:hint="eastAsia" w:ascii="宋体" w:hAnsi="宋体" w:eastAsia="宋体" w:cs="方正仿宋_GBK"/>
          <w:color w:val="auto"/>
          <w:szCs w:val="28"/>
          <w:highlight w:val="none"/>
        </w:rPr>
        <w:t>格式自拟</w:t>
      </w:r>
    </w:p>
    <w:p>
      <w:pPr>
        <w:spacing w:line="440" w:lineRule="exact"/>
        <w:ind w:firstLine="480" w:firstLineChars="200"/>
        <w:rPr>
          <w:rFonts w:ascii="宋体" w:hAnsi="宋体" w:eastAsia="宋体" w:cs="方正仿宋_GBK"/>
          <w:color w:val="auto"/>
          <w:szCs w:val="28"/>
          <w:highlight w:val="none"/>
        </w:rPr>
      </w:pPr>
      <w:bookmarkStart w:id="240" w:name="_Toc25293"/>
      <w:r>
        <w:rPr>
          <w:rFonts w:hint="eastAsia" w:ascii="宋体" w:hAnsi="宋体" w:eastAsia="宋体" w:cs="方正仿宋_GBK"/>
          <w:color w:val="auto"/>
          <w:szCs w:val="28"/>
          <w:highlight w:val="none"/>
        </w:rPr>
        <w:t>三、商务部分</w:t>
      </w:r>
      <w:bookmarkEnd w:id="240"/>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（一）商务响应偏离表</w:t>
      </w: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（二）人员要求</w:t>
      </w: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（三）业绩</w:t>
      </w: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（四）其他响应磋商文件提供的商务文件</w:t>
      </w:r>
    </w:p>
    <w:p>
      <w:pPr>
        <w:spacing w:line="440" w:lineRule="exact"/>
        <w:ind w:firstLine="480" w:firstLineChars="200"/>
        <w:rPr>
          <w:rFonts w:ascii="宋体" w:hAnsi="宋体" w:eastAsia="宋体" w:cs="方正仿宋_GBK"/>
          <w:color w:val="auto"/>
          <w:szCs w:val="28"/>
          <w:highlight w:val="none"/>
        </w:rPr>
      </w:pPr>
      <w:bookmarkStart w:id="241" w:name="_Toc19844"/>
      <w:r>
        <w:rPr>
          <w:rFonts w:hint="eastAsia" w:ascii="宋体" w:hAnsi="宋体" w:eastAsia="宋体" w:cs="方正仿宋_GBK"/>
          <w:color w:val="auto"/>
          <w:szCs w:val="28"/>
          <w:highlight w:val="none"/>
        </w:rPr>
        <w:t>四、资格条件</w:t>
      </w:r>
      <w:bookmarkEnd w:id="241"/>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（一）营业执照（副本）复印件</w:t>
      </w: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（二）组织机构代码证复印件</w:t>
      </w: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（三）法定代表人身份证明书（格式）</w:t>
      </w: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（四）法定代表人授权委托书（格式）</w:t>
      </w: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（五）</w:t>
      </w:r>
      <w:r>
        <w:rPr>
          <w:rFonts w:ascii="宋体" w:hAnsi="宋体" w:eastAsia="宋体" w:cs="方正仿宋_GBK"/>
          <w:color w:val="auto"/>
          <w:szCs w:val="28"/>
          <w:highlight w:val="none"/>
        </w:rPr>
        <w:t>2020</w:t>
      </w:r>
      <w:r>
        <w:rPr>
          <w:rFonts w:hint="eastAsia" w:ascii="宋体" w:hAnsi="宋体" w:eastAsia="宋体" w:cs="方正仿宋_GBK"/>
          <w:color w:val="auto"/>
          <w:szCs w:val="28"/>
          <w:highlight w:val="none"/>
          <w:lang w:eastAsia="zh-CN"/>
        </w:rPr>
        <w:t>或</w:t>
      </w:r>
      <w:r>
        <w:rPr>
          <w:rFonts w:hint="eastAsia" w:ascii="宋体" w:hAnsi="宋体" w:eastAsia="宋体" w:cs="方正仿宋_GBK"/>
          <w:color w:val="auto"/>
          <w:szCs w:val="28"/>
          <w:highlight w:val="none"/>
          <w:lang w:val="en-US" w:eastAsia="zh-CN"/>
        </w:rPr>
        <w:t>2021</w:t>
      </w:r>
      <w:r>
        <w:rPr>
          <w:rFonts w:hint="eastAsia" w:ascii="宋体" w:hAnsi="宋体" w:eastAsia="宋体" w:cs="方正仿宋_GBK"/>
          <w:color w:val="auto"/>
          <w:szCs w:val="28"/>
          <w:highlight w:val="none"/>
        </w:rPr>
        <w:t>年度财务状况报告（表）或其基本开户银行出具的资信证明复印件，本年度新成立或成立不满一年的组织和自然人无法提供财务状况报告（表）的，可提供银行出具的资信证明复印件。</w:t>
      </w: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（六）书面声明（格式）</w:t>
      </w: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（七）税务登记证（副本）复印件</w:t>
      </w: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（八）缴纳社会保障金的证明材料复印件（缴纳社会保障金的证明材料指：社会保险登记证或缴纳社会保险的凭据（专用收据或社会保险缴纳清单））。依法免税或不需要缴纳社会保障资金的</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，应提供相应文件证明其依法免税或不需要缴纳社会保障资金。</w:t>
      </w: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（九）特定资格条件</w:t>
      </w:r>
    </w:p>
    <w:p>
      <w:pPr>
        <w:spacing w:line="440" w:lineRule="exact"/>
        <w:ind w:firstLine="480" w:firstLineChars="200"/>
        <w:rPr>
          <w:rFonts w:ascii="宋体" w:hAnsi="宋体" w:eastAsia="宋体" w:cs="方正仿宋_GBK"/>
          <w:color w:val="auto"/>
          <w:szCs w:val="28"/>
          <w:highlight w:val="none"/>
        </w:rPr>
      </w:pPr>
      <w:bookmarkStart w:id="242" w:name="_Toc27203"/>
      <w:r>
        <w:rPr>
          <w:rFonts w:hint="eastAsia" w:ascii="宋体" w:hAnsi="宋体" w:eastAsia="宋体" w:cs="方正仿宋_GBK"/>
          <w:color w:val="auto"/>
          <w:szCs w:val="28"/>
          <w:highlight w:val="none"/>
        </w:rPr>
        <w:t>五、其他应提供的资料</w:t>
      </w:r>
      <w:bookmarkEnd w:id="242"/>
    </w:p>
    <w:p>
      <w:pPr>
        <w:spacing w:line="440" w:lineRule="exact"/>
        <w:ind w:firstLine="480" w:firstLineChars="200"/>
        <w:rPr>
          <w:rFonts w:ascii="宋体" w:hAnsi="宋体" w:eastAsia="宋体" w:cs="方正仿宋_GBK"/>
          <w:b/>
          <w:color w:val="auto"/>
          <w:szCs w:val="28"/>
          <w:highlight w:val="none"/>
        </w:rPr>
      </w:pPr>
      <w:r>
        <w:rPr>
          <w:rFonts w:hint="eastAsia" w:ascii="宋体" w:hAnsi="宋体" w:eastAsia="宋体" w:cs="方正仿宋_GBK"/>
          <w:color w:val="auto"/>
          <w:szCs w:val="28"/>
          <w:highlight w:val="none"/>
        </w:rPr>
        <w:t>（一）中小企业声明函、监狱企业证明文件、残疾人福利性单位声明函</w:t>
      </w: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（二）其他资料</w:t>
      </w:r>
    </w:p>
    <w:p>
      <w:pPr>
        <w:spacing w:line="440" w:lineRule="exact"/>
        <w:ind w:firstLine="480" w:firstLineChars="200"/>
        <w:rPr>
          <w:rFonts w:ascii="宋体" w:hAnsi="宋体" w:eastAsia="宋体" w:cs="方正仿宋_GBK"/>
          <w:color w:val="auto"/>
          <w:szCs w:val="28"/>
          <w:highlight w:val="none"/>
        </w:rPr>
        <w:sectPr>
          <w:footerReference r:id="rId17" w:type="first"/>
          <w:headerReference r:id="rId14" w:type="default"/>
          <w:footerReference r:id="rId15" w:type="default"/>
          <w:footerReference r:id="rId16" w:type="even"/>
          <w:pgSz w:w="11907" w:h="16840"/>
          <w:pgMar w:top="1134" w:right="1191" w:bottom="1134" w:left="1304" w:header="964" w:footer="992" w:gutter="0"/>
          <w:pgNumType w:fmt="decimal"/>
          <w:cols w:space="720" w:num="1"/>
          <w:docGrid w:linePitch="312" w:charSpace="0"/>
        </w:sectPr>
      </w:pPr>
      <w:r>
        <w:rPr>
          <w:rFonts w:ascii="宋体" w:hAnsi="宋体" w:eastAsia="宋体" w:cs="方正仿宋_GBK"/>
          <w:color w:val="auto"/>
          <w:szCs w:val="28"/>
          <w:highlight w:val="none"/>
        </w:rPr>
        <w:t>1</w:t>
      </w:r>
      <w:r>
        <w:rPr>
          <w:rFonts w:hint="eastAsia" w:ascii="宋体" w:hAnsi="宋体" w:eastAsia="宋体" w:cs="方正仿宋_GBK"/>
          <w:color w:val="auto"/>
          <w:szCs w:val="28"/>
          <w:highlight w:val="none"/>
        </w:rPr>
        <w:t>、其他与项目有关的资料</w:t>
      </w:r>
    </w:p>
    <w:p>
      <w:pPr>
        <w:pStyle w:val="5"/>
        <w:spacing w:before="0" w:after="0" w:line="360" w:lineRule="auto"/>
        <w:rPr>
          <w:rFonts w:ascii="宋体" w:hAnsi="宋体" w:cs="方正仿宋_GBK"/>
          <w:bCs/>
          <w:color w:val="auto"/>
          <w:sz w:val="28"/>
          <w:szCs w:val="28"/>
          <w:highlight w:val="none"/>
        </w:rPr>
      </w:pPr>
      <w:bookmarkStart w:id="243" w:name="_Toc450228883"/>
      <w:bookmarkStart w:id="244" w:name="_Toc20810"/>
      <w:bookmarkStart w:id="245" w:name="_Toc313888360"/>
      <w:bookmarkStart w:id="246" w:name="_Toc7113"/>
      <w:bookmarkStart w:id="247" w:name="_Toc342913419"/>
      <w:bookmarkStart w:id="248" w:name="_Toc313008356"/>
      <w:bookmarkStart w:id="249" w:name="_Toc7421906"/>
      <w:bookmarkStart w:id="250" w:name="_Toc12789073"/>
      <w:bookmarkStart w:id="251" w:name="_Toc283382454"/>
      <w:r>
        <w:rPr>
          <w:rFonts w:hint="eastAsia" w:ascii="宋体" w:hAnsi="宋体" w:cs="方正仿宋_GBK"/>
          <w:bCs/>
          <w:color w:val="auto"/>
          <w:sz w:val="28"/>
          <w:szCs w:val="28"/>
          <w:highlight w:val="none"/>
        </w:rPr>
        <w:t>一、经济部分</w:t>
      </w:r>
      <w:bookmarkEnd w:id="243"/>
      <w:bookmarkEnd w:id="244"/>
      <w:bookmarkEnd w:id="245"/>
      <w:bookmarkEnd w:id="246"/>
      <w:bookmarkEnd w:id="247"/>
      <w:bookmarkEnd w:id="248"/>
      <w:bookmarkEnd w:id="249"/>
    </w:p>
    <w:bookmarkEnd w:id="250"/>
    <w:bookmarkEnd w:id="251"/>
    <w:p>
      <w:pPr>
        <w:tabs>
          <w:tab w:val="left" w:pos="6300"/>
        </w:tabs>
        <w:snapToGrid w:val="0"/>
        <w:spacing w:line="360" w:lineRule="auto"/>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（一）磋商报价函</w:t>
      </w:r>
    </w:p>
    <w:p>
      <w:pPr>
        <w:tabs>
          <w:tab w:val="left" w:pos="6300"/>
        </w:tabs>
        <w:snapToGrid w:val="0"/>
        <w:spacing w:line="360" w:lineRule="auto"/>
        <w:ind w:firstLine="562" w:firstLineChars="200"/>
        <w:jc w:val="center"/>
        <w:rPr>
          <w:rFonts w:ascii="宋体" w:hAnsi="宋体" w:eastAsia="宋体" w:cs="方正仿宋_GBK"/>
          <w:b/>
          <w:color w:val="auto"/>
          <w:sz w:val="28"/>
          <w:szCs w:val="32"/>
          <w:highlight w:val="none"/>
        </w:rPr>
      </w:pPr>
      <w:r>
        <w:rPr>
          <w:rFonts w:hint="eastAsia" w:ascii="宋体" w:hAnsi="宋体" w:eastAsia="宋体" w:cs="方正仿宋_GBK"/>
          <w:b/>
          <w:color w:val="auto"/>
          <w:sz w:val="28"/>
          <w:szCs w:val="32"/>
          <w:highlight w:val="none"/>
        </w:rPr>
        <w:t>磋商报价函</w:t>
      </w:r>
    </w:p>
    <w:p>
      <w:pPr>
        <w:tabs>
          <w:tab w:val="left" w:pos="2640"/>
        </w:tabs>
        <w:autoSpaceDE w:val="0"/>
        <w:autoSpaceDN w:val="0"/>
        <w:adjustRightInd w:val="0"/>
        <w:snapToGrid w:val="0"/>
        <w:spacing w:line="420" w:lineRule="exact"/>
        <w:ind w:firstLine="141" w:firstLineChars="59"/>
        <w:jc w:val="left"/>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rPr>
        <w:t>（采购代理机构名称）：</w:t>
      </w:r>
    </w:p>
    <w:p>
      <w:pPr>
        <w:tabs>
          <w:tab w:val="left" w:pos="2655"/>
          <w:tab w:val="left" w:pos="3520"/>
          <w:tab w:val="left" w:pos="4920"/>
          <w:tab w:val="left" w:pos="5715"/>
          <w:tab w:val="left" w:pos="6945"/>
          <w:tab w:val="left" w:pos="798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1.</w:t>
      </w:r>
      <w:r>
        <w:rPr>
          <w:rFonts w:hint="eastAsia" w:ascii="宋体" w:hAnsi="宋体" w:eastAsia="宋体" w:cs="宋体"/>
          <w:snapToGrid w:val="0"/>
          <w:color w:val="auto"/>
          <w:kern w:val="0"/>
          <w:szCs w:val="28"/>
          <w:highlight w:val="none"/>
        </w:rPr>
        <w:t>我方已仔细研究了</w:t>
      </w: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u w:val="single"/>
        </w:rPr>
        <w:t xml:space="preserve">（项目名称） </w:t>
      </w: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rPr>
        <w:t>施工磋商文件的全部内容，愿意以以下报价按合同约定实施和完成承包工程，修补工程中的任何缺陷。</w:t>
      </w:r>
      <w:r>
        <w:rPr>
          <w:rFonts w:hint="eastAsia" w:ascii="宋体" w:hAnsi="宋体" w:eastAsia="宋体" w:cs="MingLiU"/>
          <w:snapToGrid w:val="0"/>
          <w:color w:val="auto"/>
          <w:kern w:val="0"/>
          <w:szCs w:val="28"/>
          <w:highlight w:val="none"/>
        </w:rPr>
        <w:t>投标总报价：大写：</w:t>
      </w:r>
      <w:r>
        <w:rPr>
          <w:rFonts w:ascii="宋体" w:hAnsi="宋体" w:eastAsia="宋体" w:cs="MingLiU"/>
          <w:snapToGrid w:val="0"/>
          <w:color w:val="auto"/>
          <w:kern w:val="0"/>
          <w:szCs w:val="28"/>
          <w:highlight w:val="none"/>
          <w:u w:val="single"/>
        </w:rPr>
        <w:t xml:space="preserve">       </w:t>
      </w:r>
      <w:r>
        <w:rPr>
          <w:rFonts w:hint="eastAsia" w:ascii="宋体" w:hAnsi="宋体" w:eastAsia="宋体" w:cs="MingLiU"/>
          <w:snapToGrid w:val="0"/>
          <w:color w:val="auto"/>
          <w:kern w:val="0"/>
          <w:szCs w:val="28"/>
          <w:highlight w:val="none"/>
        </w:rPr>
        <w:t>（小写</w:t>
      </w:r>
      <w:r>
        <w:rPr>
          <w:rFonts w:ascii="宋体" w:hAnsi="宋体" w:eastAsia="宋体" w:cs="MingLiU"/>
          <w:snapToGrid w:val="0"/>
          <w:color w:val="auto"/>
          <w:kern w:val="0"/>
          <w:szCs w:val="28"/>
          <w:highlight w:val="none"/>
        </w:rPr>
        <w:t>:</w:t>
      </w:r>
      <w:r>
        <w:rPr>
          <w:rFonts w:hint="eastAsia" w:ascii="宋体" w:hAnsi="宋体" w:eastAsia="宋体" w:cs="MingLiU"/>
          <w:snapToGrid w:val="0"/>
          <w:color w:val="auto"/>
          <w:kern w:val="0"/>
          <w:szCs w:val="28"/>
          <w:highlight w:val="none"/>
        </w:rPr>
        <w:t>￥</w:t>
      </w:r>
      <w:r>
        <w:rPr>
          <w:rFonts w:ascii="宋体" w:hAnsi="宋体" w:eastAsia="宋体" w:cs="MingLiU"/>
          <w:snapToGrid w:val="0"/>
          <w:color w:val="auto"/>
          <w:kern w:val="0"/>
          <w:szCs w:val="28"/>
          <w:highlight w:val="none"/>
          <w:u w:val="single"/>
        </w:rPr>
        <w:t xml:space="preserve"> </w:t>
      </w:r>
      <w:r>
        <w:rPr>
          <w:rFonts w:hint="eastAsia" w:ascii="宋体" w:hAnsi="宋体" w:eastAsia="宋体" w:cs="MingLiU"/>
          <w:snapToGrid w:val="0"/>
          <w:color w:val="auto"/>
          <w:kern w:val="0"/>
          <w:szCs w:val="28"/>
          <w:highlight w:val="none"/>
          <w:u w:val="single"/>
        </w:rPr>
        <w:t xml:space="preserve">    </w:t>
      </w:r>
      <w:r>
        <w:rPr>
          <w:rFonts w:hint="eastAsia" w:ascii="宋体" w:hAnsi="宋体" w:eastAsia="宋体" w:cs="MingLiU"/>
          <w:snapToGrid w:val="0"/>
          <w:color w:val="auto"/>
          <w:kern w:val="0"/>
          <w:szCs w:val="28"/>
          <w:highlight w:val="none"/>
        </w:rPr>
        <w:t>元）其中：安全文明施工费暂定金额为</w:t>
      </w:r>
      <w:r>
        <w:rPr>
          <w:rFonts w:ascii="宋体" w:hAnsi="宋体" w:eastAsia="宋体" w:cs="MingLiU"/>
          <w:snapToGrid w:val="0"/>
          <w:color w:val="auto"/>
          <w:kern w:val="0"/>
          <w:szCs w:val="28"/>
          <w:highlight w:val="none"/>
          <w:u w:val="single"/>
        </w:rPr>
        <w:t xml:space="preserve">     </w:t>
      </w:r>
      <w:r>
        <w:rPr>
          <w:rFonts w:hint="eastAsia" w:ascii="宋体" w:hAnsi="宋体" w:eastAsia="宋体" w:cs="MingLiU"/>
          <w:snapToGrid w:val="0"/>
          <w:color w:val="auto"/>
          <w:kern w:val="0"/>
          <w:szCs w:val="28"/>
          <w:highlight w:val="none"/>
        </w:rPr>
        <w:t>元。</w:t>
      </w:r>
    </w:p>
    <w:p>
      <w:pPr>
        <w:tabs>
          <w:tab w:val="left" w:pos="2655"/>
          <w:tab w:val="left" w:pos="3520"/>
          <w:tab w:val="left" w:pos="4920"/>
          <w:tab w:val="left" w:pos="5715"/>
          <w:tab w:val="left" w:pos="6945"/>
          <w:tab w:val="left" w:pos="798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2.</w:t>
      </w:r>
      <w:r>
        <w:rPr>
          <w:rFonts w:hint="eastAsia" w:ascii="宋体" w:hAnsi="宋体" w:eastAsia="宋体" w:cs="宋体"/>
          <w:snapToGrid w:val="0"/>
          <w:color w:val="auto"/>
          <w:kern w:val="0"/>
          <w:szCs w:val="28"/>
          <w:highlight w:val="none"/>
        </w:rPr>
        <w:t>项目经理为</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w:t>
      </w:r>
    </w:p>
    <w:p>
      <w:pPr>
        <w:tabs>
          <w:tab w:val="left" w:pos="2655"/>
          <w:tab w:val="left" w:pos="3520"/>
          <w:tab w:val="left" w:pos="4920"/>
          <w:tab w:val="left" w:pos="5715"/>
          <w:tab w:val="left" w:pos="6945"/>
          <w:tab w:val="left" w:pos="798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3.</w:t>
      </w:r>
      <w:r>
        <w:rPr>
          <w:rFonts w:hint="eastAsia" w:ascii="宋体" w:hAnsi="宋体" w:eastAsia="宋体" w:cs="宋体"/>
          <w:snapToGrid w:val="0"/>
          <w:color w:val="auto"/>
          <w:kern w:val="0"/>
          <w:szCs w:val="28"/>
          <w:highlight w:val="none"/>
        </w:rPr>
        <w:t>工期</w:t>
      </w: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rPr>
        <w:t>日历天</w:t>
      </w:r>
      <w:r>
        <w:rPr>
          <w:rFonts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8"/>
          <w:highlight w:val="none"/>
        </w:rPr>
        <w:t>含阴雨天</w:t>
      </w:r>
      <w:r>
        <w:rPr>
          <w:rFonts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8"/>
          <w:highlight w:val="none"/>
        </w:rPr>
        <w:t>。</w:t>
      </w:r>
    </w:p>
    <w:p>
      <w:pPr>
        <w:tabs>
          <w:tab w:val="left" w:pos="3375"/>
          <w:tab w:val="left" w:pos="3520"/>
          <w:tab w:val="left" w:pos="4920"/>
          <w:tab w:val="left" w:pos="5715"/>
          <w:tab w:val="left" w:pos="6945"/>
          <w:tab w:val="left" w:pos="798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4.</w:t>
      </w:r>
      <w:r>
        <w:rPr>
          <w:rFonts w:hint="eastAsia" w:ascii="宋体" w:hAnsi="宋体" w:eastAsia="宋体" w:cs="宋体"/>
          <w:snapToGrid w:val="0"/>
          <w:color w:val="auto"/>
          <w:kern w:val="0"/>
          <w:szCs w:val="28"/>
          <w:highlight w:val="none"/>
        </w:rPr>
        <w:t>工程质量达到</w:t>
      </w: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rPr>
        <w:t>。</w:t>
      </w:r>
    </w:p>
    <w:p>
      <w:pPr>
        <w:tabs>
          <w:tab w:val="left" w:pos="2655"/>
          <w:tab w:val="left" w:pos="3520"/>
          <w:tab w:val="left" w:pos="4920"/>
          <w:tab w:val="left" w:pos="5715"/>
          <w:tab w:val="left" w:pos="6945"/>
          <w:tab w:val="left" w:pos="798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5.</w:t>
      </w:r>
      <w:r>
        <w:rPr>
          <w:rFonts w:hint="eastAsia" w:ascii="宋体" w:hAnsi="宋体" w:eastAsia="宋体" w:cs="宋体"/>
          <w:snapToGrid w:val="0"/>
          <w:color w:val="auto"/>
          <w:kern w:val="0"/>
          <w:szCs w:val="28"/>
          <w:highlight w:val="none"/>
        </w:rPr>
        <w:t>我方承诺在磋商有效期</w:t>
      </w:r>
      <w:r>
        <w:rPr>
          <w:rFonts w:ascii="宋体" w:hAnsi="宋体" w:eastAsia="宋体" w:cs="宋体"/>
          <w:snapToGrid w:val="0"/>
          <w:color w:val="auto"/>
          <w:kern w:val="0"/>
          <w:szCs w:val="28"/>
          <w:highlight w:val="none"/>
        </w:rPr>
        <w:t>90</w:t>
      </w:r>
      <w:r>
        <w:rPr>
          <w:rFonts w:hint="eastAsia" w:ascii="宋体" w:hAnsi="宋体" w:eastAsia="宋体" w:cs="宋体"/>
          <w:snapToGrid w:val="0"/>
          <w:color w:val="auto"/>
          <w:kern w:val="0"/>
          <w:szCs w:val="28"/>
          <w:highlight w:val="none"/>
        </w:rPr>
        <w:t>天内不修改、撤销投标文件。</w:t>
      </w:r>
    </w:p>
    <w:p>
      <w:pPr>
        <w:tabs>
          <w:tab w:val="left" w:pos="2730"/>
          <w:tab w:val="left" w:pos="7980"/>
        </w:tabs>
        <w:autoSpaceDE w:val="0"/>
        <w:autoSpaceDN w:val="0"/>
        <w:adjustRightInd w:val="0"/>
        <w:snapToGrid w:val="0"/>
        <w:spacing w:line="420" w:lineRule="exact"/>
        <w:ind w:firstLine="484" w:firstLineChars="202"/>
        <w:rPr>
          <w:rFonts w:ascii="宋体" w:hAnsi="宋体" w:eastAsia="宋体"/>
          <w:snapToGrid w:val="0"/>
          <w:color w:val="auto"/>
          <w:kern w:val="0"/>
          <w:szCs w:val="28"/>
          <w:highlight w:val="none"/>
        </w:rPr>
      </w:pPr>
      <w:r>
        <w:rPr>
          <w:rFonts w:ascii="宋体" w:hAnsi="宋体" w:eastAsia="宋体" w:cs="宋体"/>
          <w:snapToGrid w:val="0"/>
          <w:color w:val="auto"/>
          <w:kern w:val="0"/>
          <w:szCs w:val="28"/>
          <w:highlight w:val="none"/>
        </w:rPr>
        <w:t>6.</w:t>
      </w:r>
      <w:r>
        <w:rPr>
          <w:rFonts w:hint="eastAsia" w:ascii="宋体" w:hAnsi="宋体" w:eastAsia="宋体" w:cs="宋体"/>
          <w:snapToGrid w:val="0"/>
          <w:color w:val="auto"/>
          <w:kern w:val="0"/>
          <w:szCs w:val="28"/>
          <w:highlight w:val="none"/>
        </w:rPr>
        <w:t>随同本投标函提交磋商保证金一份，金额为人民币</w:t>
      </w:r>
      <w:r>
        <w:rPr>
          <w:rFonts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8"/>
          <w:highlight w:val="none"/>
        </w:rPr>
        <w:t>大写</w:t>
      </w:r>
      <w:r>
        <w:rPr>
          <w:rFonts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（小写：￥</w:t>
      </w: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rPr>
        <w:t>元）。磋商</w:t>
      </w:r>
      <w:r>
        <w:rPr>
          <w:rFonts w:hint="eastAsia" w:ascii="宋体" w:hAnsi="宋体" w:eastAsia="宋体"/>
          <w:snapToGrid w:val="0"/>
          <w:color w:val="auto"/>
          <w:kern w:val="0"/>
          <w:szCs w:val="28"/>
          <w:highlight w:val="none"/>
        </w:rPr>
        <w:t>保证金有限期与磋商有限期一致，在此期间，若我方违反招投标有关法律、法规及本磋商文件的相关规定，保证金不予退还。</w:t>
      </w:r>
    </w:p>
    <w:p>
      <w:pPr>
        <w:tabs>
          <w:tab w:val="left" w:pos="2655"/>
          <w:tab w:val="left" w:pos="3520"/>
          <w:tab w:val="left" w:pos="4920"/>
          <w:tab w:val="left" w:pos="5715"/>
          <w:tab w:val="left" w:pos="6945"/>
          <w:tab w:val="left" w:pos="798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7.</w:t>
      </w:r>
      <w:r>
        <w:rPr>
          <w:rFonts w:hint="eastAsia" w:ascii="宋体" w:hAnsi="宋体" w:eastAsia="宋体" w:cs="宋体"/>
          <w:snapToGrid w:val="0"/>
          <w:color w:val="auto"/>
          <w:kern w:val="0"/>
          <w:szCs w:val="28"/>
          <w:highlight w:val="none"/>
        </w:rPr>
        <w:t>我方承诺完全响应磋商文件要求的磋商有效期、报价唯一性、成交人义务等全部要求。</w:t>
      </w:r>
    </w:p>
    <w:p>
      <w:pPr>
        <w:tabs>
          <w:tab w:val="left" w:pos="2655"/>
          <w:tab w:val="left" w:pos="3520"/>
          <w:tab w:val="left" w:pos="4920"/>
          <w:tab w:val="left" w:pos="5715"/>
          <w:tab w:val="left" w:pos="6945"/>
          <w:tab w:val="left" w:pos="798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8.</w:t>
      </w:r>
      <w:r>
        <w:rPr>
          <w:rFonts w:hint="eastAsia" w:ascii="宋体" w:hAnsi="宋体" w:eastAsia="宋体" w:cs="宋体"/>
          <w:snapToGrid w:val="0"/>
          <w:color w:val="auto"/>
          <w:kern w:val="0"/>
          <w:szCs w:val="28"/>
          <w:highlight w:val="none"/>
        </w:rPr>
        <w:t>如我方成交：</w:t>
      </w:r>
    </w:p>
    <w:p>
      <w:pPr>
        <w:autoSpaceDE w:val="0"/>
        <w:autoSpaceDN w:val="0"/>
        <w:adjustRightInd w:val="0"/>
        <w:snapToGrid w:val="0"/>
        <w:spacing w:line="420" w:lineRule="exact"/>
        <w:ind w:firstLine="484" w:firstLineChars="202"/>
        <w:jc w:val="left"/>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w:t>
      </w:r>
      <w:r>
        <w:rPr>
          <w:rFonts w:ascii="宋体" w:hAnsi="宋体" w:eastAsia="宋体" w:cs="宋体"/>
          <w:snapToGrid w:val="0"/>
          <w:color w:val="auto"/>
          <w:kern w:val="0"/>
          <w:szCs w:val="28"/>
          <w:highlight w:val="none"/>
        </w:rPr>
        <w:t>1</w:t>
      </w:r>
      <w:r>
        <w:rPr>
          <w:rFonts w:hint="eastAsia" w:ascii="宋体" w:hAnsi="宋体" w:eastAsia="宋体" w:cs="宋体"/>
          <w:snapToGrid w:val="0"/>
          <w:color w:val="auto"/>
          <w:kern w:val="0"/>
          <w:szCs w:val="28"/>
          <w:highlight w:val="none"/>
        </w:rPr>
        <w:t>）我方承诺在收到成交通知书后，在成交通知书规定的期限内与你方签订合同。</w:t>
      </w:r>
    </w:p>
    <w:p>
      <w:pPr>
        <w:autoSpaceDE w:val="0"/>
        <w:autoSpaceDN w:val="0"/>
        <w:adjustRightInd w:val="0"/>
        <w:snapToGrid w:val="0"/>
        <w:spacing w:line="420" w:lineRule="exact"/>
        <w:ind w:firstLine="484" w:firstLineChars="202"/>
        <w:jc w:val="left"/>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w:t>
      </w:r>
      <w:r>
        <w:rPr>
          <w:rFonts w:ascii="宋体" w:hAnsi="宋体" w:eastAsia="宋体" w:cs="宋体"/>
          <w:snapToGrid w:val="0"/>
          <w:color w:val="auto"/>
          <w:kern w:val="0"/>
          <w:szCs w:val="28"/>
          <w:highlight w:val="none"/>
        </w:rPr>
        <w:t>2</w:t>
      </w:r>
      <w:r>
        <w:rPr>
          <w:rFonts w:hint="eastAsia" w:ascii="宋体" w:hAnsi="宋体" w:eastAsia="宋体" w:cs="宋体"/>
          <w:snapToGrid w:val="0"/>
          <w:color w:val="auto"/>
          <w:kern w:val="0"/>
          <w:szCs w:val="28"/>
          <w:highlight w:val="none"/>
        </w:rPr>
        <w:t>）我方承诺按照竞争性磋商文件规定向你方递交履约保证金。</w:t>
      </w:r>
    </w:p>
    <w:p>
      <w:pPr>
        <w:autoSpaceDE w:val="0"/>
        <w:autoSpaceDN w:val="0"/>
        <w:adjustRightInd w:val="0"/>
        <w:snapToGrid w:val="0"/>
        <w:spacing w:line="420" w:lineRule="exact"/>
        <w:ind w:firstLine="484" w:firstLineChars="202"/>
        <w:jc w:val="left"/>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w:t>
      </w:r>
      <w:r>
        <w:rPr>
          <w:rFonts w:ascii="宋体" w:hAnsi="宋体" w:eastAsia="宋体" w:cs="宋体"/>
          <w:snapToGrid w:val="0"/>
          <w:color w:val="auto"/>
          <w:kern w:val="0"/>
          <w:szCs w:val="28"/>
          <w:highlight w:val="none"/>
        </w:rPr>
        <w:t>3</w:t>
      </w:r>
      <w:r>
        <w:rPr>
          <w:rFonts w:hint="eastAsia" w:ascii="宋体" w:hAnsi="宋体" w:eastAsia="宋体" w:cs="宋体"/>
          <w:snapToGrid w:val="0"/>
          <w:color w:val="auto"/>
          <w:kern w:val="0"/>
          <w:szCs w:val="28"/>
          <w:highlight w:val="none"/>
        </w:rPr>
        <w:t>）我方承诺在合同约定的期限内完成并移交全部合同工程。</w:t>
      </w:r>
    </w:p>
    <w:p>
      <w:pPr>
        <w:autoSpaceDE w:val="0"/>
        <w:autoSpaceDN w:val="0"/>
        <w:adjustRightInd w:val="0"/>
        <w:snapToGrid w:val="0"/>
        <w:spacing w:line="420" w:lineRule="exact"/>
        <w:ind w:firstLine="484" w:firstLineChars="202"/>
        <w:jc w:val="left"/>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w:t>
      </w:r>
      <w:r>
        <w:rPr>
          <w:rFonts w:ascii="宋体" w:hAnsi="宋体" w:eastAsia="宋体" w:cs="宋体"/>
          <w:snapToGrid w:val="0"/>
          <w:color w:val="auto"/>
          <w:kern w:val="0"/>
          <w:szCs w:val="28"/>
          <w:highlight w:val="none"/>
        </w:rPr>
        <w:t>4</w:t>
      </w:r>
      <w:r>
        <w:rPr>
          <w:rFonts w:hint="eastAsia" w:ascii="宋体" w:hAnsi="宋体" w:eastAsia="宋体" w:cs="宋体"/>
          <w:snapToGrid w:val="0"/>
          <w:color w:val="auto"/>
          <w:kern w:val="0"/>
          <w:szCs w:val="28"/>
          <w:highlight w:val="none"/>
        </w:rPr>
        <w:t>）我公司承诺：对磋商文件全部的内容及要求均予以实质性响应，如响应文件的内容与磋商文件的要求有出入时，低于采购要求的，按磋商文件的要求执行；优于采购要求的，经业主同意后方可执行。</w:t>
      </w:r>
    </w:p>
    <w:p>
      <w:pPr>
        <w:autoSpaceDE w:val="0"/>
        <w:autoSpaceDN w:val="0"/>
        <w:adjustRightInd w:val="0"/>
        <w:snapToGrid w:val="0"/>
        <w:spacing w:line="420" w:lineRule="exact"/>
        <w:ind w:firstLine="484" w:firstLineChars="202"/>
        <w:rPr>
          <w:rFonts w:ascii="宋体" w:hAnsi="宋体" w:eastAsia="宋体"/>
          <w:snapToGrid w:val="0"/>
          <w:color w:val="auto"/>
          <w:kern w:val="0"/>
          <w:szCs w:val="28"/>
          <w:highlight w:val="none"/>
        </w:rPr>
      </w:pPr>
      <w:r>
        <w:rPr>
          <w:rFonts w:ascii="宋体" w:hAnsi="宋体" w:eastAsia="宋体" w:cs="宋体"/>
          <w:snapToGrid w:val="0"/>
          <w:color w:val="auto"/>
          <w:kern w:val="0"/>
          <w:szCs w:val="28"/>
          <w:highlight w:val="none"/>
        </w:rPr>
        <w:t>9.</w:t>
      </w:r>
      <w:r>
        <w:rPr>
          <w:rFonts w:hint="eastAsia" w:ascii="宋体" w:hAnsi="宋体" w:eastAsia="宋体" w:cs="宋体"/>
          <w:snapToGrid w:val="0"/>
          <w:color w:val="auto"/>
          <w:kern w:val="0"/>
          <w:szCs w:val="28"/>
          <w:highlight w:val="none"/>
        </w:rPr>
        <w:t>我方在此声明，保证所递交的响应文件及有关资料内容完整、真实和准确。</w:t>
      </w:r>
      <w:r>
        <w:rPr>
          <w:rFonts w:hint="eastAsia" w:ascii="宋体" w:hAnsi="宋体" w:eastAsia="宋体"/>
          <w:snapToGrid w:val="0"/>
          <w:color w:val="auto"/>
          <w:kern w:val="0"/>
          <w:szCs w:val="28"/>
          <w:highlight w:val="none"/>
        </w:rPr>
        <w:t>同时我方承诺接受磋商件及附件、答疑及补遗通知中所有的内容。</w:t>
      </w:r>
    </w:p>
    <w:p>
      <w:pPr>
        <w:tabs>
          <w:tab w:val="left" w:pos="4940"/>
        </w:tabs>
        <w:autoSpaceDE w:val="0"/>
        <w:autoSpaceDN w:val="0"/>
        <w:adjustRightInd w:val="0"/>
        <w:snapToGrid w:val="0"/>
        <w:spacing w:line="420" w:lineRule="exact"/>
        <w:ind w:firstLine="484" w:firstLineChars="202"/>
        <w:jc w:val="left"/>
        <w:rPr>
          <w:rFonts w:ascii="宋体" w:hAnsi="宋体" w:eastAsia="宋体" w:cs="宋体"/>
          <w:snapToGrid w:val="0"/>
          <w:color w:val="auto"/>
          <w:kern w:val="0"/>
          <w:szCs w:val="28"/>
          <w:highlight w:val="none"/>
        </w:rPr>
      </w:pPr>
      <w:r>
        <w:rPr>
          <w:rFonts w:ascii="宋体" w:hAnsi="宋体" w:eastAsia="宋体" w:cs="宋体"/>
          <w:snapToGrid w:val="0"/>
          <w:color w:val="auto"/>
          <w:kern w:val="0"/>
          <w:szCs w:val="28"/>
          <w:highlight w:val="none"/>
        </w:rPr>
        <w:t>10</w:t>
      </w:r>
      <w:r>
        <w:rPr>
          <w:rFonts w:hint="eastAsia" w:ascii="宋体" w:hAnsi="宋体" w:eastAsia="宋体" w:cs="宋体"/>
          <w:snapToGrid w:val="0"/>
          <w:color w:val="auto"/>
          <w:kern w:val="0"/>
          <w:szCs w:val="28"/>
          <w:highlight w:val="none"/>
        </w:rPr>
        <w:t>．</w:t>
      </w: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rPr>
        <w:t>（其他补充说明）。</w:t>
      </w:r>
    </w:p>
    <w:p>
      <w:pPr>
        <w:tabs>
          <w:tab w:val="left" w:pos="7140"/>
          <w:tab w:val="left" w:pos="7560"/>
          <w:tab w:val="left" w:pos="830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lang w:eastAsia="zh-CN"/>
        </w:rPr>
        <w:t>投标人</w:t>
      </w:r>
      <w:r>
        <w:rPr>
          <w:rFonts w:hint="eastAsia" w:ascii="宋体" w:hAnsi="宋体" w:eastAsia="宋体" w:cs="宋体"/>
          <w:snapToGrid w:val="0"/>
          <w:color w:val="auto"/>
          <w:kern w:val="0"/>
          <w:szCs w:val="28"/>
          <w:highlight w:val="none"/>
        </w:rPr>
        <w:t>：</w:t>
      </w:r>
      <w:r>
        <w:rPr>
          <w:rFonts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u w:val="single"/>
        </w:rPr>
        <w:t>　　　　</w:t>
      </w:r>
      <w:r>
        <w:rPr>
          <w:rFonts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u w:val="single"/>
        </w:rPr>
        <w:t>　</w:t>
      </w:r>
      <w:r>
        <w:rPr>
          <w:rFonts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（盖单位章）</w:t>
      </w:r>
      <w:r>
        <w:rPr>
          <w:rFonts w:ascii="宋体" w:hAnsi="宋体" w:eastAsia="宋体" w:cs="宋体"/>
          <w:snapToGrid w:val="0"/>
          <w:color w:val="auto"/>
          <w:kern w:val="0"/>
          <w:szCs w:val="28"/>
          <w:highlight w:val="none"/>
        </w:rPr>
        <w:t xml:space="preserve"> </w:t>
      </w:r>
    </w:p>
    <w:p>
      <w:pPr>
        <w:tabs>
          <w:tab w:val="left" w:pos="6720"/>
          <w:tab w:val="left" w:pos="7560"/>
          <w:tab w:val="left" w:pos="830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法定代表人或其委托代理人：</w:t>
      </w:r>
      <w:r>
        <w:rPr>
          <w:rFonts w:ascii="宋体" w:hAnsi="宋体" w:eastAsia="宋体" w:cs="宋体"/>
          <w:snapToGrid w:val="0"/>
          <w:color w:val="auto"/>
          <w:kern w:val="0"/>
          <w:szCs w:val="28"/>
          <w:highlight w:val="none"/>
          <w:u w:val="single"/>
        </w:rPr>
        <w:tab/>
      </w:r>
      <w:r>
        <w:rPr>
          <w:rFonts w:hint="eastAsia" w:ascii="宋体" w:hAnsi="宋体" w:eastAsia="宋体" w:cs="宋体"/>
          <w:snapToGrid w:val="0"/>
          <w:color w:val="auto"/>
          <w:kern w:val="0"/>
          <w:szCs w:val="28"/>
          <w:highlight w:val="none"/>
        </w:rPr>
        <w:t>（签字）</w:t>
      </w:r>
      <w:r>
        <w:rPr>
          <w:rFonts w:ascii="宋体" w:hAnsi="宋体" w:eastAsia="宋体" w:cs="宋体"/>
          <w:snapToGrid w:val="0"/>
          <w:color w:val="auto"/>
          <w:kern w:val="0"/>
          <w:szCs w:val="28"/>
          <w:highlight w:val="none"/>
        </w:rPr>
        <w:t xml:space="preserve"> </w:t>
      </w:r>
    </w:p>
    <w:p>
      <w:pPr>
        <w:tabs>
          <w:tab w:val="left" w:pos="7035"/>
          <w:tab w:val="left" w:pos="7560"/>
          <w:tab w:val="left" w:pos="8300"/>
        </w:tabs>
        <w:autoSpaceDE w:val="0"/>
        <w:autoSpaceDN w:val="0"/>
        <w:adjustRightInd w:val="0"/>
        <w:snapToGrid w:val="0"/>
        <w:spacing w:line="420" w:lineRule="exact"/>
        <w:ind w:firstLine="484" w:firstLineChars="202"/>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地址：</w:t>
      </w:r>
      <w:r>
        <w:rPr>
          <w:rFonts w:ascii="宋体" w:hAnsi="宋体" w:eastAsia="宋体" w:cs="宋体"/>
          <w:snapToGrid w:val="0"/>
          <w:color w:val="auto"/>
          <w:kern w:val="0"/>
          <w:szCs w:val="28"/>
          <w:highlight w:val="none"/>
          <w:u w:val="single"/>
        </w:rPr>
        <w:tab/>
      </w:r>
    </w:p>
    <w:p>
      <w:pPr>
        <w:tabs>
          <w:tab w:val="left" w:pos="8300"/>
        </w:tabs>
        <w:autoSpaceDE w:val="0"/>
        <w:autoSpaceDN w:val="0"/>
        <w:adjustRightInd w:val="0"/>
        <w:snapToGrid w:val="0"/>
        <w:spacing w:line="420" w:lineRule="exact"/>
        <w:ind w:firstLine="484" w:firstLineChars="202"/>
        <w:jc w:val="left"/>
        <w:rPr>
          <w:rFonts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电话：</w:t>
      </w:r>
      <w:r>
        <w:rPr>
          <w:rFonts w:hint="eastAsia" w:ascii="宋体" w:hAnsi="宋体" w:eastAsia="宋体" w:cs="宋体"/>
          <w:snapToGrid w:val="0"/>
          <w:color w:val="auto"/>
          <w:kern w:val="0"/>
          <w:szCs w:val="28"/>
          <w:highlight w:val="none"/>
          <w:u w:val="single"/>
        </w:rPr>
        <w:t>　　　　　　　　　　　　　　　　　　　</w:t>
      </w:r>
      <w:r>
        <w:rPr>
          <w:rFonts w:hint="eastAsia" w:ascii="宋体" w:hAnsi="宋体" w:eastAsia="宋体" w:cs="宋体"/>
          <w:snapToGrid w:val="0"/>
          <w:color w:val="auto"/>
          <w:kern w:val="0"/>
          <w:szCs w:val="28"/>
          <w:highlight w:val="none"/>
        </w:rPr>
        <w:t>传真：</w:t>
      </w:r>
      <w:r>
        <w:rPr>
          <w:rFonts w:hint="eastAsia" w:ascii="宋体" w:hAnsi="宋体" w:eastAsia="宋体" w:cs="宋体"/>
          <w:snapToGrid w:val="0"/>
          <w:color w:val="auto"/>
          <w:kern w:val="0"/>
          <w:szCs w:val="28"/>
          <w:highlight w:val="none"/>
          <w:u w:val="single"/>
        </w:rPr>
        <w:t>　　　　　　　　　　　　</w:t>
      </w:r>
    </w:p>
    <w:p>
      <w:pPr>
        <w:tabs>
          <w:tab w:val="left" w:pos="8300"/>
        </w:tabs>
        <w:autoSpaceDE w:val="0"/>
        <w:autoSpaceDN w:val="0"/>
        <w:adjustRightInd w:val="0"/>
        <w:snapToGrid w:val="0"/>
        <w:spacing w:line="420" w:lineRule="exact"/>
        <w:ind w:firstLine="484" w:firstLineChars="202"/>
        <w:jc w:val="left"/>
        <w:rPr>
          <w:rFonts w:ascii="宋体" w:hAnsi="宋体" w:eastAsia="宋体" w:cs="宋体"/>
          <w:snapToGrid w:val="0"/>
          <w:color w:val="auto"/>
          <w:kern w:val="0"/>
          <w:szCs w:val="28"/>
          <w:highlight w:val="none"/>
        </w:rPr>
        <w:sectPr>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snapToGrid w:val="0"/>
          <w:color w:val="auto"/>
          <w:kern w:val="0"/>
          <w:szCs w:val="28"/>
          <w:highlight w:val="none"/>
        </w:rPr>
        <w:t>邮政编码：</w:t>
      </w:r>
      <w:r>
        <w:rPr>
          <w:rFonts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rPr>
        <w:t>年</w:t>
      </w:r>
      <w:r>
        <w:rPr>
          <w:rFonts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rPr>
        <w:t>月</w:t>
      </w:r>
      <w:r>
        <w:rPr>
          <w:rFonts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rPr>
        <w:t>日</w:t>
      </w:r>
    </w:p>
    <w:p>
      <w:pPr>
        <w:numPr>
          <w:ilvl w:val="0"/>
          <w:numId w:val="0"/>
        </w:numPr>
        <w:tabs>
          <w:tab w:val="left" w:pos="2895"/>
        </w:tabs>
        <w:spacing w:line="420" w:lineRule="exact"/>
        <w:ind w:leftChars="200"/>
        <w:rPr>
          <w:rFonts w:hint="eastAsia" w:ascii="宋体" w:hAnsi="宋体" w:eastAsia="宋体" w:cs="方正仿宋_GBK"/>
          <w:color w:val="auto"/>
          <w:szCs w:val="28"/>
          <w:highlight w:val="none"/>
          <w:lang w:eastAsia="zh-CN"/>
        </w:rPr>
      </w:pPr>
      <w:r>
        <w:rPr>
          <w:rFonts w:hint="eastAsia" w:ascii="宋体" w:hAnsi="宋体" w:eastAsia="宋体" w:cs="方正仿宋_GBK"/>
          <w:color w:val="auto"/>
          <w:szCs w:val="28"/>
          <w:highlight w:val="none"/>
          <w:lang w:eastAsia="zh-CN"/>
        </w:rPr>
        <w:t>（二）其它资料</w:t>
      </w:r>
    </w:p>
    <w:p>
      <w:pPr>
        <w:pStyle w:val="2"/>
        <w:numPr>
          <w:ilvl w:val="0"/>
          <w:numId w:val="0"/>
        </w:numPr>
        <w:ind w:firstLine="720" w:firstLineChars="300"/>
        <w:rPr>
          <w:rFonts w:hint="eastAsia"/>
          <w:color w:val="auto"/>
          <w:lang w:eastAsia="zh-CN"/>
        </w:rPr>
      </w:pPr>
    </w:p>
    <w:p>
      <w:pPr>
        <w:pStyle w:val="2"/>
        <w:numPr>
          <w:ilvl w:val="0"/>
          <w:numId w:val="8"/>
        </w:numPr>
        <w:ind w:firstLine="720" w:firstLineChars="300"/>
        <w:rPr>
          <w:rFonts w:hint="eastAsia"/>
          <w:color w:val="auto"/>
          <w:lang w:eastAsia="zh-CN"/>
        </w:rPr>
      </w:pPr>
      <w:r>
        <w:rPr>
          <w:rFonts w:hint="eastAsia"/>
          <w:color w:val="auto"/>
          <w:lang w:eastAsia="zh-CN"/>
        </w:rPr>
        <w:t>承诺函；</w:t>
      </w:r>
    </w:p>
    <w:p>
      <w:pPr>
        <w:numPr>
          <w:ilvl w:val="0"/>
          <w:numId w:val="0"/>
        </w:numPr>
        <w:jc w:val="center"/>
        <w:rPr>
          <w:rFonts w:hint="eastAsia"/>
          <w:color w:val="auto"/>
          <w:lang w:val="en-US" w:eastAsia="zh-CN"/>
        </w:rPr>
      </w:pPr>
      <w:r>
        <w:rPr>
          <w:rFonts w:hint="eastAsia"/>
          <w:color w:val="auto"/>
          <w:lang w:val="en-US" w:eastAsia="zh-CN"/>
        </w:rPr>
        <w:t>承诺函</w:t>
      </w:r>
    </w:p>
    <w:p>
      <w:pPr>
        <w:pStyle w:val="2"/>
        <w:rPr>
          <w:rFonts w:ascii="宋体" w:hAnsi="宋体" w:eastAsia="宋体" w:cs="宋体"/>
          <w:snapToGrid w:val="0"/>
          <w:color w:val="auto"/>
          <w:kern w:val="0"/>
          <w:szCs w:val="28"/>
          <w:highlight w:val="none"/>
          <w:u w:val="single"/>
        </w:rPr>
      </w:pPr>
    </w:p>
    <w:p>
      <w:pPr>
        <w:pStyle w:val="2"/>
        <w:rPr>
          <w:rFonts w:hint="eastAsia" w:ascii="宋体" w:hAnsi="宋体" w:cs="宋体"/>
          <w:i w:val="0"/>
          <w:iCs w:val="0"/>
          <w:snapToGrid w:val="0"/>
          <w:color w:val="auto"/>
          <w:kern w:val="0"/>
          <w:szCs w:val="28"/>
          <w:highlight w:val="none"/>
          <w:u w:val="none"/>
          <w:lang w:val="en-US" w:eastAsia="zh-CN"/>
        </w:rPr>
      </w:pPr>
      <w:r>
        <w:rPr>
          <w:rFonts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u w:val="single"/>
        </w:rPr>
        <w:t>　</w:t>
      </w:r>
      <w:r>
        <w:rPr>
          <w:rFonts w:hint="eastAsia" w:ascii="宋体" w:hAnsi="宋体" w:cs="宋体"/>
          <w:snapToGrid w:val="0"/>
          <w:color w:val="auto"/>
          <w:kern w:val="0"/>
          <w:szCs w:val="28"/>
          <w:highlight w:val="none"/>
          <w:u w:val="single"/>
          <w:lang w:eastAsia="zh-CN"/>
        </w:rPr>
        <w:t>（</w:t>
      </w:r>
      <w:r>
        <w:rPr>
          <w:rFonts w:hint="eastAsia" w:ascii="宋体" w:hAnsi="宋体" w:cs="宋体"/>
          <w:snapToGrid w:val="0"/>
          <w:color w:val="auto"/>
          <w:kern w:val="0"/>
          <w:szCs w:val="28"/>
          <w:highlight w:val="none"/>
          <w:u w:val="single"/>
          <w:lang w:val="en-US" w:eastAsia="zh-CN"/>
        </w:rPr>
        <w:t>投标人名称</w:t>
      </w:r>
      <w:r>
        <w:rPr>
          <w:rFonts w:hint="eastAsia" w:ascii="宋体" w:hAnsi="宋体" w:cs="宋体"/>
          <w:snapToGrid w:val="0"/>
          <w:color w:val="auto"/>
          <w:kern w:val="0"/>
          <w:szCs w:val="28"/>
          <w:highlight w:val="none"/>
          <w:u w:val="single"/>
          <w:lang w:eastAsia="zh-CN"/>
        </w:rPr>
        <w:t>）</w:t>
      </w:r>
      <w:r>
        <w:rPr>
          <w:rFonts w:hint="eastAsia" w:ascii="宋体" w:hAnsi="宋体" w:cs="宋体"/>
          <w:i w:val="0"/>
          <w:iCs w:val="0"/>
          <w:snapToGrid w:val="0"/>
          <w:color w:val="auto"/>
          <w:kern w:val="0"/>
          <w:szCs w:val="28"/>
          <w:highlight w:val="none"/>
          <w:u w:val="none"/>
          <w:lang w:val="en-US" w:eastAsia="zh-CN"/>
        </w:rPr>
        <w:t>郑重承诺：</w:t>
      </w:r>
    </w:p>
    <w:p>
      <w:pPr>
        <w:rPr>
          <w:rFonts w:hint="eastAsia"/>
          <w:color w:val="auto"/>
          <w:lang w:val="en-US" w:eastAsia="zh-CN"/>
        </w:rPr>
      </w:pPr>
    </w:p>
    <w:p>
      <w:pPr>
        <w:pStyle w:val="2"/>
        <w:numPr>
          <w:ilvl w:val="0"/>
          <w:numId w:val="9"/>
        </w:numPr>
        <w:ind w:left="211" w:leftChars="0" w:firstLineChars="0"/>
        <w:rPr>
          <w:rFonts w:hint="eastAsia" w:ascii="宋体" w:hAnsi="宋体" w:cs="宋体"/>
          <w:i w:val="0"/>
          <w:iCs w:val="0"/>
          <w:snapToGrid w:val="0"/>
          <w:color w:val="auto"/>
          <w:kern w:val="0"/>
          <w:szCs w:val="28"/>
          <w:highlight w:val="none"/>
          <w:u w:val="none"/>
          <w:lang w:val="en-US" w:eastAsia="zh-CN"/>
        </w:rPr>
      </w:pPr>
      <w:r>
        <w:rPr>
          <w:rFonts w:hint="eastAsia" w:ascii="宋体" w:hAnsi="宋体" w:cs="宋体"/>
          <w:i w:val="0"/>
          <w:iCs w:val="0"/>
          <w:snapToGrid w:val="0"/>
          <w:color w:val="auto"/>
          <w:kern w:val="0"/>
          <w:szCs w:val="28"/>
          <w:highlight w:val="none"/>
          <w:u w:val="none"/>
          <w:lang w:val="en-US" w:eastAsia="zh-CN"/>
        </w:rPr>
        <w:t>我公司提供的清单符合“工程量清单”给出的范围及数量。</w:t>
      </w:r>
    </w:p>
    <w:p>
      <w:pPr>
        <w:pStyle w:val="2"/>
        <w:numPr>
          <w:ilvl w:val="0"/>
          <w:numId w:val="9"/>
        </w:numPr>
        <w:ind w:left="211" w:leftChars="0" w:firstLineChars="0"/>
        <w:rPr>
          <w:rFonts w:hint="eastAsia" w:ascii="宋体" w:hAnsi="宋体" w:cs="宋体"/>
          <w:i w:val="0"/>
          <w:iCs w:val="0"/>
          <w:snapToGrid w:val="0"/>
          <w:color w:val="auto"/>
          <w:kern w:val="0"/>
          <w:szCs w:val="28"/>
          <w:highlight w:val="none"/>
          <w:u w:val="none"/>
          <w:lang w:val="en-US" w:eastAsia="zh-CN"/>
        </w:rPr>
      </w:pPr>
      <w:r>
        <w:rPr>
          <w:rFonts w:hint="eastAsia" w:ascii="宋体" w:hAnsi="宋体" w:cs="宋体"/>
          <w:i w:val="0"/>
          <w:iCs w:val="0"/>
          <w:snapToGrid w:val="0"/>
          <w:color w:val="auto"/>
          <w:kern w:val="0"/>
          <w:szCs w:val="28"/>
          <w:highlight w:val="none"/>
          <w:u w:val="none"/>
          <w:lang w:val="en-US" w:eastAsia="zh-CN"/>
        </w:rPr>
        <w:t>磋商文件中规定工程量清单不允许修改的内容不得修改。</w:t>
      </w:r>
    </w:p>
    <w:p>
      <w:pPr>
        <w:pStyle w:val="2"/>
        <w:numPr>
          <w:ilvl w:val="0"/>
          <w:numId w:val="9"/>
        </w:numPr>
        <w:ind w:left="211" w:leftChars="0" w:firstLineChars="0"/>
        <w:rPr>
          <w:rFonts w:hint="default" w:ascii="宋体" w:hAnsi="宋体" w:cs="宋体"/>
          <w:i w:val="0"/>
          <w:iCs w:val="0"/>
          <w:snapToGrid w:val="0"/>
          <w:color w:val="auto"/>
          <w:kern w:val="0"/>
          <w:szCs w:val="28"/>
          <w:highlight w:val="none"/>
          <w:u w:val="none"/>
          <w:lang w:val="en-US" w:eastAsia="zh-CN"/>
        </w:rPr>
      </w:pPr>
      <w:r>
        <w:rPr>
          <w:rFonts w:hint="eastAsia" w:ascii="宋体" w:hAnsi="宋体" w:cs="宋体"/>
          <w:i w:val="0"/>
          <w:iCs w:val="0"/>
          <w:snapToGrid w:val="0"/>
          <w:color w:val="auto"/>
          <w:kern w:val="0"/>
          <w:szCs w:val="28"/>
          <w:highlight w:val="none"/>
          <w:u w:val="none"/>
          <w:lang w:val="en-US" w:eastAsia="zh-CN"/>
        </w:rPr>
        <w:t>每项工程量清单综合单价报价不得高于对应工程量清单综合单价最高限价。</w:t>
      </w:r>
    </w:p>
    <w:p>
      <w:pPr>
        <w:pStyle w:val="2"/>
        <w:numPr>
          <w:ilvl w:val="0"/>
          <w:numId w:val="9"/>
        </w:numPr>
        <w:ind w:left="211" w:leftChars="0" w:firstLineChars="0"/>
        <w:rPr>
          <w:rFonts w:hint="eastAsia" w:ascii="宋体" w:hAnsi="宋体" w:cs="宋体"/>
          <w:i w:val="0"/>
          <w:iCs w:val="0"/>
          <w:snapToGrid w:val="0"/>
          <w:color w:val="auto"/>
          <w:kern w:val="0"/>
          <w:szCs w:val="28"/>
          <w:highlight w:val="none"/>
          <w:u w:val="none"/>
          <w:lang w:val="en-US" w:eastAsia="zh-CN"/>
        </w:rPr>
      </w:pPr>
      <w:r>
        <w:rPr>
          <w:rFonts w:hint="eastAsia" w:ascii="宋体" w:hAnsi="宋体" w:cs="宋体"/>
          <w:i w:val="0"/>
          <w:iCs w:val="0"/>
          <w:snapToGrid w:val="0"/>
          <w:color w:val="auto"/>
          <w:kern w:val="0"/>
          <w:szCs w:val="28"/>
          <w:highlight w:val="none"/>
          <w:u w:val="none"/>
          <w:lang w:val="en-US" w:eastAsia="zh-CN"/>
        </w:rPr>
        <w:t>若我公司成为中标人，将严格按照采购人提供的材料推荐表等同档次品牌执行。</w:t>
      </w:r>
    </w:p>
    <w:p>
      <w:pPr>
        <w:pStyle w:val="2"/>
        <w:jc w:val="right"/>
        <w:rPr>
          <w:rFonts w:hint="eastAsia" w:ascii="宋体" w:hAnsi="宋体" w:eastAsia="宋体" w:cs="宋体"/>
          <w:snapToGrid w:val="0"/>
          <w:color w:val="auto"/>
          <w:kern w:val="0"/>
          <w:szCs w:val="28"/>
          <w:highlight w:val="none"/>
          <w:lang w:eastAsia="zh-CN"/>
        </w:rPr>
      </w:pPr>
    </w:p>
    <w:p>
      <w:pPr>
        <w:pStyle w:val="2"/>
        <w:jc w:val="right"/>
        <w:rPr>
          <w:rFonts w:hint="eastAsia" w:ascii="宋体" w:hAnsi="宋体" w:eastAsia="宋体" w:cs="宋体"/>
          <w:snapToGrid w:val="0"/>
          <w:color w:val="auto"/>
          <w:kern w:val="0"/>
          <w:szCs w:val="28"/>
          <w:highlight w:val="none"/>
          <w:lang w:eastAsia="zh-CN"/>
        </w:rPr>
      </w:pPr>
    </w:p>
    <w:p>
      <w:pPr>
        <w:pStyle w:val="2"/>
        <w:jc w:val="righ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lang w:eastAsia="zh-CN"/>
        </w:rPr>
        <w:t>投标人</w:t>
      </w:r>
      <w:r>
        <w:rPr>
          <w:rFonts w:hint="eastAsia" w:ascii="宋体" w:hAnsi="宋体" w:eastAsia="宋体" w:cs="宋体"/>
          <w:snapToGrid w:val="0"/>
          <w:color w:val="auto"/>
          <w:kern w:val="0"/>
          <w:szCs w:val="28"/>
          <w:highlight w:val="none"/>
        </w:rPr>
        <w:t>：</w:t>
      </w:r>
      <w:r>
        <w:rPr>
          <w:rFonts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u w:val="single"/>
        </w:rPr>
        <w:t>　　　　</w:t>
      </w:r>
      <w:r>
        <w:rPr>
          <w:rFonts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u w:val="single"/>
        </w:rPr>
        <w:t>　</w:t>
      </w:r>
      <w:r>
        <w:rPr>
          <w:rFonts w:ascii="宋体" w:hAnsi="宋体" w:eastAsia="宋体" w:cs="宋体"/>
          <w:snapToGrid w:val="0"/>
          <w:color w:val="auto"/>
          <w:kern w:val="0"/>
          <w:szCs w:val="28"/>
          <w:highlight w:val="none"/>
          <w:u w:val="single"/>
        </w:rPr>
        <w:t xml:space="preserve">     </w:t>
      </w:r>
      <w:r>
        <w:rPr>
          <w:rFonts w:hint="eastAsia" w:ascii="宋体" w:hAnsi="宋体" w:eastAsia="宋体" w:cs="宋体"/>
          <w:snapToGrid w:val="0"/>
          <w:color w:val="auto"/>
          <w:kern w:val="0"/>
          <w:szCs w:val="28"/>
          <w:highlight w:val="none"/>
        </w:rPr>
        <w:t>（盖单位章）</w:t>
      </w:r>
    </w:p>
    <w:p>
      <w:pPr>
        <w:tabs>
          <w:tab w:val="left" w:pos="8300"/>
        </w:tabs>
        <w:autoSpaceDE w:val="0"/>
        <w:autoSpaceDN w:val="0"/>
        <w:adjustRightInd w:val="0"/>
        <w:snapToGrid w:val="0"/>
        <w:spacing w:line="420" w:lineRule="exact"/>
        <w:ind w:firstLine="484" w:firstLineChars="202"/>
        <w:jc w:val="right"/>
        <w:rPr>
          <w:rFonts w:ascii="宋体" w:hAnsi="宋体" w:eastAsia="宋体" w:cs="宋体"/>
          <w:snapToGrid w:val="0"/>
          <w:color w:val="auto"/>
          <w:kern w:val="0"/>
          <w:szCs w:val="28"/>
          <w:highlight w:val="none"/>
        </w:rPr>
        <w:sectPr>
          <w:pgSz w:w="11907" w:h="16840"/>
          <w:pgMar w:top="1134" w:right="1191" w:bottom="1134" w:left="1304" w:header="851" w:footer="992" w:gutter="0"/>
          <w:pgNumType w:fmt="decimal"/>
          <w:cols w:space="720" w:num="1"/>
          <w:docGrid w:linePitch="380" w:charSpace="-5735"/>
        </w:sectPr>
      </w:pPr>
      <w:r>
        <w:rPr>
          <w:rFonts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rPr>
        <w:t>年</w:t>
      </w:r>
      <w:r>
        <w:rPr>
          <w:rFonts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rPr>
        <w:t>月</w:t>
      </w:r>
      <w:r>
        <w:rPr>
          <w:rFonts w:ascii="宋体" w:hAnsi="宋体" w:eastAsia="宋体" w:cs="宋体"/>
          <w:snapToGrid w:val="0"/>
          <w:color w:val="auto"/>
          <w:kern w:val="0"/>
          <w:szCs w:val="28"/>
          <w:highlight w:val="none"/>
        </w:rPr>
        <w:t xml:space="preserve"> </w:t>
      </w:r>
      <w:r>
        <w:rPr>
          <w:rFonts w:hint="eastAsia" w:ascii="宋体" w:hAnsi="宋体" w:eastAsia="宋体" w:cs="宋体"/>
          <w:snapToGrid w:val="0"/>
          <w:color w:val="auto"/>
          <w:kern w:val="0"/>
          <w:szCs w:val="28"/>
          <w:highlight w:val="none"/>
        </w:rPr>
        <w:t>日</w:t>
      </w:r>
    </w:p>
    <w:p>
      <w:pPr>
        <w:rPr>
          <w:rFonts w:hint="default"/>
          <w:color w:val="auto"/>
          <w:lang w:val="en-US" w:eastAsia="zh-CN"/>
        </w:rPr>
      </w:pPr>
    </w:p>
    <w:p>
      <w:pPr>
        <w:pStyle w:val="2"/>
        <w:numPr>
          <w:ilvl w:val="0"/>
          <w:numId w:val="0"/>
        </w:numPr>
        <w:ind w:firstLine="720" w:firstLineChars="300"/>
        <w:rPr>
          <w:rFonts w:hint="eastAsia"/>
          <w:color w:val="auto"/>
          <w:lang w:eastAsia="zh-CN"/>
        </w:rPr>
      </w:pPr>
      <w:r>
        <w:rPr>
          <w:rFonts w:hint="eastAsia"/>
          <w:color w:val="auto"/>
          <w:lang w:val="en-US" w:eastAsia="zh-CN"/>
        </w:rPr>
        <w:t>2.</w:t>
      </w:r>
      <w:r>
        <w:rPr>
          <w:rFonts w:hint="eastAsia"/>
          <w:color w:val="auto"/>
          <w:lang w:eastAsia="zh-CN"/>
        </w:rPr>
        <w:t>……</w:t>
      </w:r>
    </w:p>
    <w:p>
      <w:pPr>
        <w:pStyle w:val="2"/>
        <w:numPr>
          <w:ilvl w:val="0"/>
          <w:numId w:val="0"/>
        </w:numPr>
        <w:ind w:firstLine="720" w:firstLineChars="300"/>
        <w:rPr>
          <w:rFonts w:hint="eastAsia"/>
          <w:color w:val="auto"/>
          <w:lang w:eastAsia="zh-CN"/>
        </w:rPr>
      </w:pPr>
      <w:r>
        <w:rPr>
          <w:rFonts w:hint="eastAsia"/>
          <w:color w:val="auto"/>
          <w:lang w:val="en-US" w:eastAsia="zh-CN"/>
        </w:rPr>
        <w:t>3..</w:t>
      </w:r>
      <w:r>
        <w:rPr>
          <w:rFonts w:hint="eastAsia"/>
          <w:color w:val="auto"/>
          <w:lang w:eastAsia="zh-CN"/>
        </w:rPr>
        <w:t>……</w:t>
      </w:r>
    </w:p>
    <w:p>
      <w:pPr>
        <w:rPr>
          <w:rFonts w:hint="default"/>
          <w:color w:val="auto"/>
          <w:lang w:val="en-US" w:eastAsia="zh-CN"/>
        </w:rPr>
      </w:pPr>
    </w:p>
    <w:p>
      <w:pPr>
        <w:pStyle w:val="2"/>
        <w:numPr>
          <w:ilvl w:val="0"/>
          <w:numId w:val="0"/>
        </w:numPr>
        <w:ind w:leftChars="200"/>
        <w:rPr>
          <w:rFonts w:hint="eastAsia"/>
          <w:color w:val="auto"/>
          <w:lang w:eastAsia="zh-CN"/>
        </w:rPr>
      </w:pPr>
    </w:p>
    <w:p>
      <w:pPr>
        <w:tabs>
          <w:tab w:val="left" w:pos="2895"/>
        </w:tabs>
        <w:spacing w:line="420" w:lineRule="exact"/>
        <w:ind w:firstLine="480" w:firstLineChars="200"/>
        <w:rPr>
          <w:rFonts w:hint="eastAsia" w:ascii="宋体" w:hAnsi="宋体" w:eastAsia="宋体" w:cs="方正仿宋_GBK"/>
          <w:color w:val="auto"/>
          <w:szCs w:val="28"/>
          <w:highlight w:val="none"/>
        </w:rPr>
      </w:pPr>
    </w:p>
    <w:p>
      <w:pPr>
        <w:tabs>
          <w:tab w:val="left" w:pos="2895"/>
        </w:tabs>
        <w:spacing w:line="420" w:lineRule="exact"/>
        <w:ind w:firstLine="480" w:firstLineChars="200"/>
        <w:rPr>
          <w:rFonts w:hint="eastAsia" w:ascii="宋体" w:hAnsi="宋体" w:eastAsia="宋体" w:cs="方正仿宋_GBK"/>
          <w:color w:val="auto"/>
          <w:szCs w:val="28"/>
          <w:highlight w:val="none"/>
        </w:rPr>
      </w:pPr>
    </w:p>
    <w:p>
      <w:pPr>
        <w:tabs>
          <w:tab w:val="left" w:pos="2895"/>
        </w:tabs>
        <w:spacing w:line="420" w:lineRule="exact"/>
        <w:ind w:firstLine="480" w:firstLineChars="200"/>
        <w:rPr>
          <w:rFonts w:hint="eastAsia" w:ascii="宋体" w:hAnsi="宋体" w:eastAsia="宋体" w:cs="方正仿宋_GBK"/>
          <w:color w:val="auto"/>
          <w:szCs w:val="28"/>
          <w:highlight w:val="none"/>
        </w:rPr>
      </w:pPr>
    </w:p>
    <w:p>
      <w:pPr>
        <w:tabs>
          <w:tab w:val="left" w:pos="2895"/>
        </w:tabs>
        <w:spacing w:line="42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w:t>
      </w:r>
      <w:r>
        <w:rPr>
          <w:rFonts w:hint="eastAsia" w:ascii="宋体" w:hAnsi="宋体" w:eastAsia="宋体" w:cs="方正仿宋_GBK"/>
          <w:color w:val="auto"/>
          <w:szCs w:val="28"/>
          <w:highlight w:val="none"/>
          <w:lang w:eastAsia="zh-CN"/>
        </w:rPr>
        <w:t>三</w:t>
      </w:r>
      <w:r>
        <w:rPr>
          <w:rFonts w:hint="eastAsia" w:ascii="宋体" w:hAnsi="宋体" w:eastAsia="宋体" w:cs="方正仿宋_GBK"/>
          <w:color w:val="auto"/>
          <w:szCs w:val="28"/>
          <w:highlight w:val="none"/>
        </w:rPr>
        <w:t>）填报的工程量清单</w:t>
      </w:r>
    </w:p>
    <w:p>
      <w:pPr>
        <w:tabs>
          <w:tab w:val="left" w:pos="2895"/>
        </w:tabs>
        <w:spacing w:line="420" w:lineRule="exact"/>
        <w:ind w:firstLine="480" w:firstLineChars="200"/>
        <w:rPr>
          <w:rFonts w:ascii="宋体" w:hAnsi="宋体" w:eastAsia="宋体" w:cs="方正仿宋_GBK"/>
          <w:color w:val="auto"/>
          <w:szCs w:val="28"/>
          <w:highlight w:val="none"/>
        </w:rPr>
      </w:pPr>
    </w:p>
    <w:p>
      <w:pPr>
        <w:tabs>
          <w:tab w:val="left" w:pos="2895"/>
        </w:tabs>
        <w:spacing w:line="420" w:lineRule="exact"/>
        <w:ind w:firstLine="480" w:firstLineChars="200"/>
        <w:rPr>
          <w:rFonts w:ascii="宋体" w:hAnsi="宋体" w:eastAsia="宋体" w:cs="方正仿宋_GBK"/>
          <w:color w:val="auto"/>
          <w:szCs w:val="28"/>
          <w:highlight w:val="none"/>
        </w:rPr>
      </w:pPr>
      <w:bookmarkStart w:id="252" w:name="_Hlk62746145"/>
      <w:r>
        <w:rPr>
          <w:rFonts w:hint="eastAsia" w:ascii="宋体" w:hAnsi="宋体" w:eastAsia="宋体" w:cs="方正仿宋_GBK"/>
          <w:color w:val="auto"/>
          <w:szCs w:val="28"/>
          <w:highlight w:val="none"/>
        </w:rPr>
        <w:t>按已审定的“工程量清单”（详见本项目公告附件）要求填报价格及编写总说明。</w:t>
      </w:r>
      <w:bookmarkEnd w:id="252"/>
      <w:r>
        <w:rPr>
          <w:rFonts w:hint="eastAsia" w:ascii="宋体" w:hAnsi="宋体" w:eastAsia="宋体" w:cs="方正仿宋_GBK"/>
          <w:color w:val="auto"/>
          <w:szCs w:val="28"/>
          <w:highlight w:val="none"/>
        </w:rPr>
        <w:t>工程量清单在封面上加盖</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公章，正本或副本标识，并加盖骑缝章。工程量清单单独装订，并与响应文件一起装入相应的正本和副本文件袋中。</w:t>
      </w:r>
    </w:p>
    <w:p>
      <w:pPr>
        <w:tabs>
          <w:tab w:val="left" w:pos="2895"/>
        </w:tabs>
        <w:spacing w:line="42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注：须按提供清单进行填报，清单报价与报价函一致，否则为无效竞标，其中综合单价分析表可不装订，</w:t>
      </w:r>
      <w:r>
        <w:rPr>
          <w:rFonts w:hint="eastAsia" w:ascii="宋体" w:hAnsi="宋体" w:eastAsia="宋体" w:cs="方正仿宋_GBK"/>
          <w:color w:val="auto"/>
          <w:szCs w:val="28"/>
          <w:highlight w:val="none"/>
          <w:lang w:eastAsia="zh-CN"/>
        </w:rPr>
        <w:t>中标人</w:t>
      </w:r>
      <w:r>
        <w:rPr>
          <w:rFonts w:hint="eastAsia" w:ascii="宋体" w:hAnsi="宋体" w:eastAsia="宋体" w:cs="方正仿宋_GBK"/>
          <w:color w:val="auto"/>
          <w:szCs w:val="28"/>
          <w:highlight w:val="none"/>
        </w:rPr>
        <w:t>在签订合同前须将《报价清单》电子档交予采购人</w:t>
      </w:r>
    </w:p>
    <w:p>
      <w:pPr>
        <w:widowControl/>
        <w:jc w:val="left"/>
        <w:rPr>
          <w:rFonts w:ascii="宋体" w:hAnsi="宋体" w:eastAsia="宋体" w:cs="方正仿宋_GBK"/>
          <w:color w:val="auto"/>
          <w:szCs w:val="28"/>
          <w:highlight w:val="none"/>
        </w:rPr>
      </w:pPr>
      <w:bookmarkStart w:id="253" w:name="_Toc7421907"/>
      <w:bookmarkStart w:id="254" w:name="_Toc10397"/>
    </w:p>
    <w:p>
      <w:pPr>
        <w:pStyle w:val="5"/>
        <w:spacing w:before="0" w:after="0" w:line="360" w:lineRule="auto"/>
        <w:rPr>
          <w:rFonts w:ascii="宋体" w:hAnsi="宋体" w:cs="方正仿宋_GBK"/>
          <w:color w:val="auto"/>
          <w:szCs w:val="28"/>
          <w:highlight w:val="none"/>
        </w:rPr>
      </w:pPr>
      <w:r>
        <w:rPr>
          <w:rFonts w:ascii="宋体" w:hAnsi="宋体" w:cs="方正仿宋_GBK"/>
          <w:color w:val="auto"/>
          <w:sz w:val="28"/>
          <w:szCs w:val="28"/>
          <w:highlight w:val="none"/>
        </w:rPr>
        <w:br w:type="page"/>
      </w:r>
      <w:bookmarkStart w:id="255" w:name="_Toc10647"/>
      <w:r>
        <w:rPr>
          <w:rFonts w:hint="eastAsia" w:ascii="宋体" w:hAnsi="宋体" w:cs="方正仿宋_GBK"/>
          <w:color w:val="auto"/>
          <w:sz w:val="28"/>
          <w:szCs w:val="28"/>
          <w:highlight w:val="none"/>
        </w:rPr>
        <w:t>二、技术部分</w:t>
      </w:r>
      <w:bookmarkEnd w:id="253"/>
      <w:bookmarkEnd w:id="254"/>
      <w:bookmarkEnd w:id="255"/>
    </w:p>
    <w:p>
      <w:pPr>
        <w:tabs>
          <w:tab w:val="left" w:pos="6300"/>
        </w:tabs>
        <w:snapToGrid w:val="0"/>
        <w:spacing w:line="50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格式自拟</w:t>
      </w:r>
      <w:r>
        <w:rPr>
          <w:rFonts w:ascii="宋体" w:hAnsi="宋体" w:eastAsia="宋体" w:cs="方正仿宋_GBK"/>
          <w:color w:val="auto"/>
          <w:szCs w:val="28"/>
          <w:highlight w:val="none"/>
        </w:rPr>
        <w:br w:type="page"/>
      </w:r>
    </w:p>
    <w:p>
      <w:pPr>
        <w:pStyle w:val="5"/>
        <w:spacing w:before="0" w:after="0" w:line="360" w:lineRule="auto"/>
        <w:rPr>
          <w:rFonts w:ascii="宋体" w:hAnsi="宋体" w:cs="方正仿宋_GBK"/>
          <w:bCs/>
          <w:color w:val="auto"/>
          <w:sz w:val="28"/>
          <w:szCs w:val="28"/>
          <w:highlight w:val="none"/>
        </w:rPr>
      </w:pPr>
      <w:bookmarkStart w:id="256" w:name="_Toc13404"/>
      <w:bookmarkStart w:id="257" w:name="_Toc7421908"/>
      <w:bookmarkStart w:id="258" w:name="_Toc28897"/>
      <w:r>
        <w:rPr>
          <w:rFonts w:hint="eastAsia" w:ascii="宋体" w:hAnsi="宋体" w:cs="方正仿宋_GBK"/>
          <w:bCs/>
          <w:color w:val="auto"/>
          <w:sz w:val="28"/>
          <w:szCs w:val="28"/>
          <w:highlight w:val="none"/>
        </w:rPr>
        <w:t>三、商务部分</w:t>
      </w:r>
      <w:bookmarkEnd w:id="256"/>
      <w:bookmarkEnd w:id="257"/>
      <w:bookmarkEnd w:id="258"/>
    </w:p>
    <w:p>
      <w:pPr>
        <w:spacing w:line="360" w:lineRule="auto"/>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（一）商务响应偏离表</w:t>
      </w:r>
    </w:p>
    <w:tbl>
      <w:tblPr>
        <w:tblStyle w:val="6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510" w:type="dxa"/>
            <w:vAlign w:val="center"/>
          </w:tcPr>
          <w:p>
            <w:pPr>
              <w:tabs>
                <w:tab w:val="left" w:pos="6300"/>
              </w:tabs>
              <w:snapToGrid w:val="0"/>
              <w:spacing w:line="360" w:lineRule="auto"/>
              <w:jc w:val="center"/>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序号</w:t>
            </w:r>
          </w:p>
        </w:tc>
        <w:tc>
          <w:tcPr>
            <w:tcW w:w="3179" w:type="dxa"/>
            <w:vAlign w:val="center"/>
          </w:tcPr>
          <w:p>
            <w:pPr>
              <w:tabs>
                <w:tab w:val="left" w:pos="6300"/>
              </w:tabs>
              <w:snapToGrid w:val="0"/>
              <w:spacing w:line="360" w:lineRule="auto"/>
              <w:jc w:val="center"/>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磋商项目需求</w:t>
            </w:r>
          </w:p>
        </w:tc>
        <w:tc>
          <w:tcPr>
            <w:tcW w:w="2434" w:type="dxa"/>
            <w:vAlign w:val="center"/>
          </w:tcPr>
          <w:p>
            <w:pPr>
              <w:tabs>
                <w:tab w:val="left" w:pos="6300"/>
              </w:tabs>
              <w:snapToGrid w:val="0"/>
              <w:spacing w:line="360" w:lineRule="auto"/>
              <w:jc w:val="center"/>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响应情况</w:t>
            </w:r>
          </w:p>
        </w:tc>
        <w:tc>
          <w:tcPr>
            <w:tcW w:w="2355" w:type="dxa"/>
            <w:vAlign w:val="center"/>
          </w:tcPr>
          <w:p>
            <w:pPr>
              <w:tabs>
                <w:tab w:val="left" w:pos="6300"/>
              </w:tabs>
              <w:snapToGrid w:val="0"/>
              <w:spacing w:line="360" w:lineRule="auto"/>
              <w:jc w:val="center"/>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3179"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2434"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2355"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3179"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2434"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2355"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3179"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2434"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2355"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3179"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2434"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2355"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3179"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2434"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2355"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3179"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2434"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c>
          <w:tcPr>
            <w:tcW w:w="2355" w:type="dxa"/>
            <w:vAlign w:val="center"/>
          </w:tcPr>
          <w:p>
            <w:pPr>
              <w:tabs>
                <w:tab w:val="left" w:pos="6300"/>
              </w:tabs>
              <w:snapToGrid w:val="0"/>
              <w:spacing w:line="360" w:lineRule="auto"/>
              <w:jc w:val="center"/>
              <w:rPr>
                <w:rFonts w:ascii="宋体" w:hAnsi="宋体" w:eastAsia="宋体" w:cs="方正仿宋_GBK"/>
                <w:color w:val="auto"/>
                <w:szCs w:val="28"/>
                <w:highlight w:val="none"/>
              </w:rPr>
            </w:pPr>
          </w:p>
        </w:tc>
      </w:tr>
    </w:tbl>
    <w:p>
      <w:pPr>
        <w:snapToGrid w:val="0"/>
        <w:spacing w:line="360" w:lineRule="auto"/>
        <w:ind w:firstLine="465"/>
        <w:rPr>
          <w:rFonts w:ascii="宋体" w:hAnsi="宋体" w:eastAsia="宋体" w:cs="方正仿宋_GBK"/>
          <w:color w:val="auto"/>
          <w:szCs w:val="28"/>
          <w:highlight w:val="none"/>
        </w:rPr>
      </w:pPr>
    </w:p>
    <w:p>
      <w:pPr>
        <w:spacing w:line="500" w:lineRule="exact"/>
        <w:ind w:firstLine="600" w:firstLineChars="250"/>
        <w:rPr>
          <w:rFonts w:ascii="宋体" w:hAnsi="宋体" w:eastAsia="宋体" w:cs="方正仿宋_GBK"/>
          <w:color w:val="auto"/>
          <w:szCs w:val="28"/>
          <w:highlight w:val="none"/>
        </w:rPr>
      </w:pP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法人授权代表：</w:t>
      </w:r>
    </w:p>
    <w:p>
      <w:pPr>
        <w:spacing w:line="500" w:lineRule="exact"/>
        <w:rPr>
          <w:rFonts w:ascii="宋体" w:hAnsi="宋体" w:eastAsia="宋体" w:cs="方正仿宋_GBK"/>
          <w:color w:val="auto"/>
          <w:szCs w:val="28"/>
          <w:highlight w:val="none"/>
        </w:rPr>
      </w:pPr>
    </w:p>
    <w:p>
      <w:pPr>
        <w:spacing w:line="500" w:lineRule="exact"/>
        <w:ind w:firstLine="4080" w:firstLineChars="17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公章）（签字或盖章）</w:t>
      </w:r>
    </w:p>
    <w:p>
      <w:pPr>
        <w:tabs>
          <w:tab w:val="left" w:pos="6300"/>
        </w:tabs>
        <w:snapToGrid w:val="0"/>
        <w:spacing w:line="500" w:lineRule="exact"/>
        <w:ind w:firstLine="5008" w:firstLineChars="2087"/>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年</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月</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日</w:t>
      </w:r>
    </w:p>
    <w:p>
      <w:pPr>
        <w:tabs>
          <w:tab w:val="left" w:pos="6300"/>
        </w:tabs>
        <w:snapToGrid w:val="0"/>
        <w:spacing w:line="50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注：</w:t>
      </w:r>
    </w:p>
    <w:p>
      <w:pPr>
        <w:tabs>
          <w:tab w:val="left" w:pos="6300"/>
        </w:tabs>
        <w:snapToGrid w:val="0"/>
        <w:spacing w:line="500" w:lineRule="exact"/>
        <w:ind w:firstLine="480" w:firstLineChars="200"/>
        <w:rPr>
          <w:rFonts w:ascii="宋体" w:hAnsi="宋体" w:eastAsia="宋体" w:cs="方正仿宋_GBK"/>
          <w:color w:val="auto"/>
          <w:szCs w:val="28"/>
          <w:highlight w:val="none"/>
        </w:rPr>
      </w:pPr>
      <w:r>
        <w:rPr>
          <w:rFonts w:ascii="宋体" w:hAnsi="宋体" w:eastAsia="宋体" w:cs="方正仿宋_GBK"/>
          <w:color w:val="auto"/>
          <w:szCs w:val="28"/>
          <w:highlight w:val="none"/>
        </w:rPr>
        <w:t>1</w:t>
      </w:r>
      <w:r>
        <w:rPr>
          <w:rFonts w:hint="eastAsia" w:ascii="宋体" w:hAnsi="宋体" w:eastAsia="宋体" w:cs="方正仿宋_GBK"/>
          <w:color w:val="auto"/>
          <w:szCs w:val="28"/>
          <w:highlight w:val="none"/>
        </w:rPr>
        <w:t>、本表即为对本项目“第三篇磋商项目商务需求”中所列商务要求进行逐条比较和响应；</w:t>
      </w:r>
    </w:p>
    <w:p>
      <w:pPr>
        <w:tabs>
          <w:tab w:val="left" w:pos="6300"/>
        </w:tabs>
        <w:snapToGrid w:val="0"/>
        <w:spacing w:line="500" w:lineRule="exact"/>
        <w:ind w:firstLine="480" w:firstLineChars="200"/>
        <w:rPr>
          <w:rFonts w:ascii="宋体" w:hAnsi="宋体" w:eastAsia="宋体" w:cs="方正仿宋_GBK"/>
          <w:color w:val="auto"/>
          <w:szCs w:val="28"/>
          <w:highlight w:val="none"/>
        </w:rPr>
      </w:pPr>
      <w:r>
        <w:rPr>
          <w:rFonts w:ascii="宋体" w:hAnsi="宋体" w:eastAsia="宋体" w:cs="方正仿宋_GBK"/>
          <w:color w:val="auto"/>
          <w:szCs w:val="28"/>
          <w:highlight w:val="none"/>
        </w:rPr>
        <w:t>2</w:t>
      </w:r>
      <w:r>
        <w:rPr>
          <w:rFonts w:hint="eastAsia" w:ascii="宋体" w:hAnsi="宋体" w:eastAsia="宋体" w:cs="方正仿宋_GBK"/>
          <w:color w:val="auto"/>
          <w:szCs w:val="28"/>
          <w:highlight w:val="none"/>
        </w:rPr>
        <w:t>、该表必须按照竞争性磋商要求逐条如实填写，根据响应情况在“差异说明”项填写正偏离或负偏离及原因，完全符合的填写“无差异”；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宋体" w:hAnsi="宋体" w:eastAsia="宋体" w:cs="方正仿宋_GBK"/>
          <w:color w:val="auto"/>
          <w:szCs w:val="28"/>
          <w:highlight w:val="none"/>
        </w:rPr>
      </w:pPr>
      <w:r>
        <w:rPr>
          <w:rFonts w:ascii="宋体" w:hAnsi="宋体" w:eastAsia="宋体" w:cs="方正仿宋_GBK"/>
          <w:color w:val="auto"/>
          <w:szCs w:val="28"/>
          <w:highlight w:val="none"/>
        </w:rPr>
        <w:t>3</w:t>
      </w:r>
      <w:r>
        <w:rPr>
          <w:rFonts w:hint="eastAsia" w:ascii="宋体" w:hAnsi="宋体" w:eastAsia="宋体" w:cs="方正仿宋_GBK"/>
          <w:color w:val="auto"/>
          <w:szCs w:val="28"/>
          <w:highlight w:val="none"/>
        </w:rPr>
        <w:t>、该表可扩展，并逐页签字或盖章；</w:t>
      </w:r>
    </w:p>
    <w:p>
      <w:pPr>
        <w:spacing w:line="440" w:lineRule="exact"/>
        <w:ind w:firstLine="480" w:firstLineChars="200"/>
        <w:rPr>
          <w:rFonts w:ascii="宋体" w:hAnsi="宋体" w:eastAsia="宋体" w:cs="方正仿宋_GBK"/>
          <w:color w:val="auto"/>
          <w:szCs w:val="28"/>
          <w:highlight w:val="none"/>
        </w:rPr>
      </w:pPr>
      <w:r>
        <w:rPr>
          <w:rFonts w:ascii="宋体" w:hAnsi="宋体" w:eastAsia="宋体" w:cs="方正仿宋_GBK"/>
          <w:color w:val="auto"/>
          <w:highlight w:val="none"/>
        </w:rPr>
        <w:br w:type="page"/>
      </w:r>
    </w:p>
    <w:p>
      <w:pPr>
        <w:pStyle w:val="60"/>
        <w:spacing w:after="0"/>
        <w:ind w:firstLine="0"/>
        <w:rPr>
          <w:rFonts w:cs="方正仿宋_GBK"/>
          <w:color w:val="auto"/>
          <w:szCs w:val="28"/>
          <w:highlight w:val="none"/>
        </w:rPr>
      </w:pPr>
    </w:p>
    <w:p>
      <w:pPr>
        <w:pStyle w:val="60"/>
        <w:numPr>
          <w:ilvl w:val="0"/>
          <w:numId w:val="10"/>
        </w:numPr>
        <w:spacing w:after="0"/>
        <w:ind w:firstLine="480" w:firstLineChars="200"/>
        <w:rPr>
          <w:rFonts w:hint="eastAsia" w:ascii="宋体" w:hAnsi="宋体" w:eastAsia="宋体" w:cs="方正仿宋_GBK"/>
          <w:color w:val="auto"/>
          <w:kern w:val="2"/>
          <w:sz w:val="24"/>
          <w:szCs w:val="28"/>
          <w:highlight w:val="none"/>
          <w:lang w:val="en-US" w:eastAsia="zh-CN" w:bidi="ar-SA"/>
        </w:rPr>
      </w:pPr>
      <w:r>
        <w:rPr>
          <w:rFonts w:hint="eastAsia" w:ascii="宋体" w:hAnsi="宋体" w:eastAsia="宋体" w:cs="方正仿宋_GBK"/>
          <w:color w:val="auto"/>
          <w:kern w:val="2"/>
          <w:sz w:val="24"/>
          <w:szCs w:val="28"/>
          <w:highlight w:val="none"/>
          <w:lang w:val="en-US" w:eastAsia="zh-CN" w:bidi="ar-SA"/>
        </w:rPr>
        <w:t>人员要求</w:t>
      </w:r>
    </w:p>
    <w:p>
      <w:pPr>
        <w:pStyle w:val="60"/>
        <w:spacing w:after="0"/>
        <w:ind w:firstLine="0"/>
        <w:rPr>
          <w:rFonts w:hint="eastAsia" w:ascii="宋体" w:hAnsi="宋体" w:eastAsia="宋体" w:cs="方正仿宋_GBK"/>
          <w:color w:val="auto"/>
          <w:kern w:val="2"/>
          <w:sz w:val="24"/>
          <w:szCs w:val="28"/>
          <w:highlight w:val="none"/>
          <w:lang w:val="en-US" w:eastAsia="zh-CN" w:bidi="ar-SA"/>
        </w:rPr>
      </w:pPr>
    </w:p>
    <w:p>
      <w:pPr>
        <w:pStyle w:val="60"/>
        <w:spacing w:after="0"/>
        <w:ind w:firstLine="480" w:firstLineChars="200"/>
        <w:rPr>
          <w:rFonts w:hint="eastAsia" w:ascii="宋体" w:hAnsi="宋体" w:eastAsia="宋体" w:cs="方正仿宋_GBK"/>
          <w:color w:val="auto"/>
          <w:kern w:val="2"/>
          <w:sz w:val="24"/>
          <w:szCs w:val="28"/>
          <w:highlight w:val="none"/>
          <w:lang w:val="en-US" w:eastAsia="zh-CN" w:bidi="ar-SA"/>
        </w:rPr>
      </w:pPr>
      <w:r>
        <w:rPr>
          <w:rFonts w:hint="eastAsia" w:ascii="宋体" w:hAnsi="宋体" w:eastAsia="宋体" w:cs="方正仿宋_GBK"/>
          <w:color w:val="auto"/>
          <w:kern w:val="2"/>
          <w:sz w:val="24"/>
          <w:szCs w:val="28"/>
          <w:highlight w:val="none"/>
          <w:lang w:val="en-US" w:eastAsia="zh-CN" w:bidi="ar-SA"/>
        </w:rPr>
        <w:t>（三）业绩</w:t>
      </w:r>
    </w:p>
    <w:p>
      <w:pPr>
        <w:pStyle w:val="60"/>
        <w:spacing w:after="0"/>
        <w:ind w:firstLine="0"/>
        <w:rPr>
          <w:color w:val="auto"/>
          <w:highlight w:val="none"/>
        </w:rPr>
      </w:pPr>
      <w:r>
        <w:rPr>
          <w:rFonts w:hint="eastAsia"/>
          <w:color w:val="auto"/>
          <w:highlight w:val="none"/>
        </w:rPr>
        <w:t xml:space="preserve"> </w:t>
      </w: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（四）其他响应磋商文件提供的商务文件</w:t>
      </w:r>
    </w:p>
    <w:p>
      <w:pPr>
        <w:spacing w:line="440" w:lineRule="exact"/>
        <w:ind w:firstLine="480" w:firstLineChars="200"/>
        <w:rPr>
          <w:rFonts w:ascii="宋体" w:hAnsi="宋体" w:eastAsia="宋体" w:cs="方正仿宋_GBK"/>
          <w:color w:val="auto"/>
          <w:szCs w:val="28"/>
          <w:highlight w:val="none"/>
        </w:rPr>
        <w:sectPr>
          <w:headerReference r:id="rId18" w:type="default"/>
          <w:pgSz w:w="11907" w:h="16840"/>
          <w:pgMar w:top="1134" w:right="1191" w:bottom="1134" w:left="1304" w:header="851" w:footer="992" w:gutter="0"/>
          <w:pgNumType w:fmt="decimal"/>
          <w:cols w:space="720" w:num="1"/>
          <w:docGrid w:linePitch="380" w:charSpace="-5735"/>
        </w:sectPr>
      </w:pPr>
    </w:p>
    <w:p>
      <w:pPr>
        <w:pStyle w:val="5"/>
        <w:widowControl/>
        <w:spacing w:before="0" w:after="0"/>
        <w:rPr>
          <w:rFonts w:ascii="宋体" w:hAnsi="宋体" w:cs="宋体"/>
          <w:color w:val="auto"/>
          <w:szCs w:val="28"/>
          <w:highlight w:val="none"/>
        </w:rPr>
      </w:pPr>
      <w:bookmarkStart w:id="259" w:name="_Toc32242"/>
      <w:bookmarkStart w:id="260" w:name="_Toc7421909"/>
      <w:bookmarkStart w:id="261" w:name="_Toc4876"/>
      <w:r>
        <w:rPr>
          <w:rFonts w:hint="eastAsia" w:ascii="宋体" w:hAnsi="宋体" w:cs="方正仿宋_GBK"/>
          <w:bCs/>
          <w:color w:val="auto"/>
          <w:sz w:val="28"/>
          <w:szCs w:val="28"/>
          <w:highlight w:val="none"/>
        </w:rPr>
        <w:t>四、资格文件</w:t>
      </w:r>
      <w:bookmarkEnd w:id="259"/>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（一）营业执照（副本）</w:t>
      </w: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说明：</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按“多证合一”登记制度办理营业执照的，组织机构代码证和税务登记证以</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所提供的法人营业执照（副本）复印件为准。</w:t>
      </w:r>
    </w:p>
    <w:p>
      <w:pPr>
        <w:spacing w:line="520" w:lineRule="exact"/>
        <w:ind w:firstLine="480" w:firstLineChars="200"/>
        <w:jc w:val="left"/>
        <w:rPr>
          <w:rFonts w:ascii="宋体" w:hAnsi="宋体" w:eastAsia="宋体" w:cs="仿宋"/>
          <w:color w:val="auto"/>
          <w:kern w:val="0"/>
          <w:szCs w:val="28"/>
          <w:highlight w:val="none"/>
        </w:rPr>
      </w:pPr>
    </w:p>
    <w:p>
      <w:pPr>
        <w:spacing w:line="520" w:lineRule="exact"/>
        <w:ind w:firstLine="480" w:firstLineChars="200"/>
        <w:jc w:val="left"/>
        <w:rPr>
          <w:rFonts w:ascii="宋体" w:hAnsi="宋体" w:eastAsia="宋体" w:cs="宋体"/>
          <w:bCs/>
          <w:color w:val="auto"/>
          <w:highlight w:val="none"/>
        </w:rPr>
      </w:pPr>
      <w:r>
        <w:rPr>
          <w:rFonts w:hint="eastAsia" w:ascii="宋体" w:hAnsi="宋体" w:eastAsia="宋体" w:cs="仿宋"/>
          <w:color w:val="auto"/>
          <w:kern w:val="0"/>
          <w:szCs w:val="28"/>
          <w:highlight w:val="none"/>
        </w:rPr>
        <w:t>（二）组织机构代码证复印件</w:t>
      </w:r>
      <w:r>
        <w:rPr>
          <w:rFonts w:ascii="宋体" w:hAnsi="宋体" w:eastAsia="宋体" w:cs="宋体"/>
          <w:bCs/>
          <w:color w:val="auto"/>
          <w:szCs w:val="20"/>
          <w:highlight w:val="none"/>
        </w:rPr>
        <w:br w:type="page"/>
      </w: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（三）法定代表人身份证明书（格式）</w:t>
      </w:r>
    </w:p>
    <w:p>
      <w:pPr>
        <w:spacing w:line="500" w:lineRule="exact"/>
        <w:ind w:firstLine="640" w:firstLineChars="200"/>
        <w:rPr>
          <w:rFonts w:ascii="宋体" w:hAnsi="宋体" w:eastAsia="宋体" w:cs="方正仿宋_GBK"/>
          <w:color w:val="auto"/>
          <w:sz w:val="32"/>
          <w:szCs w:val="32"/>
          <w:highlight w:val="none"/>
        </w:rPr>
      </w:pPr>
    </w:p>
    <w:p>
      <w:pPr>
        <w:spacing w:line="520" w:lineRule="exact"/>
        <w:ind w:firstLine="480" w:firstLineChars="200"/>
        <w:jc w:val="left"/>
        <w:rPr>
          <w:rFonts w:ascii="宋体" w:hAnsi="宋体" w:eastAsia="宋体" w:cs="仿宋"/>
          <w:color w:val="auto"/>
          <w:kern w:val="0"/>
          <w:szCs w:val="28"/>
          <w:highlight w:val="none"/>
          <w:u w:val="single"/>
        </w:rPr>
      </w:pPr>
      <w:r>
        <w:rPr>
          <w:rFonts w:hint="eastAsia" w:ascii="宋体" w:hAnsi="宋体" w:eastAsia="宋体" w:cs="仿宋"/>
          <w:color w:val="auto"/>
          <w:kern w:val="0"/>
          <w:szCs w:val="28"/>
          <w:highlight w:val="none"/>
        </w:rPr>
        <w:t>采购项目名称：</w:t>
      </w:r>
    </w:p>
    <w:p>
      <w:pPr>
        <w:spacing w:line="520" w:lineRule="exact"/>
        <w:jc w:val="left"/>
        <w:rPr>
          <w:rFonts w:ascii="宋体" w:hAnsi="宋体" w:eastAsia="宋体" w:cs="仿宋"/>
          <w:color w:val="auto"/>
          <w:kern w:val="0"/>
          <w:szCs w:val="28"/>
          <w:highlight w:val="none"/>
        </w:rPr>
      </w:pP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致：（采购代理机构名称）</w:t>
      </w: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（法定代表人姓名）在（</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名称）任（职务名称）职务，是（</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名称）的法定代表人。</w:t>
      </w:r>
    </w:p>
    <w:p>
      <w:pPr>
        <w:spacing w:line="520" w:lineRule="exact"/>
        <w:ind w:firstLine="480" w:firstLineChars="200"/>
        <w:jc w:val="left"/>
        <w:rPr>
          <w:rFonts w:ascii="宋体" w:hAnsi="宋体" w:eastAsia="宋体" w:cs="仿宋"/>
          <w:color w:val="auto"/>
          <w:kern w:val="0"/>
          <w:szCs w:val="28"/>
          <w:highlight w:val="none"/>
        </w:rPr>
      </w:pP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特此证明。</w:t>
      </w:r>
    </w:p>
    <w:p>
      <w:pPr>
        <w:spacing w:line="520" w:lineRule="exact"/>
        <w:ind w:firstLine="480" w:firstLineChars="200"/>
        <w:jc w:val="left"/>
        <w:rPr>
          <w:rFonts w:ascii="宋体" w:hAnsi="宋体" w:eastAsia="宋体" w:cs="仿宋"/>
          <w:color w:val="auto"/>
          <w:kern w:val="0"/>
          <w:szCs w:val="28"/>
          <w:highlight w:val="none"/>
        </w:rPr>
      </w:pP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附：上述法定代表人住址：</w:t>
      </w:r>
    </w:p>
    <w:p>
      <w:pPr>
        <w:spacing w:line="520" w:lineRule="exact"/>
        <w:ind w:firstLine="480" w:firstLineChars="200"/>
        <w:jc w:val="left"/>
        <w:rPr>
          <w:rFonts w:ascii="宋体" w:hAnsi="宋体" w:eastAsia="宋体" w:cs="仿宋"/>
          <w:color w:val="auto"/>
          <w:kern w:val="0"/>
          <w:szCs w:val="28"/>
          <w:highlight w:val="none"/>
        </w:rPr>
      </w:pP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身份证号码：</w:t>
      </w:r>
    </w:p>
    <w:p>
      <w:pPr>
        <w:spacing w:line="520" w:lineRule="exact"/>
        <w:ind w:firstLine="480" w:firstLineChars="200"/>
        <w:jc w:val="left"/>
        <w:rPr>
          <w:rFonts w:ascii="宋体" w:hAnsi="宋体" w:eastAsia="宋体" w:cs="仿宋"/>
          <w:color w:val="auto"/>
          <w:kern w:val="0"/>
          <w:szCs w:val="28"/>
          <w:highlight w:val="none"/>
        </w:rPr>
      </w:pP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电</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传：</w:t>
      </w:r>
    </w:p>
    <w:p>
      <w:pPr>
        <w:spacing w:line="520" w:lineRule="exact"/>
        <w:ind w:firstLine="480" w:firstLineChars="200"/>
        <w:jc w:val="left"/>
        <w:rPr>
          <w:rFonts w:ascii="宋体" w:hAnsi="宋体" w:eastAsia="宋体" w:cs="仿宋"/>
          <w:color w:val="auto"/>
          <w:kern w:val="0"/>
          <w:szCs w:val="28"/>
          <w:highlight w:val="none"/>
        </w:rPr>
      </w:pP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网</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址：</w:t>
      </w:r>
    </w:p>
    <w:p>
      <w:pPr>
        <w:spacing w:line="520" w:lineRule="exact"/>
        <w:ind w:firstLine="480" w:firstLineChars="200"/>
        <w:jc w:val="left"/>
        <w:rPr>
          <w:rFonts w:ascii="宋体" w:hAnsi="宋体" w:eastAsia="宋体" w:cs="仿宋"/>
          <w:color w:val="auto"/>
          <w:kern w:val="0"/>
          <w:szCs w:val="28"/>
          <w:highlight w:val="none"/>
        </w:rPr>
      </w:pP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邮政编码：</w:t>
      </w:r>
    </w:p>
    <w:p>
      <w:pPr>
        <w:spacing w:line="520" w:lineRule="exact"/>
        <w:jc w:val="left"/>
        <w:rPr>
          <w:rFonts w:ascii="宋体" w:hAnsi="宋体" w:eastAsia="宋体" w:cs="仿宋"/>
          <w:color w:val="auto"/>
          <w:kern w:val="0"/>
          <w:szCs w:val="28"/>
          <w:highlight w:val="none"/>
        </w:rPr>
      </w:pPr>
    </w:p>
    <w:p>
      <w:pPr>
        <w:spacing w:line="520" w:lineRule="exact"/>
        <w:ind w:firstLine="480" w:firstLineChars="200"/>
        <w:jc w:val="righ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（公章）：</w:t>
      </w:r>
      <w:r>
        <w:rPr>
          <w:rFonts w:ascii="宋体" w:hAnsi="宋体" w:eastAsia="宋体" w:cs="仿宋"/>
          <w:color w:val="auto"/>
          <w:kern w:val="0"/>
          <w:szCs w:val="28"/>
          <w:highlight w:val="none"/>
        </w:rPr>
        <w:t xml:space="preserve">            </w:t>
      </w:r>
    </w:p>
    <w:p>
      <w:pPr>
        <w:spacing w:line="520" w:lineRule="exact"/>
        <w:ind w:firstLine="7080" w:firstLineChars="295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年</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月</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日</w:t>
      </w:r>
      <w:r>
        <w:rPr>
          <w:rFonts w:ascii="宋体" w:hAnsi="宋体" w:eastAsia="宋体" w:cs="仿宋"/>
          <w:color w:val="auto"/>
          <w:kern w:val="0"/>
          <w:szCs w:val="28"/>
          <w:highlight w:val="none"/>
        </w:rPr>
        <w:t xml:space="preserve">    </w:t>
      </w:r>
    </w:p>
    <w:p>
      <w:pPr>
        <w:spacing w:line="520" w:lineRule="exact"/>
        <w:jc w:val="left"/>
        <w:rPr>
          <w:rFonts w:ascii="宋体" w:hAnsi="宋体" w:eastAsia="宋体" w:cs="仿宋"/>
          <w:color w:val="auto"/>
          <w:kern w:val="0"/>
          <w:szCs w:val="28"/>
          <w:highlight w:val="none"/>
        </w:rPr>
      </w:pP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（附：法定代表人身份证复印件）</w:t>
      </w:r>
    </w:p>
    <w:p>
      <w:pPr>
        <w:spacing w:line="500" w:lineRule="exact"/>
        <w:ind w:firstLine="480" w:firstLineChars="200"/>
        <w:rPr>
          <w:rFonts w:ascii="宋体" w:hAnsi="宋体" w:eastAsia="宋体" w:cs="方正仿宋_GBK"/>
          <w:color w:val="auto"/>
          <w:sz w:val="32"/>
          <w:szCs w:val="32"/>
          <w:highlight w:val="none"/>
        </w:rPr>
      </w:pPr>
      <w:r>
        <w:rPr>
          <w:rFonts w:ascii="宋体" w:hAnsi="宋体" w:eastAsia="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90170</wp:posOffset>
                </wp:positionV>
                <wp:extent cx="3037840" cy="1962150"/>
                <wp:effectExtent l="4445" t="5080" r="5715" b="13970"/>
                <wp:wrapNone/>
                <wp:docPr id="5" name="文本框 5"/>
                <wp:cNvGraphicFramePr/>
                <a:graphic xmlns:a="http://schemas.openxmlformats.org/drawingml/2006/main">
                  <a:graphicData uri="http://schemas.microsoft.com/office/word/2010/wordprocessingShape">
                    <wps:wsp>
                      <wps:cNvSpPr txBox="1"/>
                      <wps:spPr bwMode="auto">
                        <a:xfrm>
                          <a:off x="0" y="0"/>
                          <a:ext cx="3037840" cy="1962150"/>
                        </a:xfrm>
                        <a:prstGeom prst="rect">
                          <a:avLst/>
                        </a:prstGeom>
                        <a:solidFill>
                          <a:srgbClr val="FFFFFF"/>
                        </a:solidFill>
                        <a:ln w="9525">
                          <a:solidFill>
                            <a:srgbClr val="000000"/>
                          </a:solidFill>
                          <a:prstDash val="solid"/>
                          <a:miter lim="800000"/>
                        </a:ln>
                      </wps:spPr>
                      <wps:txbx>
                        <w:txbxContent>
                          <w:p>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4pt;margin-top:7.1pt;height:154.5pt;width:239.2pt;z-index:251659264;mso-width-relative:page;mso-height-relative:page;" fillcolor="#FFFFFF" filled="t" stroked="t" coordsize="21600,21600" o:gfxdata="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bnatvZAAAACQEAAA8AAAAAAAAAAQAgAAAAIgAAAGRycy9kb3du&#10;cmV2LnhtbFBLAQIUABQAAAAIAIdO4kAHnUVnNwIAAHEEAAAOAAAAAAAAAAEAIAAAACgBAABkcnMv&#10;ZTJvRG9jLnhtbFBLBQYAAAAABgAGAFkBAADRBQAAAAA=&#10;">
                <v:fill on="t" focussize="0,0"/>
                <v:stroke color="#000000" miterlimit="8" joinstyle="miter"/>
                <v:imagedata o:title=""/>
                <o:lock v:ext="edit" aspectratio="f"/>
                <v:textbox>
                  <w:txbxContent>
                    <w:p>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法定代表人身份证复印件（正面）</w:t>
                      </w:r>
                    </w:p>
                  </w:txbxContent>
                </v:textbox>
              </v:shape>
            </w:pict>
          </mc:Fallback>
        </mc:AlternateContent>
      </w:r>
      <w:r>
        <w:rPr>
          <w:rFonts w:ascii="宋体" w:hAnsi="宋体" w:eastAsia="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3143885</wp:posOffset>
                </wp:positionH>
                <wp:positionV relativeFrom="paragraph">
                  <wp:posOffset>90170</wp:posOffset>
                </wp:positionV>
                <wp:extent cx="3114675" cy="1962150"/>
                <wp:effectExtent l="4445" t="5080" r="5080" b="13970"/>
                <wp:wrapNone/>
                <wp:docPr id="4" name="文本框 2"/>
                <wp:cNvGraphicFramePr/>
                <a:graphic xmlns:a="http://schemas.openxmlformats.org/drawingml/2006/main">
                  <a:graphicData uri="http://schemas.microsoft.com/office/word/2010/wordprocessingShape">
                    <wps:wsp>
                      <wps:cNvSpPr txBox="1"/>
                      <wps:spPr bwMode="auto">
                        <a:xfrm>
                          <a:off x="0" y="0"/>
                          <a:ext cx="3114675" cy="1962150"/>
                        </a:xfrm>
                        <a:prstGeom prst="rect">
                          <a:avLst/>
                        </a:prstGeom>
                        <a:solidFill>
                          <a:srgbClr val="FFFFFF"/>
                        </a:solidFill>
                        <a:ln w="9525">
                          <a:solidFill>
                            <a:srgbClr val="000000"/>
                          </a:solidFill>
                          <a:prstDash val="solid"/>
                          <a:miter lim="800000"/>
                        </a:ln>
                      </wps:spPr>
                      <wps:txbx>
                        <w:txbxContent>
                          <w:p>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法定代表人身份证复印件（反面）</w:t>
                            </w: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47.55pt;margin-top:7.1pt;height:154.5pt;width:245.25pt;z-index:251660288;mso-width-relative:page;mso-height-relative:page;" fillcolor="#FFFFFF" filled="t" stroked="t" coordsize="21600,21600" o:gfxdata="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4+++TZAAAACgEAAA8AAAAAAAAAAQAgAAAAIgAAAGRycy9kb3du&#10;cmV2LnhtbFBLAQIUABQAAAAIAIdO4kD94sjWNwIAAHEEAAAOAAAAAAAAAAEAIAAAACgBAABkcnMv&#10;ZTJvRG9jLnhtbFBLBQYAAAAABgAGAFkBAADRBQAAAAA=&#10;">
                <v:fill on="t" focussize="0,0"/>
                <v:stroke color="#000000" miterlimit="8" joinstyle="miter"/>
                <v:imagedata o:title=""/>
                <o:lock v:ext="edit" aspectratio="f"/>
                <v:textbox>
                  <w:txbxContent>
                    <w:p>
                      <w:pPr>
                        <w:spacing w:line="520" w:lineRule="exact"/>
                        <w:jc w:val="center"/>
                        <w:rPr>
                          <w:rFonts w:ascii="方正仿宋_GBK" w:hAnsi="仿宋" w:cs="仿宋"/>
                          <w:kern w:val="0"/>
                          <w:szCs w:val="28"/>
                        </w:rPr>
                      </w:pPr>
                      <w:r>
                        <w:rPr>
                          <w:rFonts w:hint="eastAsia" w:ascii="方正仿宋_GBK" w:hAnsi="仿宋" w:cs="仿宋"/>
                          <w:kern w:val="0"/>
                          <w:szCs w:val="28"/>
                        </w:rPr>
                        <w:t>法定代表人身份证复印件（反面）</w:t>
                      </w:r>
                    </w:p>
                  </w:txbxContent>
                </v:textbox>
              </v:shape>
            </w:pict>
          </mc:Fallback>
        </mc:AlternateContent>
      </w:r>
    </w:p>
    <w:p>
      <w:pPr>
        <w:tabs>
          <w:tab w:val="left" w:pos="6300"/>
        </w:tabs>
        <w:snapToGrid w:val="0"/>
        <w:spacing w:line="500" w:lineRule="exact"/>
        <w:ind w:firstLine="570"/>
        <w:rPr>
          <w:rFonts w:ascii="宋体" w:hAnsi="宋体" w:eastAsia="宋体" w:cs="仿宋_GB2312"/>
          <w:color w:val="auto"/>
          <w:highlight w:val="none"/>
        </w:rPr>
      </w:pPr>
    </w:p>
    <w:p>
      <w:pPr>
        <w:tabs>
          <w:tab w:val="left" w:pos="6300"/>
        </w:tabs>
        <w:snapToGrid w:val="0"/>
        <w:spacing w:line="500" w:lineRule="exact"/>
        <w:ind w:firstLine="570"/>
        <w:rPr>
          <w:rFonts w:ascii="宋体" w:hAnsi="宋体" w:eastAsia="宋体" w:cs="仿宋_GB2312"/>
          <w:color w:val="auto"/>
          <w:highlight w:val="none"/>
        </w:rPr>
      </w:pPr>
    </w:p>
    <w:p>
      <w:pPr>
        <w:tabs>
          <w:tab w:val="left" w:pos="6300"/>
        </w:tabs>
        <w:snapToGrid w:val="0"/>
        <w:spacing w:line="500" w:lineRule="exact"/>
        <w:ind w:firstLine="570"/>
        <w:rPr>
          <w:rFonts w:ascii="宋体" w:hAnsi="宋体" w:eastAsia="宋体" w:cs="仿宋_GB2312"/>
          <w:color w:val="auto"/>
          <w:highlight w:val="none"/>
        </w:rPr>
      </w:pPr>
    </w:p>
    <w:p>
      <w:pPr>
        <w:rPr>
          <w:rFonts w:ascii="宋体" w:hAnsi="宋体" w:eastAsia="宋体" w:cs="仿宋"/>
          <w:color w:val="auto"/>
          <w:kern w:val="0"/>
          <w:szCs w:val="28"/>
          <w:highlight w:val="none"/>
        </w:rPr>
      </w:pPr>
      <w:r>
        <w:rPr>
          <w:rFonts w:ascii="宋体" w:hAnsi="宋体" w:eastAsia="宋体" w:cs="仿宋"/>
          <w:color w:val="auto"/>
          <w:szCs w:val="28"/>
          <w:highlight w:val="none"/>
        </w:rPr>
        <w:br w:type="page"/>
      </w: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（四）法定代表人授权委托书（格式）</w:t>
      </w:r>
    </w:p>
    <w:p>
      <w:pPr>
        <w:spacing w:line="520" w:lineRule="exact"/>
        <w:ind w:firstLine="480" w:firstLineChars="200"/>
        <w:jc w:val="left"/>
        <w:rPr>
          <w:rFonts w:ascii="宋体" w:hAnsi="宋体" w:eastAsia="宋体" w:cs="仿宋"/>
          <w:color w:val="auto"/>
          <w:kern w:val="0"/>
          <w:szCs w:val="28"/>
          <w:highlight w:val="none"/>
        </w:rPr>
      </w:pPr>
    </w:p>
    <w:p>
      <w:pPr>
        <w:spacing w:line="520" w:lineRule="exact"/>
        <w:ind w:firstLine="480" w:firstLineChars="200"/>
        <w:jc w:val="left"/>
        <w:rPr>
          <w:rFonts w:ascii="宋体" w:hAnsi="宋体" w:eastAsia="宋体" w:cs="仿宋"/>
          <w:color w:val="auto"/>
          <w:kern w:val="0"/>
          <w:szCs w:val="28"/>
          <w:highlight w:val="none"/>
          <w:u w:val="single"/>
        </w:rPr>
      </w:pPr>
      <w:r>
        <w:rPr>
          <w:rFonts w:hint="eastAsia" w:ascii="宋体" w:hAnsi="宋体" w:eastAsia="宋体" w:cs="仿宋"/>
          <w:color w:val="auto"/>
          <w:kern w:val="0"/>
          <w:szCs w:val="28"/>
          <w:highlight w:val="none"/>
        </w:rPr>
        <w:t>采购项目名称：</w:t>
      </w: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致：（采购代理机构名称）</w:t>
      </w: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法定代表人名称）是（</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名称）的法定代表人，特授权（被授权人姓名及身份证代码）代表我单位全权办理上述项目的投标、谈判、签约等具体工作，并签署全部有关文件、协议及合同。</w:t>
      </w: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我单位对被授权人的签名负全部责任。</w:t>
      </w: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在撤消授权的书面通知以前，本授权书一直有效。被授权人在授权书有效期内签署的所有文件不因授权的撤消而失效。</w:t>
      </w:r>
    </w:p>
    <w:p>
      <w:pPr>
        <w:spacing w:line="520" w:lineRule="exact"/>
        <w:ind w:firstLine="480" w:firstLineChars="200"/>
        <w:jc w:val="left"/>
        <w:rPr>
          <w:rFonts w:ascii="宋体" w:hAnsi="宋体" w:eastAsia="宋体" w:cs="仿宋"/>
          <w:color w:val="auto"/>
          <w:kern w:val="0"/>
          <w:szCs w:val="28"/>
          <w:highlight w:val="none"/>
          <w:lang w:val="zh-CN"/>
        </w:rPr>
      </w:pP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被授权人：</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法定代表人：</w:t>
      </w: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（签字或盖章）</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（签字或盖章）</w:t>
      </w:r>
    </w:p>
    <w:p>
      <w:pPr>
        <w:rPr>
          <w:rFonts w:ascii="宋体" w:hAnsi="宋体" w:eastAsia="宋体"/>
          <w:color w:val="auto"/>
          <w:highlight w:val="none"/>
        </w:rPr>
      </w:pPr>
    </w:p>
    <w:p>
      <w:pPr>
        <w:pStyle w:val="55"/>
        <w:spacing w:before="0" w:beforeAutospacing="0" w:after="0" w:afterAutospacing="0"/>
        <w:rPr>
          <w:rFonts w:ascii="宋体" w:hAnsi="宋体"/>
          <w:color w:val="auto"/>
          <w:highlight w:val="none"/>
        </w:rPr>
      </w:pPr>
    </w:p>
    <w:p>
      <w:pPr>
        <w:spacing w:line="520" w:lineRule="exact"/>
        <w:ind w:firstLine="480" w:firstLineChars="200"/>
        <w:jc w:val="righ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（公章）：</w:t>
      </w:r>
      <w:r>
        <w:rPr>
          <w:rFonts w:ascii="宋体" w:hAnsi="宋体" w:eastAsia="宋体" w:cs="仿宋"/>
          <w:color w:val="auto"/>
          <w:kern w:val="0"/>
          <w:szCs w:val="28"/>
          <w:highlight w:val="none"/>
        </w:rPr>
        <w:t xml:space="preserve">            </w:t>
      </w:r>
    </w:p>
    <w:p>
      <w:pPr>
        <w:spacing w:line="520" w:lineRule="exact"/>
        <w:ind w:firstLine="7080" w:firstLineChars="295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年</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月</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日</w:t>
      </w:r>
      <w:r>
        <w:rPr>
          <w:rFonts w:ascii="宋体" w:hAnsi="宋体" w:eastAsia="宋体" w:cs="仿宋"/>
          <w:color w:val="auto"/>
          <w:kern w:val="0"/>
          <w:szCs w:val="28"/>
          <w:highlight w:val="none"/>
        </w:rPr>
        <w:t xml:space="preserve">    </w:t>
      </w:r>
    </w:p>
    <w:p>
      <w:pPr>
        <w:spacing w:line="520" w:lineRule="exact"/>
        <w:ind w:firstLine="480" w:firstLineChars="200"/>
        <w:jc w:val="left"/>
        <w:rPr>
          <w:rFonts w:ascii="宋体" w:hAnsi="宋体" w:eastAsia="宋体" w:cs="仿宋"/>
          <w:color w:val="auto"/>
          <w:kern w:val="0"/>
          <w:szCs w:val="28"/>
          <w:highlight w:val="none"/>
        </w:rPr>
      </w:pP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（附：被授权人身份证复印件）</w:t>
      </w:r>
    </w:p>
    <w:p>
      <w:pPr>
        <w:spacing w:line="500" w:lineRule="exact"/>
        <w:ind w:firstLine="480" w:firstLineChars="200"/>
        <w:rPr>
          <w:rFonts w:ascii="宋体" w:hAnsi="宋体" w:eastAsia="宋体" w:cs="方正仿宋_GBK"/>
          <w:color w:val="auto"/>
          <w:sz w:val="32"/>
          <w:szCs w:val="32"/>
          <w:highlight w:val="none"/>
        </w:rPr>
      </w:pPr>
      <w:r>
        <w:rPr>
          <w:rFonts w:ascii="宋体" w:hAnsi="宋体" w:eastAsia="宋体"/>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288925</wp:posOffset>
                </wp:positionV>
                <wp:extent cx="3037840" cy="1962150"/>
                <wp:effectExtent l="4445" t="5080" r="5715" b="13970"/>
                <wp:wrapNone/>
                <wp:docPr id="3" name="文本框 3"/>
                <wp:cNvGraphicFramePr/>
                <a:graphic xmlns:a="http://schemas.openxmlformats.org/drawingml/2006/main">
                  <a:graphicData uri="http://schemas.microsoft.com/office/word/2010/wordprocessingShape">
                    <wps:wsp>
                      <wps:cNvSpPr txBox="1"/>
                      <wps:spPr bwMode="auto">
                        <a:xfrm>
                          <a:off x="0" y="0"/>
                          <a:ext cx="3037840" cy="1962150"/>
                        </a:xfrm>
                        <a:prstGeom prst="rect">
                          <a:avLst/>
                        </a:prstGeom>
                        <a:solidFill>
                          <a:srgbClr val="FFFFFF"/>
                        </a:solidFill>
                        <a:ln w="3175">
                          <a:solidFill>
                            <a:srgbClr val="000000"/>
                          </a:solidFill>
                          <a:prstDash val="solid"/>
                          <a:miter lim="800000"/>
                        </a:ln>
                      </wps:spPr>
                      <wps:txbx>
                        <w:txbxContent>
                          <w:p>
                            <w:pPr>
                              <w:spacing w:line="520" w:lineRule="exact"/>
                              <w:ind w:firstLine="480" w:firstLineChars="200"/>
                              <w:jc w:val="left"/>
                              <w:rPr>
                                <w:rFonts w:hint="eastAsia" w:ascii="宋体" w:hAnsi="宋体" w:eastAsia="宋体" w:cs="仿宋"/>
                                <w:kern w:val="0"/>
                                <w:szCs w:val="28"/>
                                <w:highlight w:val="none"/>
                              </w:rPr>
                            </w:pPr>
                            <w:r>
                              <w:rPr>
                                <w:rFonts w:hint="eastAsia" w:ascii="宋体" w:hAnsi="宋体" w:eastAsia="宋体" w:cs="仿宋"/>
                                <w:kern w:val="0"/>
                                <w:szCs w:val="28"/>
                                <w:highlight w:val="none"/>
                              </w:rPr>
                              <w:t>授权委托人身份证复印件（正面）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pt;margin-top:22.75pt;height:154.5pt;width:239.2pt;z-index:251661312;mso-width-relative:page;mso-height-relative:page;" fillcolor="#FFFFFF" filled="t" stroked="t" coordsize="21600,21600" o:gfxdata="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lNpb/XAAAACQEAAA8AAAAAAAAAAQAgAAAAIgAAAGRycy9kb3ducmV2&#10;LnhtbFBLAQIUABQAAAAIAIdO4kDdgMmYNgIAAHEEAAAOAAAAAAAAAAEAIAAAACYBAABkcnMvZTJv&#10;RG9jLnhtbFBLBQYAAAAABgAGAFkBAADOBQAAAAA=&#10;">
                <v:fill on="t" focussize="0,0"/>
                <v:stroke weight="0.25pt" color="#000000" miterlimit="8" joinstyle="miter"/>
                <v:imagedata o:title=""/>
                <o:lock v:ext="edit" aspectratio="f"/>
                <v:textbox>
                  <w:txbxContent>
                    <w:p>
                      <w:pPr>
                        <w:spacing w:line="520" w:lineRule="exact"/>
                        <w:ind w:firstLine="480" w:firstLineChars="200"/>
                        <w:jc w:val="left"/>
                        <w:rPr>
                          <w:rFonts w:hint="eastAsia" w:ascii="宋体" w:hAnsi="宋体" w:eastAsia="宋体" w:cs="仿宋"/>
                          <w:kern w:val="0"/>
                          <w:szCs w:val="28"/>
                          <w:highlight w:val="none"/>
                        </w:rPr>
                      </w:pPr>
                      <w:r>
                        <w:rPr>
                          <w:rFonts w:hint="eastAsia" w:ascii="宋体" w:hAnsi="宋体" w:eastAsia="宋体" w:cs="仿宋"/>
                          <w:kern w:val="0"/>
                          <w:szCs w:val="28"/>
                          <w:highlight w:val="none"/>
                        </w:rPr>
                        <w:t>授权委托人身份证复印件（正面）</w:t>
                      </w:r>
                    </w:p>
                  </w:txbxContent>
                </v:textbox>
              </v:shape>
            </w:pict>
          </mc:Fallback>
        </mc:AlternateContent>
      </w:r>
      <w:r>
        <w:rPr>
          <w:rFonts w:ascii="宋体" w:hAnsi="宋体" w:eastAsia="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3153410</wp:posOffset>
                </wp:positionH>
                <wp:positionV relativeFrom="paragraph">
                  <wp:posOffset>288925</wp:posOffset>
                </wp:positionV>
                <wp:extent cx="3038475" cy="1962150"/>
                <wp:effectExtent l="4445" t="5080" r="5080" b="13970"/>
                <wp:wrapNone/>
                <wp:docPr id="2" name="文本框 4"/>
                <wp:cNvGraphicFramePr/>
                <a:graphic xmlns:a="http://schemas.openxmlformats.org/drawingml/2006/main">
                  <a:graphicData uri="http://schemas.microsoft.com/office/word/2010/wordprocessingShape">
                    <wps:wsp>
                      <wps:cNvSpPr txBox="1"/>
                      <wps:spPr bwMode="auto">
                        <a:xfrm>
                          <a:off x="0" y="0"/>
                          <a:ext cx="3038475" cy="1962150"/>
                        </a:xfrm>
                        <a:prstGeom prst="rect">
                          <a:avLst/>
                        </a:prstGeom>
                        <a:solidFill>
                          <a:srgbClr val="FFFFFF"/>
                        </a:solidFill>
                        <a:ln w="6350">
                          <a:solidFill>
                            <a:schemeClr val="tx1"/>
                          </a:solidFill>
                          <a:prstDash val="solid"/>
                          <a:miter lim="800000"/>
                        </a:ln>
                      </wps:spPr>
                      <wps:txbx>
                        <w:txbxContent>
                          <w:p>
                            <w:pPr>
                              <w:spacing w:line="520" w:lineRule="exact"/>
                              <w:ind w:firstLine="480" w:firstLineChars="200"/>
                              <w:jc w:val="left"/>
                              <w:rPr>
                                <w:rFonts w:hint="eastAsia" w:ascii="宋体" w:hAnsi="宋体" w:eastAsia="宋体" w:cs="仿宋"/>
                                <w:kern w:val="0"/>
                                <w:szCs w:val="28"/>
                                <w:highlight w:val="none"/>
                              </w:rPr>
                            </w:pPr>
                            <w:r>
                              <w:rPr>
                                <w:rFonts w:hint="eastAsia" w:ascii="宋体" w:hAnsi="宋体" w:eastAsia="宋体" w:cs="仿宋"/>
                                <w:kern w:val="0"/>
                                <w:szCs w:val="28"/>
                                <w:highlight w:val="none"/>
                              </w:rPr>
                              <w:t>授权委托人身份证复印件（反面）</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248.3pt;margin-top:22.75pt;height:154.5pt;width:239.25pt;z-index:251662336;mso-width-relative:page;mso-height-relative:page;" fillcolor="#FFFFFF" filled="t" stroked="t" coordsize="21600,21600" o:gfxdata="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LHlwnXAAAACgEAAA8AAAAAAAAAAQAgAAAAIgAAAGRycy9kb3ducmV2Lnht&#10;bFBLAQIUABQAAAAIAIdO4kCkdA16MwIAAHEEAAAOAAAAAAAAAAEAIAAAACYBAABkcnMvZTJvRG9j&#10;LnhtbFBLBQYAAAAABgAGAFkBAADLBQAAAAA=&#10;">
                <v:fill on="t" focussize="0,0"/>
                <v:stroke weight="0.5pt" color="#000000 [3213]" miterlimit="8" joinstyle="miter"/>
                <v:imagedata o:title=""/>
                <o:lock v:ext="edit" aspectratio="f"/>
                <v:textbox>
                  <w:txbxContent>
                    <w:p>
                      <w:pPr>
                        <w:spacing w:line="520" w:lineRule="exact"/>
                        <w:ind w:firstLine="480" w:firstLineChars="200"/>
                        <w:jc w:val="left"/>
                        <w:rPr>
                          <w:rFonts w:hint="eastAsia" w:ascii="宋体" w:hAnsi="宋体" w:eastAsia="宋体" w:cs="仿宋"/>
                          <w:kern w:val="0"/>
                          <w:szCs w:val="28"/>
                          <w:highlight w:val="none"/>
                        </w:rPr>
                      </w:pPr>
                      <w:r>
                        <w:rPr>
                          <w:rFonts w:hint="eastAsia" w:ascii="宋体" w:hAnsi="宋体" w:eastAsia="宋体" w:cs="仿宋"/>
                          <w:kern w:val="0"/>
                          <w:szCs w:val="28"/>
                          <w:highlight w:val="none"/>
                        </w:rPr>
                        <w:t>授权委托人身份证复印件（反面）</w:t>
                      </w:r>
                    </w:p>
                  </w:txbxContent>
                </v:textbox>
              </v:shape>
            </w:pict>
          </mc:Fallback>
        </mc:AlternateContent>
      </w:r>
    </w:p>
    <w:p>
      <w:pPr>
        <w:spacing w:line="500" w:lineRule="exact"/>
        <w:ind w:firstLine="640" w:firstLineChars="200"/>
        <w:rPr>
          <w:rFonts w:ascii="宋体" w:hAnsi="宋体" w:eastAsia="宋体" w:cs="方正仿宋_GBK"/>
          <w:color w:val="auto"/>
          <w:sz w:val="32"/>
          <w:szCs w:val="32"/>
          <w:highlight w:val="none"/>
        </w:rPr>
      </w:pPr>
    </w:p>
    <w:p>
      <w:pPr>
        <w:tabs>
          <w:tab w:val="left" w:pos="6300"/>
        </w:tabs>
        <w:snapToGrid w:val="0"/>
        <w:spacing w:line="500" w:lineRule="exact"/>
        <w:ind w:firstLine="570"/>
        <w:rPr>
          <w:rFonts w:ascii="宋体" w:hAnsi="宋体" w:eastAsia="宋体" w:cs="仿宋"/>
          <w:color w:val="auto"/>
          <w:kern w:val="0"/>
          <w:szCs w:val="28"/>
          <w:highlight w:val="none"/>
        </w:rPr>
      </w:pPr>
      <w:r>
        <w:rPr>
          <w:rFonts w:ascii="宋体" w:hAnsi="宋体" w:eastAsia="宋体"/>
          <w:color w:val="auto"/>
          <w:szCs w:val="20"/>
          <w:highlight w:val="none"/>
        </w:rPr>
        <w:br w:type="column"/>
      </w:r>
      <w:r>
        <w:rPr>
          <w:rFonts w:hint="eastAsia" w:ascii="宋体" w:hAnsi="宋体" w:eastAsia="宋体" w:cs="仿宋"/>
          <w:color w:val="auto"/>
          <w:kern w:val="0"/>
          <w:szCs w:val="28"/>
          <w:highlight w:val="none"/>
        </w:rPr>
        <w:t>（五）提供</w:t>
      </w:r>
      <w:r>
        <w:rPr>
          <w:rFonts w:ascii="宋体" w:hAnsi="宋体" w:eastAsia="宋体" w:cs="仿宋"/>
          <w:color w:val="auto"/>
          <w:kern w:val="0"/>
          <w:szCs w:val="28"/>
          <w:highlight w:val="none"/>
        </w:rPr>
        <w:t>2020</w:t>
      </w:r>
      <w:r>
        <w:rPr>
          <w:rFonts w:hint="eastAsia" w:ascii="宋体" w:hAnsi="宋体" w:eastAsia="宋体" w:cs="仿宋"/>
          <w:color w:val="auto"/>
          <w:kern w:val="0"/>
          <w:szCs w:val="28"/>
          <w:highlight w:val="none"/>
          <w:lang w:eastAsia="zh-CN"/>
        </w:rPr>
        <w:t>或</w:t>
      </w:r>
      <w:r>
        <w:rPr>
          <w:rFonts w:hint="eastAsia" w:ascii="宋体" w:hAnsi="宋体" w:eastAsia="宋体" w:cs="仿宋"/>
          <w:color w:val="auto"/>
          <w:kern w:val="0"/>
          <w:szCs w:val="28"/>
          <w:highlight w:val="none"/>
          <w:lang w:val="en-US" w:eastAsia="zh-CN"/>
        </w:rPr>
        <w:t>2021</w:t>
      </w:r>
      <w:r>
        <w:rPr>
          <w:rFonts w:hint="eastAsia" w:ascii="宋体" w:hAnsi="宋体" w:eastAsia="宋体" w:cs="仿宋"/>
          <w:color w:val="auto"/>
          <w:kern w:val="0"/>
          <w:szCs w:val="28"/>
          <w:highlight w:val="none"/>
        </w:rPr>
        <w:t>年度财务状况报告（表）或其基本帐户开户银行出具的资信证明复印件，本年度新成立或成立不满一年的组织和自然人无法提供财务状况报告（表）的，可提供银行出具的资信证明复印件。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rPr>
          <w:rFonts w:ascii="宋体" w:hAnsi="宋体" w:eastAsia="宋体" w:cs="宋体"/>
          <w:color w:val="auto"/>
          <w:highlight w:val="none"/>
        </w:rPr>
      </w:pPr>
      <w:r>
        <w:rPr>
          <w:rFonts w:ascii="宋体" w:hAnsi="宋体" w:eastAsia="宋体" w:cs="仿宋"/>
          <w:color w:val="auto"/>
          <w:szCs w:val="28"/>
          <w:highlight w:val="none"/>
        </w:rPr>
        <w:br w:type="page"/>
      </w:r>
    </w:p>
    <w:p>
      <w:pPr>
        <w:tabs>
          <w:tab w:val="left" w:pos="6300"/>
        </w:tabs>
        <w:snapToGrid w:val="0"/>
        <w:spacing w:line="500" w:lineRule="exact"/>
        <w:ind w:firstLine="57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（六）书面声明</w:t>
      </w:r>
    </w:p>
    <w:p>
      <w:pPr>
        <w:tabs>
          <w:tab w:val="left" w:pos="6300"/>
        </w:tabs>
        <w:snapToGrid w:val="0"/>
        <w:spacing w:line="500" w:lineRule="exact"/>
        <w:ind w:firstLine="570"/>
        <w:rPr>
          <w:rFonts w:ascii="宋体" w:hAnsi="宋体" w:eastAsia="宋体" w:cs="仿宋"/>
          <w:color w:val="auto"/>
          <w:kern w:val="0"/>
          <w:szCs w:val="28"/>
          <w:highlight w:val="none"/>
        </w:rPr>
      </w:pPr>
    </w:p>
    <w:p>
      <w:pPr>
        <w:tabs>
          <w:tab w:val="left" w:pos="6300"/>
        </w:tabs>
        <w:snapToGrid w:val="0"/>
        <w:spacing w:line="500" w:lineRule="exact"/>
        <w:ind w:firstLine="570"/>
        <w:rPr>
          <w:rFonts w:ascii="宋体" w:hAnsi="宋体" w:eastAsia="宋体" w:cs="仿宋"/>
          <w:color w:val="auto"/>
          <w:kern w:val="0"/>
          <w:szCs w:val="28"/>
          <w:highlight w:val="none"/>
          <w:u w:val="single"/>
        </w:rPr>
      </w:pPr>
      <w:r>
        <w:rPr>
          <w:rFonts w:hint="eastAsia" w:ascii="宋体" w:hAnsi="宋体" w:eastAsia="宋体" w:cs="仿宋"/>
          <w:color w:val="auto"/>
          <w:kern w:val="0"/>
          <w:szCs w:val="28"/>
          <w:highlight w:val="none"/>
        </w:rPr>
        <w:t>招标项目名称：</w:t>
      </w:r>
    </w:p>
    <w:p>
      <w:pPr>
        <w:tabs>
          <w:tab w:val="left" w:pos="6300"/>
        </w:tabs>
        <w:snapToGrid w:val="0"/>
        <w:spacing w:line="500" w:lineRule="exact"/>
        <w:ind w:firstLine="570"/>
        <w:rPr>
          <w:rFonts w:ascii="宋体" w:hAnsi="宋体" w:eastAsia="宋体" w:cs="仿宋"/>
          <w:color w:val="auto"/>
          <w:kern w:val="0"/>
          <w:szCs w:val="28"/>
          <w:highlight w:val="none"/>
        </w:rPr>
      </w:pPr>
    </w:p>
    <w:p>
      <w:pPr>
        <w:tabs>
          <w:tab w:val="left" w:pos="6300"/>
        </w:tabs>
        <w:snapToGrid w:val="0"/>
        <w:spacing w:line="500" w:lineRule="exact"/>
        <w:ind w:firstLine="57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致：（采购代理机构名称）</w:t>
      </w:r>
    </w:p>
    <w:p>
      <w:pPr>
        <w:tabs>
          <w:tab w:val="left" w:pos="6300"/>
        </w:tabs>
        <w:snapToGrid w:val="0"/>
        <w:spacing w:line="500" w:lineRule="exact"/>
        <w:ind w:firstLine="57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宋体" w:hAnsi="宋体" w:eastAsia="宋体" w:cs="仿宋"/>
          <w:color w:val="auto"/>
          <w:kern w:val="0"/>
          <w:szCs w:val="28"/>
          <w:highlight w:val="none"/>
        </w:rPr>
        <w:t>www.creditchina.gov.cn</w:t>
      </w:r>
      <w:r>
        <w:rPr>
          <w:rFonts w:hint="eastAsia" w:ascii="宋体" w:hAnsi="宋体" w:eastAsia="宋体" w:cs="仿宋"/>
          <w:color w:val="auto"/>
          <w:kern w:val="0"/>
          <w:szCs w:val="28"/>
          <w:highlight w:val="none"/>
        </w:rPr>
        <w:t>）“失信被执行人”、“重大税收违法案件当事人名单”中，也未列入中国政府采购网（</w:t>
      </w:r>
      <w:r>
        <w:rPr>
          <w:rFonts w:ascii="宋体" w:hAnsi="宋体" w:eastAsia="宋体" w:cs="仿宋"/>
          <w:color w:val="auto"/>
          <w:kern w:val="0"/>
          <w:szCs w:val="28"/>
          <w:highlight w:val="none"/>
        </w:rPr>
        <w:t>www.ccgp.gov.cn</w:t>
      </w:r>
      <w:r>
        <w:rPr>
          <w:rFonts w:hint="eastAsia" w:ascii="宋体" w:hAnsi="宋体" w:eastAsia="宋体" w:cs="仿宋"/>
          <w:color w:val="auto"/>
          <w:kern w:val="0"/>
          <w:szCs w:val="28"/>
          <w:highlight w:val="none"/>
        </w:rPr>
        <w:t>）“政府采购严重违法失信行为记录名单”中，并随时接受采购人、采购代理机构的检查验证，符合《政府采购法》规定的</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资格条件。我方对以上声明负全部法律责任。</w:t>
      </w:r>
    </w:p>
    <w:p>
      <w:pPr>
        <w:tabs>
          <w:tab w:val="left" w:pos="6300"/>
        </w:tabs>
        <w:snapToGrid w:val="0"/>
        <w:spacing w:line="500" w:lineRule="exact"/>
        <w:ind w:firstLine="570"/>
        <w:rPr>
          <w:rFonts w:ascii="宋体" w:hAnsi="宋体" w:eastAsia="宋体" w:cs="仿宋"/>
          <w:color w:val="auto"/>
          <w:kern w:val="0"/>
          <w:szCs w:val="28"/>
          <w:highlight w:val="none"/>
        </w:rPr>
      </w:pPr>
    </w:p>
    <w:p>
      <w:pPr>
        <w:tabs>
          <w:tab w:val="left" w:pos="6300"/>
        </w:tabs>
        <w:snapToGrid w:val="0"/>
        <w:spacing w:line="500" w:lineRule="exact"/>
        <w:ind w:firstLine="57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特此声明。</w:t>
      </w:r>
    </w:p>
    <w:p>
      <w:pPr>
        <w:tabs>
          <w:tab w:val="left" w:pos="6300"/>
        </w:tabs>
        <w:snapToGrid w:val="0"/>
        <w:spacing w:line="500" w:lineRule="exact"/>
        <w:ind w:firstLine="570"/>
        <w:rPr>
          <w:rFonts w:ascii="宋体" w:hAnsi="宋体" w:eastAsia="宋体" w:cs="仿宋"/>
          <w:color w:val="auto"/>
          <w:kern w:val="0"/>
          <w:szCs w:val="28"/>
          <w:highlight w:val="none"/>
        </w:rPr>
      </w:pPr>
    </w:p>
    <w:p>
      <w:pPr>
        <w:tabs>
          <w:tab w:val="left" w:pos="6300"/>
        </w:tabs>
        <w:snapToGrid w:val="0"/>
        <w:spacing w:line="500" w:lineRule="exact"/>
        <w:ind w:firstLine="570"/>
        <w:rPr>
          <w:rFonts w:ascii="宋体" w:hAnsi="宋体" w:eastAsia="宋体" w:cs="仿宋"/>
          <w:color w:val="auto"/>
          <w:kern w:val="0"/>
          <w:szCs w:val="28"/>
          <w:highlight w:val="none"/>
        </w:rPr>
      </w:pPr>
    </w:p>
    <w:p>
      <w:pPr>
        <w:tabs>
          <w:tab w:val="left" w:pos="6300"/>
        </w:tabs>
        <w:snapToGrid w:val="0"/>
        <w:spacing w:line="500" w:lineRule="exact"/>
        <w:ind w:firstLine="570"/>
        <w:rPr>
          <w:rFonts w:ascii="宋体" w:hAnsi="宋体" w:eastAsia="宋体" w:cs="仿宋"/>
          <w:color w:val="auto"/>
          <w:kern w:val="0"/>
          <w:szCs w:val="28"/>
          <w:highlight w:val="none"/>
        </w:rPr>
      </w:pPr>
    </w:p>
    <w:p>
      <w:pPr>
        <w:spacing w:line="520" w:lineRule="exact"/>
        <w:ind w:firstLine="480" w:firstLineChars="200"/>
        <w:jc w:val="righ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（公章）：</w:t>
      </w:r>
      <w:r>
        <w:rPr>
          <w:rFonts w:ascii="宋体" w:hAnsi="宋体" w:eastAsia="宋体" w:cs="仿宋"/>
          <w:color w:val="auto"/>
          <w:kern w:val="0"/>
          <w:szCs w:val="28"/>
          <w:highlight w:val="none"/>
        </w:rPr>
        <w:t xml:space="preserve">            </w:t>
      </w:r>
    </w:p>
    <w:p>
      <w:pPr>
        <w:spacing w:line="520" w:lineRule="exact"/>
        <w:jc w:val="center"/>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 xml:space="preserve">                                年</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月</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日</w:t>
      </w:r>
      <w:r>
        <w:rPr>
          <w:rFonts w:ascii="宋体" w:hAnsi="宋体" w:eastAsia="宋体" w:cs="仿宋"/>
          <w:color w:val="auto"/>
          <w:kern w:val="0"/>
          <w:szCs w:val="28"/>
          <w:highlight w:val="none"/>
        </w:rPr>
        <w:t xml:space="preserve">    </w:t>
      </w:r>
    </w:p>
    <w:p>
      <w:pPr>
        <w:tabs>
          <w:tab w:val="left" w:pos="6300"/>
        </w:tabs>
        <w:snapToGrid w:val="0"/>
        <w:spacing w:line="500" w:lineRule="exact"/>
        <w:ind w:firstLine="570"/>
        <w:rPr>
          <w:rFonts w:ascii="宋体" w:hAnsi="宋体" w:eastAsia="宋体" w:cs="宋体"/>
          <w:bCs/>
          <w:color w:val="auto"/>
          <w:highlight w:val="none"/>
        </w:rPr>
      </w:pPr>
      <w:r>
        <w:rPr>
          <w:rFonts w:ascii="宋体" w:hAnsi="宋体" w:eastAsia="宋体" w:cs="仿宋"/>
          <w:color w:val="auto"/>
          <w:szCs w:val="28"/>
          <w:highlight w:val="none"/>
        </w:rPr>
        <w:br w:type="page"/>
      </w:r>
    </w:p>
    <w:p>
      <w:pPr>
        <w:tabs>
          <w:tab w:val="left" w:pos="6300"/>
        </w:tabs>
        <w:snapToGrid w:val="0"/>
        <w:spacing w:line="500" w:lineRule="exact"/>
        <w:ind w:firstLine="57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（七）税务登记证（副本）复印件</w:t>
      </w:r>
    </w:p>
    <w:p>
      <w:pPr>
        <w:tabs>
          <w:tab w:val="left" w:pos="6300"/>
        </w:tabs>
        <w:snapToGrid w:val="0"/>
        <w:spacing w:line="500" w:lineRule="exact"/>
        <w:ind w:firstLine="570"/>
        <w:rPr>
          <w:rFonts w:ascii="宋体" w:hAnsi="宋体" w:eastAsia="宋体" w:cs="仿宋"/>
          <w:color w:val="auto"/>
          <w:kern w:val="0"/>
          <w:szCs w:val="28"/>
          <w:highlight w:val="none"/>
        </w:rPr>
      </w:pPr>
    </w:p>
    <w:p>
      <w:pPr>
        <w:tabs>
          <w:tab w:val="left" w:pos="6300"/>
        </w:tabs>
        <w:snapToGrid w:val="0"/>
        <w:spacing w:line="500" w:lineRule="exact"/>
        <w:ind w:firstLine="57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（八）缴纳社会保障金的证明材料复印件（缴纳社会保障金的证明材料指：社会保险登记证或缴纳社会保险的凭据（专用收据或社会保险缴纳清单））。依法免税或不需要缴纳社会保障资金的</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，应提供相应文件证明其依法免税或不需要缴纳社会保障资金。</w:t>
      </w:r>
    </w:p>
    <w:p>
      <w:pPr>
        <w:tabs>
          <w:tab w:val="left" w:pos="6300"/>
        </w:tabs>
        <w:snapToGrid w:val="0"/>
        <w:spacing w:line="500" w:lineRule="exact"/>
        <w:ind w:firstLine="570"/>
        <w:rPr>
          <w:rFonts w:ascii="宋体" w:hAnsi="宋体" w:eastAsia="宋体" w:cs="仿宋"/>
          <w:color w:val="auto"/>
          <w:kern w:val="0"/>
          <w:szCs w:val="28"/>
          <w:highlight w:val="none"/>
        </w:rPr>
      </w:pPr>
    </w:p>
    <w:p>
      <w:pPr>
        <w:tabs>
          <w:tab w:val="left" w:pos="6300"/>
        </w:tabs>
        <w:snapToGrid w:val="0"/>
        <w:spacing w:line="500" w:lineRule="exact"/>
        <w:ind w:firstLine="570"/>
        <w:rPr>
          <w:rFonts w:ascii="宋体" w:hAnsi="宋体" w:eastAsia="宋体" w:cs="仿宋"/>
          <w:color w:val="auto"/>
          <w:szCs w:val="28"/>
          <w:highlight w:val="none"/>
        </w:rPr>
      </w:pPr>
      <w:r>
        <w:rPr>
          <w:rFonts w:hint="eastAsia" w:ascii="宋体" w:hAnsi="宋体" w:eastAsia="宋体" w:cs="仿宋"/>
          <w:color w:val="auto"/>
          <w:kern w:val="0"/>
          <w:szCs w:val="28"/>
          <w:highlight w:val="none"/>
        </w:rPr>
        <w:t>说明：</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按“多证合一”登记制度办理营业执照的，组织机构代码证、税务登记证（副本）和社会保险登记证以</w:t>
      </w:r>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所提供的营业执照（副本）复印件为准。</w:t>
      </w:r>
    </w:p>
    <w:p>
      <w:pPr>
        <w:tabs>
          <w:tab w:val="left" w:pos="6300"/>
        </w:tabs>
        <w:snapToGrid w:val="0"/>
        <w:spacing w:line="500" w:lineRule="exact"/>
        <w:ind w:firstLine="570"/>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（九）特定资格条件</w:t>
      </w:r>
    </w:p>
    <w:p>
      <w:pPr>
        <w:tabs>
          <w:tab w:val="left" w:pos="6300"/>
        </w:tabs>
        <w:snapToGrid w:val="0"/>
        <w:spacing w:line="500" w:lineRule="exact"/>
        <w:ind w:firstLine="573"/>
        <w:jc w:val="left"/>
        <w:rPr>
          <w:rFonts w:ascii="宋体" w:hAnsi="宋体" w:eastAsia="宋体" w:cs="仿宋"/>
          <w:color w:val="auto"/>
          <w:kern w:val="0"/>
          <w:szCs w:val="28"/>
          <w:highlight w:val="none"/>
        </w:rPr>
      </w:pPr>
    </w:p>
    <w:p>
      <w:pPr>
        <w:pStyle w:val="5"/>
        <w:spacing w:before="0" w:after="0" w:line="500" w:lineRule="exact"/>
        <w:rPr>
          <w:rFonts w:ascii="宋体" w:hAnsi="宋体" w:cs="方正仿宋_GBK"/>
          <w:bCs/>
          <w:color w:val="auto"/>
          <w:sz w:val="28"/>
          <w:szCs w:val="28"/>
          <w:highlight w:val="none"/>
        </w:rPr>
      </w:pPr>
      <w:r>
        <w:rPr>
          <w:rFonts w:ascii="宋体" w:hAnsi="宋体" w:cs="方正仿宋_GBK"/>
          <w:bCs/>
          <w:color w:val="auto"/>
          <w:sz w:val="28"/>
          <w:szCs w:val="28"/>
          <w:highlight w:val="none"/>
        </w:rPr>
        <w:br w:type="page"/>
      </w:r>
      <w:bookmarkStart w:id="262" w:name="_Toc4149"/>
      <w:r>
        <w:rPr>
          <w:rFonts w:hint="eastAsia" w:ascii="宋体" w:hAnsi="宋体" w:cs="方正仿宋_GBK"/>
          <w:bCs/>
          <w:color w:val="auto"/>
          <w:sz w:val="28"/>
          <w:szCs w:val="28"/>
          <w:highlight w:val="none"/>
        </w:rPr>
        <w:t>五、其他文件</w:t>
      </w:r>
      <w:bookmarkEnd w:id="260"/>
      <w:bookmarkEnd w:id="261"/>
      <w:bookmarkEnd w:id="262"/>
    </w:p>
    <w:p>
      <w:pPr>
        <w:rPr>
          <w:rFonts w:ascii="宋体" w:hAnsi="宋体" w:eastAsia="宋体"/>
          <w:color w:val="auto"/>
          <w:highlight w:val="none"/>
        </w:rPr>
      </w:pP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（一）中小企业声明函、监狱企业证明文件、残疾人福利性单位声明函</w:t>
      </w:r>
    </w:p>
    <w:p>
      <w:pPr>
        <w:spacing w:line="440" w:lineRule="exact"/>
        <w:ind w:firstLine="480" w:firstLineChars="200"/>
        <w:rPr>
          <w:rFonts w:ascii="宋体" w:hAnsi="宋体" w:eastAsia="宋体" w:cs="方正仿宋_GBK"/>
          <w:color w:val="auto"/>
          <w:szCs w:val="28"/>
          <w:highlight w:val="none"/>
        </w:rPr>
      </w:pPr>
    </w:p>
    <w:p>
      <w:pPr>
        <w:spacing w:line="440" w:lineRule="exact"/>
        <w:ind w:firstLine="480"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（注：</w:t>
      </w:r>
      <w:r>
        <w:rPr>
          <w:rFonts w:hint="eastAsia" w:ascii="宋体" w:hAnsi="宋体" w:eastAsia="宋体" w:cs="方正仿宋_GBK"/>
          <w:color w:val="auto"/>
          <w:szCs w:val="28"/>
          <w:highlight w:val="none"/>
          <w:lang w:eastAsia="zh-CN"/>
        </w:rPr>
        <w:t>投标人</w:t>
      </w:r>
      <w:r>
        <w:rPr>
          <w:rFonts w:hint="eastAsia" w:ascii="宋体" w:hAnsi="宋体" w:eastAsia="宋体" w:cs="方正仿宋_GBK"/>
          <w:color w:val="auto"/>
          <w:szCs w:val="28"/>
          <w:highlight w:val="none"/>
        </w:rPr>
        <w:t>不属于以上情况的直接填写“无”）</w:t>
      </w:r>
    </w:p>
    <w:p>
      <w:pPr>
        <w:spacing w:line="440" w:lineRule="exact"/>
        <w:ind w:firstLine="480" w:firstLineChars="200"/>
        <w:rPr>
          <w:rFonts w:ascii="宋体" w:hAnsi="宋体" w:eastAsia="宋体" w:cs="方正仿宋_GBK"/>
          <w:color w:val="auto"/>
          <w:szCs w:val="28"/>
          <w:highlight w:val="none"/>
        </w:rPr>
      </w:pPr>
    </w:p>
    <w:p>
      <w:pPr>
        <w:spacing w:line="440" w:lineRule="exact"/>
        <w:ind w:firstLine="480" w:firstLineChars="200"/>
        <w:rPr>
          <w:rFonts w:ascii="宋体" w:hAnsi="宋体" w:eastAsia="宋体" w:cs="方正仿宋_GBK"/>
          <w:color w:val="auto"/>
          <w:szCs w:val="28"/>
          <w:highlight w:val="none"/>
        </w:rPr>
        <w:sectPr>
          <w:pgSz w:w="11907" w:h="16840"/>
          <w:pgMar w:top="1134" w:right="1191" w:bottom="1134" w:left="1304" w:header="851" w:footer="992" w:gutter="0"/>
          <w:pgNumType w:fmt="decimal"/>
          <w:cols w:space="720" w:num="1"/>
          <w:docGrid w:linePitch="380" w:charSpace="-5735"/>
        </w:sectPr>
      </w:pPr>
      <w:bookmarkStart w:id="290" w:name="_GoBack"/>
      <w:bookmarkEnd w:id="290"/>
    </w:p>
    <w:p>
      <w:pPr>
        <w:spacing w:line="520" w:lineRule="exact"/>
        <w:ind w:firstLine="438" w:firstLineChars="200"/>
        <w:jc w:val="left"/>
        <w:rPr>
          <w:rFonts w:ascii="宋体" w:hAnsi="宋体" w:eastAsia="宋体" w:cs="仿宋"/>
          <w:color w:val="auto"/>
          <w:kern w:val="0"/>
          <w:szCs w:val="28"/>
          <w:highlight w:val="none"/>
        </w:rPr>
      </w:pPr>
      <w:bookmarkStart w:id="263" w:name="_Toc13168"/>
      <w:bookmarkStart w:id="264" w:name="_Toc7421911"/>
      <w:bookmarkStart w:id="265" w:name="_Toc3080"/>
      <w:r>
        <w:rPr>
          <w:rFonts w:ascii="宋体" w:hAnsi="宋体" w:eastAsia="宋体" w:cs="仿宋"/>
          <w:color w:val="auto"/>
          <w:kern w:val="0"/>
          <w:szCs w:val="28"/>
          <w:highlight w:val="none"/>
        </w:rPr>
        <w:t>1</w:t>
      </w:r>
      <w:r>
        <w:rPr>
          <w:rFonts w:hint="eastAsia" w:ascii="宋体" w:hAnsi="宋体" w:eastAsia="宋体" w:cs="仿宋"/>
          <w:color w:val="auto"/>
          <w:kern w:val="0"/>
          <w:szCs w:val="28"/>
          <w:highlight w:val="none"/>
        </w:rPr>
        <w:t>、中小企业声明函</w:t>
      </w:r>
    </w:p>
    <w:p>
      <w:pPr>
        <w:adjustRightInd w:val="0"/>
        <w:snapToGrid w:val="0"/>
        <w:spacing w:line="360" w:lineRule="auto"/>
        <w:ind w:firstLine="720"/>
        <w:jc w:val="center"/>
        <w:rPr>
          <w:rFonts w:ascii="宋体" w:hAnsi="宋体" w:eastAsia="宋体"/>
          <w:color w:val="auto"/>
          <w:sz w:val="32"/>
          <w:highlight w:val="none"/>
        </w:rPr>
      </w:pPr>
      <w:r>
        <w:rPr>
          <w:rFonts w:hint="eastAsia" w:ascii="宋体" w:hAnsi="宋体" w:eastAsia="宋体" w:cs="方正小标宋_GBK"/>
          <w:color w:val="auto"/>
          <w:sz w:val="36"/>
          <w:szCs w:val="36"/>
          <w:highlight w:val="none"/>
        </w:rPr>
        <w:t>中小企业声明函（工程、服务）</w:t>
      </w:r>
    </w:p>
    <w:p>
      <w:pPr>
        <w:spacing w:line="440" w:lineRule="exact"/>
        <w:ind w:firstLine="438"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本公司（联合体）郑重声明，根据《政府采购促进中小企业发展管理办法》（财库〔</w:t>
      </w:r>
      <w:r>
        <w:rPr>
          <w:rFonts w:ascii="宋体" w:hAnsi="宋体" w:eastAsia="宋体" w:cs="方正仿宋_GBK"/>
          <w:color w:val="auto"/>
          <w:szCs w:val="28"/>
          <w:highlight w:val="none"/>
        </w:rPr>
        <w:t>2020</w:t>
      </w:r>
      <w:r>
        <w:rPr>
          <w:rFonts w:hint="eastAsia" w:ascii="宋体" w:hAnsi="宋体" w:eastAsia="宋体" w:cs="方正仿宋_GBK"/>
          <w:color w:val="auto"/>
          <w:szCs w:val="28"/>
          <w:highlight w:val="none"/>
        </w:rPr>
        <w:t>〕</w:t>
      </w:r>
      <w:r>
        <w:rPr>
          <w:rFonts w:ascii="宋体" w:hAnsi="宋体" w:eastAsia="宋体" w:cs="方正仿宋_GBK"/>
          <w:color w:val="auto"/>
          <w:szCs w:val="28"/>
          <w:highlight w:val="none"/>
        </w:rPr>
        <w:t>46</w:t>
      </w:r>
      <w:r>
        <w:rPr>
          <w:rFonts w:hint="eastAsia" w:ascii="宋体" w:hAnsi="宋体" w:eastAsia="宋体" w:cs="方正仿宋_GBK"/>
          <w:color w:val="auto"/>
          <w:szCs w:val="28"/>
          <w:highlight w:val="none"/>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38" w:firstLineChars="200"/>
        <w:rPr>
          <w:rFonts w:ascii="宋体" w:hAnsi="宋体" w:eastAsia="宋体" w:cs="方正仿宋_GBK"/>
          <w:color w:val="auto"/>
          <w:szCs w:val="28"/>
          <w:highlight w:val="none"/>
        </w:rPr>
      </w:pPr>
      <w:r>
        <w:rPr>
          <w:rFonts w:ascii="宋体" w:hAnsi="宋体" w:eastAsia="宋体" w:cs="方正仿宋_GBK"/>
          <w:color w:val="auto"/>
          <w:szCs w:val="28"/>
          <w:highlight w:val="none"/>
        </w:rPr>
        <w:t>1.</w:t>
      </w:r>
      <w:r>
        <w:rPr>
          <w:rFonts w:hint="eastAsia" w:ascii="宋体" w:hAnsi="宋体" w:eastAsia="宋体" w:cs="方正仿宋_GBK"/>
          <w:color w:val="auto"/>
          <w:szCs w:val="28"/>
          <w:highlight w:val="none"/>
        </w:rPr>
        <w:t>（标的名称），属于（采购文件中明确的所属行业）行业；承建（承接）企业为（企业名称），从业人员</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人，营业收入为</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万元，资产总额为</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万元，属于（中型企业、小型企业、微型企业）；</w:t>
      </w:r>
    </w:p>
    <w:p>
      <w:pPr>
        <w:spacing w:line="440" w:lineRule="exact"/>
        <w:ind w:firstLine="438" w:firstLineChars="200"/>
        <w:rPr>
          <w:rFonts w:ascii="宋体" w:hAnsi="宋体" w:eastAsia="宋体" w:cs="方正仿宋_GBK"/>
          <w:color w:val="auto"/>
          <w:szCs w:val="28"/>
          <w:highlight w:val="none"/>
        </w:rPr>
      </w:pPr>
      <w:r>
        <w:rPr>
          <w:rFonts w:ascii="宋体" w:hAnsi="宋体" w:eastAsia="宋体" w:cs="方正仿宋_GBK"/>
          <w:color w:val="auto"/>
          <w:szCs w:val="28"/>
          <w:highlight w:val="none"/>
        </w:rPr>
        <w:t>2.</w:t>
      </w:r>
      <w:r>
        <w:rPr>
          <w:rFonts w:hint="eastAsia" w:ascii="宋体" w:hAnsi="宋体" w:eastAsia="宋体" w:cs="方正仿宋_GBK"/>
          <w:color w:val="auto"/>
          <w:szCs w:val="28"/>
          <w:highlight w:val="none"/>
        </w:rPr>
        <w:t>（标的名称），属于（采购文件中明确的所属行业）行业；承建（承接）企业为（企业名称），从业人员</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人，营业收入为</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万元，资产总额为</w:t>
      </w:r>
      <w:r>
        <w:rPr>
          <w:rFonts w:ascii="宋体" w:hAnsi="宋体" w:eastAsia="宋体" w:cs="方正仿宋_GBK"/>
          <w:color w:val="auto"/>
          <w:szCs w:val="28"/>
          <w:highlight w:val="none"/>
        </w:rPr>
        <w:t xml:space="preserve">    </w:t>
      </w:r>
      <w:r>
        <w:rPr>
          <w:rFonts w:hint="eastAsia" w:ascii="宋体" w:hAnsi="宋体" w:eastAsia="宋体" w:cs="方正仿宋_GBK"/>
          <w:color w:val="auto"/>
          <w:szCs w:val="28"/>
          <w:highlight w:val="none"/>
        </w:rPr>
        <w:t>万元，属于（中型企业、小型企业、微型企业）；</w:t>
      </w:r>
    </w:p>
    <w:p>
      <w:pPr>
        <w:spacing w:line="440" w:lineRule="exact"/>
        <w:ind w:firstLine="438"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w:t>
      </w:r>
    </w:p>
    <w:p>
      <w:pPr>
        <w:spacing w:line="440" w:lineRule="exact"/>
        <w:ind w:firstLine="438"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以上企业，不属于大企业的分支机构，不存在控股股东为大企业的情形，也不存在与大企业的负责人为同一人的情形。</w:t>
      </w:r>
    </w:p>
    <w:p>
      <w:pPr>
        <w:spacing w:line="440" w:lineRule="exact"/>
        <w:ind w:firstLine="438"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本企业对上述声明内容的真实性负责。如有虚假，将依法承担相应责任。</w:t>
      </w:r>
    </w:p>
    <w:p>
      <w:pPr>
        <w:spacing w:line="440" w:lineRule="exact"/>
        <w:ind w:firstLine="438" w:firstLineChars="200"/>
        <w:rPr>
          <w:rFonts w:ascii="宋体" w:hAnsi="宋体" w:eastAsia="宋体" w:cs="方正仿宋_GBK"/>
          <w:color w:val="auto"/>
          <w:szCs w:val="28"/>
          <w:highlight w:val="none"/>
        </w:rPr>
      </w:pPr>
    </w:p>
    <w:p>
      <w:pPr>
        <w:spacing w:line="440" w:lineRule="exact"/>
        <w:ind w:firstLine="438" w:firstLineChars="200"/>
        <w:rPr>
          <w:rFonts w:ascii="宋体" w:hAnsi="宋体" w:eastAsia="宋体" w:cs="方正仿宋_GBK"/>
          <w:color w:val="auto"/>
          <w:szCs w:val="28"/>
          <w:highlight w:val="none"/>
        </w:rPr>
      </w:pPr>
    </w:p>
    <w:p>
      <w:pPr>
        <w:spacing w:line="440" w:lineRule="exact"/>
        <w:ind w:firstLine="438"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企业名称（盖章）：</w:t>
      </w:r>
    </w:p>
    <w:p>
      <w:pPr>
        <w:spacing w:line="440" w:lineRule="exact"/>
        <w:ind w:firstLine="438" w:firstLineChars="200"/>
        <w:rPr>
          <w:rFonts w:ascii="宋体" w:hAnsi="宋体" w:eastAsia="宋体" w:cs="方正仿宋_GBK"/>
          <w:color w:val="auto"/>
          <w:szCs w:val="28"/>
          <w:highlight w:val="none"/>
        </w:rPr>
      </w:pPr>
      <w:r>
        <w:rPr>
          <w:rFonts w:hint="eastAsia" w:ascii="宋体" w:hAnsi="宋体" w:eastAsia="宋体" w:cs="方正仿宋_GBK"/>
          <w:color w:val="auto"/>
          <w:szCs w:val="28"/>
          <w:highlight w:val="none"/>
        </w:rPr>
        <w:t>日期：</w:t>
      </w:r>
      <w:r>
        <w:rPr>
          <w:rFonts w:ascii="宋体" w:hAnsi="宋体" w:eastAsia="宋体" w:cs="方正仿宋_GBK"/>
          <w:color w:val="auto"/>
          <w:szCs w:val="28"/>
          <w:highlight w:val="none"/>
        </w:rPr>
        <w:t xml:space="preserve"> </w:t>
      </w:r>
    </w:p>
    <w:p>
      <w:pPr>
        <w:spacing w:line="440" w:lineRule="exact"/>
        <w:ind w:firstLine="438" w:firstLineChars="200"/>
        <w:rPr>
          <w:rFonts w:ascii="宋体" w:hAnsi="宋体" w:eastAsia="宋体" w:cs="方正仿宋_GBK"/>
          <w:color w:val="auto"/>
          <w:szCs w:val="28"/>
          <w:highlight w:val="none"/>
        </w:rPr>
        <w:sectPr>
          <w:headerReference r:id="rId21" w:type="first"/>
          <w:footerReference r:id="rId24" w:type="first"/>
          <w:headerReference r:id="rId19" w:type="default"/>
          <w:footerReference r:id="rId22" w:type="default"/>
          <w:headerReference r:id="rId20" w:type="even"/>
          <w:footerReference r:id="rId23" w:type="even"/>
          <w:pgSz w:w="11915" w:h="16840"/>
          <w:pgMar w:top="1135" w:right="1191" w:bottom="1135" w:left="1304" w:header="794" w:footer="992" w:gutter="0"/>
          <w:pgNumType w:fmt="decimal"/>
          <w:cols w:space="720" w:num="1"/>
          <w:docGrid w:type="linesAndChars" w:linePitch="393" w:charSpace="-4325"/>
        </w:sectPr>
      </w:pPr>
    </w:p>
    <w:p>
      <w:pPr>
        <w:spacing w:line="520" w:lineRule="exact"/>
        <w:ind w:firstLine="480" w:firstLineChars="200"/>
        <w:jc w:val="left"/>
        <w:rPr>
          <w:rFonts w:ascii="宋体" w:hAnsi="宋体" w:eastAsia="宋体" w:cs="仿宋"/>
          <w:color w:val="auto"/>
          <w:kern w:val="0"/>
          <w:szCs w:val="28"/>
          <w:highlight w:val="none"/>
        </w:rPr>
      </w:pPr>
      <w:bookmarkStart w:id="266" w:name="_Toc4380"/>
      <w:bookmarkStart w:id="267" w:name="_Toc6335"/>
      <w:bookmarkStart w:id="268" w:name="_Toc496021314"/>
      <w:bookmarkStart w:id="269" w:name="_Toc499740488"/>
      <w:r>
        <w:rPr>
          <w:rFonts w:ascii="宋体" w:hAnsi="宋体" w:eastAsia="宋体" w:cs="仿宋"/>
          <w:color w:val="auto"/>
          <w:kern w:val="0"/>
          <w:szCs w:val="28"/>
          <w:highlight w:val="none"/>
        </w:rPr>
        <w:t>2.</w:t>
      </w:r>
      <w:r>
        <w:rPr>
          <w:rFonts w:hint="eastAsia" w:ascii="宋体" w:hAnsi="宋体" w:eastAsia="宋体" w:cs="仿宋"/>
          <w:color w:val="auto"/>
          <w:kern w:val="0"/>
          <w:szCs w:val="28"/>
          <w:highlight w:val="none"/>
        </w:rPr>
        <w:t>监狱企业证明文件</w:t>
      </w:r>
      <w:bookmarkEnd w:id="266"/>
      <w:bookmarkEnd w:id="267"/>
      <w:bookmarkEnd w:id="268"/>
      <w:bookmarkEnd w:id="269"/>
    </w:p>
    <w:p>
      <w:pPr>
        <w:spacing w:line="520" w:lineRule="exact"/>
        <w:ind w:firstLine="480" w:firstLineChars="200"/>
        <w:jc w:val="left"/>
        <w:rPr>
          <w:rFonts w:ascii="宋体" w:hAnsi="宋体" w:eastAsia="宋体" w:cs="仿宋"/>
          <w:color w:val="auto"/>
          <w:kern w:val="0"/>
          <w:szCs w:val="28"/>
          <w:highlight w:val="none"/>
        </w:rPr>
      </w:pPr>
      <w:bookmarkStart w:id="270" w:name="_Toc496021315"/>
      <w:bookmarkStart w:id="271" w:name="_Toc17315"/>
      <w:bookmarkStart w:id="272" w:name="_Toc499740489"/>
      <w:bookmarkStart w:id="273" w:name="_Toc19887"/>
      <w:r>
        <w:rPr>
          <w:rFonts w:hint="eastAsia" w:ascii="宋体" w:hAnsi="宋体" w:eastAsia="宋体" w:cs="仿宋"/>
          <w:color w:val="auto"/>
          <w:kern w:val="0"/>
          <w:szCs w:val="28"/>
          <w:highlight w:val="none"/>
        </w:rPr>
        <w:t>以省级以上监狱管理局、戒毒管理局（含新疆生产建设兵团）出具的属于监狱企业的证明文件为准。</w:t>
      </w:r>
      <w:bookmarkEnd w:id="270"/>
      <w:bookmarkEnd w:id="271"/>
      <w:bookmarkEnd w:id="272"/>
      <w:bookmarkEnd w:id="273"/>
      <w:r>
        <w:rPr>
          <w:rFonts w:ascii="宋体" w:hAnsi="宋体" w:eastAsia="宋体" w:cs="仿宋"/>
          <w:color w:val="auto"/>
          <w:kern w:val="0"/>
          <w:szCs w:val="28"/>
          <w:highlight w:val="none"/>
        </w:rPr>
        <w:br w:type="page"/>
      </w:r>
      <w:bookmarkStart w:id="274" w:name="_Toc499740490"/>
      <w:bookmarkStart w:id="275" w:name="_Toc27689"/>
      <w:bookmarkStart w:id="276" w:name="_Toc17497"/>
      <w:bookmarkStart w:id="277" w:name="_Toc496021316"/>
      <w:r>
        <w:rPr>
          <w:rFonts w:ascii="宋体" w:hAnsi="宋体" w:eastAsia="宋体" w:cs="仿宋"/>
          <w:color w:val="auto"/>
          <w:kern w:val="0"/>
          <w:szCs w:val="28"/>
          <w:highlight w:val="none"/>
        </w:rPr>
        <w:t>3.</w:t>
      </w:r>
      <w:r>
        <w:rPr>
          <w:rFonts w:hint="eastAsia" w:ascii="宋体" w:hAnsi="宋体" w:eastAsia="宋体" w:cs="仿宋"/>
          <w:color w:val="auto"/>
          <w:kern w:val="0"/>
          <w:szCs w:val="28"/>
          <w:highlight w:val="none"/>
        </w:rPr>
        <w:t>残疾人福利性单位声明函</w:t>
      </w:r>
      <w:bookmarkEnd w:id="274"/>
      <w:bookmarkEnd w:id="275"/>
      <w:bookmarkEnd w:id="276"/>
      <w:bookmarkEnd w:id="277"/>
    </w:p>
    <w:p>
      <w:pPr>
        <w:spacing w:line="520" w:lineRule="exact"/>
        <w:ind w:firstLine="480" w:firstLineChars="200"/>
        <w:jc w:val="left"/>
        <w:rPr>
          <w:rFonts w:ascii="宋体" w:hAnsi="宋体" w:eastAsia="宋体" w:cs="仿宋"/>
          <w:color w:val="auto"/>
          <w:kern w:val="0"/>
          <w:szCs w:val="28"/>
          <w:highlight w:val="none"/>
        </w:rPr>
      </w:pPr>
    </w:p>
    <w:p>
      <w:pPr>
        <w:spacing w:line="520" w:lineRule="exact"/>
        <w:ind w:firstLine="480" w:firstLineChars="200"/>
        <w:jc w:val="center"/>
        <w:rPr>
          <w:rFonts w:ascii="宋体" w:hAnsi="宋体" w:eastAsia="宋体" w:cs="仿宋"/>
          <w:color w:val="auto"/>
          <w:kern w:val="0"/>
          <w:szCs w:val="28"/>
          <w:highlight w:val="none"/>
        </w:rPr>
      </w:pPr>
      <w:bookmarkStart w:id="278" w:name="_Toc499740491"/>
      <w:bookmarkStart w:id="279" w:name="_Toc2891"/>
      <w:bookmarkStart w:id="280" w:name="_Toc3848"/>
      <w:bookmarkStart w:id="281" w:name="_Toc496021317"/>
      <w:r>
        <w:rPr>
          <w:rFonts w:hint="eastAsia" w:ascii="宋体" w:hAnsi="宋体" w:eastAsia="宋体" w:cs="仿宋"/>
          <w:color w:val="auto"/>
          <w:kern w:val="0"/>
          <w:szCs w:val="28"/>
          <w:highlight w:val="none"/>
        </w:rPr>
        <w:t>残疾人福利性单位声明函</w:t>
      </w:r>
      <w:bookmarkEnd w:id="278"/>
      <w:bookmarkEnd w:id="279"/>
      <w:bookmarkEnd w:id="280"/>
      <w:bookmarkEnd w:id="281"/>
    </w:p>
    <w:p>
      <w:pPr>
        <w:spacing w:line="520" w:lineRule="exact"/>
        <w:ind w:firstLine="480" w:firstLineChars="200"/>
        <w:jc w:val="left"/>
        <w:rPr>
          <w:rFonts w:ascii="宋体" w:hAnsi="宋体" w:eastAsia="宋体" w:cs="仿宋"/>
          <w:color w:val="auto"/>
          <w:kern w:val="0"/>
          <w:szCs w:val="28"/>
          <w:highlight w:val="none"/>
        </w:rPr>
      </w:pPr>
    </w:p>
    <w:p>
      <w:pPr>
        <w:spacing w:line="520" w:lineRule="exact"/>
        <w:ind w:firstLine="480" w:firstLineChars="200"/>
        <w:jc w:val="left"/>
        <w:rPr>
          <w:rFonts w:ascii="宋体" w:hAnsi="宋体" w:eastAsia="宋体" w:cs="仿宋"/>
          <w:color w:val="auto"/>
          <w:kern w:val="0"/>
          <w:szCs w:val="28"/>
          <w:highlight w:val="none"/>
        </w:rPr>
      </w:pPr>
      <w:bookmarkStart w:id="282" w:name="_Toc26334"/>
      <w:bookmarkStart w:id="283" w:name="_Toc499740492"/>
      <w:bookmarkStart w:id="284" w:name="_Toc18291"/>
      <w:bookmarkStart w:id="285" w:name="_Toc496021318"/>
      <w:r>
        <w:rPr>
          <w:rFonts w:hint="eastAsia" w:ascii="宋体" w:hAnsi="宋体" w:eastAsia="宋体" w:cs="仿宋"/>
          <w:color w:val="auto"/>
          <w:kern w:val="0"/>
          <w:szCs w:val="28"/>
          <w:highlight w:val="none"/>
        </w:rPr>
        <w:t>本单位郑重声明，根据《财政部</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民政部</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中国残疾人联合会关于促进残疾人就业政府采购政策的通知》（财库〔</w:t>
      </w:r>
      <w:r>
        <w:rPr>
          <w:rFonts w:ascii="宋体" w:hAnsi="宋体" w:eastAsia="宋体" w:cs="仿宋"/>
          <w:color w:val="auto"/>
          <w:kern w:val="0"/>
          <w:szCs w:val="28"/>
          <w:highlight w:val="none"/>
        </w:rPr>
        <w:t>2017</w:t>
      </w:r>
      <w:r>
        <w:rPr>
          <w:rFonts w:hint="eastAsia" w:ascii="宋体" w:hAnsi="宋体" w:eastAsia="宋体" w:cs="仿宋"/>
          <w:color w:val="auto"/>
          <w:kern w:val="0"/>
          <w:szCs w:val="28"/>
          <w:highlight w:val="none"/>
        </w:rPr>
        <w:t>〕</w:t>
      </w:r>
      <w:r>
        <w:rPr>
          <w:rFonts w:ascii="宋体" w:hAnsi="宋体" w:eastAsia="宋体" w:cs="仿宋"/>
          <w:color w:val="auto"/>
          <w:kern w:val="0"/>
          <w:szCs w:val="28"/>
          <w:highlight w:val="none"/>
        </w:rPr>
        <w:t xml:space="preserve"> 141</w:t>
      </w:r>
      <w:r>
        <w:rPr>
          <w:rFonts w:hint="eastAsia" w:ascii="宋体" w:hAnsi="宋体" w:eastAsia="宋体" w:cs="仿宋"/>
          <w:color w:val="auto"/>
          <w:kern w:val="0"/>
          <w:szCs w:val="28"/>
          <w:highlight w:val="none"/>
        </w:rPr>
        <w:t>号）的规定，本单位为符合条件的残疾人福利性单位，且本单位参加</w:t>
      </w:r>
      <w:r>
        <w:rPr>
          <w:rFonts w:ascii="宋体" w:hAnsi="宋体" w:eastAsia="宋体" w:cs="仿宋"/>
          <w:color w:val="auto"/>
          <w:kern w:val="0"/>
          <w:szCs w:val="28"/>
          <w:highlight w:val="none"/>
        </w:rPr>
        <w:t>______</w:t>
      </w:r>
      <w:r>
        <w:rPr>
          <w:rFonts w:hint="eastAsia" w:ascii="宋体" w:hAnsi="宋体" w:eastAsia="宋体" w:cs="仿宋"/>
          <w:color w:val="auto"/>
          <w:kern w:val="0"/>
          <w:szCs w:val="28"/>
          <w:highlight w:val="none"/>
        </w:rPr>
        <w:t>单位的</w:t>
      </w:r>
      <w:r>
        <w:rPr>
          <w:rFonts w:ascii="宋体" w:hAnsi="宋体" w:eastAsia="宋体" w:cs="仿宋"/>
          <w:color w:val="auto"/>
          <w:kern w:val="0"/>
          <w:szCs w:val="28"/>
          <w:highlight w:val="none"/>
        </w:rPr>
        <w:t>______</w:t>
      </w:r>
      <w:r>
        <w:rPr>
          <w:rFonts w:hint="eastAsia" w:ascii="宋体" w:hAnsi="宋体" w:eastAsia="宋体" w:cs="仿宋"/>
          <w:color w:val="auto"/>
          <w:kern w:val="0"/>
          <w:szCs w:val="28"/>
          <w:highlight w:val="none"/>
        </w:rPr>
        <w:t>项目采购活动提供本单位制造的货物（由本单位承担工程</w:t>
      </w:r>
      <w:r>
        <w:rPr>
          <w:rFonts w:ascii="宋体" w:hAnsi="宋体" w:eastAsia="宋体" w:cs="仿宋"/>
          <w:color w:val="auto"/>
          <w:kern w:val="0"/>
          <w:szCs w:val="28"/>
          <w:highlight w:val="none"/>
        </w:rPr>
        <w:t>/</w:t>
      </w:r>
      <w:r>
        <w:rPr>
          <w:rFonts w:hint="eastAsia" w:ascii="宋体" w:hAnsi="宋体" w:eastAsia="宋体" w:cs="仿宋"/>
          <w:color w:val="auto"/>
          <w:kern w:val="0"/>
          <w:szCs w:val="28"/>
          <w:highlight w:val="none"/>
        </w:rPr>
        <w:t>提供服务），或者提供其他残疾人福利性单位制造的货物（不包括使用非残疾人福利性单位注册商标的货物）。</w:t>
      </w:r>
      <w:bookmarkEnd w:id="282"/>
      <w:bookmarkEnd w:id="283"/>
      <w:bookmarkEnd w:id="284"/>
      <w:bookmarkEnd w:id="285"/>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本单位对上述声明的真实性负责。如有虚假，将依法承担相应责任。</w:t>
      </w:r>
    </w:p>
    <w:p>
      <w:pPr>
        <w:spacing w:line="520" w:lineRule="exact"/>
        <w:ind w:firstLine="480" w:firstLineChars="200"/>
        <w:jc w:val="left"/>
        <w:rPr>
          <w:rFonts w:ascii="宋体" w:hAnsi="宋体" w:eastAsia="宋体" w:cs="仿宋"/>
          <w:color w:val="auto"/>
          <w:kern w:val="0"/>
          <w:szCs w:val="28"/>
          <w:highlight w:val="none"/>
        </w:rPr>
      </w:pPr>
    </w:p>
    <w:p>
      <w:pPr>
        <w:spacing w:line="520" w:lineRule="exact"/>
        <w:ind w:firstLine="480" w:firstLineChars="200"/>
        <w:jc w:val="left"/>
        <w:rPr>
          <w:rFonts w:ascii="宋体" w:hAnsi="宋体" w:eastAsia="宋体" w:cs="仿宋"/>
          <w:color w:val="auto"/>
          <w:kern w:val="0"/>
          <w:szCs w:val="28"/>
          <w:highlight w:val="none"/>
        </w:rPr>
      </w:pPr>
    </w:p>
    <w:p>
      <w:pPr>
        <w:spacing w:line="520" w:lineRule="exact"/>
        <w:ind w:firstLine="480" w:firstLineChars="200"/>
        <w:jc w:val="right"/>
        <w:rPr>
          <w:rFonts w:ascii="宋体" w:hAnsi="宋体" w:eastAsia="宋体" w:cs="仿宋"/>
          <w:color w:val="auto"/>
          <w:kern w:val="0"/>
          <w:szCs w:val="28"/>
          <w:highlight w:val="none"/>
        </w:rPr>
      </w:pPr>
      <w:bookmarkStart w:id="286" w:name="_Toc18094"/>
      <w:bookmarkStart w:id="287" w:name="_Toc10798"/>
      <w:bookmarkStart w:id="288" w:name="_Toc11508"/>
      <w:bookmarkStart w:id="289" w:name="_Toc7340"/>
      <w:r>
        <w:rPr>
          <w:rFonts w:hint="eastAsia" w:ascii="宋体" w:hAnsi="宋体" w:eastAsia="宋体" w:cs="仿宋"/>
          <w:color w:val="auto"/>
          <w:kern w:val="0"/>
          <w:szCs w:val="28"/>
          <w:highlight w:val="none"/>
          <w:lang w:eastAsia="zh-CN"/>
        </w:rPr>
        <w:t>投标人</w:t>
      </w:r>
      <w:r>
        <w:rPr>
          <w:rFonts w:hint="eastAsia" w:ascii="宋体" w:hAnsi="宋体" w:eastAsia="宋体" w:cs="仿宋"/>
          <w:color w:val="auto"/>
          <w:kern w:val="0"/>
          <w:szCs w:val="28"/>
          <w:highlight w:val="none"/>
        </w:rPr>
        <w:t>名称（公章）：</w:t>
      </w:r>
      <w:r>
        <w:rPr>
          <w:rFonts w:ascii="宋体" w:hAnsi="宋体" w:eastAsia="宋体" w:cs="仿宋"/>
          <w:color w:val="auto"/>
          <w:kern w:val="0"/>
          <w:szCs w:val="28"/>
          <w:highlight w:val="none"/>
        </w:rPr>
        <w:t xml:space="preserve">        </w:t>
      </w:r>
    </w:p>
    <w:p>
      <w:pPr>
        <w:spacing w:line="520" w:lineRule="exact"/>
        <w:ind w:firstLine="480" w:firstLineChars="200"/>
        <w:jc w:val="righ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年</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月</w:t>
      </w:r>
      <w:r>
        <w:rPr>
          <w:rFonts w:ascii="宋体" w:hAnsi="宋体" w:eastAsia="宋体" w:cs="仿宋"/>
          <w:color w:val="auto"/>
          <w:kern w:val="0"/>
          <w:szCs w:val="28"/>
          <w:highlight w:val="none"/>
        </w:rPr>
        <w:t xml:space="preserve">    </w:t>
      </w:r>
      <w:r>
        <w:rPr>
          <w:rFonts w:hint="eastAsia" w:ascii="宋体" w:hAnsi="宋体" w:eastAsia="宋体" w:cs="仿宋"/>
          <w:color w:val="auto"/>
          <w:kern w:val="0"/>
          <w:szCs w:val="28"/>
          <w:highlight w:val="none"/>
        </w:rPr>
        <w:t>日</w:t>
      </w:r>
      <w:r>
        <w:rPr>
          <w:rFonts w:ascii="宋体" w:hAnsi="宋体" w:eastAsia="宋体" w:cs="仿宋"/>
          <w:color w:val="auto"/>
          <w:kern w:val="0"/>
          <w:szCs w:val="28"/>
          <w:highlight w:val="none"/>
        </w:rPr>
        <w:t xml:space="preserve">            </w:t>
      </w:r>
    </w:p>
    <w:p>
      <w:pPr>
        <w:rPr>
          <w:rFonts w:ascii="宋体" w:hAnsi="宋体" w:eastAsia="宋体" w:cs="仿宋"/>
          <w:color w:val="auto"/>
          <w:kern w:val="0"/>
          <w:szCs w:val="28"/>
          <w:highlight w:val="none"/>
        </w:rPr>
      </w:pPr>
      <w:r>
        <w:rPr>
          <w:rFonts w:ascii="宋体" w:hAnsi="宋体" w:eastAsia="宋体" w:cs="仿宋"/>
          <w:color w:val="auto"/>
          <w:szCs w:val="28"/>
          <w:highlight w:val="none"/>
        </w:rPr>
        <w:br w:type="page"/>
      </w:r>
    </w:p>
    <w:p>
      <w:pPr>
        <w:spacing w:line="520" w:lineRule="exact"/>
        <w:ind w:firstLine="480" w:firstLineChars="200"/>
        <w:jc w:val="left"/>
        <w:rPr>
          <w:rFonts w:ascii="宋体" w:hAnsi="宋体" w:eastAsia="宋体" w:cs="仿宋"/>
          <w:color w:val="auto"/>
          <w:kern w:val="0"/>
          <w:szCs w:val="28"/>
          <w:highlight w:val="none"/>
        </w:rPr>
      </w:pPr>
      <w:r>
        <w:rPr>
          <w:rFonts w:hint="eastAsia" w:ascii="宋体" w:hAnsi="宋体" w:eastAsia="宋体" w:cs="仿宋"/>
          <w:color w:val="auto"/>
          <w:kern w:val="0"/>
          <w:szCs w:val="28"/>
          <w:highlight w:val="none"/>
        </w:rPr>
        <w:t>（二）其他与项目有关的资料（自附）</w:t>
      </w:r>
      <w:bookmarkEnd w:id="286"/>
      <w:bookmarkEnd w:id="287"/>
      <w:bookmarkEnd w:id="288"/>
      <w:bookmarkEnd w:id="289"/>
    </w:p>
    <w:p>
      <w:pPr>
        <w:pStyle w:val="5"/>
        <w:widowControl/>
        <w:spacing w:before="0" w:after="0"/>
        <w:rPr>
          <w:rFonts w:ascii="宋体" w:hAnsi="宋体" w:cs="仿宋"/>
          <w:color w:val="auto"/>
          <w:kern w:val="0"/>
          <w:szCs w:val="28"/>
          <w:highlight w:val="none"/>
        </w:rPr>
      </w:pPr>
      <w:r>
        <w:rPr>
          <w:rFonts w:ascii="宋体" w:hAnsi="宋体" w:cs="仿宋"/>
          <w:color w:val="auto"/>
          <w:kern w:val="0"/>
          <w:szCs w:val="28"/>
          <w:highlight w:val="none"/>
        </w:rPr>
        <w:t xml:space="preserve"> </w:t>
      </w:r>
    </w:p>
    <w:bookmarkEnd w:id="263"/>
    <w:bookmarkEnd w:id="264"/>
    <w:bookmarkEnd w:id="265"/>
    <w:p>
      <w:pPr>
        <w:tabs>
          <w:tab w:val="left" w:pos="6300"/>
        </w:tabs>
        <w:snapToGrid w:val="0"/>
        <w:spacing w:line="500" w:lineRule="exact"/>
        <w:jc w:val="both"/>
        <w:rPr>
          <w:rFonts w:ascii="宋体" w:hAnsi="宋体" w:eastAsia="宋体"/>
          <w:color w:val="auto"/>
          <w:highlight w:val="none"/>
        </w:rPr>
      </w:pPr>
    </w:p>
    <w:sectPr>
      <w:pgSz w:w="11906" w:h="16838"/>
      <w:pgMar w:top="1440" w:right="1226" w:bottom="1440" w:left="13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5EFDE61-85C6-4CEF-B609-7E3588A0051A}"/>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7336F66C-922E-4BB0-BB17-A658FE395DC8}"/>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
    <w:altName w:val="Times New Roman"/>
    <w:panose1 w:val="00000000000000000000"/>
    <w:charset w:val="00"/>
    <w:family w:val="auto"/>
    <w:pitch w:val="default"/>
    <w:sig w:usb0="00000000" w:usb1="00000000" w:usb2="00000000" w:usb3="00000000" w:csb0="00000001" w:csb1="00000000"/>
  </w:font>
  <w:font w:name="仿宋体">
    <w:altName w:val="仿宋"/>
    <w:panose1 w:val="00000000000000000000"/>
    <w:charset w:val="86"/>
    <w:family w:val="roma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书宋简体">
    <w:altName w:val="微软雅黑"/>
    <w:panose1 w:val="00000000000000000000"/>
    <w:charset w:val="86"/>
    <w:family w:val="script"/>
    <w:pitch w:val="default"/>
    <w:sig w:usb0="00000000" w:usb1="00000000" w:usb2="00000000" w:usb3="00000000" w:csb0="00040000" w:csb1="00000000"/>
  </w:font>
  <w:font w:name="方正小标宋简体">
    <w:altName w:val="仿宋_GB2312"/>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84BD4ED7-4BCF-47E8-9C65-6EB3CE800406}"/>
  </w:font>
  <w:font w:name="方正仿宋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4" w:fontKey="{3466A9CE-50F8-4ECF-8666-2F13770A3067}"/>
  </w:font>
  <w:font w:name="ˎ̥">
    <w:altName w:val="Times New Roman"/>
    <w:panose1 w:val="00000000000000000000"/>
    <w:charset w:val="00"/>
    <w:family w:val="auto"/>
    <w:pitch w:val="default"/>
    <w:sig w:usb0="00000000" w:usb1="00000000" w:usb2="00000000" w:usb3="00000000" w:csb0="00040001" w:csb1="00000000"/>
  </w:font>
  <w:font w:name="????_GBK">
    <w:altName w:val="Courier New"/>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embedRegular r:id="rId5" w:fontKey="{B6D35418-66D4-474D-80F4-9EF8F6DEB26F}"/>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1</w:t>
                          </w:r>
                          <w:r>
                            <w:rPr>
                              <w:color w:val="7F7F7F"/>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1</w:t>
                    </w:r>
                    <w:r>
                      <w:rPr>
                        <w:color w:val="7F7F7F"/>
                        <w:sz w:val="21"/>
                        <w:szCs w:val="21"/>
                      </w:rPr>
                      <w:fldChar w:fldCharType="end"/>
                    </w:r>
                  </w:p>
                </w:txbxContent>
              </v:textbox>
            </v:shape>
          </w:pict>
        </mc:Fallback>
      </mc:AlternateContent>
    </w:r>
  </w:p>
  <w:p>
    <w:pPr>
      <w:pStyle w:val="38"/>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align>top</wp:align>
              </wp:positionV>
              <wp:extent cx="57785" cy="131445"/>
              <wp:effectExtent l="0" t="0" r="0" b="1905"/>
              <wp:wrapNone/>
              <wp:docPr id="1" name="Quad Arrow 4"/>
              <wp:cNvGraphicFramePr/>
              <a:graphic xmlns:a="http://schemas.openxmlformats.org/drawingml/2006/main">
                <a:graphicData uri="http://schemas.microsoft.com/office/word/2010/wordprocessingShape">
                  <wps:wsp>
                    <wps:cNvSpPr txBox="1"/>
                    <wps:spPr bwMode="auto">
                      <a:xfrm>
                        <a:off x="0" y="0"/>
                        <a:ext cx="57785" cy="131445"/>
                      </a:xfrm>
                      <a:prstGeom prst="rect">
                        <a:avLst/>
                      </a:prstGeom>
                      <a:noFill/>
                      <a:ln>
                        <a:noFill/>
                      </a:ln>
                    </wps:spPr>
                    <wps:txbx>
                      <w:txbxContent>
                        <w:p>
                          <w:pPr>
                            <w:snapToGrid w:val="0"/>
                            <w:rPr>
                              <w:sz w:val="18"/>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Quad Arrow 4" o:spid="_x0000_s1026" o:spt="202" type="#_x0000_t202" style="position:absolute;left:0pt;height:10.35pt;width:4.55pt;mso-position-horizontal:center;mso-position-horizontal-relative:margin;mso-position-vertical:top;mso-position-vertical-relative:page;mso-wrap-style:none;z-index:25166131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L3UTQAAAAAgEAAA8AAAAA&#10;AAAAAQAgAAAAIgAAAGRycy9kb3ducmV2LnhtbFBLAQIUABQAAAAIAIdO4kBaJsWe4wEAANIDAAAO&#10;AAAAAAAAAAEAIAAAAB8BAABkcnMvZTJvRG9jLnhtbFBLBQYAAAAABgAGAFkBAAB0BQAAAAA=&#10;">
              <v:fill on="f" focussize="0,0"/>
              <v:stroke on="f"/>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color w:val="7F7F7F"/>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115</w:t>
                          </w:r>
                          <w:r>
                            <w:rPr>
                              <w:color w:val="7F7F7F"/>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115</w:t>
                    </w:r>
                    <w:r>
                      <w:rPr>
                        <w:color w:val="7F7F7F"/>
                        <w:sz w:val="21"/>
                        <w:szCs w:val="21"/>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7"/>
      </w:rPr>
    </w:pPr>
    <w:r>
      <w:rPr>
        <w:rStyle w:val="67"/>
      </w:rPr>
      <w:fldChar w:fldCharType="begin"/>
    </w:r>
    <w:r>
      <w:rPr>
        <w:rStyle w:val="67"/>
      </w:rPr>
      <w:instrText xml:space="preserve">PAGE  </w:instrText>
    </w:r>
    <w:r>
      <w:rPr>
        <w:rStyle w:val="67"/>
      </w:rPr>
      <w:fldChar w:fldCharType="separate"/>
    </w:r>
    <w:r>
      <w:rPr>
        <w:rStyle w:val="67"/>
      </w:rPr>
      <w:t>26</w:t>
    </w:r>
    <w:r>
      <w:rPr>
        <w:rStyle w:val="67"/>
      </w:rP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1</w:t>
                          </w:r>
                          <w:r>
                            <w:rPr>
                              <w:color w:val="7F7F7F"/>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1</w:t>
                    </w:r>
                    <w:r>
                      <w:rPr>
                        <w:color w:val="7F7F7F"/>
                        <w:sz w:val="21"/>
                        <w:szCs w:val="21"/>
                      </w:rPr>
                      <w:fldChar w:fldCharType="end"/>
                    </w:r>
                  </w:p>
                </w:txbxContent>
              </v:textbox>
            </v:shape>
          </w:pict>
        </mc:Fallback>
      </mc:AlternateContent>
    </w:r>
  </w:p>
  <w:p>
    <w:pPr>
      <w:pStyle w:val="3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color w:val="7F7F7F"/>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w:t>
                          </w:r>
                          <w:r>
                            <w:rPr>
                              <w:color w:val="7F7F7F"/>
                              <w:sz w:val="21"/>
                              <w:szCs w:val="21"/>
                            </w:rPr>
                            <w:t xml:space="preserve"> 34 -</w:t>
                          </w:r>
                          <w:r>
                            <w:rPr>
                              <w:color w:val="7F7F7F"/>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w:t>
                    </w:r>
                    <w:r>
                      <w:rPr>
                        <w:color w:val="7F7F7F"/>
                        <w:sz w:val="21"/>
                        <w:szCs w:val="21"/>
                      </w:rPr>
                      <w:t xml:space="preserve"> 34 -</w:t>
                    </w:r>
                    <w:r>
                      <w:rPr>
                        <w:color w:val="7F7F7F"/>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hint="eastAsia" w:ascii="宋体" w:hAnsi="宋体"/>
        <w:sz w:val="21"/>
        <w:szCs w:val="21"/>
      </w:rPr>
    </w:pPr>
    <w:r>
      <w:rPr>
        <w:rFonts w:ascii="宋体" w:hAnsi="宋体"/>
        <w:sz w:val="21"/>
        <w:szCs w:val="21"/>
      </w:rPr>
      <w:fldChar w:fldCharType="begin"/>
    </w:r>
    <w:r>
      <w:rPr>
        <w:rStyle w:val="67"/>
        <w:rFonts w:ascii="宋体" w:hAnsi="宋体"/>
        <w:sz w:val="21"/>
        <w:szCs w:val="21"/>
      </w:rPr>
      <w:instrText xml:space="preserve"> PAGE </w:instrText>
    </w:r>
    <w:r>
      <w:rPr>
        <w:rFonts w:ascii="宋体" w:hAnsi="宋体"/>
        <w:sz w:val="21"/>
        <w:szCs w:val="21"/>
      </w:rPr>
      <w:fldChar w:fldCharType="separate"/>
    </w:r>
    <w:r>
      <w:rPr>
        <w:rStyle w:val="67"/>
        <w:rFonts w:ascii="宋体" w:hAnsi="宋体"/>
        <w:sz w:val="21"/>
        <w:szCs w:val="21"/>
      </w:rPr>
      <w:t>- 48 -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7"/>
      </w:rPr>
    </w:pPr>
    <w:r>
      <w:fldChar w:fldCharType="begin"/>
    </w:r>
    <w:r>
      <w:rPr>
        <w:rStyle w:val="67"/>
      </w:rPr>
      <w:instrText xml:space="preserve">PAGE  </w:instrText>
    </w:r>
    <w:r>
      <w:fldChar w:fldCharType="separate"/>
    </w:r>
    <w:r>
      <w:fldChar w:fldCharType="end"/>
    </w:r>
  </w:p>
  <w:p>
    <w:pPr>
      <w:pStyle w:val="3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color w:val="7F7F7F"/>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w:t>
                          </w:r>
                          <w:r>
                            <w:rPr>
                              <w:color w:val="7F7F7F"/>
                              <w:sz w:val="21"/>
                              <w:szCs w:val="21"/>
                            </w:rPr>
                            <w:t xml:space="preserve"> 110 -</w:t>
                          </w:r>
                          <w:r>
                            <w:rPr>
                              <w:color w:val="7F7F7F"/>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8"/>
                      <w:jc w:val="center"/>
                    </w:pPr>
                    <w:r>
                      <w:rPr>
                        <w:color w:val="7F7F7F"/>
                        <w:sz w:val="21"/>
                        <w:szCs w:val="21"/>
                      </w:rPr>
                      <w:fldChar w:fldCharType="begin"/>
                    </w:r>
                    <w:r>
                      <w:rPr>
                        <w:color w:val="7F7F7F"/>
                        <w:sz w:val="21"/>
                        <w:szCs w:val="21"/>
                      </w:rPr>
                      <w:instrText xml:space="preserve">PAGE   \* MERGEFORMAT</w:instrText>
                    </w:r>
                    <w:r>
                      <w:rPr>
                        <w:color w:val="7F7F7F"/>
                        <w:sz w:val="21"/>
                        <w:szCs w:val="21"/>
                      </w:rPr>
                      <w:fldChar w:fldCharType="separate"/>
                    </w:r>
                    <w:r>
                      <w:rPr>
                        <w:color w:val="7F7F7F"/>
                        <w:sz w:val="21"/>
                        <w:szCs w:val="21"/>
                        <w:lang w:val="zh-CN"/>
                      </w:rPr>
                      <w:t>-</w:t>
                    </w:r>
                    <w:r>
                      <w:rPr>
                        <w:color w:val="7F7F7F"/>
                        <w:sz w:val="21"/>
                        <w:szCs w:val="21"/>
                      </w:rPr>
                      <w:t xml:space="preserve"> 110 -</w:t>
                    </w:r>
                    <w:r>
                      <w:rPr>
                        <w:color w:val="7F7F7F"/>
                        <w:sz w:val="21"/>
                        <w:szCs w:val="21"/>
                      </w:rPr>
                      <w:fldChar w:fldCharType="end"/>
                    </w:r>
                  </w:p>
                </w:txbxContent>
              </v:textbox>
            </v:shape>
          </w:pict>
        </mc:Fallback>
      </mc:AlternateContent>
    </w:r>
  </w:p>
  <w:p>
    <w:pPr>
      <w:pStyle w:val="38"/>
      <w:tabs>
        <w:tab w:val="center" w:pos="4706"/>
        <w:tab w:val="clear" w:pos="4153"/>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7"/>
      </w:rPr>
    </w:pPr>
    <w:r>
      <w:rPr>
        <w:rStyle w:val="67"/>
      </w:rPr>
      <w:fldChar w:fldCharType="begin"/>
    </w:r>
    <w:r>
      <w:rPr>
        <w:rStyle w:val="67"/>
      </w:rPr>
      <w:instrText xml:space="preserve">PAGE  </w:instrText>
    </w:r>
    <w:r>
      <w:rPr>
        <w:rStyle w:val="67"/>
      </w:rPr>
      <w:fldChar w:fldCharType="separate"/>
    </w:r>
    <w:r>
      <w:rPr>
        <w:rStyle w:val="67"/>
      </w:rPr>
      <w:t>26</w:t>
    </w:r>
    <w:r>
      <w:rPr>
        <w:rStyle w:val="67"/>
      </w:rPr>
      <w:fldChar w:fldCharType="end"/>
    </w:r>
  </w:p>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ascii="????_GBK" w:eastAsia="宋体"/>
        <w:color w:val="7F7F7F"/>
        <w:sz w:val="21"/>
        <w:szCs w:val="21"/>
        <w:lang w:eastAsia="zh-CN"/>
      </w:rPr>
      <w:t>同致诚工程咨询有限公司</w:t>
    </w:r>
    <w:r>
      <w:rPr>
        <w:rFonts w:hint="eastAsia" w:ascii="????_GBK"/>
        <w:color w:val="7F7F7F"/>
        <w:sz w:val="21"/>
        <w:szCs w:val="21"/>
      </w:rPr>
      <w:t xml:space="preserve">                                  </w:t>
    </w:r>
    <w:r>
      <w:rPr>
        <w:rFonts w:ascii="????_GBK" w:eastAsia="Times New Roman"/>
        <w:color w:val="7F7F7F"/>
        <w:sz w:val="21"/>
        <w:szCs w:val="21"/>
      </w:rPr>
      <w:t>竞争性磋商文件</w:t>
    </w:r>
  </w:p>
  <w:p>
    <w:pPr>
      <w:pStyle w:val="39"/>
      <w:pBdr>
        <w:bottom w:val="none" w:color="auto" w:sz="0" w:space="0"/>
      </w:pBdr>
      <w:jc w:val="distribute"/>
      <w:rPr>
        <w:color w:val="7F7F7F"/>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ascii="????_GBK" w:eastAsia="宋体"/>
        <w:color w:val="7F7F7F"/>
        <w:sz w:val="21"/>
        <w:szCs w:val="21"/>
        <w:lang w:eastAsia="zh-CN"/>
      </w:rPr>
      <w:t>同致诚工程咨询有限公司</w:t>
    </w:r>
    <w:r>
      <w:rPr>
        <w:rFonts w:hint="eastAsia" w:ascii="????_GBK"/>
        <w:color w:val="7F7F7F"/>
        <w:sz w:val="21"/>
        <w:szCs w:val="21"/>
      </w:rPr>
      <w:t xml:space="preserve">                                  </w:t>
    </w:r>
    <w:r>
      <w:rPr>
        <w:rFonts w:ascii="????_GBK" w:eastAsia="Times New Roman"/>
        <w:color w:val="7F7F7F"/>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ascii="????_GBK" w:eastAsia="宋体"/>
        <w:color w:val="7F7F7F"/>
        <w:sz w:val="21"/>
        <w:szCs w:val="21"/>
        <w:lang w:eastAsia="zh-CN"/>
      </w:rPr>
      <w:t>同致诚工程咨询有限公司</w:t>
    </w:r>
    <w:r>
      <w:rPr>
        <w:rFonts w:hint="eastAsia" w:ascii="????_GBK"/>
        <w:color w:val="7F7F7F"/>
        <w:sz w:val="21"/>
        <w:szCs w:val="21"/>
      </w:rPr>
      <w:t xml:space="preserve">                                </w:t>
    </w:r>
    <w:r>
      <w:rPr>
        <w:rFonts w:ascii="????_GBK" w:eastAsia="Times New Roman"/>
        <w:color w:val="7F7F7F"/>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ascii="????_GBK" w:eastAsia="宋体"/>
        <w:color w:val="7F7F7F"/>
        <w:sz w:val="21"/>
        <w:szCs w:val="21"/>
        <w:lang w:eastAsia="zh-CN"/>
      </w:rPr>
      <w:t>同致诚工程咨询有限公司</w:t>
    </w:r>
    <w:r>
      <w:rPr>
        <w:rFonts w:hint="eastAsia" w:ascii="????_GBK"/>
        <w:color w:val="7F7F7F"/>
        <w:sz w:val="21"/>
        <w:szCs w:val="21"/>
      </w:rPr>
      <w:t xml:space="preserve">                              </w:t>
    </w:r>
    <w:r>
      <w:rPr>
        <w:rFonts w:hint="eastAsia" w:ascii="????_GBK"/>
        <w:color w:val="7F7F7F"/>
        <w:sz w:val="21"/>
        <w:szCs w:val="21"/>
        <w:lang w:val="en-US" w:eastAsia="zh-CN"/>
      </w:rPr>
      <w:t xml:space="preserve">   </w:t>
    </w:r>
    <w:r>
      <w:rPr>
        <w:rFonts w:hint="eastAsia" w:ascii="????_GBK"/>
        <w:color w:val="7F7F7F"/>
        <w:sz w:val="21"/>
        <w:szCs w:val="21"/>
      </w:rPr>
      <w:t xml:space="preserve">  </w:t>
    </w:r>
    <w:r>
      <w:rPr>
        <w:rFonts w:ascii="????_GBK" w:eastAsia="Times New Roman"/>
        <w:color w:val="7F7F7F"/>
        <w:sz w:val="21"/>
        <w:szCs w:val="21"/>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ascii="????_GBK" w:eastAsia="宋体"/>
        <w:color w:val="7F7F7F"/>
        <w:sz w:val="21"/>
        <w:szCs w:val="21"/>
        <w:lang w:eastAsia="zh-CN"/>
      </w:rPr>
      <w:t>同致诚工程咨询有限公司</w:t>
    </w:r>
    <w:r>
      <w:rPr>
        <w:rFonts w:hint="eastAsia" w:ascii="????_GBK"/>
        <w:color w:val="7F7F7F"/>
        <w:sz w:val="21"/>
        <w:szCs w:val="21"/>
      </w:rPr>
      <w:t xml:space="preserve">                                </w:t>
    </w:r>
    <w:r>
      <w:rPr>
        <w:rFonts w:hint="eastAsia" w:ascii="????_GBK"/>
        <w:color w:val="7F7F7F"/>
        <w:sz w:val="21"/>
        <w:szCs w:val="21"/>
        <w:lang w:val="en-US" w:eastAsia="zh-CN"/>
      </w:rPr>
      <w:t xml:space="preserve">    </w:t>
    </w:r>
    <w:r>
      <w:rPr>
        <w:rFonts w:ascii="????_GBK" w:eastAsia="Times New Roman"/>
        <w:color w:val="7F7F7F"/>
        <w:sz w:val="21"/>
        <w:szCs w:val="21"/>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ascii="????_GBK" w:eastAsia="宋体"/>
        <w:color w:val="7F7F7F"/>
        <w:sz w:val="21"/>
        <w:szCs w:val="21"/>
        <w:lang w:eastAsia="zh-CN"/>
      </w:rPr>
      <w:t>同致诚工程咨询有限公司</w:t>
    </w:r>
    <w:r>
      <w:rPr>
        <w:rFonts w:hint="eastAsia" w:ascii="????_GBK"/>
        <w:color w:val="7F7F7F"/>
        <w:sz w:val="21"/>
        <w:szCs w:val="21"/>
      </w:rPr>
      <w:t xml:space="preserve">                                </w:t>
    </w:r>
    <w:r>
      <w:rPr>
        <w:rFonts w:hint="eastAsia" w:ascii="????_GBK"/>
        <w:color w:val="7F7F7F"/>
        <w:sz w:val="21"/>
        <w:szCs w:val="21"/>
        <w:lang w:val="en-US" w:eastAsia="zh-CN"/>
      </w:rPr>
      <w:t xml:space="preserve">    </w:t>
    </w:r>
    <w:r>
      <w:rPr>
        <w:rFonts w:ascii="????_GBK" w:eastAsia="Times New Roman"/>
        <w:color w:val="7F7F7F"/>
        <w:sz w:val="21"/>
        <w:szCs w:val="21"/>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left" w:pos="8160"/>
        <w:tab w:val="left" w:pos="8400"/>
        <w:tab w:val="right" w:pos="9360"/>
        <w:tab w:val="clear" w:pos="8306"/>
      </w:tabs>
      <w:ind w:right="0" w:rightChars="0"/>
      <w:jc w:val="both"/>
    </w:pPr>
    <w:r>
      <w:rPr>
        <w:rFonts w:hint="eastAsia" w:ascii="????_GBK" w:eastAsia="宋体"/>
        <w:color w:val="7F7F7F"/>
        <w:sz w:val="21"/>
        <w:szCs w:val="21"/>
        <w:lang w:eastAsia="zh-CN"/>
      </w:rPr>
      <w:t>同致诚工程咨询有限公司</w:t>
    </w:r>
    <w:r>
      <w:rPr>
        <w:rFonts w:hint="eastAsia" w:ascii="????_GBK"/>
        <w:color w:val="7F7F7F"/>
        <w:sz w:val="21"/>
        <w:szCs w:val="21"/>
      </w:rPr>
      <w:t xml:space="preserve">     </w:t>
    </w:r>
    <w:r>
      <w:rPr>
        <w:rFonts w:hint="eastAsia" w:ascii="????_GBK"/>
        <w:color w:val="7F7F7F"/>
        <w:sz w:val="21"/>
        <w:szCs w:val="21"/>
        <w:lang w:val="en-US" w:eastAsia="zh-CN"/>
      </w:rPr>
      <w:t xml:space="preserve">         </w:t>
    </w:r>
    <w:r>
      <w:rPr>
        <w:rFonts w:hint="eastAsia" w:ascii="????_GBK"/>
        <w:color w:val="7F7F7F"/>
        <w:sz w:val="21"/>
        <w:szCs w:val="21"/>
      </w:rPr>
      <w:t xml:space="preserve">         </w:t>
    </w:r>
    <w:r>
      <w:rPr>
        <w:rFonts w:hint="eastAsia" w:ascii="????_GBK"/>
        <w:color w:val="7F7F7F"/>
        <w:sz w:val="21"/>
        <w:szCs w:val="21"/>
        <w:lang w:val="en-US" w:eastAsia="zh-CN"/>
      </w:rPr>
      <w:t xml:space="preserve">    </w:t>
    </w:r>
    <w:r>
      <w:rPr>
        <w:rFonts w:hint="eastAsia" w:ascii="????_GBK"/>
        <w:color w:val="7F7F7F"/>
        <w:sz w:val="21"/>
        <w:szCs w:val="21"/>
      </w:rPr>
      <w:t xml:space="preserve">   </w:t>
    </w:r>
    <w:r>
      <w:rPr>
        <w:rFonts w:hint="eastAsia" w:ascii="????_GBK"/>
        <w:color w:val="7F7F7F"/>
        <w:sz w:val="21"/>
        <w:szCs w:val="21"/>
        <w:lang w:val="en-US" w:eastAsia="zh-CN"/>
      </w:rPr>
      <w:t xml:space="preserve">      </w:t>
    </w:r>
    <w:r>
      <w:rPr>
        <w:rFonts w:ascii="????_GBK" w:eastAsia="Times New Roman"/>
        <w:color w:val="7F7F7F"/>
        <w:sz w:val="21"/>
        <w:szCs w:val="21"/>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843C9"/>
    <w:multiLevelType w:val="singleLevel"/>
    <w:tmpl w:val="9B2843C9"/>
    <w:lvl w:ilvl="0" w:tentative="0">
      <w:start w:val="2"/>
      <w:numFmt w:val="chineseCounting"/>
      <w:suff w:val="nothing"/>
      <w:lvlText w:val="（%1）"/>
      <w:lvlJc w:val="left"/>
      <w:rPr>
        <w:rFonts w:hint="eastAsia" w:cs="Times New Roman"/>
      </w:rPr>
    </w:lvl>
  </w:abstractNum>
  <w:abstractNum w:abstractNumId="1">
    <w:nsid w:val="BA965F73"/>
    <w:multiLevelType w:val="singleLevel"/>
    <w:tmpl w:val="BA965F73"/>
    <w:lvl w:ilvl="0" w:tentative="0">
      <w:start w:val="6"/>
      <w:numFmt w:val="chineseCounting"/>
      <w:suff w:val="space"/>
      <w:lvlText w:val="第%1篇"/>
      <w:lvlJc w:val="left"/>
      <w:rPr>
        <w:rFonts w:hint="eastAsia" w:cs="Times New Roman"/>
      </w:rPr>
    </w:lvl>
  </w:abstractNum>
  <w:abstractNum w:abstractNumId="2">
    <w:nsid w:val="E8033A27"/>
    <w:multiLevelType w:val="singleLevel"/>
    <w:tmpl w:val="E8033A27"/>
    <w:lvl w:ilvl="0" w:tentative="0">
      <w:start w:val="1"/>
      <w:numFmt w:val="decimal"/>
      <w:suff w:val="nothing"/>
      <w:lvlText w:val="（%1）"/>
      <w:lvlJc w:val="left"/>
      <w:pPr>
        <w:ind w:left="211"/>
      </w:pPr>
    </w:lvl>
  </w:abstractNum>
  <w:abstractNum w:abstractNumId="3">
    <w:nsid w:val="1CD01DC5"/>
    <w:multiLevelType w:val="singleLevel"/>
    <w:tmpl w:val="1CD01DC5"/>
    <w:lvl w:ilvl="0" w:tentative="0">
      <w:start w:val="1"/>
      <w:numFmt w:val="decimal"/>
      <w:lvlText w:val="%1."/>
      <w:lvlJc w:val="left"/>
      <w:pPr>
        <w:tabs>
          <w:tab w:val="left" w:pos="312"/>
        </w:tabs>
      </w:pPr>
    </w:lvl>
  </w:abstractNum>
  <w:abstractNum w:abstractNumId="4">
    <w:nsid w:val="34464460"/>
    <w:multiLevelType w:val="singleLevel"/>
    <w:tmpl w:val="34464460"/>
    <w:lvl w:ilvl="0" w:tentative="0">
      <w:start w:val="1"/>
      <w:numFmt w:val="decimal"/>
      <w:lvlText w:val="%1."/>
      <w:lvlJc w:val="left"/>
      <w:pPr>
        <w:ind w:left="425" w:hanging="425"/>
      </w:pPr>
      <w:rPr>
        <w:rFonts w:hint="default"/>
      </w:rPr>
    </w:lvl>
  </w:abstractNum>
  <w:abstractNum w:abstractNumId="5">
    <w:nsid w:val="4B4C3E0A"/>
    <w:multiLevelType w:val="singleLevel"/>
    <w:tmpl w:val="4B4C3E0A"/>
    <w:lvl w:ilvl="0" w:tentative="0">
      <w:start w:val="2"/>
      <w:numFmt w:val="chineseCounting"/>
      <w:suff w:val="nothing"/>
      <w:lvlText w:val="（%1）"/>
      <w:lvlJc w:val="left"/>
      <w:rPr>
        <w:rFonts w:hint="eastAsia"/>
      </w:rPr>
    </w:lvl>
  </w:abstractNum>
  <w:abstractNum w:abstractNumId="6">
    <w:nsid w:val="55924EE8"/>
    <w:multiLevelType w:val="singleLevel"/>
    <w:tmpl w:val="55924EE8"/>
    <w:lvl w:ilvl="0" w:tentative="0">
      <w:start w:val="1"/>
      <w:numFmt w:val="decimal"/>
      <w:suff w:val="nothing"/>
      <w:lvlText w:val="（%1）"/>
      <w:lvlJc w:val="left"/>
      <w:pPr>
        <w:ind w:left="0" w:firstLine="0"/>
        <w:textAlignment w:val="baseline"/>
      </w:pPr>
    </w:lvl>
  </w:abstractNum>
  <w:abstractNum w:abstractNumId="7">
    <w:nsid w:val="55925E5A"/>
    <w:multiLevelType w:val="singleLevel"/>
    <w:tmpl w:val="55925E5A"/>
    <w:lvl w:ilvl="0" w:tentative="0">
      <w:start w:val="1"/>
      <w:numFmt w:val="decimal"/>
      <w:suff w:val="space"/>
      <w:lvlText w:val="(%1)"/>
      <w:lvlJc w:val="left"/>
      <w:pPr>
        <w:ind w:left="0" w:firstLine="0"/>
        <w:textAlignment w:val="baseline"/>
      </w:pPr>
    </w:lvl>
  </w:abstractNum>
  <w:abstractNum w:abstractNumId="8">
    <w:nsid w:val="55937835"/>
    <w:multiLevelType w:val="singleLevel"/>
    <w:tmpl w:val="55937835"/>
    <w:lvl w:ilvl="0" w:tentative="0">
      <w:start w:val="1"/>
      <w:numFmt w:val="decimal"/>
      <w:suff w:val="nothing"/>
      <w:lvlText w:val="（%1）"/>
      <w:lvlJc w:val="left"/>
      <w:pPr>
        <w:ind w:left="0" w:firstLine="0"/>
        <w:textAlignment w:val="baseline"/>
      </w:pPr>
    </w:lvl>
  </w:abstractNum>
  <w:abstractNum w:abstractNumId="9">
    <w:nsid w:val="587706E3"/>
    <w:multiLevelType w:val="multilevel"/>
    <w:tmpl w:val="587706E3"/>
    <w:lvl w:ilvl="0" w:tentative="0">
      <w:start w:val="1"/>
      <w:numFmt w:val="japaneseCounting"/>
      <w:lvlText w:val="第%1篇"/>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9"/>
  </w:num>
  <w:num w:numId="3">
    <w:abstractNumId w:val="5"/>
  </w:num>
  <w:num w:numId="4">
    <w:abstractNumId w:val="1"/>
  </w:num>
  <w:num w:numId="5">
    <w:abstractNumId w:val="6"/>
    <w:lvlOverride w:ilvl="0">
      <w:lvl w:ilvl="0" w:tentative="1">
        <w:start w:val="1"/>
        <w:numFmt w:val="decimal"/>
        <w:suff w:val="nothing"/>
        <w:lvlText w:val="（%1）"/>
        <w:lvlJc w:val="left"/>
        <w:pPr>
          <w:ind w:left="0" w:firstLine="0"/>
          <w:textAlignment w:val="baseline"/>
        </w:pPr>
      </w:lvl>
    </w:lvlOverride>
  </w:num>
  <w:num w:numId="6">
    <w:abstractNumId w:val="8"/>
    <w:lvlOverride w:ilvl="0">
      <w:lvl w:ilvl="0" w:tentative="1">
        <w:start w:val="1"/>
        <w:numFmt w:val="decimal"/>
        <w:suff w:val="nothing"/>
        <w:lvlText w:val="（%1）"/>
        <w:lvlJc w:val="left"/>
        <w:pPr>
          <w:ind w:left="0" w:firstLine="0"/>
          <w:textAlignment w:val="baseline"/>
        </w:pPr>
      </w:lvl>
    </w:lvlOverride>
  </w:num>
  <w:num w:numId="7">
    <w:abstractNumId w:val="7"/>
    <w:lvlOverride w:ilvl="0">
      <w:lvl w:ilvl="0" w:tentative="1">
        <w:start w:val="1"/>
        <w:numFmt w:val="decimal"/>
        <w:suff w:val="space"/>
        <w:lvlText w:val="(%1)"/>
        <w:lvlJc w:val="left"/>
        <w:pPr>
          <w:ind w:left="0" w:firstLine="0"/>
          <w:textAlignment w:val="baseline"/>
        </w:pPr>
      </w:lvl>
    </w:lvlOverride>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2Y3MjRhM2M3YTM1YWNhNGE5ZmRlNzNiOGEyNWMifQ=="/>
  </w:docVars>
  <w:rsids>
    <w:rsidRoot w:val="00172A27"/>
    <w:rsid w:val="00000CAE"/>
    <w:rsid w:val="000068B9"/>
    <w:rsid w:val="000119E4"/>
    <w:rsid w:val="00020A94"/>
    <w:rsid w:val="0002309A"/>
    <w:rsid w:val="000378A1"/>
    <w:rsid w:val="0004119C"/>
    <w:rsid w:val="0004311B"/>
    <w:rsid w:val="0005789F"/>
    <w:rsid w:val="00064CAC"/>
    <w:rsid w:val="000673F3"/>
    <w:rsid w:val="000717A8"/>
    <w:rsid w:val="000736D8"/>
    <w:rsid w:val="00074B11"/>
    <w:rsid w:val="00080E7B"/>
    <w:rsid w:val="00085C15"/>
    <w:rsid w:val="000939CF"/>
    <w:rsid w:val="000968FF"/>
    <w:rsid w:val="000A2438"/>
    <w:rsid w:val="000A288F"/>
    <w:rsid w:val="000A5F9D"/>
    <w:rsid w:val="000B581F"/>
    <w:rsid w:val="000C4C3C"/>
    <w:rsid w:val="000D1BE2"/>
    <w:rsid w:val="000D3F40"/>
    <w:rsid w:val="000D5094"/>
    <w:rsid w:val="000D540E"/>
    <w:rsid w:val="000E1671"/>
    <w:rsid w:val="000E3572"/>
    <w:rsid w:val="000F44F7"/>
    <w:rsid w:val="000F4E23"/>
    <w:rsid w:val="00100E65"/>
    <w:rsid w:val="00102082"/>
    <w:rsid w:val="001029E8"/>
    <w:rsid w:val="00102BC8"/>
    <w:rsid w:val="00111158"/>
    <w:rsid w:val="00112246"/>
    <w:rsid w:val="00113ACA"/>
    <w:rsid w:val="00121AFA"/>
    <w:rsid w:val="0012280D"/>
    <w:rsid w:val="00122864"/>
    <w:rsid w:val="00126386"/>
    <w:rsid w:val="00126646"/>
    <w:rsid w:val="00135461"/>
    <w:rsid w:val="00141481"/>
    <w:rsid w:val="00142759"/>
    <w:rsid w:val="0014319C"/>
    <w:rsid w:val="001448E2"/>
    <w:rsid w:val="00155649"/>
    <w:rsid w:val="00164884"/>
    <w:rsid w:val="00171044"/>
    <w:rsid w:val="00172A27"/>
    <w:rsid w:val="0017743D"/>
    <w:rsid w:val="00182521"/>
    <w:rsid w:val="00184C9D"/>
    <w:rsid w:val="00192475"/>
    <w:rsid w:val="0019573D"/>
    <w:rsid w:val="001A3BEC"/>
    <w:rsid w:val="001A5E8E"/>
    <w:rsid w:val="001A6495"/>
    <w:rsid w:val="001B5EE6"/>
    <w:rsid w:val="001C14CE"/>
    <w:rsid w:val="001C43B4"/>
    <w:rsid w:val="001C57E5"/>
    <w:rsid w:val="001C6289"/>
    <w:rsid w:val="001D2D39"/>
    <w:rsid w:val="001D345A"/>
    <w:rsid w:val="001D7956"/>
    <w:rsid w:val="001E047E"/>
    <w:rsid w:val="001E11F6"/>
    <w:rsid w:val="001E17E0"/>
    <w:rsid w:val="001E4816"/>
    <w:rsid w:val="001E6AA7"/>
    <w:rsid w:val="001F2993"/>
    <w:rsid w:val="002010D4"/>
    <w:rsid w:val="00224B12"/>
    <w:rsid w:val="00232559"/>
    <w:rsid w:val="00247BDC"/>
    <w:rsid w:val="0025716A"/>
    <w:rsid w:val="00266329"/>
    <w:rsid w:val="0026693D"/>
    <w:rsid w:val="002721E1"/>
    <w:rsid w:val="00274710"/>
    <w:rsid w:val="00287664"/>
    <w:rsid w:val="00295906"/>
    <w:rsid w:val="002A4098"/>
    <w:rsid w:val="002A4339"/>
    <w:rsid w:val="002A6FC5"/>
    <w:rsid w:val="002C6E5D"/>
    <w:rsid w:val="002D32DA"/>
    <w:rsid w:val="002F3D8F"/>
    <w:rsid w:val="002F5BF2"/>
    <w:rsid w:val="0031071B"/>
    <w:rsid w:val="0031638A"/>
    <w:rsid w:val="00326620"/>
    <w:rsid w:val="003273D6"/>
    <w:rsid w:val="00330199"/>
    <w:rsid w:val="003302DA"/>
    <w:rsid w:val="003370CA"/>
    <w:rsid w:val="003454C6"/>
    <w:rsid w:val="00354205"/>
    <w:rsid w:val="00356351"/>
    <w:rsid w:val="00361557"/>
    <w:rsid w:val="00362216"/>
    <w:rsid w:val="00362B68"/>
    <w:rsid w:val="00364659"/>
    <w:rsid w:val="00371EDE"/>
    <w:rsid w:val="0037718E"/>
    <w:rsid w:val="00377724"/>
    <w:rsid w:val="00385D60"/>
    <w:rsid w:val="003925C1"/>
    <w:rsid w:val="003948FB"/>
    <w:rsid w:val="003A76BC"/>
    <w:rsid w:val="003B0EF8"/>
    <w:rsid w:val="003B5491"/>
    <w:rsid w:val="003B55A1"/>
    <w:rsid w:val="003D29A4"/>
    <w:rsid w:val="003E0ACC"/>
    <w:rsid w:val="003E254B"/>
    <w:rsid w:val="003E26AE"/>
    <w:rsid w:val="003E38EF"/>
    <w:rsid w:val="003F0DE6"/>
    <w:rsid w:val="003F3CC7"/>
    <w:rsid w:val="003F6983"/>
    <w:rsid w:val="004015F5"/>
    <w:rsid w:val="00405F32"/>
    <w:rsid w:val="0042473E"/>
    <w:rsid w:val="00425F88"/>
    <w:rsid w:val="00430AB4"/>
    <w:rsid w:val="00437A75"/>
    <w:rsid w:val="00447D59"/>
    <w:rsid w:val="00451179"/>
    <w:rsid w:val="00452CD4"/>
    <w:rsid w:val="00474124"/>
    <w:rsid w:val="00476040"/>
    <w:rsid w:val="00477F62"/>
    <w:rsid w:val="004849EA"/>
    <w:rsid w:val="0048746E"/>
    <w:rsid w:val="004B3341"/>
    <w:rsid w:val="004B34CF"/>
    <w:rsid w:val="004B6B24"/>
    <w:rsid w:val="004B6FF0"/>
    <w:rsid w:val="004E0C03"/>
    <w:rsid w:val="004E3EA3"/>
    <w:rsid w:val="00501731"/>
    <w:rsid w:val="00520838"/>
    <w:rsid w:val="00536336"/>
    <w:rsid w:val="005365C1"/>
    <w:rsid w:val="00547F01"/>
    <w:rsid w:val="00556FC5"/>
    <w:rsid w:val="005634AE"/>
    <w:rsid w:val="00565A20"/>
    <w:rsid w:val="00575DE2"/>
    <w:rsid w:val="00577DBA"/>
    <w:rsid w:val="0058040E"/>
    <w:rsid w:val="0058057A"/>
    <w:rsid w:val="005809BC"/>
    <w:rsid w:val="00582D52"/>
    <w:rsid w:val="005852D9"/>
    <w:rsid w:val="005A1098"/>
    <w:rsid w:val="005A1D8A"/>
    <w:rsid w:val="005A45FA"/>
    <w:rsid w:val="005A5BC0"/>
    <w:rsid w:val="005A5EA1"/>
    <w:rsid w:val="005A7703"/>
    <w:rsid w:val="005B6C23"/>
    <w:rsid w:val="005C528A"/>
    <w:rsid w:val="005D07FD"/>
    <w:rsid w:val="005D3FE4"/>
    <w:rsid w:val="005E2996"/>
    <w:rsid w:val="005E2F1C"/>
    <w:rsid w:val="005E7BF2"/>
    <w:rsid w:val="005F3776"/>
    <w:rsid w:val="006052B3"/>
    <w:rsid w:val="00605D65"/>
    <w:rsid w:val="00605D6D"/>
    <w:rsid w:val="00606DBC"/>
    <w:rsid w:val="006148F7"/>
    <w:rsid w:val="006234DF"/>
    <w:rsid w:val="00630CD3"/>
    <w:rsid w:val="00641536"/>
    <w:rsid w:val="0064165C"/>
    <w:rsid w:val="00642514"/>
    <w:rsid w:val="0065435C"/>
    <w:rsid w:val="0068358B"/>
    <w:rsid w:val="006A29AD"/>
    <w:rsid w:val="006B39CB"/>
    <w:rsid w:val="006C26F3"/>
    <w:rsid w:val="006C6904"/>
    <w:rsid w:val="006D1907"/>
    <w:rsid w:val="006D2C09"/>
    <w:rsid w:val="006D3869"/>
    <w:rsid w:val="006E18EE"/>
    <w:rsid w:val="006E3F10"/>
    <w:rsid w:val="006F5B38"/>
    <w:rsid w:val="007030F6"/>
    <w:rsid w:val="00711EDC"/>
    <w:rsid w:val="00713293"/>
    <w:rsid w:val="007154CC"/>
    <w:rsid w:val="00742C84"/>
    <w:rsid w:val="00755901"/>
    <w:rsid w:val="00756293"/>
    <w:rsid w:val="00757D65"/>
    <w:rsid w:val="00764C1F"/>
    <w:rsid w:val="00764E41"/>
    <w:rsid w:val="00790DE9"/>
    <w:rsid w:val="007965F1"/>
    <w:rsid w:val="007A09A7"/>
    <w:rsid w:val="007A1559"/>
    <w:rsid w:val="007A3E60"/>
    <w:rsid w:val="007A51D6"/>
    <w:rsid w:val="007B03D7"/>
    <w:rsid w:val="007B1B27"/>
    <w:rsid w:val="007B277D"/>
    <w:rsid w:val="007B3485"/>
    <w:rsid w:val="007B6F05"/>
    <w:rsid w:val="007C0265"/>
    <w:rsid w:val="007C4C73"/>
    <w:rsid w:val="007C687D"/>
    <w:rsid w:val="007D4CC2"/>
    <w:rsid w:val="007F0C3A"/>
    <w:rsid w:val="007F0D30"/>
    <w:rsid w:val="008075BC"/>
    <w:rsid w:val="008135E1"/>
    <w:rsid w:val="00823AC1"/>
    <w:rsid w:val="008274FF"/>
    <w:rsid w:val="00827D3F"/>
    <w:rsid w:val="00844929"/>
    <w:rsid w:val="00850D3E"/>
    <w:rsid w:val="00851F10"/>
    <w:rsid w:val="00853D72"/>
    <w:rsid w:val="00857837"/>
    <w:rsid w:val="00860211"/>
    <w:rsid w:val="0086102C"/>
    <w:rsid w:val="008623FB"/>
    <w:rsid w:val="00867838"/>
    <w:rsid w:val="008710F7"/>
    <w:rsid w:val="00884E45"/>
    <w:rsid w:val="00897808"/>
    <w:rsid w:val="008A744B"/>
    <w:rsid w:val="008C0BEA"/>
    <w:rsid w:val="008E0AFD"/>
    <w:rsid w:val="008E2D5C"/>
    <w:rsid w:val="008E754A"/>
    <w:rsid w:val="00906020"/>
    <w:rsid w:val="00912174"/>
    <w:rsid w:val="00913900"/>
    <w:rsid w:val="00913B74"/>
    <w:rsid w:val="0092197F"/>
    <w:rsid w:val="00933340"/>
    <w:rsid w:val="009406BF"/>
    <w:rsid w:val="009441E7"/>
    <w:rsid w:val="0095571B"/>
    <w:rsid w:val="009604AA"/>
    <w:rsid w:val="00981D4B"/>
    <w:rsid w:val="00992E1B"/>
    <w:rsid w:val="00992FFF"/>
    <w:rsid w:val="00993193"/>
    <w:rsid w:val="009A5D49"/>
    <w:rsid w:val="009A69D9"/>
    <w:rsid w:val="009A6CBC"/>
    <w:rsid w:val="009C5DD5"/>
    <w:rsid w:val="009D03E7"/>
    <w:rsid w:val="009E5C5C"/>
    <w:rsid w:val="009E7BB3"/>
    <w:rsid w:val="009F7503"/>
    <w:rsid w:val="00A0437F"/>
    <w:rsid w:val="00A06750"/>
    <w:rsid w:val="00A10E24"/>
    <w:rsid w:val="00A121D5"/>
    <w:rsid w:val="00A1362D"/>
    <w:rsid w:val="00A310AF"/>
    <w:rsid w:val="00A36ACA"/>
    <w:rsid w:val="00A45A12"/>
    <w:rsid w:val="00A47845"/>
    <w:rsid w:val="00A54F71"/>
    <w:rsid w:val="00A57044"/>
    <w:rsid w:val="00A60F8D"/>
    <w:rsid w:val="00A678E3"/>
    <w:rsid w:val="00A74D6B"/>
    <w:rsid w:val="00A9227F"/>
    <w:rsid w:val="00A92B0A"/>
    <w:rsid w:val="00A9473E"/>
    <w:rsid w:val="00A96381"/>
    <w:rsid w:val="00A97B3C"/>
    <w:rsid w:val="00AA319D"/>
    <w:rsid w:val="00AA7F88"/>
    <w:rsid w:val="00AB0716"/>
    <w:rsid w:val="00AB4DAC"/>
    <w:rsid w:val="00AB5698"/>
    <w:rsid w:val="00AB687D"/>
    <w:rsid w:val="00AC09E4"/>
    <w:rsid w:val="00AD1302"/>
    <w:rsid w:val="00AD137E"/>
    <w:rsid w:val="00AD4EF2"/>
    <w:rsid w:val="00AD629A"/>
    <w:rsid w:val="00AD6577"/>
    <w:rsid w:val="00AE3F47"/>
    <w:rsid w:val="00AE57AF"/>
    <w:rsid w:val="00AE62EA"/>
    <w:rsid w:val="00B03006"/>
    <w:rsid w:val="00B05186"/>
    <w:rsid w:val="00B05553"/>
    <w:rsid w:val="00B05D29"/>
    <w:rsid w:val="00B05F70"/>
    <w:rsid w:val="00B33060"/>
    <w:rsid w:val="00B344A7"/>
    <w:rsid w:val="00B40135"/>
    <w:rsid w:val="00B52CE1"/>
    <w:rsid w:val="00B62574"/>
    <w:rsid w:val="00B62EA1"/>
    <w:rsid w:val="00B64692"/>
    <w:rsid w:val="00B70AD2"/>
    <w:rsid w:val="00B744DF"/>
    <w:rsid w:val="00B74CFA"/>
    <w:rsid w:val="00B81E16"/>
    <w:rsid w:val="00B85FA6"/>
    <w:rsid w:val="00B929C6"/>
    <w:rsid w:val="00B95639"/>
    <w:rsid w:val="00B96491"/>
    <w:rsid w:val="00BA400E"/>
    <w:rsid w:val="00BB38FC"/>
    <w:rsid w:val="00BB5AF3"/>
    <w:rsid w:val="00BB6C21"/>
    <w:rsid w:val="00BC644D"/>
    <w:rsid w:val="00BC74E8"/>
    <w:rsid w:val="00BD4D0A"/>
    <w:rsid w:val="00BD690F"/>
    <w:rsid w:val="00BD7E73"/>
    <w:rsid w:val="00BE1898"/>
    <w:rsid w:val="00C01040"/>
    <w:rsid w:val="00C01FA7"/>
    <w:rsid w:val="00C01FE5"/>
    <w:rsid w:val="00C068C2"/>
    <w:rsid w:val="00C12495"/>
    <w:rsid w:val="00C1358F"/>
    <w:rsid w:val="00C1618A"/>
    <w:rsid w:val="00C16D25"/>
    <w:rsid w:val="00C44EF2"/>
    <w:rsid w:val="00C5199B"/>
    <w:rsid w:val="00C52E4F"/>
    <w:rsid w:val="00C67D69"/>
    <w:rsid w:val="00C67E1A"/>
    <w:rsid w:val="00C7346B"/>
    <w:rsid w:val="00C804C0"/>
    <w:rsid w:val="00C80550"/>
    <w:rsid w:val="00C95226"/>
    <w:rsid w:val="00C95F59"/>
    <w:rsid w:val="00CA56F2"/>
    <w:rsid w:val="00CB55AA"/>
    <w:rsid w:val="00CD4256"/>
    <w:rsid w:val="00CD78C3"/>
    <w:rsid w:val="00CE135B"/>
    <w:rsid w:val="00CE2D95"/>
    <w:rsid w:val="00CE678B"/>
    <w:rsid w:val="00CF536A"/>
    <w:rsid w:val="00D11498"/>
    <w:rsid w:val="00D14806"/>
    <w:rsid w:val="00D20BE4"/>
    <w:rsid w:val="00D2555C"/>
    <w:rsid w:val="00D41918"/>
    <w:rsid w:val="00D53C15"/>
    <w:rsid w:val="00D577BE"/>
    <w:rsid w:val="00D70B02"/>
    <w:rsid w:val="00D84664"/>
    <w:rsid w:val="00D8483F"/>
    <w:rsid w:val="00D87CB2"/>
    <w:rsid w:val="00D91851"/>
    <w:rsid w:val="00D967B6"/>
    <w:rsid w:val="00D96D73"/>
    <w:rsid w:val="00DA5197"/>
    <w:rsid w:val="00DA527B"/>
    <w:rsid w:val="00DC14DF"/>
    <w:rsid w:val="00DC532E"/>
    <w:rsid w:val="00DC5DAA"/>
    <w:rsid w:val="00DE4ED2"/>
    <w:rsid w:val="00DE5821"/>
    <w:rsid w:val="00DE77A5"/>
    <w:rsid w:val="00DF4BB1"/>
    <w:rsid w:val="00DF7F9C"/>
    <w:rsid w:val="00E02605"/>
    <w:rsid w:val="00E0553B"/>
    <w:rsid w:val="00E1060B"/>
    <w:rsid w:val="00E11B87"/>
    <w:rsid w:val="00E140F7"/>
    <w:rsid w:val="00E14A78"/>
    <w:rsid w:val="00E158B4"/>
    <w:rsid w:val="00E2666C"/>
    <w:rsid w:val="00E27375"/>
    <w:rsid w:val="00E36484"/>
    <w:rsid w:val="00E36C5C"/>
    <w:rsid w:val="00E37C36"/>
    <w:rsid w:val="00E46420"/>
    <w:rsid w:val="00E55830"/>
    <w:rsid w:val="00E57CEE"/>
    <w:rsid w:val="00E641C2"/>
    <w:rsid w:val="00E71151"/>
    <w:rsid w:val="00E7261E"/>
    <w:rsid w:val="00E77713"/>
    <w:rsid w:val="00E87E25"/>
    <w:rsid w:val="00E95A04"/>
    <w:rsid w:val="00EB22ED"/>
    <w:rsid w:val="00EB35FC"/>
    <w:rsid w:val="00EC0107"/>
    <w:rsid w:val="00EC2D4A"/>
    <w:rsid w:val="00EC5120"/>
    <w:rsid w:val="00ED1991"/>
    <w:rsid w:val="00EE24C0"/>
    <w:rsid w:val="00EE292F"/>
    <w:rsid w:val="00EF0319"/>
    <w:rsid w:val="00F0188A"/>
    <w:rsid w:val="00F04E29"/>
    <w:rsid w:val="00F13010"/>
    <w:rsid w:val="00F23F5F"/>
    <w:rsid w:val="00F3136C"/>
    <w:rsid w:val="00F32A23"/>
    <w:rsid w:val="00F36F02"/>
    <w:rsid w:val="00F63961"/>
    <w:rsid w:val="00F66360"/>
    <w:rsid w:val="00F84088"/>
    <w:rsid w:val="00F84E26"/>
    <w:rsid w:val="00F9613B"/>
    <w:rsid w:val="00FA1B2D"/>
    <w:rsid w:val="00FB05DE"/>
    <w:rsid w:val="00FC14A8"/>
    <w:rsid w:val="00FC2E67"/>
    <w:rsid w:val="00FD179D"/>
    <w:rsid w:val="00FD54CB"/>
    <w:rsid w:val="00FD5D4E"/>
    <w:rsid w:val="00FF61C2"/>
    <w:rsid w:val="0125359C"/>
    <w:rsid w:val="01E46D27"/>
    <w:rsid w:val="020F5CA0"/>
    <w:rsid w:val="022349E5"/>
    <w:rsid w:val="02285080"/>
    <w:rsid w:val="024F5720"/>
    <w:rsid w:val="02643789"/>
    <w:rsid w:val="02894F65"/>
    <w:rsid w:val="028B04AD"/>
    <w:rsid w:val="02CD1DE0"/>
    <w:rsid w:val="03431100"/>
    <w:rsid w:val="03930A61"/>
    <w:rsid w:val="03B60B6E"/>
    <w:rsid w:val="03C00161"/>
    <w:rsid w:val="042351B5"/>
    <w:rsid w:val="04247393"/>
    <w:rsid w:val="04267283"/>
    <w:rsid w:val="04B90404"/>
    <w:rsid w:val="04EA7B1F"/>
    <w:rsid w:val="04FE474A"/>
    <w:rsid w:val="051971B2"/>
    <w:rsid w:val="05280DDF"/>
    <w:rsid w:val="055C6132"/>
    <w:rsid w:val="05663D41"/>
    <w:rsid w:val="057635A6"/>
    <w:rsid w:val="05AD6742"/>
    <w:rsid w:val="06F030D5"/>
    <w:rsid w:val="07A840F8"/>
    <w:rsid w:val="07B81755"/>
    <w:rsid w:val="07F467E3"/>
    <w:rsid w:val="084B420F"/>
    <w:rsid w:val="08622FF7"/>
    <w:rsid w:val="087174C5"/>
    <w:rsid w:val="087D3014"/>
    <w:rsid w:val="08CB17CA"/>
    <w:rsid w:val="08E8416A"/>
    <w:rsid w:val="099B1799"/>
    <w:rsid w:val="099F5BDA"/>
    <w:rsid w:val="09AE24C4"/>
    <w:rsid w:val="09DD35F9"/>
    <w:rsid w:val="09EA0467"/>
    <w:rsid w:val="09EB2225"/>
    <w:rsid w:val="0A035F3C"/>
    <w:rsid w:val="0A191496"/>
    <w:rsid w:val="0A2D1556"/>
    <w:rsid w:val="0A5A308D"/>
    <w:rsid w:val="0A72767E"/>
    <w:rsid w:val="0AB73E1B"/>
    <w:rsid w:val="0AFF000C"/>
    <w:rsid w:val="0B3A3E18"/>
    <w:rsid w:val="0B6255D4"/>
    <w:rsid w:val="0BE84ACA"/>
    <w:rsid w:val="0C175FAC"/>
    <w:rsid w:val="0C427AF0"/>
    <w:rsid w:val="0C612BD8"/>
    <w:rsid w:val="0CA42CE8"/>
    <w:rsid w:val="0CB85E99"/>
    <w:rsid w:val="0CBD3274"/>
    <w:rsid w:val="0CBE74FA"/>
    <w:rsid w:val="0CD11FB2"/>
    <w:rsid w:val="0CD23798"/>
    <w:rsid w:val="0CE43B10"/>
    <w:rsid w:val="0D1B774B"/>
    <w:rsid w:val="0D594FDF"/>
    <w:rsid w:val="0DB00BAB"/>
    <w:rsid w:val="0DC5576C"/>
    <w:rsid w:val="0E3849B4"/>
    <w:rsid w:val="0E5D51CD"/>
    <w:rsid w:val="0E6B152D"/>
    <w:rsid w:val="0E7B6EAC"/>
    <w:rsid w:val="0F5216E0"/>
    <w:rsid w:val="0F861109"/>
    <w:rsid w:val="0FCA6DFB"/>
    <w:rsid w:val="0FE36B73"/>
    <w:rsid w:val="0FEA33FF"/>
    <w:rsid w:val="0FFD3930"/>
    <w:rsid w:val="101E3C3D"/>
    <w:rsid w:val="1037444E"/>
    <w:rsid w:val="103A1AD0"/>
    <w:rsid w:val="1046795A"/>
    <w:rsid w:val="108F3EB7"/>
    <w:rsid w:val="11144ED4"/>
    <w:rsid w:val="11266DC0"/>
    <w:rsid w:val="11290B3A"/>
    <w:rsid w:val="11561C5D"/>
    <w:rsid w:val="115C0B2F"/>
    <w:rsid w:val="116D045F"/>
    <w:rsid w:val="11A838C4"/>
    <w:rsid w:val="11E6301D"/>
    <w:rsid w:val="123933A7"/>
    <w:rsid w:val="128C5E61"/>
    <w:rsid w:val="12A01B46"/>
    <w:rsid w:val="12DE4ACE"/>
    <w:rsid w:val="130A10F3"/>
    <w:rsid w:val="130A6D54"/>
    <w:rsid w:val="134101B9"/>
    <w:rsid w:val="134C2F58"/>
    <w:rsid w:val="134F64C5"/>
    <w:rsid w:val="13D30E07"/>
    <w:rsid w:val="13EE291C"/>
    <w:rsid w:val="1423700D"/>
    <w:rsid w:val="144C10EE"/>
    <w:rsid w:val="14B4271E"/>
    <w:rsid w:val="14D670E2"/>
    <w:rsid w:val="15496483"/>
    <w:rsid w:val="1582556B"/>
    <w:rsid w:val="15965364"/>
    <w:rsid w:val="1622447D"/>
    <w:rsid w:val="16315F5B"/>
    <w:rsid w:val="165D3B4D"/>
    <w:rsid w:val="166F27B4"/>
    <w:rsid w:val="16797D96"/>
    <w:rsid w:val="169004AA"/>
    <w:rsid w:val="16B953D3"/>
    <w:rsid w:val="17D17B38"/>
    <w:rsid w:val="17E0131C"/>
    <w:rsid w:val="17EC544D"/>
    <w:rsid w:val="17F376E0"/>
    <w:rsid w:val="18770DC0"/>
    <w:rsid w:val="18902016"/>
    <w:rsid w:val="18E94990"/>
    <w:rsid w:val="18FA321C"/>
    <w:rsid w:val="196A4253"/>
    <w:rsid w:val="19905FCC"/>
    <w:rsid w:val="19A77301"/>
    <w:rsid w:val="19C525B4"/>
    <w:rsid w:val="19E52983"/>
    <w:rsid w:val="19EF5A12"/>
    <w:rsid w:val="19F24763"/>
    <w:rsid w:val="1A1B62DA"/>
    <w:rsid w:val="1A6B0FF5"/>
    <w:rsid w:val="1AA852A2"/>
    <w:rsid w:val="1B3F6CFC"/>
    <w:rsid w:val="1B6A7DC7"/>
    <w:rsid w:val="1BA77241"/>
    <w:rsid w:val="1C217063"/>
    <w:rsid w:val="1C230DED"/>
    <w:rsid w:val="1C565A95"/>
    <w:rsid w:val="1C642BDE"/>
    <w:rsid w:val="1D2D280E"/>
    <w:rsid w:val="1D8C11AD"/>
    <w:rsid w:val="1D95530C"/>
    <w:rsid w:val="1DDF1651"/>
    <w:rsid w:val="1E4066B6"/>
    <w:rsid w:val="1E4521BC"/>
    <w:rsid w:val="1E5335E1"/>
    <w:rsid w:val="1E70685C"/>
    <w:rsid w:val="1EAB7A95"/>
    <w:rsid w:val="1F564412"/>
    <w:rsid w:val="1F8F2CDB"/>
    <w:rsid w:val="1FD80993"/>
    <w:rsid w:val="20FC2FA8"/>
    <w:rsid w:val="2112534E"/>
    <w:rsid w:val="21137252"/>
    <w:rsid w:val="222748E1"/>
    <w:rsid w:val="22321E8F"/>
    <w:rsid w:val="223A258C"/>
    <w:rsid w:val="2242662E"/>
    <w:rsid w:val="2275024F"/>
    <w:rsid w:val="22F923BA"/>
    <w:rsid w:val="232C6ECE"/>
    <w:rsid w:val="2369570E"/>
    <w:rsid w:val="23A1213F"/>
    <w:rsid w:val="23A93CBD"/>
    <w:rsid w:val="23C1345B"/>
    <w:rsid w:val="23D25940"/>
    <w:rsid w:val="243277C9"/>
    <w:rsid w:val="24D12613"/>
    <w:rsid w:val="25111CFC"/>
    <w:rsid w:val="25744B04"/>
    <w:rsid w:val="25C014F2"/>
    <w:rsid w:val="261D1FC1"/>
    <w:rsid w:val="26252BA0"/>
    <w:rsid w:val="263768C5"/>
    <w:rsid w:val="26400BBC"/>
    <w:rsid w:val="26AB50CF"/>
    <w:rsid w:val="26B8475C"/>
    <w:rsid w:val="26D710D6"/>
    <w:rsid w:val="272C6699"/>
    <w:rsid w:val="27554518"/>
    <w:rsid w:val="27A31EF3"/>
    <w:rsid w:val="27C04AC9"/>
    <w:rsid w:val="27CA2E70"/>
    <w:rsid w:val="289F22E3"/>
    <w:rsid w:val="28F42C70"/>
    <w:rsid w:val="294B0A43"/>
    <w:rsid w:val="2A0536EB"/>
    <w:rsid w:val="2A0C0199"/>
    <w:rsid w:val="2A936D29"/>
    <w:rsid w:val="2ADC5A5D"/>
    <w:rsid w:val="2B6A4C04"/>
    <w:rsid w:val="2BEE5A4C"/>
    <w:rsid w:val="2C1E7499"/>
    <w:rsid w:val="2C66590D"/>
    <w:rsid w:val="2CF165EC"/>
    <w:rsid w:val="2CF16D8F"/>
    <w:rsid w:val="2D0A4049"/>
    <w:rsid w:val="2D230DE1"/>
    <w:rsid w:val="2D24592E"/>
    <w:rsid w:val="2D6348EC"/>
    <w:rsid w:val="2D685263"/>
    <w:rsid w:val="2D747E3C"/>
    <w:rsid w:val="2D756EBD"/>
    <w:rsid w:val="2D7A2D69"/>
    <w:rsid w:val="2D890194"/>
    <w:rsid w:val="2DC46108"/>
    <w:rsid w:val="2DFA6743"/>
    <w:rsid w:val="2E55545C"/>
    <w:rsid w:val="2E9E664D"/>
    <w:rsid w:val="2ECE6D78"/>
    <w:rsid w:val="2ED661DF"/>
    <w:rsid w:val="2F2B5025"/>
    <w:rsid w:val="2F3E65E8"/>
    <w:rsid w:val="2F4D53BE"/>
    <w:rsid w:val="2F5D3308"/>
    <w:rsid w:val="2FBD79DB"/>
    <w:rsid w:val="305B6407"/>
    <w:rsid w:val="30853AF0"/>
    <w:rsid w:val="312F64B3"/>
    <w:rsid w:val="317B6345"/>
    <w:rsid w:val="31945F55"/>
    <w:rsid w:val="31B67C99"/>
    <w:rsid w:val="31BD66B8"/>
    <w:rsid w:val="324660C2"/>
    <w:rsid w:val="3259519A"/>
    <w:rsid w:val="328C6B9B"/>
    <w:rsid w:val="32935968"/>
    <w:rsid w:val="32A93183"/>
    <w:rsid w:val="331A4EB5"/>
    <w:rsid w:val="332E102C"/>
    <w:rsid w:val="332F74E2"/>
    <w:rsid w:val="33B41BA2"/>
    <w:rsid w:val="33D824D1"/>
    <w:rsid w:val="33E24670"/>
    <w:rsid w:val="33FA0862"/>
    <w:rsid w:val="348964F5"/>
    <w:rsid w:val="34CF0274"/>
    <w:rsid w:val="35A603AB"/>
    <w:rsid w:val="35F133E1"/>
    <w:rsid w:val="35F357F5"/>
    <w:rsid w:val="3601267E"/>
    <w:rsid w:val="366634F4"/>
    <w:rsid w:val="3679388E"/>
    <w:rsid w:val="36B863F8"/>
    <w:rsid w:val="36BD121E"/>
    <w:rsid w:val="36F51884"/>
    <w:rsid w:val="37094BDA"/>
    <w:rsid w:val="373C6698"/>
    <w:rsid w:val="37616BAD"/>
    <w:rsid w:val="37843B4C"/>
    <w:rsid w:val="379E225F"/>
    <w:rsid w:val="37B86A1A"/>
    <w:rsid w:val="382B7A2A"/>
    <w:rsid w:val="382F6B46"/>
    <w:rsid w:val="390F083E"/>
    <w:rsid w:val="391B10F9"/>
    <w:rsid w:val="39B02202"/>
    <w:rsid w:val="39B83A29"/>
    <w:rsid w:val="39CC7B2C"/>
    <w:rsid w:val="3A0C4F15"/>
    <w:rsid w:val="3A1E3490"/>
    <w:rsid w:val="3A2210F5"/>
    <w:rsid w:val="3A445A71"/>
    <w:rsid w:val="3A5255AB"/>
    <w:rsid w:val="3A69236A"/>
    <w:rsid w:val="3A6D1587"/>
    <w:rsid w:val="3A6F2AA2"/>
    <w:rsid w:val="3A82455E"/>
    <w:rsid w:val="3ACE0697"/>
    <w:rsid w:val="3AD83605"/>
    <w:rsid w:val="3AD87143"/>
    <w:rsid w:val="3B131912"/>
    <w:rsid w:val="3B311A6F"/>
    <w:rsid w:val="3B4F6B58"/>
    <w:rsid w:val="3B590E16"/>
    <w:rsid w:val="3B976122"/>
    <w:rsid w:val="3BA47D82"/>
    <w:rsid w:val="3CC22F0E"/>
    <w:rsid w:val="3D0D741C"/>
    <w:rsid w:val="3D1D4FAF"/>
    <w:rsid w:val="3D755BE5"/>
    <w:rsid w:val="3D922179"/>
    <w:rsid w:val="3DA16632"/>
    <w:rsid w:val="3DCD5218"/>
    <w:rsid w:val="3DE40A87"/>
    <w:rsid w:val="3E4817B2"/>
    <w:rsid w:val="3E8555E3"/>
    <w:rsid w:val="3E8C4F1B"/>
    <w:rsid w:val="3EB31A63"/>
    <w:rsid w:val="3EBE32BC"/>
    <w:rsid w:val="3F072E2D"/>
    <w:rsid w:val="3F613767"/>
    <w:rsid w:val="3FA408FC"/>
    <w:rsid w:val="3FAC207A"/>
    <w:rsid w:val="3FAD10B1"/>
    <w:rsid w:val="3FC021FE"/>
    <w:rsid w:val="3FCD7118"/>
    <w:rsid w:val="40477AD3"/>
    <w:rsid w:val="40554AD6"/>
    <w:rsid w:val="406A0DBE"/>
    <w:rsid w:val="40766BC1"/>
    <w:rsid w:val="40790249"/>
    <w:rsid w:val="407A5B29"/>
    <w:rsid w:val="408C3F0A"/>
    <w:rsid w:val="40A24D73"/>
    <w:rsid w:val="40D96878"/>
    <w:rsid w:val="41194293"/>
    <w:rsid w:val="4157020F"/>
    <w:rsid w:val="417D4A65"/>
    <w:rsid w:val="4181249E"/>
    <w:rsid w:val="41E039E4"/>
    <w:rsid w:val="42186237"/>
    <w:rsid w:val="423A4791"/>
    <w:rsid w:val="427520B7"/>
    <w:rsid w:val="427A5C0D"/>
    <w:rsid w:val="429D761C"/>
    <w:rsid w:val="42D05812"/>
    <w:rsid w:val="42E8265D"/>
    <w:rsid w:val="43451886"/>
    <w:rsid w:val="43B50B00"/>
    <w:rsid w:val="43D26E6B"/>
    <w:rsid w:val="43F63AAB"/>
    <w:rsid w:val="443A7E6D"/>
    <w:rsid w:val="443B3E31"/>
    <w:rsid w:val="44402298"/>
    <w:rsid w:val="44964541"/>
    <w:rsid w:val="449A53B7"/>
    <w:rsid w:val="44BA006B"/>
    <w:rsid w:val="44CE19ED"/>
    <w:rsid w:val="44F907AD"/>
    <w:rsid w:val="450B186B"/>
    <w:rsid w:val="453536E9"/>
    <w:rsid w:val="453F0D63"/>
    <w:rsid w:val="456D2D6E"/>
    <w:rsid w:val="45AF1E6D"/>
    <w:rsid w:val="45C76B29"/>
    <w:rsid w:val="45D578CF"/>
    <w:rsid w:val="465D1CE1"/>
    <w:rsid w:val="4677492C"/>
    <w:rsid w:val="467767AB"/>
    <w:rsid w:val="46A34D8E"/>
    <w:rsid w:val="46BF4F67"/>
    <w:rsid w:val="4730006B"/>
    <w:rsid w:val="485F2005"/>
    <w:rsid w:val="48855246"/>
    <w:rsid w:val="496F2066"/>
    <w:rsid w:val="499D3E60"/>
    <w:rsid w:val="4A265CEA"/>
    <w:rsid w:val="4A8C37FD"/>
    <w:rsid w:val="4AB13439"/>
    <w:rsid w:val="4ABF28CE"/>
    <w:rsid w:val="4ADF4B77"/>
    <w:rsid w:val="4BC521A1"/>
    <w:rsid w:val="4BD37E1F"/>
    <w:rsid w:val="4BD83D53"/>
    <w:rsid w:val="4C315FA6"/>
    <w:rsid w:val="4C4C35F6"/>
    <w:rsid w:val="4C897649"/>
    <w:rsid w:val="4C9962E1"/>
    <w:rsid w:val="4D2042D5"/>
    <w:rsid w:val="4D2F2D82"/>
    <w:rsid w:val="4D6F1D81"/>
    <w:rsid w:val="4D800064"/>
    <w:rsid w:val="4D8D0AD0"/>
    <w:rsid w:val="4DC412B3"/>
    <w:rsid w:val="4DD30C07"/>
    <w:rsid w:val="4E8C2246"/>
    <w:rsid w:val="4EB0310A"/>
    <w:rsid w:val="4EB272A5"/>
    <w:rsid w:val="4EC04D70"/>
    <w:rsid w:val="4ED9738B"/>
    <w:rsid w:val="4F8472AA"/>
    <w:rsid w:val="4F95054D"/>
    <w:rsid w:val="50516142"/>
    <w:rsid w:val="50750455"/>
    <w:rsid w:val="50855575"/>
    <w:rsid w:val="50B02600"/>
    <w:rsid w:val="50C21848"/>
    <w:rsid w:val="50F405EB"/>
    <w:rsid w:val="51BE3C46"/>
    <w:rsid w:val="51F963B5"/>
    <w:rsid w:val="520412D9"/>
    <w:rsid w:val="52483DAF"/>
    <w:rsid w:val="525015BF"/>
    <w:rsid w:val="52BA62F5"/>
    <w:rsid w:val="52C45128"/>
    <w:rsid w:val="53126F19"/>
    <w:rsid w:val="53133591"/>
    <w:rsid w:val="534D2A09"/>
    <w:rsid w:val="534F1EFB"/>
    <w:rsid w:val="53B20E2F"/>
    <w:rsid w:val="53D27C58"/>
    <w:rsid w:val="53D52D16"/>
    <w:rsid w:val="53DE63E4"/>
    <w:rsid w:val="5453275E"/>
    <w:rsid w:val="54706F8B"/>
    <w:rsid w:val="5494688B"/>
    <w:rsid w:val="553575B0"/>
    <w:rsid w:val="558F3F3D"/>
    <w:rsid w:val="55B5244B"/>
    <w:rsid w:val="55C00676"/>
    <w:rsid w:val="56234B19"/>
    <w:rsid w:val="562A0E1A"/>
    <w:rsid w:val="565325E1"/>
    <w:rsid w:val="568F2DB3"/>
    <w:rsid w:val="56AA3F51"/>
    <w:rsid w:val="572C5B80"/>
    <w:rsid w:val="57353FE7"/>
    <w:rsid w:val="573C7F0B"/>
    <w:rsid w:val="57B56EBA"/>
    <w:rsid w:val="57BD3593"/>
    <w:rsid w:val="57CE2AC2"/>
    <w:rsid w:val="57F748D6"/>
    <w:rsid w:val="584E547D"/>
    <w:rsid w:val="586B404A"/>
    <w:rsid w:val="589B27BF"/>
    <w:rsid w:val="58A30D1D"/>
    <w:rsid w:val="58C42A14"/>
    <w:rsid w:val="59265FCD"/>
    <w:rsid w:val="598335F7"/>
    <w:rsid w:val="598E57E3"/>
    <w:rsid w:val="59AF6CD1"/>
    <w:rsid w:val="59CC2213"/>
    <w:rsid w:val="5A135435"/>
    <w:rsid w:val="5A70323D"/>
    <w:rsid w:val="5B1458BC"/>
    <w:rsid w:val="5B72313E"/>
    <w:rsid w:val="5B843DA0"/>
    <w:rsid w:val="5B917125"/>
    <w:rsid w:val="5B951B2E"/>
    <w:rsid w:val="5C383665"/>
    <w:rsid w:val="5CE154EA"/>
    <w:rsid w:val="5D4441D9"/>
    <w:rsid w:val="5D6E55EB"/>
    <w:rsid w:val="5DCD287A"/>
    <w:rsid w:val="5DD009FD"/>
    <w:rsid w:val="5DEF477F"/>
    <w:rsid w:val="5E0F6AFF"/>
    <w:rsid w:val="5E14227F"/>
    <w:rsid w:val="5E705540"/>
    <w:rsid w:val="5E745281"/>
    <w:rsid w:val="5EEF00C4"/>
    <w:rsid w:val="5EFD76A7"/>
    <w:rsid w:val="603639C2"/>
    <w:rsid w:val="607965F8"/>
    <w:rsid w:val="607B4BC4"/>
    <w:rsid w:val="60B24945"/>
    <w:rsid w:val="60C86648"/>
    <w:rsid w:val="60F2062F"/>
    <w:rsid w:val="610865D2"/>
    <w:rsid w:val="6191412D"/>
    <w:rsid w:val="61976469"/>
    <w:rsid w:val="619C4744"/>
    <w:rsid w:val="61C844D3"/>
    <w:rsid w:val="62061C2A"/>
    <w:rsid w:val="627827D0"/>
    <w:rsid w:val="63906E3C"/>
    <w:rsid w:val="63FF4EA6"/>
    <w:rsid w:val="648118D7"/>
    <w:rsid w:val="64A50353"/>
    <w:rsid w:val="64CE73C6"/>
    <w:rsid w:val="64EF0C47"/>
    <w:rsid w:val="650F7204"/>
    <w:rsid w:val="65AC2327"/>
    <w:rsid w:val="65B10DA9"/>
    <w:rsid w:val="65CF7501"/>
    <w:rsid w:val="66065D9E"/>
    <w:rsid w:val="66B21436"/>
    <w:rsid w:val="67262EA7"/>
    <w:rsid w:val="67D65514"/>
    <w:rsid w:val="682309C3"/>
    <w:rsid w:val="6864737D"/>
    <w:rsid w:val="686B0E1B"/>
    <w:rsid w:val="686D0705"/>
    <w:rsid w:val="687F0671"/>
    <w:rsid w:val="68A27B83"/>
    <w:rsid w:val="68C32D8B"/>
    <w:rsid w:val="68DA133A"/>
    <w:rsid w:val="693755BA"/>
    <w:rsid w:val="693928AD"/>
    <w:rsid w:val="699C367A"/>
    <w:rsid w:val="69AE72D5"/>
    <w:rsid w:val="69CC10D1"/>
    <w:rsid w:val="6A153306"/>
    <w:rsid w:val="6A1865E4"/>
    <w:rsid w:val="6A2E4173"/>
    <w:rsid w:val="6A2F628A"/>
    <w:rsid w:val="6A56272A"/>
    <w:rsid w:val="6A6233B7"/>
    <w:rsid w:val="6A7D56CA"/>
    <w:rsid w:val="6B3806ED"/>
    <w:rsid w:val="6B4D4D9D"/>
    <w:rsid w:val="6B747B64"/>
    <w:rsid w:val="6B99059A"/>
    <w:rsid w:val="6BD179EE"/>
    <w:rsid w:val="6BFD0EF4"/>
    <w:rsid w:val="6C210A31"/>
    <w:rsid w:val="6C8D591F"/>
    <w:rsid w:val="6D5D030A"/>
    <w:rsid w:val="6D5D77DF"/>
    <w:rsid w:val="6D762F8C"/>
    <w:rsid w:val="6DAE2913"/>
    <w:rsid w:val="6DF735D5"/>
    <w:rsid w:val="6E073760"/>
    <w:rsid w:val="6E8660FB"/>
    <w:rsid w:val="6E8E714A"/>
    <w:rsid w:val="6F00714B"/>
    <w:rsid w:val="6F0643FD"/>
    <w:rsid w:val="6F633BE2"/>
    <w:rsid w:val="6F70552B"/>
    <w:rsid w:val="6FBF73E8"/>
    <w:rsid w:val="70233EEC"/>
    <w:rsid w:val="7031401A"/>
    <w:rsid w:val="708879B7"/>
    <w:rsid w:val="708939D2"/>
    <w:rsid w:val="70A854CC"/>
    <w:rsid w:val="714853EC"/>
    <w:rsid w:val="71884FCA"/>
    <w:rsid w:val="719E11C3"/>
    <w:rsid w:val="71B34D39"/>
    <w:rsid w:val="71F777D6"/>
    <w:rsid w:val="721771E7"/>
    <w:rsid w:val="72462FA9"/>
    <w:rsid w:val="72651DF3"/>
    <w:rsid w:val="727F3F6B"/>
    <w:rsid w:val="72866683"/>
    <w:rsid w:val="729F33E5"/>
    <w:rsid w:val="72B05925"/>
    <w:rsid w:val="72C42EB6"/>
    <w:rsid w:val="7375647F"/>
    <w:rsid w:val="73850F6A"/>
    <w:rsid w:val="754C3233"/>
    <w:rsid w:val="75520CCE"/>
    <w:rsid w:val="762112C5"/>
    <w:rsid w:val="762B2BC1"/>
    <w:rsid w:val="76327572"/>
    <w:rsid w:val="76861EEE"/>
    <w:rsid w:val="76946EC2"/>
    <w:rsid w:val="76BD473E"/>
    <w:rsid w:val="76CF7231"/>
    <w:rsid w:val="76D126AB"/>
    <w:rsid w:val="76F545EE"/>
    <w:rsid w:val="77023F51"/>
    <w:rsid w:val="772758AC"/>
    <w:rsid w:val="7737387C"/>
    <w:rsid w:val="775B001D"/>
    <w:rsid w:val="789417F9"/>
    <w:rsid w:val="78FC73BC"/>
    <w:rsid w:val="79441BEC"/>
    <w:rsid w:val="7A0717E2"/>
    <w:rsid w:val="7A5D0423"/>
    <w:rsid w:val="7A5E0EBE"/>
    <w:rsid w:val="7A9A067B"/>
    <w:rsid w:val="7AA1098C"/>
    <w:rsid w:val="7AC10D02"/>
    <w:rsid w:val="7AE9512E"/>
    <w:rsid w:val="7B3410E5"/>
    <w:rsid w:val="7BB76F4C"/>
    <w:rsid w:val="7BBC3CB2"/>
    <w:rsid w:val="7C001AEF"/>
    <w:rsid w:val="7C124A73"/>
    <w:rsid w:val="7C224B2B"/>
    <w:rsid w:val="7C4A0E9A"/>
    <w:rsid w:val="7C5A4CF2"/>
    <w:rsid w:val="7C5E20B9"/>
    <w:rsid w:val="7C772987"/>
    <w:rsid w:val="7CC95FBF"/>
    <w:rsid w:val="7D012D7E"/>
    <w:rsid w:val="7D51118B"/>
    <w:rsid w:val="7D822B9A"/>
    <w:rsid w:val="7D9A071C"/>
    <w:rsid w:val="7E0203FA"/>
    <w:rsid w:val="7E2F4599"/>
    <w:rsid w:val="7E6F5997"/>
    <w:rsid w:val="7E844C98"/>
    <w:rsid w:val="7EC20C9E"/>
    <w:rsid w:val="7F1D2D14"/>
    <w:rsid w:val="7F632708"/>
    <w:rsid w:val="7FA009F4"/>
    <w:rsid w:val="7FBC6FE4"/>
    <w:rsid w:val="7FD920AE"/>
    <w:rsid w:val="7FE77E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0"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0" w:semiHidden="0" w:name="footnote reference"/>
    <w:lsdException w:qFormat="1" w:unhideWhenUsed="0" w:uiPriority="0" w:semiHidden="0" w:name="annotation reference"/>
    <w:lsdException w:uiPriority="99" w:name="line number" w:locked="1"/>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59" w:semiHidden="0" w:name="Table Grid" w:locked="1"/>
    <w:lsdException w:uiPriority="99" w:name="Table Theme" w:locked="1"/>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24"/>
      <w:szCs w:val="22"/>
      <w:lang w:val="en-US" w:eastAsia="zh-CN" w:bidi="ar-SA"/>
    </w:rPr>
  </w:style>
  <w:style w:type="paragraph" w:styleId="3">
    <w:name w:val="heading 1"/>
    <w:basedOn w:val="1"/>
    <w:next w:val="1"/>
    <w:link w:val="73"/>
    <w:qFormat/>
    <w:uiPriority w:val="0"/>
    <w:pPr>
      <w:keepNext/>
      <w:tabs>
        <w:tab w:val="left" w:pos="3360"/>
      </w:tabs>
      <w:snapToGrid w:val="0"/>
      <w:spacing w:beforeLines="100" w:afterLines="50" w:line="800" w:lineRule="atLeast"/>
      <w:jc w:val="center"/>
      <w:outlineLvl w:val="0"/>
    </w:pPr>
    <w:rPr>
      <w:rFonts w:ascii="Times New Roman" w:hAnsi="Times New Roman" w:eastAsia="黑体"/>
      <w:sz w:val="44"/>
      <w:szCs w:val="20"/>
    </w:rPr>
  </w:style>
  <w:style w:type="paragraph" w:styleId="4">
    <w:name w:val="heading 2"/>
    <w:basedOn w:val="1"/>
    <w:next w:val="1"/>
    <w:link w:val="74"/>
    <w:qFormat/>
    <w:uiPriority w:val="0"/>
    <w:pPr>
      <w:keepNext/>
      <w:keepLines/>
      <w:spacing w:before="260" w:after="260" w:line="413" w:lineRule="auto"/>
      <w:outlineLvl w:val="1"/>
    </w:pPr>
    <w:rPr>
      <w:rFonts w:ascii="宋体" w:hAnsi="宋体" w:eastAsia="宋体"/>
      <w:b/>
      <w:kern w:val="0"/>
      <w:sz w:val="20"/>
      <w:szCs w:val="20"/>
    </w:rPr>
  </w:style>
  <w:style w:type="paragraph" w:styleId="5">
    <w:name w:val="heading 3"/>
    <w:basedOn w:val="1"/>
    <w:next w:val="1"/>
    <w:link w:val="75"/>
    <w:qFormat/>
    <w:uiPriority w:val="0"/>
    <w:pPr>
      <w:keepNext/>
      <w:keepLines/>
      <w:spacing w:before="260" w:after="260" w:line="413" w:lineRule="auto"/>
      <w:outlineLvl w:val="2"/>
    </w:pPr>
    <w:rPr>
      <w:rFonts w:ascii="Times New Roman" w:hAnsi="Times New Roman" w:eastAsia="宋体"/>
      <w:b/>
      <w:sz w:val="22"/>
    </w:rPr>
  </w:style>
  <w:style w:type="paragraph" w:styleId="6">
    <w:name w:val="heading 4"/>
    <w:basedOn w:val="1"/>
    <w:next w:val="1"/>
    <w:link w:val="76"/>
    <w:qFormat/>
    <w:uiPriority w:val="0"/>
    <w:pPr>
      <w:keepNext/>
      <w:keepLines/>
      <w:tabs>
        <w:tab w:val="left" w:pos="720"/>
      </w:tabs>
      <w:spacing w:line="560" w:lineRule="exact"/>
      <w:outlineLvl w:val="3"/>
    </w:pPr>
    <w:rPr>
      <w:rFonts w:ascii="Cambria" w:hAnsi="Cambria" w:eastAsia="宋体"/>
      <w:b/>
      <w:bCs/>
      <w:kern w:val="0"/>
      <w:sz w:val="28"/>
      <w:szCs w:val="28"/>
    </w:rPr>
  </w:style>
  <w:style w:type="paragraph" w:styleId="7">
    <w:name w:val="heading 5"/>
    <w:basedOn w:val="1"/>
    <w:next w:val="1"/>
    <w:link w:val="77"/>
    <w:qFormat/>
    <w:uiPriority w:val="0"/>
    <w:pPr>
      <w:keepNext/>
      <w:keepLines/>
      <w:tabs>
        <w:tab w:val="left" w:pos="2551"/>
      </w:tabs>
      <w:spacing w:before="280" w:after="290" w:line="374" w:lineRule="auto"/>
      <w:ind w:left="2551" w:hanging="850"/>
      <w:outlineLvl w:val="4"/>
    </w:pPr>
    <w:rPr>
      <w:b/>
      <w:bCs/>
      <w:kern w:val="0"/>
      <w:sz w:val="28"/>
      <w:szCs w:val="28"/>
    </w:rPr>
  </w:style>
  <w:style w:type="paragraph" w:styleId="8">
    <w:name w:val="heading 6"/>
    <w:basedOn w:val="1"/>
    <w:next w:val="1"/>
    <w:link w:val="78"/>
    <w:qFormat/>
    <w:uiPriority w:val="0"/>
    <w:pPr>
      <w:keepNext/>
      <w:keepLines/>
      <w:tabs>
        <w:tab w:val="left" w:pos="1152"/>
      </w:tabs>
      <w:adjustRightInd w:val="0"/>
      <w:snapToGrid w:val="0"/>
      <w:spacing w:before="240" w:after="64" w:line="319" w:lineRule="auto"/>
      <w:ind w:left="1152" w:hanging="1152"/>
      <w:outlineLvl w:val="5"/>
    </w:pPr>
    <w:rPr>
      <w:rFonts w:ascii="Cambria" w:hAnsi="Cambria" w:eastAsia="宋体"/>
      <w:b/>
      <w:bCs/>
      <w:kern w:val="0"/>
      <w:szCs w:val="24"/>
    </w:rPr>
  </w:style>
  <w:style w:type="paragraph" w:styleId="9">
    <w:name w:val="heading 7"/>
    <w:basedOn w:val="1"/>
    <w:next w:val="1"/>
    <w:link w:val="79"/>
    <w:qFormat/>
    <w:uiPriority w:val="0"/>
    <w:pPr>
      <w:keepNext/>
      <w:keepLines/>
      <w:tabs>
        <w:tab w:val="left" w:pos="1296"/>
      </w:tabs>
      <w:adjustRightInd w:val="0"/>
      <w:snapToGrid w:val="0"/>
      <w:spacing w:before="240" w:after="64" w:line="317" w:lineRule="auto"/>
      <w:ind w:left="1296" w:hanging="1296"/>
      <w:outlineLvl w:val="6"/>
    </w:pPr>
    <w:rPr>
      <w:b/>
      <w:bCs/>
      <w:kern w:val="0"/>
      <w:szCs w:val="24"/>
    </w:rPr>
  </w:style>
  <w:style w:type="paragraph" w:styleId="10">
    <w:name w:val="heading 8"/>
    <w:basedOn w:val="1"/>
    <w:next w:val="1"/>
    <w:link w:val="80"/>
    <w:qFormat/>
    <w:uiPriority w:val="0"/>
    <w:pPr>
      <w:keepNext/>
      <w:keepLines/>
      <w:tabs>
        <w:tab w:val="left" w:pos="1440"/>
      </w:tabs>
      <w:adjustRightInd w:val="0"/>
      <w:snapToGrid w:val="0"/>
      <w:spacing w:before="240" w:after="64" w:line="319" w:lineRule="auto"/>
      <w:ind w:left="1440" w:hanging="1440"/>
      <w:outlineLvl w:val="7"/>
    </w:pPr>
    <w:rPr>
      <w:rFonts w:ascii="Cambria" w:hAnsi="Cambria" w:eastAsia="宋体"/>
      <w:kern w:val="0"/>
      <w:szCs w:val="24"/>
    </w:rPr>
  </w:style>
  <w:style w:type="paragraph" w:styleId="11">
    <w:name w:val="heading 9"/>
    <w:basedOn w:val="1"/>
    <w:next w:val="1"/>
    <w:link w:val="81"/>
    <w:qFormat/>
    <w:uiPriority w:val="0"/>
    <w:pPr>
      <w:keepNext/>
      <w:keepLines/>
      <w:tabs>
        <w:tab w:val="left" w:pos="1584"/>
      </w:tabs>
      <w:adjustRightInd w:val="0"/>
      <w:snapToGrid w:val="0"/>
      <w:spacing w:before="240" w:after="64" w:line="319" w:lineRule="auto"/>
      <w:ind w:left="1584" w:hanging="1584"/>
      <w:outlineLvl w:val="8"/>
    </w:pPr>
    <w:rPr>
      <w:rFonts w:ascii="Cambria" w:hAnsi="Cambria" w:eastAsia="宋体"/>
      <w:kern w:val="0"/>
      <w:sz w:val="21"/>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2"/>
    <w:qFormat/>
    <w:uiPriority w:val="0"/>
    <w:pPr>
      <w:spacing w:after="120"/>
    </w:pPr>
    <w:rPr>
      <w:rFonts w:ascii="Times New Roman" w:hAnsi="Times New Roman" w:eastAsia="宋体"/>
      <w:szCs w:val="24"/>
    </w:rPr>
  </w:style>
  <w:style w:type="paragraph" w:styleId="12">
    <w:name w:val="List 3"/>
    <w:basedOn w:val="1"/>
    <w:qFormat/>
    <w:uiPriority w:val="99"/>
    <w:pPr>
      <w:adjustRightInd w:val="0"/>
      <w:snapToGrid w:val="0"/>
      <w:spacing w:line="360" w:lineRule="auto"/>
      <w:ind w:left="100" w:leftChars="400" w:hanging="200" w:hangingChars="200"/>
    </w:pPr>
    <w:rPr>
      <w:rFonts w:ascii="Times New Roman" w:hAnsi="Times New Roman"/>
      <w:szCs w:val="20"/>
    </w:rPr>
  </w:style>
  <w:style w:type="paragraph" w:styleId="13">
    <w:name w:val="toc 7"/>
    <w:basedOn w:val="1"/>
    <w:next w:val="1"/>
    <w:qFormat/>
    <w:locked/>
    <w:uiPriority w:val="39"/>
    <w:pPr>
      <w:ind w:left="1260"/>
      <w:jc w:val="left"/>
    </w:pPr>
    <w:rPr>
      <w:rFonts w:ascii="Times New Roman" w:hAnsi="Times New Roman" w:eastAsia="宋体"/>
      <w:sz w:val="18"/>
      <w:szCs w:val="18"/>
    </w:rPr>
  </w:style>
  <w:style w:type="paragraph" w:styleId="14">
    <w:name w:val="List Number 2"/>
    <w:basedOn w:val="1"/>
    <w:qFormat/>
    <w:uiPriority w:val="99"/>
    <w:pPr>
      <w:tabs>
        <w:tab w:val="left" w:pos="780"/>
      </w:tabs>
      <w:spacing w:line="360" w:lineRule="auto"/>
      <w:ind w:left="780" w:hanging="360"/>
    </w:pPr>
    <w:rPr>
      <w:rFonts w:ascii="Times New Roman" w:hAnsi="Times New Roman"/>
      <w:szCs w:val="20"/>
    </w:rPr>
  </w:style>
  <w:style w:type="paragraph" w:styleId="15">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hAnsi="Times New Roman"/>
      <w:kern w:val="0"/>
      <w:sz w:val="22"/>
      <w:szCs w:val="20"/>
    </w:rPr>
  </w:style>
  <w:style w:type="paragraph" w:styleId="16">
    <w:name w:val="Normal Indent"/>
    <w:basedOn w:val="1"/>
    <w:qFormat/>
    <w:uiPriority w:val="0"/>
    <w:pPr>
      <w:adjustRightInd w:val="0"/>
      <w:snapToGrid w:val="0"/>
      <w:spacing w:line="360" w:lineRule="auto"/>
      <w:ind w:firstLine="420"/>
    </w:pPr>
  </w:style>
  <w:style w:type="paragraph" w:styleId="17">
    <w:name w:val="caption"/>
    <w:basedOn w:val="1"/>
    <w:next w:val="1"/>
    <w:qFormat/>
    <w:uiPriority w:val="0"/>
    <w:pPr>
      <w:widowControl/>
      <w:tabs>
        <w:tab w:val="left" w:pos="1134"/>
      </w:tabs>
      <w:adjustRightInd w:val="0"/>
      <w:snapToGrid w:val="0"/>
      <w:spacing w:line="280" w:lineRule="atLeast"/>
      <w:jc w:val="left"/>
    </w:pPr>
    <w:rPr>
      <w:rFonts w:ascii="Times New Roman" w:hAnsi="Times New Roman" w:eastAsia="PMingLiU"/>
      <w:b/>
      <w:kern w:val="0"/>
      <w:szCs w:val="20"/>
      <w:lang w:eastAsia="zh-TW"/>
    </w:rPr>
  </w:style>
  <w:style w:type="paragraph" w:styleId="18">
    <w:name w:val="List Bullet"/>
    <w:basedOn w:val="1"/>
    <w:qFormat/>
    <w:uiPriority w:val="99"/>
    <w:pPr>
      <w:tabs>
        <w:tab w:val="left" w:pos="360"/>
      </w:tabs>
    </w:pPr>
    <w:rPr>
      <w:rFonts w:ascii="Times New Roman" w:hAnsi="Times New Roman"/>
      <w:sz w:val="21"/>
      <w:szCs w:val="20"/>
    </w:rPr>
  </w:style>
  <w:style w:type="paragraph" w:styleId="19">
    <w:name w:val="Document Map"/>
    <w:basedOn w:val="1"/>
    <w:link w:val="86"/>
    <w:qFormat/>
    <w:uiPriority w:val="0"/>
    <w:pPr>
      <w:shd w:val="clear" w:color="auto" w:fill="000080"/>
    </w:pPr>
    <w:rPr>
      <w:rFonts w:ascii="Times New Roman" w:hAnsi="Times New Roman"/>
      <w:kern w:val="0"/>
      <w:sz w:val="2"/>
      <w:szCs w:val="20"/>
    </w:rPr>
  </w:style>
  <w:style w:type="paragraph" w:styleId="20">
    <w:name w:val="annotation text"/>
    <w:basedOn w:val="1"/>
    <w:link w:val="84"/>
    <w:qFormat/>
    <w:uiPriority w:val="0"/>
    <w:pPr>
      <w:jc w:val="left"/>
    </w:pPr>
    <w:rPr>
      <w:kern w:val="0"/>
      <w:szCs w:val="20"/>
    </w:rPr>
  </w:style>
  <w:style w:type="paragraph" w:styleId="21">
    <w:name w:val="Body Text 3"/>
    <w:basedOn w:val="1"/>
    <w:link w:val="87"/>
    <w:qFormat/>
    <w:uiPriority w:val="0"/>
    <w:pPr>
      <w:adjustRightInd w:val="0"/>
      <w:snapToGrid w:val="0"/>
      <w:spacing w:after="120" w:line="360" w:lineRule="auto"/>
    </w:pPr>
    <w:rPr>
      <w:kern w:val="0"/>
      <w:sz w:val="16"/>
      <w:szCs w:val="16"/>
    </w:rPr>
  </w:style>
  <w:style w:type="paragraph" w:styleId="22">
    <w:name w:val="List Bullet 3"/>
    <w:basedOn w:val="1"/>
    <w:qFormat/>
    <w:uiPriority w:val="99"/>
    <w:pPr>
      <w:tabs>
        <w:tab w:val="left" w:pos="1200"/>
      </w:tabs>
      <w:adjustRightInd w:val="0"/>
      <w:snapToGrid w:val="0"/>
      <w:spacing w:line="360" w:lineRule="auto"/>
      <w:ind w:left="1200" w:hanging="360"/>
    </w:pPr>
    <w:rPr>
      <w:rFonts w:ascii="Times New Roman" w:hAnsi="Times New Roman"/>
      <w:szCs w:val="20"/>
    </w:rPr>
  </w:style>
  <w:style w:type="paragraph" w:styleId="23">
    <w:name w:val="Body Text Indent"/>
    <w:basedOn w:val="1"/>
    <w:link w:val="88"/>
    <w:qFormat/>
    <w:uiPriority w:val="0"/>
    <w:pPr>
      <w:spacing w:line="700" w:lineRule="exact"/>
      <w:ind w:left="960"/>
    </w:pPr>
    <w:rPr>
      <w:rFonts w:eastAsia="宋体"/>
      <w:sz w:val="22"/>
      <w:szCs w:val="20"/>
    </w:rPr>
  </w:style>
  <w:style w:type="paragraph" w:styleId="24">
    <w:name w:val="List Number 3"/>
    <w:basedOn w:val="1"/>
    <w:qFormat/>
    <w:uiPriority w:val="99"/>
    <w:pPr>
      <w:tabs>
        <w:tab w:val="left" w:pos="2120"/>
      </w:tabs>
      <w:adjustRightInd w:val="0"/>
      <w:snapToGrid w:val="0"/>
      <w:spacing w:line="360" w:lineRule="auto"/>
      <w:ind w:left="2120" w:hanging="720"/>
    </w:pPr>
    <w:rPr>
      <w:rFonts w:ascii="Times New Roman" w:hAnsi="Times New Roman"/>
      <w:szCs w:val="20"/>
    </w:rPr>
  </w:style>
  <w:style w:type="paragraph" w:styleId="25">
    <w:name w:val="List 2"/>
    <w:basedOn w:val="1"/>
    <w:qFormat/>
    <w:uiPriority w:val="99"/>
    <w:pPr>
      <w:adjustRightInd w:val="0"/>
      <w:snapToGrid w:val="0"/>
      <w:spacing w:line="360" w:lineRule="auto"/>
      <w:ind w:left="100" w:leftChars="200" w:hanging="200" w:hangingChars="200"/>
    </w:pPr>
    <w:rPr>
      <w:rFonts w:ascii="Times New Roman" w:hAnsi="Times New Roman"/>
      <w:szCs w:val="20"/>
    </w:rPr>
  </w:style>
  <w:style w:type="paragraph" w:styleId="26">
    <w:name w:val="List Continue"/>
    <w:basedOn w:val="1"/>
    <w:qFormat/>
    <w:uiPriority w:val="99"/>
    <w:pPr>
      <w:adjustRightInd w:val="0"/>
      <w:snapToGrid w:val="0"/>
      <w:spacing w:after="120" w:line="360" w:lineRule="auto"/>
      <w:ind w:left="420" w:leftChars="200"/>
    </w:pPr>
    <w:rPr>
      <w:rFonts w:ascii="Times New Roman" w:hAnsi="Times New Roman"/>
      <w:szCs w:val="20"/>
    </w:rPr>
  </w:style>
  <w:style w:type="paragraph" w:styleId="27">
    <w:name w:val="Block Text"/>
    <w:basedOn w:val="1"/>
    <w:qFormat/>
    <w:locked/>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28">
    <w:name w:val="List Bullet 2"/>
    <w:basedOn w:val="1"/>
    <w:qFormat/>
    <w:uiPriority w:val="99"/>
    <w:pPr>
      <w:tabs>
        <w:tab w:val="left" w:pos="780"/>
      </w:tabs>
      <w:adjustRightInd w:val="0"/>
      <w:snapToGrid w:val="0"/>
      <w:spacing w:line="360" w:lineRule="auto"/>
      <w:ind w:left="780" w:hanging="360"/>
    </w:pPr>
    <w:rPr>
      <w:rFonts w:ascii="Times New Roman" w:hAnsi="Times New Roman"/>
      <w:szCs w:val="20"/>
    </w:rPr>
  </w:style>
  <w:style w:type="paragraph" w:styleId="29">
    <w:name w:val="index 4"/>
    <w:basedOn w:val="1"/>
    <w:next w:val="1"/>
    <w:qFormat/>
    <w:locked/>
    <w:uiPriority w:val="0"/>
    <w:pPr>
      <w:ind w:left="600" w:leftChars="600"/>
    </w:pPr>
    <w:rPr>
      <w:rFonts w:ascii="Times New Roman" w:hAnsi="Times New Roman" w:eastAsia="宋体"/>
      <w:sz w:val="21"/>
      <w:szCs w:val="24"/>
    </w:rPr>
  </w:style>
  <w:style w:type="paragraph" w:styleId="30">
    <w:name w:val="toc 5"/>
    <w:basedOn w:val="1"/>
    <w:next w:val="1"/>
    <w:qFormat/>
    <w:locked/>
    <w:uiPriority w:val="39"/>
    <w:pPr>
      <w:ind w:left="840"/>
      <w:jc w:val="left"/>
    </w:pPr>
    <w:rPr>
      <w:rFonts w:ascii="Times New Roman" w:hAnsi="Times New Roman" w:eastAsia="宋体"/>
      <w:sz w:val="18"/>
      <w:szCs w:val="18"/>
    </w:rPr>
  </w:style>
  <w:style w:type="paragraph" w:styleId="31">
    <w:name w:val="toc 3"/>
    <w:basedOn w:val="1"/>
    <w:next w:val="1"/>
    <w:qFormat/>
    <w:uiPriority w:val="39"/>
    <w:pPr>
      <w:ind w:left="840" w:leftChars="400"/>
    </w:pPr>
  </w:style>
  <w:style w:type="paragraph" w:styleId="32">
    <w:name w:val="Plain Text"/>
    <w:basedOn w:val="1"/>
    <w:link w:val="89"/>
    <w:qFormat/>
    <w:uiPriority w:val="0"/>
    <w:rPr>
      <w:rFonts w:ascii="宋体" w:hAnsi="Courier New" w:eastAsia="宋体"/>
      <w:sz w:val="22"/>
      <w:szCs w:val="20"/>
    </w:rPr>
  </w:style>
  <w:style w:type="paragraph" w:styleId="33">
    <w:name w:val="toc 8"/>
    <w:basedOn w:val="1"/>
    <w:next w:val="1"/>
    <w:qFormat/>
    <w:locked/>
    <w:uiPriority w:val="39"/>
    <w:pPr>
      <w:ind w:left="1470"/>
      <w:jc w:val="left"/>
    </w:pPr>
    <w:rPr>
      <w:rFonts w:ascii="Times New Roman" w:hAnsi="Times New Roman" w:eastAsia="宋体"/>
      <w:sz w:val="18"/>
      <w:szCs w:val="18"/>
    </w:rPr>
  </w:style>
  <w:style w:type="paragraph" w:styleId="34">
    <w:name w:val="Date"/>
    <w:basedOn w:val="1"/>
    <w:next w:val="1"/>
    <w:link w:val="90"/>
    <w:qFormat/>
    <w:uiPriority w:val="0"/>
    <w:rPr>
      <w:rFonts w:eastAsia="宋体"/>
      <w:sz w:val="22"/>
      <w:szCs w:val="20"/>
    </w:rPr>
  </w:style>
  <w:style w:type="paragraph" w:styleId="35">
    <w:name w:val="Body Text Indent 2"/>
    <w:basedOn w:val="1"/>
    <w:link w:val="91"/>
    <w:qFormat/>
    <w:uiPriority w:val="0"/>
    <w:pPr>
      <w:snapToGrid w:val="0"/>
      <w:spacing w:line="440" w:lineRule="atLeast"/>
      <w:ind w:firstLine="570"/>
    </w:pPr>
    <w:rPr>
      <w:kern w:val="0"/>
      <w:szCs w:val="20"/>
    </w:rPr>
  </w:style>
  <w:style w:type="paragraph" w:styleId="36">
    <w:name w:val="endnote text"/>
    <w:basedOn w:val="1"/>
    <w:link w:val="416"/>
    <w:qFormat/>
    <w:locked/>
    <w:uiPriority w:val="0"/>
    <w:pPr>
      <w:widowControl/>
      <w:snapToGrid w:val="0"/>
      <w:jc w:val="left"/>
    </w:pPr>
    <w:rPr>
      <w:rFonts w:ascii="Arial" w:hAnsi="Arial" w:eastAsia="宋体"/>
      <w:kern w:val="0"/>
      <w:sz w:val="20"/>
      <w:szCs w:val="24"/>
      <w:lang w:eastAsia="en-US"/>
    </w:rPr>
  </w:style>
  <w:style w:type="paragraph" w:styleId="37">
    <w:name w:val="Balloon Text"/>
    <w:basedOn w:val="1"/>
    <w:link w:val="92"/>
    <w:qFormat/>
    <w:uiPriority w:val="0"/>
    <w:rPr>
      <w:rFonts w:ascii="Times New Roman" w:hAnsi="Times New Roman" w:eastAsia="宋体"/>
      <w:sz w:val="18"/>
      <w:szCs w:val="18"/>
    </w:rPr>
  </w:style>
  <w:style w:type="paragraph" w:styleId="38">
    <w:name w:val="footer"/>
    <w:basedOn w:val="1"/>
    <w:link w:val="93"/>
    <w:qFormat/>
    <w:uiPriority w:val="0"/>
    <w:pPr>
      <w:tabs>
        <w:tab w:val="center" w:pos="4153"/>
        <w:tab w:val="right" w:pos="8306"/>
      </w:tabs>
      <w:snapToGrid w:val="0"/>
      <w:jc w:val="left"/>
    </w:pPr>
    <w:rPr>
      <w:rFonts w:ascii="Times New Roman" w:hAnsi="Times New Roman" w:eastAsia="宋体"/>
      <w:sz w:val="18"/>
      <w:szCs w:val="20"/>
    </w:rPr>
  </w:style>
  <w:style w:type="paragraph" w:styleId="39">
    <w:name w:val="header"/>
    <w:basedOn w:val="1"/>
    <w:link w:val="95"/>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20"/>
    </w:rPr>
  </w:style>
  <w:style w:type="paragraph" w:styleId="40">
    <w:name w:val="toc 1"/>
    <w:basedOn w:val="1"/>
    <w:next w:val="1"/>
    <w:qFormat/>
    <w:uiPriority w:val="39"/>
    <w:pPr>
      <w:spacing w:before="120" w:after="120"/>
      <w:jc w:val="left"/>
    </w:pPr>
    <w:rPr>
      <w:b/>
      <w:bCs/>
      <w:caps/>
      <w:sz w:val="20"/>
      <w:szCs w:val="20"/>
    </w:rPr>
  </w:style>
  <w:style w:type="paragraph" w:styleId="41">
    <w:name w:val="List Continue 4"/>
    <w:basedOn w:val="1"/>
    <w:qFormat/>
    <w:uiPriority w:val="99"/>
    <w:pPr>
      <w:adjustRightInd w:val="0"/>
      <w:snapToGrid w:val="0"/>
      <w:spacing w:after="120" w:line="360" w:lineRule="auto"/>
      <w:ind w:left="1680" w:leftChars="800"/>
    </w:pPr>
    <w:rPr>
      <w:rFonts w:ascii="Times New Roman" w:hAnsi="Times New Roman"/>
      <w:szCs w:val="20"/>
    </w:rPr>
  </w:style>
  <w:style w:type="paragraph" w:styleId="42">
    <w:name w:val="toc 4"/>
    <w:basedOn w:val="6"/>
    <w:next w:val="1"/>
    <w:qFormat/>
    <w:locked/>
    <w:uiPriority w:val="39"/>
    <w:pPr>
      <w:keepNext w:val="0"/>
      <w:keepLines w:val="0"/>
      <w:tabs>
        <w:tab w:val="clear" w:pos="720"/>
      </w:tabs>
      <w:spacing w:line="240" w:lineRule="auto"/>
      <w:ind w:left="630"/>
      <w:jc w:val="left"/>
      <w:outlineLvl w:val="9"/>
    </w:pPr>
    <w:rPr>
      <w:rFonts w:ascii="Times New Roman" w:hAnsi="Times New Roman"/>
      <w:b w:val="0"/>
      <w:sz w:val="18"/>
      <w:szCs w:val="18"/>
    </w:rPr>
  </w:style>
  <w:style w:type="paragraph" w:styleId="43">
    <w:name w:val="Subtitle"/>
    <w:basedOn w:val="1"/>
    <w:link w:val="494"/>
    <w:qFormat/>
    <w:locked/>
    <w:uiPriority w:val="0"/>
    <w:pPr>
      <w:widowControl/>
      <w:jc w:val="center"/>
    </w:pPr>
    <w:rPr>
      <w:rFonts w:ascii="Times New Roman" w:hAnsi="Times New Roman" w:eastAsia="宋体"/>
      <w:kern w:val="0"/>
      <w:sz w:val="20"/>
      <w:szCs w:val="24"/>
      <w:u w:val="single"/>
      <w:lang w:eastAsia="en-US"/>
    </w:rPr>
  </w:style>
  <w:style w:type="paragraph" w:styleId="44">
    <w:name w:val="footnote text"/>
    <w:basedOn w:val="1"/>
    <w:link w:val="96"/>
    <w:qFormat/>
    <w:uiPriority w:val="0"/>
    <w:pPr>
      <w:snapToGrid w:val="0"/>
      <w:spacing w:line="520" w:lineRule="exact"/>
      <w:ind w:firstLine="1440" w:firstLineChars="200"/>
      <w:jc w:val="left"/>
    </w:pPr>
    <w:rPr>
      <w:rFonts w:ascii="等线" w:hAnsi="等线" w:eastAsia="等线"/>
      <w:sz w:val="22"/>
    </w:rPr>
  </w:style>
  <w:style w:type="paragraph" w:styleId="45">
    <w:name w:val="toc 6"/>
    <w:basedOn w:val="1"/>
    <w:next w:val="1"/>
    <w:qFormat/>
    <w:locked/>
    <w:uiPriority w:val="39"/>
    <w:pPr>
      <w:ind w:left="1050"/>
      <w:jc w:val="left"/>
    </w:pPr>
    <w:rPr>
      <w:rFonts w:ascii="Times New Roman" w:hAnsi="Times New Roman" w:eastAsia="宋体"/>
      <w:sz w:val="18"/>
      <w:szCs w:val="18"/>
    </w:rPr>
  </w:style>
  <w:style w:type="paragraph" w:styleId="46">
    <w:name w:val="List 5"/>
    <w:basedOn w:val="1"/>
    <w:qFormat/>
    <w:uiPriority w:val="99"/>
    <w:pPr>
      <w:adjustRightInd w:val="0"/>
      <w:snapToGrid w:val="0"/>
      <w:spacing w:line="360" w:lineRule="auto"/>
      <w:ind w:left="100" w:leftChars="800" w:hanging="200" w:hangingChars="200"/>
    </w:pPr>
    <w:rPr>
      <w:rFonts w:ascii="Times New Roman" w:hAnsi="Times New Roman"/>
      <w:szCs w:val="20"/>
    </w:rPr>
  </w:style>
  <w:style w:type="paragraph" w:styleId="47">
    <w:name w:val="Body Text Indent 3"/>
    <w:basedOn w:val="1"/>
    <w:link w:val="97"/>
    <w:qFormat/>
    <w:uiPriority w:val="0"/>
    <w:pPr>
      <w:spacing w:line="360" w:lineRule="auto"/>
      <w:ind w:firstLine="632"/>
    </w:pPr>
    <w:rPr>
      <w:kern w:val="0"/>
      <w:sz w:val="16"/>
      <w:szCs w:val="16"/>
    </w:rPr>
  </w:style>
  <w:style w:type="paragraph" w:styleId="48">
    <w:name w:val="table of figures"/>
    <w:basedOn w:val="1"/>
    <w:next w:val="1"/>
    <w:qFormat/>
    <w:uiPriority w:val="99"/>
    <w:pPr>
      <w:ind w:left="200" w:leftChars="200" w:hanging="200" w:hangingChars="200"/>
    </w:pPr>
  </w:style>
  <w:style w:type="paragraph" w:styleId="49">
    <w:name w:val="toc 2"/>
    <w:basedOn w:val="1"/>
    <w:next w:val="1"/>
    <w:qFormat/>
    <w:uiPriority w:val="39"/>
    <w:pPr>
      <w:ind w:left="420" w:leftChars="200"/>
    </w:pPr>
  </w:style>
  <w:style w:type="paragraph" w:styleId="50">
    <w:name w:val="toc 9"/>
    <w:basedOn w:val="1"/>
    <w:next w:val="1"/>
    <w:qFormat/>
    <w:locked/>
    <w:uiPriority w:val="39"/>
    <w:pPr>
      <w:ind w:left="1680"/>
      <w:jc w:val="left"/>
    </w:pPr>
    <w:rPr>
      <w:rFonts w:ascii="Times New Roman" w:hAnsi="Times New Roman" w:eastAsia="宋体"/>
      <w:sz w:val="18"/>
      <w:szCs w:val="18"/>
    </w:rPr>
  </w:style>
  <w:style w:type="paragraph" w:styleId="51">
    <w:name w:val="Body Text 2"/>
    <w:basedOn w:val="1"/>
    <w:link w:val="98"/>
    <w:qFormat/>
    <w:uiPriority w:val="0"/>
    <w:pPr>
      <w:adjustRightInd w:val="0"/>
      <w:snapToGrid w:val="0"/>
      <w:spacing w:after="120" w:line="480" w:lineRule="auto"/>
    </w:pPr>
    <w:rPr>
      <w:kern w:val="0"/>
      <w:szCs w:val="20"/>
    </w:rPr>
  </w:style>
  <w:style w:type="paragraph" w:styleId="52">
    <w:name w:val="List 4"/>
    <w:basedOn w:val="1"/>
    <w:qFormat/>
    <w:uiPriority w:val="99"/>
    <w:pPr>
      <w:adjustRightInd w:val="0"/>
      <w:snapToGrid w:val="0"/>
      <w:spacing w:line="360" w:lineRule="auto"/>
      <w:ind w:left="100" w:leftChars="600" w:hanging="200" w:hangingChars="200"/>
    </w:pPr>
    <w:rPr>
      <w:rFonts w:ascii="Times New Roman" w:hAnsi="Times New Roman"/>
      <w:szCs w:val="20"/>
    </w:rPr>
  </w:style>
  <w:style w:type="paragraph" w:styleId="53">
    <w:name w:val="List Continue 2"/>
    <w:basedOn w:val="1"/>
    <w:qFormat/>
    <w:uiPriority w:val="99"/>
    <w:pPr>
      <w:adjustRightInd w:val="0"/>
      <w:snapToGrid w:val="0"/>
      <w:spacing w:after="120" w:line="360" w:lineRule="auto"/>
      <w:ind w:left="840" w:leftChars="400"/>
    </w:pPr>
    <w:rPr>
      <w:rFonts w:ascii="Times New Roman" w:hAnsi="Times New Roman"/>
      <w:szCs w:val="20"/>
    </w:rPr>
  </w:style>
  <w:style w:type="paragraph" w:styleId="54">
    <w:name w:val="HTML Preformatted"/>
    <w:basedOn w:val="1"/>
    <w:link w:val="373"/>
    <w:unhideWhenUsed/>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olor w:val="000000"/>
      <w:kern w:val="0"/>
      <w:szCs w:val="24"/>
    </w:rPr>
  </w:style>
  <w:style w:type="paragraph" w:styleId="55">
    <w:name w:val="Normal (Web)"/>
    <w:basedOn w:val="1"/>
    <w:qFormat/>
    <w:uiPriority w:val="0"/>
    <w:pPr>
      <w:widowControl/>
      <w:spacing w:before="100" w:beforeAutospacing="1" w:after="100" w:afterAutospacing="1"/>
      <w:jc w:val="left"/>
    </w:pPr>
    <w:rPr>
      <w:rFonts w:ascii="Arial Unicode MS" w:hAnsi="Arial Unicode MS" w:eastAsia="宋体"/>
      <w:kern w:val="0"/>
      <w:szCs w:val="20"/>
    </w:rPr>
  </w:style>
  <w:style w:type="paragraph" w:styleId="56">
    <w:name w:val="List Continue 3"/>
    <w:basedOn w:val="1"/>
    <w:qFormat/>
    <w:uiPriority w:val="99"/>
    <w:pPr>
      <w:adjustRightInd w:val="0"/>
      <w:snapToGrid w:val="0"/>
      <w:spacing w:after="120" w:line="360" w:lineRule="auto"/>
      <w:ind w:left="1260" w:leftChars="600"/>
    </w:pPr>
    <w:rPr>
      <w:rFonts w:ascii="Times New Roman" w:hAnsi="Times New Roman"/>
      <w:szCs w:val="20"/>
    </w:rPr>
  </w:style>
  <w:style w:type="paragraph" w:styleId="57">
    <w:name w:val="index 1"/>
    <w:basedOn w:val="1"/>
    <w:next w:val="1"/>
    <w:qFormat/>
    <w:locked/>
    <w:uiPriority w:val="0"/>
    <w:pPr>
      <w:spacing w:line="220" w:lineRule="exact"/>
      <w:jc w:val="center"/>
    </w:pPr>
    <w:rPr>
      <w:rFonts w:ascii="仿宋_GB2312" w:hAnsi="Times New Roman" w:eastAsia="仿宋_GB2312"/>
      <w:sz w:val="21"/>
      <w:szCs w:val="21"/>
    </w:rPr>
  </w:style>
  <w:style w:type="paragraph" w:styleId="58">
    <w:name w:val="Title"/>
    <w:basedOn w:val="1"/>
    <w:link w:val="99"/>
    <w:qFormat/>
    <w:uiPriority w:val="0"/>
    <w:pPr>
      <w:widowControl/>
      <w:spacing w:after="240" w:line="360" w:lineRule="auto"/>
      <w:jc w:val="center"/>
    </w:pPr>
    <w:rPr>
      <w:rFonts w:ascii="等线 Light" w:hAnsi="等线 Light" w:eastAsia="等线 Light"/>
      <w:b/>
      <w:sz w:val="32"/>
      <w:szCs w:val="32"/>
    </w:rPr>
  </w:style>
  <w:style w:type="paragraph" w:styleId="59">
    <w:name w:val="annotation subject"/>
    <w:basedOn w:val="20"/>
    <w:next w:val="20"/>
    <w:link w:val="85"/>
    <w:qFormat/>
    <w:uiPriority w:val="0"/>
    <w:rPr>
      <w:b/>
      <w:bCs/>
    </w:rPr>
  </w:style>
  <w:style w:type="paragraph" w:styleId="60">
    <w:name w:val="Body Text First Indent"/>
    <w:basedOn w:val="2"/>
    <w:link w:val="83"/>
    <w:qFormat/>
    <w:uiPriority w:val="99"/>
    <w:pPr>
      <w:spacing w:line="360" w:lineRule="auto"/>
      <w:ind w:firstLine="420"/>
    </w:pPr>
    <w:rPr>
      <w:rFonts w:ascii="Calibri" w:hAnsi="Calibri" w:eastAsia="方正仿宋_GBK"/>
    </w:rPr>
  </w:style>
  <w:style w:type="paragraph" w:styleId="61">
    <w:name w:val="Body Text First Indent 2"/>
    <w:basedOn w:val="23"/>
    <w:link w:val="94"/>
    <w:qFormat/>
    <w:uiPriority w:val="99"/>
    <w:pPr>
      <w:spacing w:after="120" w:line="240" w:lineRule="auto"/>
      <w:ind w:left="420" w:leftChars="200" w:firstLine="420" w:firstLineChars="200"/>
    </w:pPr>
    <w:rPr>
      <w:rFonts w:eastAsia="方正仿宋_GBK"/>
      <w:sz w:val="24"/>
    </w:rPr>
  </w:style>
  <w:style w:type="table" w:styleId="63">
    <w:name w:val="Table Grid"/>
    <w:basedOn w:val="62"/>
    <w:qFormat/>
    <w:locked/>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5">
    <w:name w:val="Strong"/>
    <w:qFormat/>
    <w:uiPriority w:val="0"/>
    <w:rPr>
      <w:rFonts w:cs="Times New Roman"/>
      <w:b/>
    </w:rPr>
  </w:style>
  <w:style w:type="character" w:styleId="66">
    <w:name w:val="endnote reference"/>
    <w:qFormat/>
    <w:locked/>
    <w:uiPriority w:val="0"/>
    <w:rPr>
      <w:vertAlign w:val="superscript"/>
    </w:rPr>
  </w:style>
  <w:style w:type="character" w:styleId="67">
    <w:name w:val="page number"/>
    <w:qFormat/>
    <w:uiPriority w:val="0"/>
    <w:rPr>
      <w:rFonts w:cs="Times New Roman"/>
    </w:rPr>
  </w:style>
  <w:style w:type="character" w:styleId="68">
    <w:name w:val="FollowedHyperlink"/>
    <w:qFormat/>
    <w:uiPriority w:val="0"/>
    <w:rPr>
      <w:rFonts w:cs="Times New Roman"/>
      <w:color w:val="800080"/>
      <w:u w:val="single"/>
    </w:rPr>
  </w:style>
  <w:style w:type="character" w:styleId="69">
    <w:name w:val="Emphasis"/>
    <w:qFormat/>
    <w:uiPriority w:val="0"/>
    <w:rPr>
      <w:rFonts w:cs="Times New Roman"/>
      <w:i/>
    </w:rPr>
  </w:style>
  <w:style w:type="character" w:styleId="70">
    <w:name w:val="Hyperlink"/>
    <w:qFormat/>
    <w:uiPriority w:val="99"/>
    <w:rPr>
      <w:rFonts w:cs="Times New Roman"/>
      <w:color w:val="0000FF"/>
      <w:u w:val="single"/>
    </w:rPr>
  </w:style>
  <w:style w:type="character" w:styleId="71">
    <w:name w:val="annotation reference"/>
    <w:qFormat/>
    <w:uiPriority w:val="0"/>
    <w:rPr>
      <w:rFonts w:cs="Times New Roman"/>
      <w:sz w:val="21"/>
    </w:rPr>
  </w:style>
  <w:style w:type="character" w:styleId="72">
    <w:name w:val="footnote reference"/>
    <w:qFormat/>
    <w:uiPriority w:val="0"/>
    <w:rPr>
      <w:rFonts w:cs="Times New Roman"/>
      <w:position w:val="6"/>
      <w:sz w:val="14"/>
      <w:vertAlign w:val="superscript"/>
    </w:rPr>
  </w:style>
  <w:style w:type="character" w:customStyle="1" w:styleId="73">
    <w:name w:val="标题 1 Char1"/>
    <w:link w:val="3"/>
    <w:qFormat/>
    <w:locked/>
    <w:uiPriority w:val="0"/>
    <w:rPr>
      <w:rFonts w:eastAsia="黑体" w:cs="Times New Roman"/>
      <w:kern w:val="2"/>
      <w:sz w:val="44"/>
      <w:lang w:val="en-US" w:eastAsia="zh-CN"/>
    </w:rPr>
  </w:style>
  <w:style w:type="character" w:customStyle="1" w:styleId="74">
    <w:name w:val="标题 2 Char"/>
    <w:link w:val="4"/>
    <w:qFormat/>
    <w:locked/>
    <w:uiPriority w:val="0"/>
    <w:rPr>
      <w:rFonts w:ascii="宋体" w:hAnsi="宋体" w:eastAsia="宋体" w:cs="宋体"/>
      <w:b/>
    </w:rPr>
  </w:style>
  <w:style w:type="character" w:customStyle="1" w:styleId="75">
    <w:name w:val="标题 3 Char1"/>
    <w:link w:val="5"/>
    <w:qFormat/>
    <w:locked/>
    <w:uiPriority w:val="0"/>
    <w:rPr>
      <w:rFonts w:cs="Times New Roman"/>
      <w:b/>
      <w:kern w:val="2"/>
      <w:sz w:val="22"/>
      <w:szCs w:val="22"/>
    </w:rPr>
  </w:style>
  <w:style w:type="character" w:customStyle="1" w:styleId="76">
    <w:name w:val="标题 4 Char"/>
    <w:link w:val="6"/>
    <w:qFormat/>
    <w:locked/>
    <w:uiPriority w:val="0"/>
    <w:rPr>
      <w:rFonts w:ascii="Cambria" w:hAnsi="Cambria" w:eastAsia="宋体" w:cs="Times New Roman"/>
      <w:b/>
      <w:bCs/>
      <w:sz w:val="28"/>
      <w:szCs w:val="28"/>
    </w:rPr>
  </w:style>
  <w:style w:type="character" w:customStyle="1" w:styleId="77">
    <w:name w:val="标题 5 Char"/>
    <w:link w:val="7"/>
    <w:qFormat/>
    <w:locked/>
    <w:uiPriority w:val="0"/>
    <w:rPr>
      <w:rFonts w:ascii="Calibri" w:hAnsi="Calibri" w:eastAsia="方正仿宋_GBK" w:cs="Times New Roman"/>
      <w:b/>
      <w:bCs/>
      <w:sz w:val="28"/>
      <w:szCs w:val="28"/>
    </w:rPr>
  </w:style>
  <w:style w:type="character" w:customStyle="1" w:styleId="78">
    <w:name w:val="标题 6 Char"/>
    <w:link w:val="8"/>
    <w:qFormat/>
    <w:locked/>
    <w:uiPriority w:val="0"/>
    <w:rPr>
      <w:rFonts w:ascii="Cambria" w:hAnsi="Cambria" w:eastAsia="宋体" w:cs="Times New Roman"/>
      <w:b/>
      <w:bCs/>
      <w:sz w:val="24"/>
      <w:szCs w:val="24"/>
    </w:rPr>
  </w:style>
  <w:style w:type="character" w:customStyle="1" w:styleId="79">
    <w:name w:val="标题 7 Char"/>
    <w:link w:val="9"/>
    <w:qFormat/>
    <w:locked/>
    <w:uiPriority w:val="0"/>
    <w:rPr>
      <w:rFonts w:ascii="Calibri" w:hAnsi="Calibri" w:eastAsia="方正仿宋_GBK" w:cs="Times New Roman"/>
      <w:b/>
      <w:bCs/>
      <w:sz w:val="24"/>
      <w:szCs w:val="24"/>
    </w:rPr>
  </w:style>
  <w:style w:type="character" w:customStyle="1" w:styleId="80">
    <w:name w:val="标题 8 Char"/>
    <w:link w:val="10"/>
    <w:qFormat/>
    <w:locked/>
    <w:uiPriority w:val="0"/>
    <w:rPr>
      <w:rFonts w:ascii="Cambria" w:hAnsi="Cambria" w:eastAsia="宋体" w:cs="Times New Roman"/>
      <w:sz w:val="24"/>
      <w:szCs w:val="24"/>
    </w:rPr>
  </w:style>
  <w:style w:type="character" w:customStyle="1" w:styleId="81">
    <w:name w:val="标题 9 Char"/>
    <w:link w:val="11"/>
    <w:qFormat/>
    <w:locked/>
    <w:uiPriority w:val="0"/>
    <w:rPr>
      <w:rFonts w:ascii="Cambria" w:hAnsi="Cambria" w:eastAsia="宋体" w:cs="Times New Roman"/>
      <w:sz w:val="21"/>
      <w:szCs w:val="21"/>
    </w:rPr>
  </w:style>
  <w:style w:type="character" w:customStyle="1" w:styleId="82">
    <w:name w:val="正文文本 Char"/>
    <w:link w:val="2"/>
    <w:qFormat/>
    <w:locked/>
    <w:uiPriority w:val="0"/>
    <w:rPr>
      <w:rFonts w:cs="Times New Roman"/>
      <w:kern w:val="2"/>
      <w:sz w:val="24"/>
      <w:szCs w:val="24"/>
    </w:rPr>
  </w:style>
  <w:style w:type="character" w:customStyle="1" w:styleId="83">
    <w:name w:val="正文首行缩进 Char"/>
    <w:link w:val="60"/>
    <w:semiHidden/>
    <w:qFormat/>
    <w:locked/>
    <w:uiPriority w:val="99"/>
    <w:rPr>
      <w:rFonts w:ascii="Calibri" w:hAnsi="Calibri" w:eastAsia="方正仿宋_GBK" w:cs="Times New Roman"/>
      <w:kern w:val="2"/>
      <w:sz w:val="24"/>
      <w:szCs w:val="24"/>
    </w:rPr>
  </w:style>
  <w:style w:type="character" w:customStyle="1" w:styleId="84">
    <w:name w:val="批注文字 Char"/>
    <w:link w:val="20"/>
    <w:qFormat/>
    <w:locked/>
    <w:uiPriority w:val="0"/>
    <w:rPr>
      <w:rFonts w:ascii="Calibri" w:hAnsi="Calibri" w:eastAsia="方正仿宋_GBK" w:cs="Times New Roman"/>
      <w:sz w:val="24"/>
    </w:rPr>
  </w:style>
  <w:style w:type="character" w:customStyle="1" w:styleId="85">
    <w:name w:val="批注主题 Char"/>
    <w:link w:val="59"/>
    <w:qFormat/>
    <w:locked/>
    <w:uiPriority w:val="0"/>
    <w:rPr>
      <w:rFonts w:ascii="Calibri" w:hAnsi="Calibri" w:eastAsia="方正仿宋_GBK" w:cs="Times New Roman"/>
      <w:b/>
      <w:bCs/>
      <w:sz w:val="24"/>
    </w:rPr>
  </w:style>
  <w:style w:type="character" w:customStyle="1" w:styleId="86">
    <w:name w:val="文档结构图 Char"/>
    <w:link w:val="19"/>
    <w:qFormat/>
    <w:locked/>
    <w:uiPriority w:val="0"/>
    <w:rPr>
      <w:rFonts w:eastAsia="方正仿宋_GBK" w:cs="Times New Roman"/>
      <w:sz w:val="2"/>
    </w:rPr>
  </w:style>
  <w:style w:type="character" w:customStyle="1" w:styleId="87">
    <w:name w:val="正文文本 3 Char"/>
    <w:link w:val="21"/>
    <w:qFormat/>
    <w:locked/>
    <w:uiPriority w:val="0"/>
    <w:rPr>
      <w:rFonts w:ascii="Calibri" w:hAnsi="Calibri" w:eastAsia="方正仿宋_GBK" w:cs="Times New Roman"/>
      <w:sz w:val="16"/>
      <w:szCs w:val="16"/>
    </w:rPr>
  </w:style>
  <w:style w:type="character" w:customStyle="1" w:styleId="88">
    <w:name w:val="正文文本缩进 Char1"/>
    <w:link w:val="23"/>
    <w:qFormat/>
    <w:locked/>
    <w:uiPriority w:val="0"/>
    <w:rPr>
      <w:rFonts w:ascii="Calibri" w:hAnsi="Calibri" w:eastAsia="宋体" w:cs="Times New Roman"/>
      <w:kern w:val="2"/>
      <w:sz w:val="22"/>
      <w:lang w:val="en-US" w:eastAsia="zh-CN"/>
    </w:rPr>
  </w:style>
  <w:style w:type="character" w:customStyle="1" w:styleId="89">
    <w:name w:val="纯文本 Char"/>
    <w:link w:val="32"/>
    <w:qFormat/>
    <w:locked/>
    <w:uiPriority w:val="0"/>
    <w:rPr>
      <w:rFonts w:ascii="宋体" w:hAnsi="Courier New" w:eastAsia="宋体" w:cs="Times New Roman"/>
      <w:kern w:val="2"/>
      <w:sz w:val="22"/>
      <w:lang w:val="en-US" w:eastAsia="zh-CN"/>
    </w:rPr>
  </w:style>
  <w:style w:type="character" w:customStyle="1" w:styleId="90">
    <w:name w:val="日期 Char"/>
    <w:link w:val="34"/>
    <w:qFormat/>
    <w:locked/>
    <w:uiPriority w:val="0"/>
    <w:rPr>
      <w:rFonts w:ascii="Calibri" w:hAnsi="Calibri" w:eastAsia="宋体" w:cs="Times New Roman"/>
      <w:kern w:val="2"/>
      <w:sz w:val="22"/>
      <w:lang w:val="en-US" w:eastAsia="zh-CN"/>
    </w:rPr>
  </w:style>
  <w:style w:type="character" w:customStyle="1" w:styleId="91">
    <w:name w:val="正文文本缩进 2 Char"/>
    <w:link w:val="35"/>
    <w:qFormat/>
    <w:locked/>
    <w:uiPriority w:val="0"/>
    <w:rPr>
      <w:rFonts w:ascii="Calibri" w:hAnsi="Calibri" w:eastAsia="方正仿宋_GBK" w:cs="Times New Roman"/>
      <w:sz w:val="24"/>
    </w:rPr>
  </w:style>
  <w:style w:type="character" w:customStyle="1" w:styleId="92">
    <w:name w:val="批注框文本 Char"/>
    <w:link w:val="37"/>
    <w:qFormat/>
    <w:locked/>
    <w:uiPriority w:val="0"/>
    <w:rPr>
      <w:rFonts w:cs="Times New Roman"/>
      <w:kern w:val="2"/>
      <w:sz w:val="18"/>
      <w:szCs w:val="18"/>
    </w:rPr>
  </w:style>
  <w:style w:type="character" w:customStyle="1" w:styleId="93">
    <w:name w:val="页脚 Char"/>
    <w:link w:val="38"/>
    <w:qFormat/>
    <w:locked/>
    <w:uiPriority w:val="0"/>
    <w:rPr>
      <w:rFonts w:eastAsia="宋体" w:cs="Times New Roman"/>
      <w:kern w:val="2"/>
      <w:sz w:val="18"/>
      <w:lang w:val="en-US" w:eastAsia="zh-CN"/>
    </w:rPr>
  </w:style>
  <w:style w:type="character" w:customStyle="1" w:styleId="94">
    <w:name w:val="正文首行缩进 2 Char"/>
    <w:link w:val="61"/>
    <w:semiHidden/>
    <w:qFormat/>
    <w:locked/>
    <w:uiPriority w:val="99"/>
    <w:rPr>
      <w:rFonts w:ascii="Calibri" w:hAnsi="Calibri" w:eastAsia="方正仿宋_GBK" w:cs="Times New Roman"/>
      <w:kern w:val="2"/>
      <w:sz w:val="24"/>
      <w:lang w:val="en-US" w:eastAsia="zh-CN"/>
    </w:rPr>
  </w:style>
  <w:style w:type="character" w:customStyle="1" w:styleId="95">
    <w:name w:val="页眉 Char"/>
    <w:link w:val="39"/>
    <w:qFormat/>
    <w:locked/>
    <w:uiPriority w:val="0"/>
    <w:rPr>
      <w:rFonts w:eastAsia="宋体" w:cs="Times New Roman"/>
      <w:kern w:val="2"/>
      <w:sz w:val="18"/>
      <w:lang w:val="en-US" w:eastAsia="zh-CN"/>
    </w:rPr>
  </w:style>
  <w:style w:type="character" w:customStyle="1" w:styleId="96">
    <w:name w:val="脚注文本 Char"/>
    <w:link w:val="44"/>
    <w:qFormat/>
    <w:locked/>
    <w:uiPriority w:val="0"/>
    <w:rPr>
      <w:rFonts w:ascii="等线" w:hAnsi="等线" w:eastAsia="等线" w:cs="等线"/>
      <w:kern w:val="2"/>
      <w:sz w:val="22"/>
      <w:szCs w:val="22"/>
    </w:rPr>
  </w:style>
  <w:style w:type="character" w:customStyle="1" w:styleId="97">
    <w:name w:val="正文文本缩进 3 Char"/>
    <w:link w:val="47"/>
    <w:qFormat/>
    <w:locked/>
    <w:uiPriority w:val="0"/>
    <w:rPr>
      <w:rFonts w:ascii="Calibri" w:hAnsi="Calibri" w:eastAsia="方正仿宋_GBK" w:cs="Times New Roman"/>
      <w:sz w:val="16"/>
      <w:szCs w:val="16"/>
    </w:rPr>
  </w:style>
  <w:style w:type="character" w:customStyle="1" w:styleId="98">
    <w:name w:val="正文文本 2 Char"/>
    <w:link w:val="51"/>
    <w:qFormat/>
    <w:locked/>
    <w:uiPriority w:val="0"/>
    <w:rPr>
      <w:rFonts w:ascii="Calibri" w:hAnsi="Calibri" w:eastAsia="方正仿宋_GBK" w:cs="Times New Roman"/>
      <w:sz w:val="24"/>
    </w:rPr>
  </w:style>
  <w:style w:type="character" w:customStyle="1" w:styleId="99">
    <w:name w:val="标题 Char"/>
    <w:link w:val="58"/>
    <w:qFormat/>
    <w:locked/>
    <w:uiPriority w:val="0"/>
    <w:rPr>
      <w:rFonts w:ascii="等线 Light" w:hAnsi="等线 Light" w:eastAsia="等线 Light" w:cs="Times New Roman"/>
      <w:b/>
      <w:kern w:val="2"/>
      <w:sz w:val="32"/>
      <w:szCs w:val="32"/>
    </w:rPr>
  </w:style>
  <w:style w:type="character" w:customStyle="1" w:styleId="100">
    <w:name w:val="Char Char5"/>
    <w:qFormat/>
    <w:uiPriority w:val="99"/>
    <w:rPr>
      <w:rFonts w:ascii="Arial" w:hAnsi="Arial" w:eastAsia="宋体"/>
      <w:b/>
      <w:smallCaps/>
      <w:kern w:val="28"/>
      <w:sz w:val="36"/>
      <w:lang w:val="en-US" w:eastAsia="en-US"/>
    </w:rPr>
  </w:style>
  <w:style w:type="character" w:customStyle="1" w:styleId="101">
    <w:name w:val="Table Text Char1 Char"/>
    <w:qFormat/>
    <w:uiPriority w:val="99"/>
    <w:rPr>
      <w:rFonts w:ascii="Arial" w:hAnsi="Arial"/>
      <w:kern w:val="2"/>
      <w:sz w:val="18"/>
      <w:lang w:val="en-US" w:eastAsia="zh-CN"/>
    </w:rPr>
  </w:style>
  <w:style w:type="character" w:customStyle="1" w:styleId="102">
    <w:name w:val="Char Char1"/>
    <w:qFormat/>
    <w:locked/>
    <w:uiPriority w:val="99"/>
    <w:rPr>
      <w:rFonts w:eastAsia="宋体"/>
      <w:kern w:val="2"/>
      <w:sz w:val="28"/>
      <w:lang w:val="en-US" w:eastAsia="zh-CN"/>
    </w:rPr>
  </w:style>
  <w:style w:type="character" w:customStyle="1" w:styleId="103">
    <w:name w:val="top-det1"/>
    <w:qFormat/>
    <w:uiPriority w:val="99"/>
    <w:rPr>
      <w:b/>
      <w:color w:val="000000"/>
    </w:rPr>
  </w:style>
  <w:style w:type="character" w:customStyle="1" w:styleId="104">
    <w:name w:val="标书1 Char"/>
    <w:qFormat/>
    <w:uiPriority w:val="99"/>
    <w:rPr>
      <w:rFonts w:eastAsia="黑体"/>
      <w:kern w:val="2"/>
      <w:sz w:val="44"/>
      <w:lang w:val="en-US" w:eastAsia="zh-CN"/>
    </w:rPr>
  </w:style>
  <w:style w:type="character" w:customStyle="1" w:styleId="105">
    <w:name w:val="rili11"/>
    <w:qFormat/>
    <w:uiPriority w:val="99"/>
    <w:rPr>
      <w:rFonts w:ascii="Tahoma" w:hAnsi="Tahoma" w:eastAsia="宋体"/>
      <w:kern w:val="2"/>
      <w:sz w:val="21"/>
      <w:lang w:val="en-US" w:eastAsia="zh-CN"/>
    </w:rPr>
  </w:style>
  <w:style w:type="character" w:customStyle="1" w:styleId="106">
    <w:name w:val="标题 3 字符"/>
    <w:semiHidden/>
    <w:qFormat/>
    <w:locked/>
    <w:uiPriority w:val="99"/>
    <w:rPr>
      <w:rFonts w:ascii="Calibri" w:hAnsi="Calibri" w:eastAsia="宋体"/>
      <w:b/>
      <w:kern w:val="2"/>
      <w:sz w:val="22"/>
      <w:lang w:val="en-US" w:eastAsia="zh-CN"/>
    </w:rPr>
  </w:style>
  <w:style w:type="character" w:customStyle="1" w:styleId="107">
    <w:name w:val="Char Char2"/>
    <w:qFormat/>
    <w:uiPriority w:val="99"/>
    <w:rPr>
      <w:rFonts w:ascii="宋体" w:hAnsi="宋体" w:eastAsia="宋体"/>
      <w:b/>
      <w:kern w:val="2"/>
      <w:sz w:val="28"/>
      <w:lang w:val="en-US" w:eastAsia="zh-CN"/>
    </w:rPr>
  </w:style>
  <w:style w:type="character" w:customStyle="1" w:styleId="108">
    <w:name w:val="样式 标题 1 + 黑色 Char"/>
    <w:link w:val="109"/>
    <w:qFormat/>
    <w:locked/>
    <w:uiPriority w:val="99"/>
    <w:rPr>
      <w:rFonts w:eastAsia="黑体"/>
      <w:b/>
      <w:color w:val="000000"/>
      <w:kern w:val="2"/>
      <w:sz w:val="44"/>
      <w:lang w:val="en-US" w:eastAsia="zh-CN"/>
    </w:rPr>
  </w:style>
  <w:style w:type="paragraph" w:customStyle="1" w:styleId="109">
    <w:name w:val="样式 标题 1 + 黑色"/>
    <w:basedOn w:val="3"/>
    <w:link w:val="108"/>
    <w:qFormat/>
    <w:uiPriority w:val="99"/>
    <w:rPr>
      <w:b/>
      <w:color w:val="000000"/>
    </w:rPr>
  </w:style>
  <w:style w:type="character" w:customStyle="1" w:styleId="110">
    <w:name w:val="标题 3 Char"/>
    <w:qFormat/>
    <w:locked/>
    <w:uiPriority w:val="0"/>
    <w:rPr>
      <w:rFonts w:ascii="Calibri" w:hAnsi="Calibri" w:eastAsia="宋体"/>
      <w:b/>
      <w:kern w:val="2"/>
      <w:sz w:val="22"/>
      <w:lang w:val="en-US" w:eastAsia="zh-CN"/>
    </w:rPr>
  </w:style>
  <w:style w:type="character" w:customStyle="1" w:styleId="111">
    <w:name w:val="content-white1"/>
    <w:qFormat/>
    <w:uiPriority w:val="99"/>
    <w:rPr>
      <w:color w:val="auto"/>
      <w:sz w:val="18"/>
      <w:u w:val="none"/>
    </w:rPr>
  </w:style>
  <w:style w:type="character" w:customStyle="1" w:styleId="112">
    <w:name w:val="5号正文 Char"/>
    <w:link w:val="113"/>
    <w:qFormat/>
    <w:locked/>
    <w:uiPriority w:val="99"/>
    <w:rPr>
      <w:rFonts w:ascii="楷体_GB2312" w:hAnsi="宋体" w:eastAsia="楷体_GB2312"/>
      <w:sz w:val="24"/>
      <w:szCs w:val="28"/>
      <w:lang w:val="en-US" w:eastAsia="zh-CN" w:bidi="ar-SA"/>
    </w:rPr>
  </w:style>
  <w:style w:type="paragraph" w:customStyle="1" w:styleId="113">
    <w:name w:val="5号正文"/>
    <w:link w:val="112"/>
    <w:qFormat/>
    <w:uiPriority w:val="99"/>
    <w:pPr>
      <w:widowControl w:val="0"/>
      <w:adjustRightInd w:val="0"/>
      <w:snapToGrid w:val="0"/>
      <w:spacing w:line="360" w:lineRule="auto"/>
      <w:ind w:firstLine="480" w:firstLineChars="200"/>
      <w:jc w:val="both"/>
    </w:pPr>
    <w:rPr>
      <w:rFonts w:ascii="楷体_GB2312" w:hAnsi="宋体" w:eastAsia="楷体_GB2312" w:cs="Times New Roman"/>
      <w:sz w:val="24"/>
      <w:szCs w:val="28"/>
      <w:lang w:val="en-US" w:eastAsia="zh-CN" w:bidi="ar-SA"/>
    </w:rPr>
  </w:style>
  <w:style w:type="character" w:customStyle="1" w:styleId="114">
    <w:name w:val="Table Heading Char Char"/>
    <w:qFormat/>
    <w:uiPriority w:val="99"/>
    <w:rPr>
      <w:rFonts w:ascii="Arial" w:hAnsi="Arial" w:eastAsia="黑体"/>
      <w:kern w:val="2"/>
      <w:sz w:val="18"/>
      <w:lang w:val="en-US" w:eastAsia="zh-CN"/>
    </w:rPr>
  </w:style>
  <w:style w:type="character" w:customStyle="1" w:styleId="115">
    <w:name w:val="标书正文:  0.74 厘米 Char1"/>
    <w:qFormat/>
    <w:uiPriority w:val="99"/>
    <w:rPr>
      <w:rFonts w:eastAsia="宋体"/>
      <w:kern w:val="2"/>
      <w:sz w:val="24"/>
      <w:lang w:val="en-US" w:eastAsia="zh-CN"/>
    </w:rPr>
  </w:style>
  <w:style w:type="character" w:customStyle="1" w:styleId="116">
    <w:name w:val="v151"/>
    <w:qFormat/>
    <w:uiPriority w:val="99"/>
    <w:rPr>
      <w:sz w:val="18"/>
    </w:rPr>
  </w:style>
  <w:style w:type="character" w:customStyle="1" w:styleId="117">
    <w:name w:val="font1"/>
    <w:qFormat/>
    <w:uiPriority w:val="99"/>
    <w:rPr>
      <w:color w:val="000000"/>
      <w:sz w:val="18"/>
    </w:rPr>
  </w:style>
  <w:style w:type="character" w:customStyle="1" w:styleId="118">
    <w:name w:val="Char Char"/>
    <w:qFormat/>
    <w:uiPriority w:val="99"/>
    <w:rPr>
      <w:rFonts w:ascii="宋体" w:hAnsi="Courier New" w:eastAsia="宋体"/>
      <w:kern w:val="2"/>
      <w:sz w:val="21"/>
      <w:lang w:val="en-US" w:eastAsia="zh-CN"/>
    </w:rPr>
  </w:style>
  <w:style w:type="character" w:customStyle="1" w:styleId="119">
    <w:name w:val="Char Char21"/>
    <w:qFormat/>
    <w:uiPriority w:val="0"/>
    <w:rPr>
      <w:rFonts w:eastAsia="宋体"/>
      <w:kern w:val="2"/>
      <w:sz w:val="18"/>
      <w:lang w:val="en-US" w:eastAsia="zh-CN"/>
    </w:rPr>
  </w:style>
  <w:style w:type="character" w:customStyle="1" w:styleId="120">
    <w:name w:val="Table Text Char Char Char Char"/>
    <w:qFormat/>
    <w:uiPriority w:val="99"/>
    <w:rPr>
      <w:rFonts w:ascii="Arial" w:hAnsi="Arial"/>
      <w:kern w:val="2"/>
      <w:sz w:val="18"/>
      <w:lang w:val="en-US" w:eastAsia="zh-CN"/>
    </w:rPr>
  </w:style>
  <w:style w:type="character" w:customStyle="1" w:styleId="121">
    <w:name w:val="font11"/>
    <w:qFormat/>
    <w:uiPriority w:val="99"/>
    <w:rPr>
      <w:rFonts w:ascii="宋体" w:hAnsi="宋体" w:eastAsia="宋体"/>
      <w:color w:val="FF0000"/>
      <w:sz w:val="21"/>
      <w:u w:val="none"/>
      <w:vertAlign w:val="superscript"/>
    </w:rPr>
  </w:style>
  <w:style w:type="character" w:customStyle="1" w:styleId="122">
    <w:name w:val="Char Char8"/>
    <w:qFormat/>
    <w:locked/>
    <w:uiPriority w:val="99"/>
    <w:rPr>
      <w:rFonts w:eastAsia="宋体"/>
      <w:kern w:val="2"/>
      <w:sz w:val="28"/>
      <w:lang w:val="en-US" w:eastAsia="zh-CN"/>
    </w:rPr>
  </w:style>
  <w:style w:type="character" w:customStyle="1" w:styleId="123">
    <w:name w:val="font41"/>
    <w:qFormat/>
    <w:uiPriority w:val="99"/>
    <w:rPr>
      <w:rFonts w:ascii="宋体" w:hAnsi="宋体" w:eastAsia="宋体"/>
      <w:color w:val="FF0000"/>
      <w:sz w:val="21"/>
      <w:u w:val="none"/>
    </w:rPr>
  </w:style>
  <w:style w:type="character" w:customStyle="1" w:styleId="124">
    <w:name w:val="Table Text Char"/>
    <w:qFormat/>
    <w:uiPriority w:val="99"/>
    <w:rPr>
      <w:rFonts w:ascii="Arial" w:hAnsi="Arial"/>
      <w:kern w:val="2"/>
      <w:sz w:val="18"/>
      <w:lang w:val="en-US" w:eastAsia="zh-CN"/>
    </w:rPr>
  </w:style>
  <w:style w:type="character" w:customStyle="1" w:styleId="125">
    <w:name w:val="Char Char31"/>
    <w:qFormat/>
    <w:uiPriority w:val="99"/>
    <w:rPr>
      <w:rFonts w:ascii="宋体" w:hAnsi="宋体" w:eastAsia="宋体"/>
      <w:kern w:val="2"/>
      <w:sz w:val="24"/>
      <w:lang w:val="en-US" w:eastAsia="zh-CN"/>
    </w:rPr>
  </w:style>
  <w:style w:type="character" w:customStyle="1" w:styleId="126">
    <w:name w:val="标题1"/>
    <w:qFormat/>
    <w:uiPriority w:val="99"/>
    <w:rPr>
      <w:rFonts w:ascii="Tahoma" w:hAnsi="Tahoma" w:eastAsia="宋体"/>
      <w:kern w:val="2"/>
      <w:sz w:val="30"/>
      <w:lang w:val="en-US" w:eastAsia="zh-CN"/>
    </w:rPr>
  </w:style>
  <w:style w:type="character" w:customStyle="1" w:styleId="127">
    <w:name w:val="crowed11"/>
    <w:qFormat/>
    <w:uiPriority w:val="99"/>
    <w:rPr>
      <w:sz w:val="24"/>
    </w:rPr>
  </w:style>
  <w:style w:type="character" w:customStyle="1" w:styleId="128">
    <w:name w:val="标题 2 字符"/>
    <w:semiHidden/>
    <w:qFormat/>
    <w:locked/>
    <w:uiPriority w:val="99"/>
    <w:rPr>
      <w:rFonts w:ascii="Arial" w:hAnsi="Arial" w:eastAsia="黑体"/>
      <w:b/>
      <w:kern w:val="2"/>
      <w:sz w:val="22"/>
      <w:lang w:val="en-US" w:eastAsia="zh-CN"/>
    </w:rPr>
  </w:style>
  <w:style w:type="character" w:customStyle="1" w:styleId="129">
    <w:name w:val="小 Char"/>
    <w:qFormat/>
    <w:uiPriority w:val="99"/>
    <w:rPr>
      <w:rFonts w:ascii="宋体" w:hAnsi="Courier New" w:eastAsia="宋体"/>
      <w:kern w:val="2"/>
      <w:sz w:val="21"/>
      <w:lang w:val="en-US" w:eastAsia="zh-CN"/>
    </w:rPr>
  </w:style>
  <w:style w:type="character" w:customStyle="1" w:styleId="130">
    <w:name w:val="Char Char3"/>
    <w:qFormat/>
    <w:uiPriority w:val="99"/>
    <w:rPr>
      <w:rFonts w:eastAsia="宋体"/>
      <w:kern w:val="2"/>
      <w:sz w:val="18"/>
      <w:lang w:val="en-US" w:eastAsia="zh-CN"/>
    </w:rPr>
  </w:style>
  <w:style w:type="character" w:customStyle="1" w:styleId="131">
    <w:name w:val="Char Char4"/>
    <w:qFormat/>
    <w:uiPriority w:val="99"/>
    <w:rPr>
      <w:rFonts w:eastAsia="宋体"/>
      <w:b/>
      <w:kern w:val="2"/>
      <w:sz w:val="21"/>
      <w:lang w:val="en-US" w:eastAsia="zh-CN"/>
    </w:rPr>
  </w:style>
  <w:style w:type="character" w:customStyle="1" w:styleId="132">
    <w:name w:val="Char Char12"/>
    <w:qFormat/>
    <w:uiPriority w:val="0"/>
    <w:rPr>
      <w:rFonts w:eastAsia="黑体"/>
      <w:kern w:val="2"/>
      <w:sz w:val="44"/>
      <w:lang w:val="en-US" w:eastAsia="zh-CN"/>
    </w:rPr>
  </w:style>
  <w:style w:type="character" w:customStyle="1" w:styleId="133">
    <w:name w:val="Char Char6"/>
    <w:qFormat/>
    <w:uiPriority w:val="99"/>
    <w:rPr>
      <w:rFonts w:ascii="仿宋_GB2312" w:eastAsia="仿宋_GB2312"/>
      <w:kern w:val="2"/>
      <w:sz w:val="32"/>
    </w:rPr>
  </w:style>
  <w:style w:type="character" w:customStyle="1" w:styleId="134">
    <w:name w:val="Char Char7"/>
    <w:qFormat/>
    <w:uiPriority w:val="99"/>
    <w:rPr>
      <w:rFonts w:ascii="宋体" w:hAnsi="宋体" w:eastAsia="宋体"/>
      <w:kern w:val="2"/>
      <w:sz w:val="28"/>
    </w:rPr>
  </w:style>
  <w:style w:type="character" w:customStyle="1" w:styleId="135">
    <w:name w:val="正文文本缩进 Char"/>
    <w:qFormat/>
    <w:locked/>
    <w:uiPriority w:val="0"/>
    <w:rPr>
      <w:rFonts w:ascii="Calibri" w:hAnsi="Calibri" w:eastAsia="宋体"/>
      <w:kern w:val="2"/>
      <w:sz w:val="22"/>
      <w:lang w:val="en-US" w:eastAsia="zh-CN"/>
    </w:rPr>
  </w:style>
  <w:style w:type="character" w:customStyle="1" w:styleId="136">
    <w:name w:val="font21"/>
    <w:qFormat/>
    <w:uiPriority w:val="99"/>
    <w:rPr>
      <w:rFonts w:ascii="宋体" w:hAnsi="宋体" w:eastAsia="宋体"/>
      <w:b/>
      <w:color w:val="FF0000"/>
      <w:sz w:val="21"/>
      <w:u w:val="none"/>
    </w:rPr>
  </w:style>
  <w:style w:type="character" w:customStyle="1" w:styleId="137">
    <w:name w:val="Char Char10"/>
    <w:qFormat/>
    <w:uiPriority w:val="99"/>
    <w:rPr>
      <w:rFonts w:ascii="宋体" w:hAnsi="宋体" w:eastAsia="宋体"/>
      <w:b/>
      <w:kern w:val="2"/>
      <w:sz w:val="28"/>
      <w:lang w:val="en-US" w:eastAsia="zh-CN"/>
    </w:rPr>
  </w:style>
  <w:style w:type="character" w:customStyle="1" w:styleId="138">
    <w:name w:val="正文 + 三号 Char"/>
    <w:qFormat/>
    <w:uiPriority w:val="99"/>
    <w:rPr>
      <w:rFonts w:eastAsia="宋体"/>
      <w:kern w:val="2"/>
      <w:sz w:val="21"/>
      <w:lang w:val="en-US" w:eastAsia="zh-CN"/>
    </w:rPr>
  </w:style>
  <w:style w:type="character" w:customStyle="1" w:styleId="139">
    <w:name w:val="未命名11"/>
    <w:qFormat/>
    <w:uiPriority w:val="99"/>
    <w:rPr>
      <w:color w:val="77FFFF"/>
      <w:sz w:val="24"/>
    </w:rPr>
  </w:style>
  <w:style w:type="character" w:customStyle="1" w:styleId="140">
    <w:name w:val="标题 1 Char"/>
    <w:qFormat/>
    <w:uiPriority w:val="0"/>
    <w:rPr>
      <w:rFonts w:eastAsia="黑体"/>
      <w:kern w:val="2"/>
      <w:sz w:val="44"/>
      <w:lang w:val="en-US" w:eastAsia="zh-CN"/>
    </w:rPr>
  </w:style>
  <w:style w:type="character" w:customStyle="1" w:styleId="141">
    <w:name w:val="样式 宋体"/>
    <w:qFormat/>
    <w:uiPriority w:val="99"/>
    <w:rPr>
      <w:rFonts w:ascii="宋体" w:hAnsi="宋体" w:eastAsia="宋体"/>
      <w:sz w:val="28"/>
    </w:rPr>
  </w:style>
  <w:style w:type="paragraph" w:customStyle="1" w:styleId="142">
    <w:name w:val="表格内文字"/>
    <w:basedOn w:val="32"/>
    <w:qFormat/>
    <w:uiPriority w:val="99"/>
    <w:pPr>
      <w:adjustRightInd w:val="0"/>
    </w:pPr>
    <w:rPr>
      <w:color w:val="000000"/>
      <w:lang w:val="en-GB"/>
    </w:rPr>
  </w:style>
  <w:style w:type="paragraph" w:customStyle="1" w:styleId="143">
    <w:name w:val="段"/>
    <w:qFormat/>
    <w:uiPriority w:val="99"/>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4">
    <w:name w:val="Figure Description"/>
    <w:next w:val="1"/>
    <w:qFormat/>
    <w:uiPriority w:val="99"/>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宋体 五号 两端对齐 行距: 单倍行距"/>
    <w:basedOn w:val="1"/>
    <w:qFormat/>
    <w:uiPriority w:val="99"/>
    <w:pPr>
      <w:adjustRightInd w:val="0"/>
      <w:textAlignment w:val="baseline"/>
    </w:pPr>
    <w:rPr>
      <w:rFonts w:ascii="宋体" w:hAnsi="宋体"/>
      <w:kern w:val="0"/>
      <w:sz w:val="21"/>
      <w:szCs w:val="20"/>
    </w:rPr>
  </w:style>
  <w:style w:type="paragraph" w:customStyle="1" w:styleId="146">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hAnsi="Times New Roman"/>
      <w:kern w:val="0"/>
      <w:sz w:val="18"/>
      <w:szCs w:val="20"/>
    </w:rPr>
  </w:style>
  <w:style w:type="paragraph" w:customStyle="1" w:styleId="147">
    <w:name w:val="样式 样式 首行缩进:  2 字符 + 首行缩进:  2 字符"/>
    <w:basedOn w:val="1"/>
    <w:qFormat/>
    <w:uiPriority w:val="99"/>
    <w:pPr>
      <w:spacing w:line="360" w:lineRule="auto"/>
      <w:ind w:firstLine="480" w:firstLineChars="200"/>
    </w:pPr>
    <w:rPr>
      <w:rFonts w:ascii="Times New Roman" w:hAnsi="Times New Roman"/>
      <w:szCs w:val="20"/>
    </w:rPr>
  </w:style>
  <w:style w:type="paragraph" w:customStyle="1" w:styleId="148">
    <w:name w:val="正文4"/>
    <w:basedOn w:val="1"/>
    <w:qFormat/>
    <w:uiPriority w:val="99"/>
    <w:pPr>
      <w:tabs>
        <w:tab w:val="left" w:pos="1275"/>
      </w:tabs>
      <w:spacing w:before="60" w:after="60" w:line="360" w:lineRule="auto"/>
      <w:ind w:left="820" w:leftChars="400" w:hanging="705"/>
    </w:pPr>
    <w:rPr>
      <w:rFonts w:ascii="Times New Roman" w:hAnsi="Times New Roman"/>
      <w:szCs w:val="20"/>
    </w:rPr>
  </w:style>
  <w:style w:type="paragraph" w:customStyle="1" w:styleId="149">
    <w:name w:val="简单回函地址"/>
    <w:basedOn w:val="1"/>
    <w:qFormat/>
    <w:uiPriority w:val="99"/>
    <w:pPr>
      <w:adjustRightInd w:val="0"/>
      <w:snapToGrid w:val="0"/>
      <w:spacing w:line="360" w:lineRule="auto"/>
    </w:pPr>
    <w:rPr>
      <w:rFonts w:ascii="Times New Roman" w:hAnsi="Times New Roman"/>
      <w:szCs w:val="20"/>
    </w:rPr>
  </w:style>
  <w:style w:type="paragraph" w:customStyle="1" w:styleId="150">
    <w:name w:val="Char Char1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51">
    <w:name w:val="附录2"/>
    <w:basedOn w:val="1"/>
    <w:next w:val="1"/>
    <w:qFormat/>
    <w:uiPriority w:val="99"/>
    <w:pPr>
      <w:tabs>
        <w:tab w:val="left" w:pos="420"/>
        <w:tab w:val="left" w:pos="624"/>
      </w:tabs>
      <w:ind w:left="420" w:hanging="420"/>
      <w:outlineLvl w:val="1"/>
    </w:pPr>
    <w:rPr>
      <w:rFonts w:ascii="黑体" w:hAnsi="黑体" w:eastAsia="黑体"/>
      <w:b/>
      <w:sz w:val="32"/>
      <w:szCs w:val="20"/>
    </w:rPr>
  </w:style>
  <w:style w:type="paragraph" w:customStyle="1" w:styleId="152">
    <w:name w:val="列出段落1"/>
    <w:basedOn w:val="1"/>
    <w:qFormat/>
    <w:uiPriority w:val="0"/>
    <w:pPr>
      <w:ind w:firstLine="200" w:firstLineChars="200"/>
    </w:pPr>
    <w:rPr>
      <w:rFonts w:ascii="Times New Roman" w:hAnsi="Times New Roman"/>
      <w:szCs w:val="20"/>
    </w:rPr>
  </w:style>
  <w:style w:type="paragraph" w:customStyle="1" w:styleId="153">
    <w:name w:val="文章正文"/>
    <w:basedOn w:val="1"/>
    <w:qFormat/>
    <w:uiPriority w:val="99"/>
    <w:pPr>
      <w:ind w:firstLine="560" w:firstLineChars="200"/>
    </w:pPr>
    <w:rPr>
      <w:rFonts w:ascii="仿宋_GB2312" w:hAnsi="宋体" w:eastAsia="仿宋_GB2312"/>
      <w:color w:val="000000"/>
      <w:szCs w:val="20"/>
    </w:rPr>
  </w:style>
  <w:style w:type="paragraph" w:customStyle="1" w:styleId="154">
    <w:name w:val="AA Numbering"/>
    <w:basedOn w:val="1"/>
    <w:qFormat/>
    <w:uiPriority w:val="99"/>
    <w:pPr>
      <w:widowControl/>
      <w:tabs>
        <w:tab w:val="left" w:pos="1134"/>
        <w:tab w:val="left" w:pos="1280"/>
      </w:tabs>
      <w:adjustRightInd w:val="0"/>
      <w:snapToGrid w:val="0"/>
      <w:spacing w:line="280" w:lineRule="atLeast"/>
      <w:jc w:val="left"/>
    </w:pPr>
    <w:rPr>
      <w:rFonts w:ascii="Times New Roman" w:hAnsi="Times New Roman" w:eastAsia="PMingLiU"/>
      <w:kern w:val="0"/>
      <w:szCs w:val="20"/>
      <w:lang w:eastAsia="zh-TW"/>
    </w:rPr>
  </w:style>
  <w:style w:type="paragraph" w:customStyle="1" w:styleId="155">
    <w:name w:val="hb.1"/>
    <w:basedOn w:val="1"/>
    <w:qFormat/>
    <w:uiPriority w:val="99"/>
    <w:pPr>
      <w:tabs>
        <w:tab w:val="left" w:pos="992"/>
      </w:tabs>
      <w:spacing w:after="156"/>
      <w:ind w:left="840" w:hanging="420"/>
    </w:pPr>
    <w:rPr>
      <w:rFonts w:ascii="Times New Roman" w:hAnsi="Times New Roman"/>
      <w:szCs w:val="20"/>
    </w:rPr>
  </w:style>
  <w:style w:type="paragraph" w:customStyle="1" w:styleId="156">
    <w:name w:val="Item Step"/>
    <w:qFormat/>
    <w:uiPriority w:val="99"/>
    <w:pPr>
      <w:tabs>
        <w:tab w:val="left" w:pos="1644"/>
      </w:tabs>
      <w:ind w:left="1644" w:hanging="510"/>
      <w:outlineLvl w:val="4"/>
    </w:pPr>
    <w:rPr>
      <w:rFonts w:ascii="Arial" w:hAnsi="Arial" w:eastAsia="宋体" w:cs="Times New Roman"/>
      <w:sz w:val="21"/>
      <w:lang w:val="en-US" w:eastAsia="zh-CN" w:bidi="ar-SA"/>
    </w:rPr>
  </w:style>
  <w:style w:type="paragraph" w:customStyle="1" w:styleId="157">
    <w:name w:val="Char Char Char Char Char Char Char Char Char Char Char Char Char"/>
    <w:basedOn w:val="1"/>
    <w:qFormat/>
    <w:uiPriority w:val="99"/>
    <w:pPr>
      <w:widowControl/>
      <w:spacing w:after="160" w:line="240" w:lineRule="exact"/>
      <w:jc w:val="left"/>
    </w:pPr>
    <w:rPr>
      <w:rFonts w:ascii="Verdana" w:hAnsi="Verdana" w:eastAsia="仿宋_GB2312"/>
      <w:kern w:val="0"/>
      <w:szCs w:val="20"/>
      <w:lang w:eastAsia="en-US"/>
    </w:rPr>
  </w:style>
  <w:style w:type="paragraph" w:customStyle="1" w:styleId="158">
    <w:name w:val="标题无"/>
    <w:basedOn w:val="1"/>
    <w:qFormat/>
    <w:uiPriority w:val="99"/>
    <w:pPr>
      <w:spacing w:line="360" w:lineRule="auto"/>
    </w:pPr>
    <w:rPr>
      <w:rFonts w:ascii="Times New Roman" w:hAnsi="Times New Roman"/>
      <w:szCs w:val="20"/>
    </w:rPr>
  </w:style>
  <w:style w:type="paragraph" w:customStyle="1" w:styleId="159">
    <w:name w:val="文档正文 Char Char Char Char Char"/>
    <w:basedOn w:val="1"/>
    <w:qFormat/>
    <w:uiPriority w:val="99"/>
    <w:pPr>
      <w:adjustRightInd w:val="0"/>
      <w:spacing w:line="440" w:lineRule="exact"/>
      <w:ind w:firstLine="420"/>
      <w:textAlignment w:val="baseline"/>
    </w:pPr>
    <w:rPr>
      <w:rFonts w:ascii="Arial Narrow" w:hAnsi="Arial Narrow"/>
      <w:kern w:val="0"/>
      <w:szCs w:val="20"/>
    </w:rPr>
  </w:style>
  <w:style w:type="paragraph" w:customStyle="1" w:styleId="160">
    <w:name w:val="正文文本 21"/>
    <w:basedOn w:val="1"/>
    <w:qFormat/>
    <w:uiPriority w:val="99"/>
    <w:pPr>
      <w:adjustRightInd w:val="0"/>
      <w:spacing w:before="120" w:line="360" w:lineRule="auto"/>
      <w:ind w:firstLine="480"/>
      <w:textAlignment w:val="baseline"/>
    </w:pPr>
    <w:rPr>
      <w:rFonts w:ascii="Times New Roman" w:hAnsi="Times New Roman"/>
      <w:szCs w:val="20"/>
    </w:rPr>
  </w:style>
  <w:style w:type="paragraph" w:customStyle="1" w:styleId="161">
    <w:name w:val="可研正文"/>
    <w:basedOn w:val="2"/>
    <w:qFormat/>
    <w:uiPriority w:val="99"/>
    <w:pPr>
      <w:adjustRightInd w:val="0"/>
      <w:snapToGrid w:val="0"/>
      <w:spacing w:after="0" w:line="440" w:lineRule="exact"/>
      <w:ind w:firstLine="567"/>
    </w:pPr>
    <w:rPr>
      <w:rFonts w:ascii="仿宋_GB2312" w:eastAsia="仿宋_GB2312"/>
      <w:szCs w:val="20"/>
    </w:rPr>
  </w:style>
  <w:style w:type="paragraph" w:customStyle="1" w:styleId="162">
    <w:name w:val="tabletext"/>
    <w:basedOn w:val="1"/>
    <w:qFormat/>
    <w:uiPriority w:val="99"/>
    <w:pPr>
      <w:widowControl/>
      <w:spacing w:before="100" w:beforeAutospacing="1" w:after="100" w:afterAutospacing="1"/>
      <w:jc w:val="left"/>
    </w:pPr>
    <w:rPr>
      <w:rFonts w:ascii="宋体" w:hAnsi="宋体" w:cs="宋体"/>
      <w:kern w:val="0"/>
      <w:szCs w:val="24"/>
    </w:rPr>
  </w:style>
  <w:style w:type="paragraph" w:customStyle="1" w:styleId="163">
    <w:name w:val="默认段落字体 Para Char Char Char Char Char Char Char Char Char1 Char Char Char Char"/>
    <w:basedOn w:val="1"/>
    <w:qFormat/>
    <w:uiPriority w:val="99"/>
    <w:rPr>
      <w:rFonts w:ascii="Tahoma" w:hAnsi="Tahoma"/>
      <w:szCs w:val="20"/>
    </w:rPr>
  </w:style>
  <w:style w:type="paragraph" w:customStyle="1" w:styleId="16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5">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66">
    <w:name w:val="样式 标题 1章标题Heading 0Section HeadPIM 1H1h11st levell11H1..."/>
    <w:basedOn w:val="3"/>
    <w:qFormat/>
    <w:uiPriority w:val="99"/>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67">
    <w:name w:val="内容标题"/>
    <w:basedOn w:val="19"/>
    <w:qFormat/>
    <w:uiPriority w:val="99"/>
    <w:rPr>
      <w:rFonts w:ascii="Tahoma" w:hAnsi="Tahoma"/>
    </w:rPr>
  </w:style>
  <w:style w:type="paragraph" w:customStyle="1" w:styleId="168">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szCs w:val="20"/>
    </w:rPr>
  </w:style>
  <w:style w:type="paragraph" w:customStyle="1" w:styleId="169">
    <w:name w:val="正文文本缩进 21"/>
    <w:basedOn w:val="1"/>
    <w:qFormat/>
    <w:uiPriority w:val="99"/>
    <w:pPr>
      <w:adjustRightInd w:val="0"/>
      <w:spacing w:before="120"/>
      <w:ind w:firstLine="420"/>
      <w:textAlignment w:val="baseline"/>
    </w:pPr>
    <w:rPr>
      <w:rFonts w:ascii="Times New Roman" w:hAnsi="Times New Roman"/>
      <w:szCs w:val="20"/>
    </w:rPr>
  </w:style>
  <w:style w:type="paragraph" w:customStyle="1" w:styleId="170">
    <w:name w:val="Title - Revision"/>
    <w:basedOn w:val="58"/>
    <w:qFormat/>
    <w:uiPriority w:val="99"/>
    <w:pPr>
      <w:spacing w:before="720"/>
    </w:pPr>
  </w:style>
  <w:style w:type="paragraph" w:customStyle="1" w:styleId="171">
    <w:name w:val="Char Char1 Char"/>
    <w:basedOn w:val="1"/>
    <w:qFormat/>
    <w:uiPriority w:val="99"/>
    <w:rPr>
      <w:rFonts w:ascii="Tahoma" w:hAnsi="Tahoma"/>
      <w:szCs w:val="24"/>
    </w:rPr>
  </w:style>
  <w:style w:type="paragraph" w:customStyle="1" w:styleId="172">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173">
    <w:name w:val="TOC 标题1"/>
    <w:basedOn w:val="3"/>
    <w:next w:val="1"/>
    <w:qFormat/>
    <w:uiPriority w:val="0"/>
    <w:pPr>
      <w:keepLines/>
      <w:widowControl/>
      <w:tabs>
        <w:tab w:val="clear" w:pos="3360"/>
      </w:tabs>
      <w:snapToGrid/>
      <w:spacing w:beforeLines="0" w:afterLines="0" w:line="276" w:lineRule="auto"/>
      <w:jc w:val="left"/>
      <w:outlineLvl w:val="9"/>
    </w:pPr>
    <w:rPr>
      <w:rFonts w:ascii="Cambria" w:hAnsi="Cambria" w:eastAsia="宋体"/>
      <w:b/>
      <w:bCs/>
      <w:color w:val="365F91"/>
      <w:kern w:val="0"/>
      <w:sz w:val="28"/>
      <w:szCs w:val="28"/>
    </w:rPr>
  </w:style>
  <w:style w:type="paragraph" w:customStyle="1" w:styleId="174">
    <w:name w:val="样式2"/>
    <w:basedOn w:val="6"/>
    <w:qFormat/>
    <w:uiPriority w:val="99"/>
    <w:pPr>
      <w:spacing w:line="400" w:lineRule="exact"/>
      <w:ind w:left="420" w:hanging="420"/>
      <w:jc w:val="center"/>
      <w:outlineLvl w:val="0"/>
    </w:pPr>
    <w:rPr>
      <w:b w:val="0"/>
      <w:sz w:val="44"/>
    </w:rPr>
  </w:style>
  <w:style w:type="paragraph" w:customStyle="1" w:styleId="175">
    <w:name w:val="编号正文"/>
    <w:basedOn w:val="176"/>
    <w:qFormat/>
    <w:uiPriority w:val="99"/>
    <w:pPr>
      <w:snapToGrid/>
      <w:spacing w:line="360" w:lineRule="auto"/>
      <w:ind w:left="1407" w:hanging="1047"/>
      <w:jc w:val="left"/>
    </w:pPr>
    <w:rPr>
      <w:rFonts w:eastAsia="仿宋_GB2312"/>
    </w:rPr>
  </w:style>
  <w:style w:type="paragraph" w:customStyle="1" w:styleId="176">
    <w:name w:val="文档正文"/>
    <w:basedOn w:val="1"/>
    <w:qFormat/>
    <w:uiPriority w:val="99"/>
    <w:pPr>
      <w:adjustRightInd w:val="0"/>
      <w:snapToGrid w:val="0"/>
      <w:spacing w:line="440" w:lineRule="exact"/>
      <w:ind w:firstLine="567"/>
      <w:textAlignment w:val="baseline"/>
    </w:pPr>
    <w:rPr>
      <w:rFonts w:ascii="Arial Narrow" w:hAnsi="Arial Narrow"/>
      <w:kern w:val="0"/>
      <w:szCs w:val="20"/>
    </w:rPr>
  </w:style>
  <w:style w:type="paragraph" w:customStyle="1" w:styleId="177">
    <w:name w:val="首行缩进"/>
    <w:basedOn w:val="1"/>
    <w:qFormat/>
    <w:uiPriority w:val="99"/>
    <w:pPr>
      <w:spacing w:line="360" w:lineRule="auto"/>
      <w:ind w:firstLine="420" w:firstLineChars="200"/>
    </w:pPr>
    <w:rPr>
      <w:rFonts w:ascii="Times New Roman" w:hAnsi="Times New Roman"/>
      <w:sz w:val="21"/>
      <w:szCs w:val="20"/>
    </w:rPr>
  </w:style>
  <w:style w:type="paragraph" w:customStyle="1" w:styleId="178">
    <w:name w:val="xl23"/>
    <w:basedOn w:val="1"/>
    <w:qFormat/>
    <w:uiPriority w:val="99"/>
    <w:pPr>
      <w:widowControl/>
      <w:spacing w:before="100" w:beforeAutospacing="1" w:after="100" w:afterAutospacing="1" w:line="360" w:lineRule="auto"/>
      <w:textAlignment w:val="top"/>
    </w:pPr>
    <w:rPr>
      <w:rFonts w:ascii="Times New Roman" w:hAnsi="Times New Roman"/>
      <w:kern w:val="0"/>
      <w:szCs w:val="20"/>
    </w:rPr>
  </w:style>
  <w:style w:type="paragraph" w:customStyle="1" w:styleId="179">
    <w:name w:val="样式 标题 1 + 居中 段前: 6 磅 段后: 6 磅 行距: 1.5 倍行距"/>
    <w:basedOn w:val="3"/>
    <w:qFormat/>
    <w:uiPriority w:val="99"/>
    <w:pPr>
      <w:keepLines/>
      <w:tabs>
        <w:tab w:val="clear" w:pos="3360"/>
      </w:tabs>
      <w:adjustRightInd w:val="0"/>
      <w:spacing w:beforeLines="0" w:line="360" w:lineRule="auto"/>
    </w:pPr>
    <w:rPr>
      <w:rFonts w:eastAsia="宋体"/>
      <w:b/>
      <w:kern w:val="44"/>
      <w:sz w:val="32"/>
    </w:rPr>
  </w:style>
  <w:style w:type="paragraph" w:customStyle="1" w:styleId="180">
    <w:name w:val="Note"/>
    <w:basedOn w:val="1"/>
    <w:qFormat/>
    <w:uiPriority w:val="99"/>
    <w:pPr>
      <w:pBdr>
        <w:top w:val="single" w:color="auto" w:sz="12" w:space="3"/>
        <w:bottom w:val="single" w:color="auto" w:sz="12" w:space="3"/>
      </w:pBdr>
      <w:spacing w:line="360" w:lineRule="auto"/>
    </w:pPr>
    <w:rPr>
      <w:rFonts w:ascii="Times New Roman" w:hAnsi="Times New Roman"/>
      <w:szCs w:val="20"/>
    </w:rPr>
  </w:style>
  <w:style w:type="paragraph" w:customStyle="1" w:styleId="181">
    <w:name w:val="表文字"/>
    <w:qFormat/>
    <w:uiPriority w:val="99"/>
    <w:rPr>
      <w:rFonts w:ascii="宋体" w:hAnsi="Times New Roman" w:eastAsia="宋体" w:cs="Times New Roman"/>
      <w:kern w:val="2"/>
      <w:lang w:val="en-US" w:eastAsia="zh-CN" w:bidi="ar-SA"/>
    </w:rPr>
  </w:style>
  <w:style w:type="paragraph" w:customStyle="1" w:styleId="182">
    <w:name w:val="标题3——2"/>
    <w:basedOn w:val="5"/>
    <w:next w:val="60"/>
    <w:qFormat/>
    <w:uiPriority w:val="99"/>
    <w:pPr>
      <w:tabs>
        <w:tab w:val="left" w:pos="1280"/>
        <w:tab w:val="right" w:leader="dot" w:pos="8777"/>
      </w:tabs>
      <w:spacing w:beforeLines="100" w:after="0" w:line="240" w:lineRule="auto"/>
      <w:ind w:left="851" w:hanging="851"/>
      <w:outlineLvl w:val="9"/>
    </w:pPr>
    <w:rPr>
      <w:rFonts w:ascii="黑体" w:hAnsi="宋体" w:eastAsia="黑体"/>
      <w:sz w:val="30"/>
      <w:szCs w:val="20"/>
    </w:rPr>
  </w:style>
  <w:style w:type="paragraph" w:customStyle="1" w:styleId="183">
    <w:name w:val="缺省文本"/>
    <w:basedOn w:val="1"/>
    <w:qFormat/>
    <w:uiPriority w:val="99"/>
    <w:pPr>
      <w:tabs>
        <w:tab w:val="left" w:pos="1260"/>
      </w:tabs>
      <w:autoSpaceDE w:val="0"/>
      <w:autoSpaceDN w:val="0"/>
      <w:adjustRightInd w:val="0"/>
      <w:spacing w:line="360" w:lineRule="auto"/>
      <w:jc w:val="left"/>
    </w:pPr>
    <w:rPr>
      <w:rFonts w:ascii="Times New Roman" w:hAnsi="Times New Roman"/>
      <w:kern w:val="0"/>
      <w:szCs w:val="20"/>
    </w:rPr>
  </w:style>
  <w:style w:type="paragraph" w:customStyle="1" w:styleId="184">
    <w:name w:val="标书正文:  0.74 厘米"/>
    <w:basedOn w:val="1"/>
    <w:qFormat/>
    <w:uiPriority w:val="99"/>
    <w:pPr>
      <w:snapToGrid w:val="0"/>
      <w:spacing w:line="360" w:lineRule="auto"/>
      <w:ind w:firstLine="420"/>
    </w:pPr>
    <w:rPr>
      <w:rFonts w:ascii="Times New Roman" w:hAnsi="Times New Roman"/>
      <w:szCs w:val="20"/>
    </w:rPr>
  </w:style>
  <w:style w:type="paragraph" w:customStyle="1" w:styleId="185">
    <w:name w:val="style1"/>
    <w:basedOn w:val="1"/>
    <w:qFormat/>
    <w:uiPriority w:val="99"/>
    <w:pPr>
      <w:widowControl/>
      <w:spacing w:before="100" w:beforeAutospacing="1" w:after="100" w:afterAutospacing="1"/>
      <w:jc w:val="left"/>
    </w:pPr>
    <w:rPr>
      <w:rFonts w:ascii="宋体" w:hAnsi="宋体"/>
      <w:kern w:val="0"/>
      <w:sz w:val="21"/>
      <w:szCs w:val="20"/>
    </w:rPr>
  </w:style>
  <w:style w:type="paragraph" w:customStyle="1" w:styleId="186">
    <w:name w:val="列表段落1"/>
    <w:basedOn w:val="1"/>
    <w:qFormat/>
    <w:uiPriority w:val="34"/>
    <w:pPr>
      <w:ind w:firstLine="420" w:firstLineChars="200"/>
    </w:pPr>
    <w:rPr>
      <w:rFonts w:ascii="Times New Roman" w:hAnsi="Times New Roman"/>
      <w:sz w:val="21"/>
      <w:szCs w:val="20"/>
    </w:rPr>
  </w:style>
  <w:style w:type="paragraph" w:customStyle="1" w:styleId="187">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Cs w:val="20"/>
    </w:rPr>
  </w:style>
  <w:style w:type="paragraph" w:customStyle="1" w:styleId="188">
    <w:name w:val="Char1 Char Char Char"/>
    <w:basedOn w:val="1"/>
    <w:qFormat/>
    <w:uiPriority w:val="99"/>
    <w:rPr>
      <w:rFonts w:ascii="Tahoma" w:hAnsi="Tahoma"/>
      <w:szCs w:val="20"/>
    </w:rPr>
  </w:style>
  <w:style w:type="paragraph" w:customStyle="1" w:styleId="189">
    <w:name w:val="二级列表"/>
    <w:basedOn w:val="190"/>
    <w:next w:val="190"/>
    <w:qFormat/>
    <w:uiPriority w:val="99"/>
    <w:pPr>
      <w:tabs>
        <w:tab w:val="left" w:pos="2120"/>
      </w:tabs>
      <w:ind w:firstLine="0" w:firstLineChars="0"/>
    </w:pPr>
    <w:rPr>
      <w:b/>
    </w:rPr>
  </w:style>
  <w:style w:type="paragraph" w:customStyle="1" w:styleId="190">
    <w:name w:val="段落正文"/>
    <w:basedOn w:val="1"/>
    <w:qFormat/>
    <w:uiPriority w:val="99"/>
    <w:pPr>
      <w:spacing w:beforeLines="50" w:line="360" w:lineRule="auto"/>
      <w:ind w:firstLine="200" w:firstLineChars="200"/>
    </w:pPr>
    <w:rPr>
      <w:rFonts w:ascii="Times New Roman" w:hAnsi="Times New Roman"/>
      <w:spacing w:val="2"/>
      <w:szCs w:val="20"/>
    </w:rPr>
  </w:style>
  <w:style w:type="paragraph" w:customStyle="1" w:styleId="191">
    <w:name w:val="默认段落字体 Para Char Char Char Char Char Char Char Char Char Char"/>
    <w:basedOn w:val="1"/>
    <w:qFormat/>
    <w:uiPriority w:val="99"/>
    <w:rPr>
      <w:rFonts w:ascii="Tahoma" w:hAnsi="Tahoma"/>
      <w:szCs w:val="20"/>
    </w:rPr>
  </w:style>
  <w:style w:type="paragraph" w:customStyle="1" w:styleId="192">
    <w:name w:val="htbh"/>
    <w:basedOn w:val="5"/>
    <w:qFormat/>
    <w:uiPriority w:val="99"/>
    <w:pPr>
      <w:keepNext w:val="0"/>
      <w:keepLines w:val="0"/>
      <w:tabs>
        <w:tab w:val="left" w:pos="502"/>
      </w:tabs>
      <w:spacing w:before="0" w:after="0" w:line="240" w:lineRule="auto"/>
      <w:ind w:left="425" w:hanging="425"/>
      <w:outlineLvl w:val="9"/>
    </w:pPr>
    <w:rPr>
      <w:rFonts w:eastAsia="黑体"/>
      <w:b w:val="0"/>
      <w:sz w:val="28"/>
      <w:szCs w:val="20"/>
    </w:rPr>
  </w:style>
  <w:style w:type="paragraph" w:customStyle="1" w:styleId="193">
    <w:name w:val="正文首行缩进两字符"/>
    <w:basedOn w:val="1"/>
    <w:qFormat/>
    <w:uiPriority w:val="99"/>
    <w:pPr>
      <w:spacing w:line="360" w:lineRule="auto"/>
      <w:ind w:firstLine="200" w:firstLineChars="200"/>
    </w:pPr>
    <w:rPr>
      <w:rFonts w:ascii="Times New Roman" w:hAnsi="Times New Roman"/>
      <w:sz w:val="21"/>
      <w:szCs w:val="24"/>
    </w:rPr>
  </w:style>
  <w:style w:type="paragraph" w:customStyle="1" w:styleId="194">
    <w:name w:val="文档正文 Char Char Char Char"/>
    <w:basedOn w:val="1"/>
    <w:qFormat/>
    <w:uiPriority w:val="99"/>
    <w:pPr>
      <w:adjustRightInd w:val="0"/>
      <w:spacing w:line="440" w:lineRule="exact"/>
      <w:ind w:firstLine="420"/>
      <w:textAlignment w:val="baseline"/>
    </w:pPr>
    <w:rPr>
      <w:rFonts w:ascii="Arial Narrow" w:hAnsi="Arial Narrow"/>
      <w:kern w:val="0"/>
      <w:szCs w:val="20"/>
    </w:rPr>
  </w:style>
  <w:style w:type="paragraph" w:customStyle="1" w:styleId="195">
    <w:name w:val="样式3"/>
    <w:basedOn w:val="3"/>
    <w:next w:val="3"/>
    <w:qFormat/>
    <w:uiPriority w:val="99"/>
    <w:pPr>
      <w:keepLines/>
      <w:tabs>
        <w:tab w:val="clear" w:pos="3360"/>
      </w:tabs>
      <w:adjustRightInd w:val="0"/>
      <w:spacing w:beforeLines="0" w:afterLines="0" w:line="576" w:lineRule="auto"/>
      <w:jc w:val="both"/>
    </w:pPr>
    <w:rPr>
      <w:b/>
      <w:kern w:val="44"/>
    </w:rPr>
  </w:style>
  <w:style w:type="paragraph" w:customStyle="1" w:styleId="196">
    <w:name w:val="样式 正文首行缩进 2 + 首行缩进:  2 字符"/>
    <w:basedOn w:val="1"/>
    <w:qFormat/>
    <w:uiPriority w:val="99"/>
    <w:pPr>
      <w:tabs>
        <w:tab w:val="left" w:pos="987"/>
      </w:tabs>
      <w:adjustRightInd w:val="0"/>
      <w:snapToGrid w:val="0"/>
      <w:spacing w:line="360" w:lineRule="auto"/>
      <w:ind w:left="987" w:hanging="420"/>
    </w:pPr>
    <w:rPr>
      <w:rFonts w:ascii="Arial" w:hAnsi="Arial"/>
      <w:b/>
      <w:szCs w:val="20"/>
    </w:rPr>
  </w:style>
  <w:style w:type="paragraph" w:customStyle="1" w:styleId="197">
    <w:name w:val="普通正文"/>
    <w:basedOn w:val="1"/>
    <w:qFormat/>
    <w:uiPriority w:val="99"/>
    <w:pPr>
      <w:adjustRightInd w:val="0"/>
      <w:spacing w:before="120" w:after="120" w:line="360" w:lineRule="auto"/>
      <w:ind w:firstLine="480"/>
      <w:jc w:val="left"/>
      <w:textAlignment w:val="baseline"/>
    </w:pPr>
    <w:rPr>
      <w:rFonts w:ascii="Arial" w:hAnsi="Arial"/>
      <w:kern w:val="0"/>
      <w:szCs w:val="20"/>
    </w:rPr>
  </w:style>
  <w:style w:type="paragraph" w:customStyle="1" w:styleId="198">
    <w:name w:val="图例"/>
    <w:basedOn w:val="1"/>
    <w:qFormat/>
    <w:uiPriority w:val="99"/>
    <w:pPr>
      <w:spacing w:before="120" w:after="120" w:line="360" w:lineRule="auto"/>
      <w:jc w:val="center"/>
    </w:pPr>
    <w:rPr>
      <w:rFonts w:ascii="Times New Roman" w:hAnsi="Times New Roman" w:eastAsia="仿宋_GB2312"/>
      <w:b/>
      <w:szCs w:val="20"/>
    </w:rPr>
  </w:style>
  <w:style w:type="paragraph" w:customStyle="1" w:styleId="199">
    <w:name w:val="正文 + 三号"/>
    <w:basedOn w:val="1"/>
    <w:qFormat/>
    <w:uiPriority w:val="99"/>
    <w:rPr>
      <w:rFonts w:ascii="Times New Roman" w:hAnsi="Times New Roman"/>
      <w:sz w:val="21"/>
      <w:szCs w:val="20"/>
    </w:rPr>
  </w:style>
  <w:style w:type="paragraph" w:customStyle="1" w:styleId="200">
    <w:name w:val="题注1"/>
    <w:basedOn w:val="1"/>
    <w:next w:val="17"/>
    <w:qFormat/>
    <w:uiPriority w:val="99"/>
    <w:rPr>
      <w:rFonts w:ascii="Arial" w:hAnsi="Arial"/>
      <w:sz w:val="21"/>
      <w:szCs w:val="24"/>
    </w:rPr>
  </w:style>
  <w:style w:type="paragraph" w:customStyle="1" w:styleId="201">
    <w:name w:val="Item Step in Table"/>
    <w:qFormat/>
    <w:uiPriority w:val="99"/>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202">
    <w:name w:val="文本框样式1"/>
    <w:basedOn w:val="1"/>
    <w:qFormat/>
    <w:uiPriority w:val="99"/>
    <w:pPr>
      <w:adjustRightInd w:val="0"/>
      <w:snapToGrid w:val="0"/>
      <w:spacing w:before="60" w:line="180" w:lineRule="exact"/>
      <w:jc w:val="center"/>
    </w:pPr>
    <w:rPr>
      <w:rFonts w:ascii="Times New Roman" w:hAnsi="Times New Roman"/>
      <w:sz w:val="21"/>
      <w:szCs w:val="20"/>
    </w:rPr>
  </w:style>
  <w:style w:type="paragraph" w:customStyle="1" w:styleId="203">
    <w:name w:val="Table Text Char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204">
    <w:name w:val="关键词"/>
    <w:basedOn w:val="1"/>
    <w:next w:val="1"/>
    <w:qFormat/>
    <w:uiPriority w:val="99"/>
    <w:pPr>
      <w:spacing w:line="360" w:lineRule="auto"/>
    </w:pPr>
    <w:rPr>
      <w:rFonts w:ascii="Times New Roman" w:hAnsi="Times New Roman" w:eastAsia="黑体"/>
      <w:sz w:val="20"/>
      <w:szCs w:val="20"/>
    </w:rPr>
  </w:style>
  <w:style w:type="paragraph" w:customStyle="1" w:styleId="205">
    <w:name w:val="标题2"/>
    <w:basedOn w:val="4"/>
    <w:qFormat/>
    <w:uiPriority w:val="0"/>
    <w:pPr>
      <w:keepNext w:val="0"/>
      <w:keepLines w:val="0"/>
      <w:adjustRightInd w:val="0"/>
      <w:snapToGrid w:val="0"/>
      <w:spacing w:before="0" w:after="0" w:line="360" w:lineRule="auto"/>
      <w:ind w:firstLine="574" w:firstLineChars="196"/>
      <w:outlineLvl w:val="9"/>
    </w:pPr>
    <w:rPr>
      <w:b w:val="0"/>
      <w:spacing w:val="6"/>
      <w:sz w:val="28"/>
      <w:u w:val="single"/>
    </w:rPr>
  </w:style>
  <w:style w:type="paragraph" w:customStyle="1" w:styleId="206">
    <w:name w:val="章标题"/>
    <w:next w:val="1"/>
    <w:qFormat/>
    <w:uiPriority w:val="99"/>
    <w:pPr>
      <w:spacing w:beforeLines="50" w:afterLines="50"/>
      <w:jc w:val="both"/>
      <w:outlineLvl w:val="1"/>
    </w:pPr>
    <w:rPr>
      <w:rFonts w:ascii="黑体" w:hAnsi="Times New Roman" w:eastAsia="黑体" w:cs="Times New Roman"/>
      <w:sz w:val="24"/>
      <w:lang w:val="en-US" w:eastAsia="zh-CN" w:bidi="ar-SA"/>
    </w:rPr>
  </w:style>
  <w:style w:type="paragraph" w:customStyle="1" w:styleId="207">
    <w:name w:val="È¡ÀÊ¡ÎÄ¡À¾"/>
    <w:basedOn w:val="1"/>
    <w:qFormat/>
    <w:uiPriority w:val="99"/>
    <w:pPr>
      <w:widowControl/>
      <w:overflowPunct w:val="0"/>
      <w:autoSpaceDE w:val="0"/>
      <w:autoSpaceDN w:val="0"/>
      <w:adjustRightInd w:val="0"/>
      <w:jc w:val="left"/>
      <w:textAlignment w:val="baseline"/>
    </w:pPr>
    <w:rPr>
      <w:rFonts w:ascii="Times New Roman" w:hAnsi="Times New Roman"/>
      <w:kern w:val="0"/>
      <w:szCs w:val="20"/>
    </w:rPr>
  </w:style>
  <w:style w:type="paragraph" w:customStyle="1" w:styleId="208">
    <w:name w:val="00"/>
    <w:basedOn w:val="1"/>
    <w:qFormat/>
    <w:uiPriority w:val="99"/>
    <w:pPr>
      <w:autoSpaceDE w:val="0"/>
      <w:autoSpaceDN w:val="0"/>
      <w:adjustRightInd w:val="0"/>
      <w:jc w:val="left"/>
    </w:pPr>
    <w:rPr>
      <w:rFonts w:ascii="黑体" w:hAnsi="Times New Roman" w:eastAsia="黑体"/>
      <w:b/>
      <w:kern w:val="0"/>
      <w:sz w:val="20"/>
      <w:szCs w:val="20"/>
    </w:rPr>
  </w:style>
  <w:style w:type="paragraph" w:customStyle="1" w:styleId="209">
    <w:name w:val="样式1"/>
    <w:basedOn w:val="6"/>
    <w:qFormat/>
    <w:uiPriority w:val="0"/>
    <w:pPr>
      <w:spacing w:before="500" w:after="260" w:line="560" w:lineRule="atLeast"/>
    </w:pPr>
  </w:style>
  <w:style w:type="paragraph" w:customStyle="1" w:styleId="210">
    <w:name w:val="样式 宋体 小四 首行缩进:  1.11 厘米 行距: 1.5 倍行距"/>
    <w:basedOn w:val="1"/>
    <w:qFormat/>
    <w:uiPriority w:val="99"/>
    <w:pPr>
      <w:tabs>
        <w:tab w:val="left" w:pos="8959"/>
      </w:tabs>
      <w:spacing w:line="360" w:lineRule="auto"/>
      <w:ind w:right="-39" w:rightChars="-14" w:firstLine="560" w:firstLineChars="200"/>
      <w:jc w:val="left"/>
    </w:pPr>
    <w:rPr>
      <w:rFonts w:ascii="楷体_GB2312" w:hAnsi="宋体" w:eastAsia="楷体_GB2312"/>
      <w:kern w:val="0"/>
      <w:szCs w:val="28"/>
    </w:rPr>
  </w:style>
  <w:style w:type="paragraph" w:customStyle="1" w:styleId="211">
    <w:name w:val="1.正文"/>
    <w:basedOn w:val="1"/>
    <w:qFormat/>
    <w:uiPriority w:val="99"/>
    <w:pPr>
      <w:spacing w:line="360" w:lineRule="auto"/>
      <w:ind w:left="540" w:leftChars="225" w:firstLine="540" w:firstLineChars="225"/>
    </w:pPr>
    <w:rPr>
      <w:rFonts w:ascii="Times New Roman" w:hAnsi="Times New Roman"/>
      <w:szCs w:val="20"/>
    </w:rPr>
  </w:style>
  <w:style w:type="paragraph" w:customStyle="1" w:styleId="212">
    <w:name w:val="样式 宋体 五号 行距: 单倍行距"/>
    <w:basedOn w:val="1"/>
    <w:qFormat/>
    <w:uiPriority w:val="99"/>
    <w:pPr>
      <w:adjustRightInd w:val="0"/>
      <w:jc w:val="left"/>
    </w:pPr>
    <w:rPr>
      <w:rFonts w:ascii="宋体" w:hAnsi="宋体"/>
      <w:kern w:val="0"/>
      <w:sz w:val="21"/>
      <w:szCs w:val="20"/>
    </w:rPr>
  </w:style>
  <w:style w:type="paragraph" w:customStyle="1" w:styleId="213">
    <w:name w:val="Table Text Char1"/>
    <w:qFormat/>
    <w:uiPriority w:val="99"/>
    <w:pPr>
      <w:snapToGrid w:val="0"/>
      <w:spacing w:before="80" w:after="80"/>
    </w:pPr>
    <w:rPr>
      <w:rFonts w:ascii="Arial" w:hAnsi="Arial" w:eastAsia="宋体" w:cs="Times New Roman"/>
      <w:kern w:val="2"/>
      <w:sz w:val="18"/>
      <w:lang w:val="en-US" w:eastAsia="zh-CN" w:bidi="ar-SA"/>
    </w:rPr>
  </w:style>
  <w:style w:type="paragraph" w:customStyle="1" w:styleId="214">
    <w:name w:val="Title - Date"/>
    <w:basedOn w:val="58"/>
    <w:next w:val="1"/>
    <w:qFormat/>
    <w:uiPriority w:val="99"/>
    <w:pPr>
      <w:spacing w:before="240" w:after="720"/>
    </w:pPr>
    <w:rPr>
      <w:sz w:val="28"/>
    </w:rPr>
  </w:style>
  <w:style w:type="paragraph" w:customStyle="1" w:styleId="215">
    <w:name w:val="项目"/>
    <w:basedOn w:val="1"/>
    <w:qFormat/>
    <w:uiPriority w:val="99"/>
    <w:pPr>
      <w:tabs>
        <w:tab w:val="left" w:pos="1280"/>
      </w:tabs>
      <w:spacing w:before="120" w:after="120" w:line="360" w:lineRule="auto"/>
      <w:ind w:left="-7" w:firstLine="567"/>
      <w:jc w:val="left"/>
      <w:textAlignment w:val="baseline"/>
    </w:pPr>
    <w:rPr>
      <w:rFonts w:ascii="宋体" w:hAnsi="Times New Roman"/>
      <w:kern w:val="0"/>
      <w:szCs w:val="20"/>
    </w:rPr>
  </w:style>
  <w:style w:type="paragraph" w:customStyle="1" w:styleId="216">
    <w:name w:val="附录1"/>
    <w:basedOn w:val="1"/>
    <w:next w:val="1"/>
    <w:qFormat/>
    <w:uiPriority w:val="99"/>
    <w:pPr>
      <w:tabs>
        <w:tab w:val="left" w:pos="1304"/>
      </w:tabs>
      <w:ind w:left="425" w:hanging="425"/>
      <w:outlineLvl w:val="0"/>
    </w:pPr>
    <w:rPr>
      <w:rFonts w:ascii="黑体" w:hAnsi="黑体" w:eastAsia="黑体"/>
      <w:b/>
      <w:sz w:val="44"/>
      <w:szCs w:val="20"/>
    </w:rPr>
  </w:style>
  <w:style w:type="paragraph" w:customStyle="1" w:styleId="217">
    <w:name w:val="IN Feature"/>
    <w:next w:val="218"/>
    <w:qFormat/>
    <w:uiPriority w:val="99"/>
    <w:pPr>
      <w:keepNext/>
      <w:keepLines/>
      <w:spacing w:before="240" w:after="240"/>
      <w:outlineLvl w:val="7"/>
    </w:pPr>
    <w:rPr>
      <w:rFonts w:ascii="Arial" w:hAnsi="Arial" w:eastAsia="黑体" w:cs="Times New Roman"/>
      <w:sz w:val="21"/>
      <w:lang w:val="en-US" w:eastAsia="zh-CN" w:bidi="ar-SA"/>
    </w:rPr>
  </w:style>
  <w:style w:type="paragraph" w:customStyle="1" w:styleId="218">
    <w:name w:val="IN Step"/>
    <w:basedOn w:val="1"/>
    <w:qFormat/>
    <w:uiPriority w:val="99"/>
    <w:pPr>
      <w:keepLines/>
      <w:widowControl/>
      <w:tabs>
        <w:tab w:val="left" w:pos="1134"/>
      </w:tabs>
      <w:spacing w:before="80" w:after="80" w:line="300" w:lineRule="auto"/>
      <w:ind w:left="1134" w:hanging="907"/>
      <w:outlineLvl w:val="8"/>
    </w:pPr>
    <w:rPr>
      <w:rFonts w:ascii="Arial" w:hAnsi="Arial"/>
      <w:kern w:val="0"/>
      <w:sz w:val="21"/>
      <w:szCs w:val="20"/>
    </w:rPr>
  </w:style>
  <w:style w:type="paragraph" w:customStyle="1" w:styleId="219">
    <w:name w:val="Char Char Char Char Char Char Char"/>
    <w:basedOn w:val="19"/>
    <w:qFormat/>
    <w:uiPriority w:val="99"/>
    <w:rPr>
      <w:rFonts w:ascii="宋体" w:hAnsi="Tahoma"/>
    </w:rPr>
  </w:style>
  <w:style w:type="paragraph" w:customStyle="1" w:styleId="220">
    <w:name w:val="正文（首行不缩进）"/>
    <w:basedOn w:val="1"/>
    <w:qFormat/>
    <w:uiPriority w:val="99"/>
    <w:pPr>
      <w:autoSpaceDE w:val="0"/>
      <w:autoSpaceDN w:val="0"/>
      <w:adjustRightInd w:val="0"/>
      <w:spacing w:line="360" w:lineRule="auto"/>
      <w:jc w:val="left"/>
    </w:pPr>
    <w:rPr>
      <w:rFonts w:ascii="Times New Roman" w:hAnsi="Times New Roman"/>
      <w:kern w:val="0"/>
      <w:sz w:val="21"/>
      <w:szCs w:val="20"/>
    </w:rPr>
  </w:style>
  <w:style w:type="paragraph" w:customStyle="1" w:styleId="221">
    <w:name w:val="正文字缩2字"/>
    <w:basedOn w:val="1"/>
    <w:qFormat/>
    <w:uiPriority w:val="99"/>
    <w:pPr>
      <w:spacing w:before="60" w:after="60" w:line="360" w:lineRule="auto"/>
      <w:ind w:left="200" w:leftChars="200" w:firstLine="200" w:firstLineChars="200"/>
    </w:pPr>
    <w:rPr>
      <w:rFonts w:ascii="Times New Roman" w:hAnsi="Times New Roman"/>
      <w:szCs w:val="20"/>
    </w:rPr>
  </w:style>
  <w:style w:type="paragraph" w:customStyle="1" w:styleId="222">
    <w:name w:val="正文1"/>
    <w:basedOn w:val="1"/>
    <w:qFormat/>
    <w:uiPriority w:val="99"/>
    <w:pPr>
      <w:spacing w:line="300" w:lineRule="auto"/>
      <w:ind w:firstLine="200" w:firstLineChars="200"/>
    </w:pPr>
    <w:rPr>
      <w:rFonts w:ascii="Times New Roman" w:hAnsi="Times New Roman"/>
      <w:szCs w:val="20"/>
    </w:rPr>
  </w:style>
  <w:style w:type="paragraph" w:customStyle="1" w:styleId="223">
    <w:name w:val="文本1"/>
    <w:basedOn w:val="1"/>
    <w:qFormat/>
    <w:uiPriority w:val="99"/>
    <w:pPr>
      <w:adjustRightInd w:val="0"/>
      <w:spacing w:line="312" w:lineRule="atLeast"/>
      <w:jc w:val="center"/>
      <w:textAlignment w:val="baseline"/>
    </w:pPr>
    <w:rPr>
      <w:rFonts w:ascii="Times New Roman" w:hAnsi="Times New Roman"/>
      <w:kern w:val="0"/>
      <w:sz w:val="18"/>
      <w:szCs w:val="20"/>
    </w:rPr>
  </w:style>
  <w:style w:type="paragraph" w:customStyle="1" w:styleId="224">
    <w:name w:val="Char Char Char Char Char Char Char1"/>
    <w:basedOn w:val="1"/>
    <w:qFormat/>
    <w:uiPriority w:val="99"/>
    <w:pPr>
      <w:widowControl/>
      <w:spacing w:after="160" w:line="240" w:lineRule="exact"/>
      <w:jc w:val="left"/>
    </w:pPr>
    <w:rPr>
      <w:rFonts w:ascii="Verdana" w:hAnsi="Verdana" w:eastAsia="仿宋_GB2312"/>
      <w:kern w:val="0"/>
      <w:szCs w:val="20"/>
      <w:lang w:eastAsia="en-US"/>
    </w:rPr>
  </w:style>
  <w:style w:type="paragraph" w:customStyle="1" w:styleId="225">
    <w:name w:val="图片文字"/>
    <w:basedOn w:val="1"/>
    <w:qFormat/>
    <w:uiPriority w:val="99"/>
    <w:pPr>
      <w:spacing w:line="240" w:lineRule="atLeast"/>
      <w:jc w:val="center"/>
    </w:pPr>
    <w:rPr>
      <w:rFonts w:ascii="Times New Roman" w:hAnsi="Times New Roman"/>
      <w:sz w:val="21"/>
      <w:szCs w:val="20"/>
    </w:rPr>
  </w:style>
  <w:style w:type="paragraph" w:customStyle="1" w:styleId="226">
    <w:name w:val="fonts01-jianjv"/>
    <w:basedOn w:val="1"/>
    <w:qFormat/>
    <w:uiPriority w:val="99"/>
    <w:pPr>
      <w:widowControl/>
      <w:spacing w:before="100" w:beforeAutospacing="1" w:after="100" w:afterAutospacing="1" w:line="240" w:lineRule="atLeast"/>
      <w:jc w:val="left"/>
      <w:textAlignment w:val="baseline"/>
    </w:pPr>
    <w:rPr>
      <w:rFonts w:ascii="??" w:hAnsi="??"/>
      <w:color w:val="000000"/>
      <w:kern w:val="0"/>
      <w:sz w:val="18"/>
      <w:szCs w:val="20"/>
      <w:u w:color="000000"/>
    </w:rPr>
  </w:style>
  <w:style w:type="paragraph" w:customStyle="1" w:styleId="227">
    <w:name w:val="正文表格"/>
    <w:basedOn w:val="1"/>
    <w:qFormat/>
    <w:uiPriority w:val="99"/>
    <w:pPr>
      <w:adjustRightInd w:val="0"/>
      <w:spacing w:before="40" w:after="40"/>
    </w:pPr>
    <w:rPr>
      <w:rFonts w:ascii="Times New Roman" w:hAnsi="Times New Roman"/>
      <w:szCs w:val="20"/>
    </w:rPr>
  </w:style>
  <w:style w:type="paragraph" w:customStyle="1" w:styleId="228">
    <w:name w:val="Table Text"/>
    <w:qFormat/>
    <w:uiPriority w:val="99"/>
    <w:pPr>
      <w:snapToGrid w:val="0"/>
      <w:spacing w:before="80" w:after="80"/>
    </w:pPr>
    <w:rPr>
      <w:rFonts w:ascii="Arial" w:hAnsi="Arial" w:eastAsia="宋体" w:cs="Times New Roman"/>
      <w:kern w:val="2"/>
      <w:sz w:val="18"/>
      <w:lang w:val="en-US" w:eastAsia="zh-CN" w:bidi="ar-SA"/>
    </w:rPr>
  </w:style>
  <w:style w:type="paragraph" w:customStyle="1" w:styleId="229">
    <w:name w:val="表头文本"/>
    <w:qFormat/>
    <w:uiPriority w:val="99"/>
    <w:pPr>
      <w:jc w:val="center"/>
    </w:pPr>
    <w:rPr>
      <w:rFonts w:ascii="Arial" w:hAnsi="Arial" w:eastAsia="宋体" w:cs="Times New Roman"/>
      <w:b/>
      <w:sz w:val="21"/>
      <w:lang w:val="en-US" w:eastAsia="zh-CN" w:bidi="ar-SA"/>
    </w:rPr>
  </w:style>
  <w:style w:type="paragraph" w:customStyle="1" w:styleId="230">
    <w:name w:val="表格"/>
    <w:basedOn w:val="1"/>
    <w:qFormat/>
    <w:uiPriority w:val="0"/>
    <w:pPr>
      <w:spacing w:line="400" w:lineRule="exact"/>
    </w:pPr>
    <w:rPr>
      <w:rFonts w:ascii="Times New Roman" w:hAnsi="Times New Roman"/>
      <w:szCs w:val="24"/>
    </w:rPr>
  </w:style>
  <w:style w:type="paragraph" w:customStyle="1" w:styleId="231">
    <w:name w:val="_"/>
    <w:basedOn w:val="1"/>
    <w:qFormat/>
    <w:uiPriority w:val="99"/>
    <w:pPr>
      <w:adjustRightInd w:val="0"/>
      <w:spacing w:line="360" w:lineRule="auto"/>
      <w:ind w:left="480" w:firstLine="200" w:firstLineChars="200"/>
      <w:textAlignment w:val="baseline"/>
    </w:pPr>
    <w:rPr>
      <w:rFonts w:ascii="Times New Roman" w:hAnsi="Times New Roman"/>
      <w:kern w:val="0"/>
      <w:szCs w:val="20"/>
    </w:rPr>
  </w:style>
  <w:style w:type="paragraph" w:customStyle="1" w:styleId="232">
    <w:name w:val="Style Heading 3h3Heading 3 - oldLevel 3 HeadH3level_3PIM 3se..."/>
    <w:basedOn w:val="5"/>
    <w:qFormat/>
    <w:uiPriority w:val="99"/>
    <w:pPr>
      <w:tabs>
        <w:tab w:val="left" w:pos="709"/>
      </w:tabs>
      <w:spacing w:line="415" w:lineRule="auto"/>
      <w:ind w:left="709" w:hanging="709"/>
    </w:pPr>
    <w:rPr>
      <w:szCs w:val="20"/>
    </w:rPr>
  </w:style>
  <w:style w:type="paragraph" w:customStyle="1" w:styleId="233">
    <w:name w:val="样式 正文缩进正文（首行缩进两字）表正文正文非缩进特点标题4段1 + 首行缩进:  2 字符"/>
    <w:basedOn w:val="16"/>
    <w:qFormat/>
    <w:uiPriority w:val="99"/>
    <w:pPr>
      <w:ind w:firstLine="480" w:firstLineChars="200"/>
    </w:pPr>
    <w:rPr>
      <w:rFonts w:ascii="Times New Roman" w:hAnsi="Times New Roman"/>
      <w:szCs w:val="20"/>
    </w:rPr>
  </w:style>
  <w:style w:type="paragraph" w:customStyle="1" w:styleId="234">
    <w:name w:val="样式 首行缩进:  0.74 厘米"/>
    <w:basedOn w:val="1"/>
    <w:qFormat/>
    <w:uiPriority w:val="99"/>
    <w:pPr>
      <w:spacing w:line="360" w:lineRule="auto"/>
      <w:ind w:firstLine="420"/>
    </w:pPr>
    <w:rPr>
      <w:rFonts w:ascii="Times New Roman" w:hAnsi="Times New Roman"/>
      <w:szCs w:val="20"/>
    </w:rPr>
  </w:style>
  <w:style w:type="paragraph" w:customStyle="1" w:styleId="235">
    <w:name w:val="列表项目"/>
    <w:basedOn w:val="1"/>
    <w:qFormat/>
    <w:uiPriority w:val="99"/>
    <w:pPr>
      <w:tabs>
        <w:tab w:val="left" w:pos="420"/>
      </w:tabs>
      <w:spacing w:line="288" w:lineRule="auto"/>
      <w:ind w:left="840" w:leftChars="200" w:hanging="420" w:hangingChars="200"/>
    </w:pPr>
    <w:rPr>
      <w:rFonts w:ascii="Times New Roman" w:hAnsi="Times New Roman"/>
      <w:sz w:val="21"/>
      <w:szCs w:val="20"/>
    </w:rPr>
  </w:style>
  <w:style w:type="paragraph" w:customStyle="1" w:styleId="236">
    <w:name w:val="bt"/>
    <w:basedOn w:val="1"/>
    <w:next w:val="2"/>
    <w:qFormat/>
    <w:uiPriority w:val="99"/>
    <w:pPr>
      <w:overflowPunct w:val="0"/>
      <w:autoSpaceDE w:val="0"/>
      <w:autoSpaceDN w:val="0"/>
      <w:adjustRightInd w:val="0"/>
      <w:snapToGrid w:val="0"/>
      <w:spacing w:before="100" w:after="100" w:line="240" w:lineRule="atLeast"/>
      <w:ind w:left="2880" w:hanging="360"/>
      <w:textAlignment w:val="baseline"/>
    </w:pPr>
    <w:rPr>
      <w:rFonts w:ascii="宋体" w:hAnsi="Times New Roman"/>
      <w:kern w:val="0"/>
      <w:sz w:val="20"/>
      <w:szCs w:val="20"/>
    </w:rPr>
  </w:style>
  <w:style w:type="paragraph" w:customStyle="1" w:styleId="237">
    <w:name w:val="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238">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kern w:val="0"/>
      <w:szCs w:val="20"/>
    </w:rPr>
  </w:style>
  <w:style w:type="paragraph" w:customStyle="1" w:styleId="239">
    <w:name w:val="Table Heading"/>
    <w:qFormat/>
    <w:uiPriority w:val="99"/>
    <w:pPr>
      <w:keepNext/>
      <w:snapToGrid w:val="0"/>
      <w:spacing w:before="80" w:after="80"/>
      <w:jc w:val="center"/>
    </w:pPr>
    <w:rPr>
      <w:rFonts w:ascii="Arial" w:hAnsi="Arial" w:eastAsia="黑体" w:cs="Times New Roman"/>
      <w:sz w:val="18"/>
      <w:lang w:val="en-US" w:eastAsia="zh-CN" w:bidi="ar-SA"/>
    </w:rPr>
  </w:style>
  <w:style w:type="paragraph" w:customStyle="1" w:styleId="240">
    <w:name w:val="默认段落字体 Para Char Char Char Char Char Char Char"/>
    <w:basedOn w:val="1"/>
    <w:qFormat/>
    <w:uiPriority w:val="99"/>
    <w:rPr>
      <w:rFonts w:ascii="Tahoma" w:hAnsi="Tahoma"/>
      <w:szCs w:val="20"/>
    </w:rPr>
  </w:style>
  <w:style w:type="paragraph" w:customStyle="1" w:styleId="241">
    <w:name w:val="标题4——4"/>
    <w:basedOn w:val="6"/>
    <w:next w:val="1"/>
    <w:qFormat/>
    <w:uiPriority w:val="99"/>
    <w:pPr>
      <w:spacing w:beforeLines="50" w:line="240" w:lineRule="auto"/>
      <w:ind w:right="2"/>
    </w:pPr>
    <w:rPr>
      <w:rFonts w:ascii="楷体_GB2312" w:hAnsi="宋体" w:eastAsia="楷体_GB2312"/>
      <w:color w:val="000000"/>
      <w:sz w:val="30"/>
      <w:szCs w:val="30"/>
    </w:rPr>
  </w:style>
  <w:style w:type="paragraph" w:customStyle="1" w:styleId="242">
    <w:name w:val="Char1"/>
    <w:basedOn w:val="1"/>
    <w:qFormat/>
    <w:uiPriority w:val="0"/>
    <w:rPr>
      <w:rFonts w:ascii="Times New Roman" w:hAnsi="Times New Roman"/>
      <w:sz w:val="21"/>
      <w:szCs w:val="20"/>
    </w:rPr>
  </w:style>
  <w:style w:type="paragraph" w:customStyle="1" w:styleId="243">
    <w:name w:val="表头样式"/>
    <w:basedOn w:val="1"/>
    <w:qFormat/>
    <w:uiPriority w:val="99"/>
    <w:pPr>
      <w:autoSpaceDE w:val="0"/>
      <w:autoSpaceDN w:val="0"/>
      <w:adjustRightInd w:val="0"/>
      <w:spacing w:line="360" w:lineRule="auto"/>
      <w:jc w:val="left"/>
    </w:pPr>
    <w:rPr>
      <w:rFonts w:ascii="Times New Roman" w:hAnsi="Times New Roman"/>
      <w:b/>
      <w:kern w:val="0"/>
      <w:sz w:val="21"/>
      <w:szCs w:val="20"/>
    </w:rPr>
  </w:style>
  <w:style w:type="paragraph" w:customStyle="1" w:styleId="244">
    <w:name w:val="1 Char Char Char Char"/>
    <w:basedOn w:val="1"/>
    <w:qFormat/>
    <w:uiPriority w:val="99"/>
    <w:rPr>
      <w:rFonts w:ascii="Tahoma" w:hAnsi="Tahoma"/>
      <w:szCs w:val="20"/>
    </w:rPr>
  </w:style>
  <w:style w:type="paragraph" w:customStyle="1" w:styleId="245">
    <w:name w:val="修订1"/>
    <w:qFormat/>
    <w:uiPriority w:val="0"/>
    <w:rPr>
      <w:rFonts w:ascii="Times New Roman" w:hAnsi="Times New Roman" w:eastAsia="宋体" w:cs="Times New Roman"/>
      <w:kern w:val="2"/>
      <w:sz w:val="21"/>
      <w:lang w:val="en-US" w:eastAsia="zh-CN" w:bidi="ar-SA"/>
    </w:rPr>
  </w:style>
  <w:style w:type="paragraph" w:customStyle="1" w:styleId="246">
    <w:name w:val="附录4"/>
    <w:basedOn w:val="1"/>
    <w:next w:val="1"/>
    <w:qFormat/>
    <w:uiPriority w:val="99"/>
    <w:pPr>
      <w:widowControl/>
      <w:tabs>
        <w:tab w:val="left" w:pos="1134"/>
      </w:tabs>
      <w:spacing w:line="300" w:lineRule="auto"/>
      <w:ind w:left="1361" w:hanging="1361"/>
      <w:outlineLvl w:val="3"/>
    </w:pPr>
    <w:rPr>
      <w:rFonts w:ascii="Arial" w:hAnsi="Arial" w:eastAsia="黑体"/>
      <w:kern w:val="0"/>
      <w:szCs w:val="20"/>
    </w:rPr>
  </w:style>
  <w:style w:type="paragraph" w:customStyle="1" w:styleId="247">
    <w:name w:val="Char Char Char Char Char"/>
    <w:basedOn w:val="1"/>
    <w:qFormat/>
    <w:uiPriority w:val="99"/>
    <w:pPr>
      <w:tabs>
        <w:tab w:val="left" w:pos="425"/>
      </w:tabs>
      <w:ind w:left="425" w:hanging="425"/>
    </w:pPr>
    <w:rPr>
      <w:rFonts w:ascii="Tahoma" w:hAnsi="Tahoma"/>
      <w:szCs w:val="20"/>
    </w:rPr>
  </w:style>
  <w:style w:type="paragraph" w:customStyle="1" w:styleId="248">
    <w:name w:val="Char2"/>
    <w:basedOn w:val="1"/>
    <w:qFormat/>
    <w:uiPriority w:val="0"/>
    <w:pPr>
      <w:widowControl/>
      <w:spacing w:line="400" w:lineRule="exact"/>
      <w:jc w:val="center"/>
    </w:pPr>
    <w:rPr>
      <w:rFonts w:ascii="Times New Roman" w:hAnsi="Times New Roman"/>
      <w:szCs w:val="20"/>
    </w:rPr>
  </w:style>
  <w:style w:type="paragraph" w:customStyle="1" w:styleId="249">
    <w:name w:val="Char"/>
    <w:basedOn w:val="1"/>
    <w:qFormat/>
    <w:uiPriority w:val="0"/>
    <w:pPr>
      <w:spacing w:line="240" w:lineRule="atLeast"/>
      <w:ind w:left="420" w:firstLine="420"/>
    </w:pPr>
    <w:rPr>
      <w:rFonts w:ascii="Times New Roman" w:hAnsi="Times New Roman"/>
      <w:kern w:val="0"/>
      <w:sz w:val="21"/>
      <w:szCs w:val="20"/>
    </w:rPr>
  </w:style>
  <w:style w:type="paragraph" w:customStyle="1" w:styleId="250">
    <w:name w:val="content"/>
    <w:basedOn w:val="1"/>
    <w:qFormat/>
    <w:uiPriority w:val="99"/>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251">
    <w:name w:val="Table Description"/>
    <w:next w:val="1"/>
    <w:qFormat/>
    <w:uiPriority w:val="99"/>
    <w:pPr>
      <w:keepNext/>
      <w:snapToGrid w:val="0"/>
      <w:spacing w:before="160" w:after="80"/>
      <w:ind w:left="1134"/>
      <w:jc w:val="center"/>
    </w:pPr>
    <w:rPr>
      <w:rFonts w:ascii="Arial" w:hAnsi="Arial" w:eastAsia="黑体" w:cs="Times New Roman"/>
      <w:sz w:val="18"/>
      <w:lang w:val="en-US" w:eastAsia="zh-CN" w:bidi="ar-SA"/>
    </w:rPr>
  </w:style>
  <w:style w:type="paragraph" w:customStyle="1" w:styleId="252">
    <w:name w:val="首行缩进 1"/>
    <w:basedOn w:val="1"/>
    <w:qFormat/>
    <w:uiPriority w:val="99"/>
    <w:pPr>
      <w:spacing w:after="120" w:line="360" w:lineRule="auto"/>
      <w:ind w:firstLine="200" w:firstLineChars="200"/>
    </w:pPr>
    <w:rPr>
      <w:rFonts w:ascii="Times New Roman" w:hAnsi="Times New Roman"/>
      <w:szCs w:val="20"/>
    </w:rPr>
  </w:style>
  <w:style w:type="paragraph" w:customStyle="1" w:styleId="253">
    <w:name w:val="样式1xz"/>
    <w:basedOn w:val="1"/>
    <w:qFormat/>
    <w:uiPriority w:val="99"/>
    <w:pPr>
      <w:tabs>
        <w:tab w:val="left" w:pos="1050"/>
        <w:tab w:val="right" w:leader="dot" w:pos="8296"/>
      </w:tabs>
    </w:pPr>
    <w:rPr>
      <w:rFonts w:ascii="Times New Roman" w:hAnsi="Times New Roman"/>
      <w:caps/>
      <w:spacing w:val="20"/>
      <w:szCs w:val="20"/>
    </w:rPr>
  </w:style>
  <w:style w:type="paragraph" w:customStyle="1" w:styleId="254">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b/>
      <w:i/>
      <w:szCs w:val="20"/>
    </w:rPr>
  </w:style>
  <w:style w:type="paragraph" w:customStyle="1" w:styleId="255">
    <w:name w:val="p0"/>
    <w:basedOn w:val="1"/>
    <w:qFormat/>
    <w:uiPriority w:val="0"/>
    <w:pPr>
      <w:widowControl/>
    </w:pPr>
    <w:rPr>
      <w:rFonts w:ascii="Times New Roman" w:hAnsi="Times New Roman"/>
      <w:kern w:val="0"/>
      <w:sz w:val="21"/>
      <w:szCs w:val="21"/>
    </w:rPr>
  </w:style>
  <w:style w:type="paragraph" w:customStyle="1" w:styleId="256">
    <w:name w:val="标准正文"/>
    <w:basedOn w:val="23"/>
    <w:qFormat/>
    <w:uiPriority w:val="99"/>
    <w:pPr>
      <w:spacing w:before="60" w:after="60" w:line="360" w:lineRule="auto"/>
      <w:ind w:left="0" w:firstLine="482"/>
    </w:pPr>
    <w:rPr>
      <w:rFonts w:ascii="Arial" w:hAnsi="Arial"/>
      <w:sz w:val="24"/>
    </w:rPr>
  </w:style>
  <w:style w:type="paragraph" w:customStyle="1" w:styleId="257">
    <w:name w:val="样式 标题 6第五层条 + 三号 段前: 0.5 行"/>
    <w:basedOn w:val="8"/>
    <w:qFormat/>
    <w:uiPriority w:val="99"/>
    <w:pPr>
      <w:widowControl/>
      <w:adjustRightInd/>
      <w:snapToGrid/>
      <w:spacing w:beforeLines="50"/>
      <w:jc w:val="left"/>
    </w:pPr>
    <w:rPr>
      <w:kern w:val="24"/>
      <w:sz w:val="28"/>
    </w:rPr>
  </w:style>
  <w:style w:type="paragraph" w:customStyle="1" w:styleId="258">
    <w:name w:val="Table Contents"/>
    <w:basedOn w:val="2"/>
    <w:qFormat/>
    <w:uiPriority w:val="99"/>
    <w:pPr>
      <w:suppressAutoHyphens/>
      <w:spacing w:after="0"/>
      <w:jc w:val="left"/>
    </w:pPr>
    <w:rPr>
      <w:kern w:val="0"/>
      <w:szCs w:val="20"/>
    </w:rPr>
  </w:style>
  <w:style w:type="paragraph" w:customStyle="1" w:styleId="259">
    <w:name w:val="Char Char 字元 字元 字元 Char Char Char Char"/>
    <w:basedOn w:val="1"/>
    <w:qFormat/>
    <w:uiPriority w:val="99"/>
    <w:pPr>
      <w:adjustRightInd w:val="0"/>
      <w:spacing w:line="360" w:lineRule="auto"/>
    </w:pPr>
    <w:rPr>
      <w:rFonts w:ascii="Times New Roman" w:hAnsi="Times New Roman"/>
      <w:kern w:val="0"/>
      <w:szCs w:val="20"/>
    </w:rPr>
  </w:style>
  <w:style w:type="paragraph" w:customStyle="1" w:styleId="260">
    <w:name w:val="特点"/>
    <w:basedOn w:val="1"/>
    <w:next w:val="16"/>
    <w:qFormat/>
    <w:uiPriority w:val="99"/>
    <w:pPr>
      <w:ind w:firstLine="420"/>
    </w:pPr>
    <w:rPr>
      <w:rFonts w:ascii="Times New Roman" w:hAnsi="Times New Roman"/>
      <w:sz w:val="21"/>
      <w:szCs w:val="20"/>
    </w:rPr>
  </w:style>
  <w:style w:type="paragraph" w:customStyle="1" w:styleId="261">
    <w:name w:val="没有缩进（为图形使用）"/>
    <w:basedOn w:val="1"/>
    <w:qFormat/>
    <w:uiPriority w:val="99"/>
    <w:pPr>
      <w:spacing w:before="120" w:after="120" w:line="360" w:lineRule="auto"/>
    </w:pPr>
    <w:rPr>
      <w:rFonts w:ascii="Times New Roman" w:hAnsi="Times New Roman"/>
      <w:szCs w:val="20"/>
    </w:rPr>
  </w:style>
  <w:style w:type="paragraph" w:customStyle="1" w:styleId="262">
    <w:name w:val="正文格式 Char"/>
    <w:basedOn w:val="1"/>
    <w:qFormat/>
    <w:uiPriority w:val="99"/>
    <w:pPr>
      <w:widowControl/>
      <w:adjustRightInd w:val="0"/>
      <w:spacing w:line="440" w:lineRule="atLeast"/>
      <w:ind w:firstLine="510"/>
      <w:textAlignment w:val="baseline"/>
    </w:pPr>
    <w:rPr>
      <w:rFonts w:ascii="Times New Roman" w:hAnsi="Times New Roman"/>
      <w:kern w:val="0"/>
      <w:szCs w:val="20"/>
    </w:rPr>
  </w:style>
  <w:style w:type="paragraph" w:customStyle="1" w:styleId="263">
    <w:name w:val="Normal1"/>
    <w:basedOn w:val="1"/>
    <w:qFormat/>
    <w:uiPriority w:val="99"/>
    <w:pPr>
      <w:tabs>
        <w:tab w:val="left" w:pos="317"/>
        <w:tab w:val="left" w:pos="360"/>
      </w:tabs>
      <w:spacing w:line="360" w:lineRule="auto"/>
      <w:ind w:left="842" w:hanging="778"/>
    </w:pPr>
    <w:rPr>
      <w:rFonts w:ascii="宋体" w:hAnsi="宋体" w:eastAsia="仿宋体"/>
      <w:kern w:val="0"/>
      <w:sz w:val="21"/>
      <w:szCs w:val="21"/>
    </w:rPr>
  </w:style>
  <w:style w:type="paragraph" w:customStyle="1" w:styleId="264">
    <w:name w:val="表格文本"/>
    <w:qFormat/>
    <w:uiPriority w:val="99"/>
    <w:pPr>
      <w:tabs>
        <w:tab w:val="decimal" w:pos="0"/>
      </w:tabs>
    </w:pPr>
    <w:rPr>
      <w:rFonts w:ascii="Arial" w:hAnsi="Arial" w:eastAsia="宋体" w:cs="Times New Roman"/>
      <w:sz w:val="21"/>
      <w:lang w:val="en-US" w:eastAsia="zh-CN" w:bidi="ar-SA"/>
    </w:rPr>
  </w:style>
  <w:style w:type="paragraph" w:customStyle="1" w:styleId="265">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6">
    <w:name w:val="Char Char1 Char Char Char Char Char Char Char Char Char Char Char Char Char Char Char"/>
    <w:basedOn w:val="1"/>
    <w:qFormat/>
    <w:uiPriority w:val="99"/>
    <w:pPr>
      <w:widowControl/>
      <w:spacing w:after="160" w:line="240" w:lineRule="exact"/>
      <w:jc w:val="left"/>
    </w:pPr>
    <w:rPr>
      <w:rFonts w:ascii="Tahoma" w:hAnsi="Tahoma"/>
      <w:sz w:val="30"/>
      <w:szCs w:val="30"/>
    </w:rPr>
  </w:style>
  <w:style w:type="paragraph" w:customStyle="1" w:styleId="267">
    <w:name w:val="操作步骤"/>
    <w:basedOn w:val="1"/>
    <w:qFormat/>
    <w:uiPriority w:val="99"/>
    <w:pPr>
      <w:tabs>
        <w:tab w:val="left" w:pos="425"/>
      </w:tabs>
      <w:autoSpaceDE w:val="0"/>
      <w:autoSpaceDN w:val="0"/>
      <w:adjustRightInd w:val="0"/>
      <w:snapToGrid w:val="0"/>
      <w:spacing w:line="40" w:lineRule="atLeast"/>
      <w:ind w:left="425" w:hanging="425"/>
      <w:textAlignment w:val="bottom"/>
    </w:pPr>
    <w:rPr>
      <w:rFonts w:ascii="昆仑楷体" w:hAnsi="Times New Roman" w:eastAsia="楷体_GB2312"/>
      <w:kern w:val="0"/>
      <w:sz w:val="21"/>
      <w:szCs w:val="20"/>
    </w:rPr>
  </w:style>
  <w:style w:type="paragraph" w:customStyle="1" w:styleId="268">
    <w:name w:val="Char Char Char"/>
    <w:basedOn w:val="1"/>
    <w:qFormat/>
    <w:uiPriority w:val="99"/>
    <w:rPr>
      <w:rFonts w:ascii="Tahoma" w:hAnsi="Tahoma"/>
      <w:szCs w:val="20"/>
    </w:rPr>
  </w:style>
  <w:style w:type="paragraph" w:customStyle="1" w:styleId="269">
    <w:name w:val="小标题 1"/>
    <w:basedOn w:val="1"/>
    <w:qFormat/>
    <w:uiPriority w:val="99"/>
    <w:pPr>
      <w:autoSpaceDE w:val="0"/>
      <w:autoSpaceDN w:val="0"/>
      <w:adjustRightInd w:val="0"/>
      <w:spacing w:line="360" w:lineRule="atLeast"/>
    </w:pPr>
    <w:rPr>
      <w:rFonts w:ascii="文鼎粗黑" w:hAnsi="Times New Roman" w:eastAsia="文鼎粗黑"/>
      <w:kern w:val="0"/>
      <w:sz w:val="22"/>
      <w:szCs w:val="20"/>
    </w:rPr>
  </w:style>
  <w:style w:type="paragraph" w:customStyle="1" w:styleId="270">
    <w:name w:val="Table Text Char Char"/>
    <w:qFormat/>
    <w:uiPriority w:val="99"/>
    <w:pPr>
      <w:snapToGrid w:val="0"/>
      <w:spacing w:before="80" w:after="80"/>
    </w:pPr>
    <w:rPr>
      <w:rFonts w:ascii="Arial" w:hAnsi="Arial" w:eastAsia="宋体" w:cs="Times New Roman"/>
      <w:kern w:val="2"/>
      <w:sz w:val="18"/>
      <w:lang w:val="en-US" w:eastAsia="zh-CN" w:bidi="ar-SA"/>
    </w:rPr>
  </w:style>
  <w:style w:type="paragraph" w:customStyle="1" w:styleId="271">
    <w:name w:val="xl35"/>
    <w:basedOn w:val="1"/>
    <w:qFormat/>
    <w:uiPriority w:val="99"/>
    <w:pPr>
      <w:widowControl/>
      <w:spacing w:before="100" w:beforeAutospacing="1" w:after="100" w:afterAutospacing="1"/>
      <w:jc w:val="center"/>
      <w:textAlignment w:val="top"/>
    </w:pPr>
    <w:rPr>
      <w:rFonts w:ascii="Arial" w:hAnsi="Arial" w:cs="Arial"/>
      <w:b/>
      <w:bCs/>
      <w:kern w:val="0"/>
      <w:szCs w:val="24"/>
    </w:rPr>
  </w:style>
  <w:style w:type="paragraph" w:customStyle="1" w:styleId="272">
    <w:name w:val="Item List"/>
    <w:qFormat/>
    <w:uiPriority w:val="99"/>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273">
    <w:name w:val="摘要"/>
    <w:basedOn w:val="1"/>
    <w:next w:val="4"/>
    <w:qFormat/>
    <w:uiPriority w:val="99"/>
    <w:pPr>
      <w:spacing w:line="360" w:lineRule="auto"/>
    </w:pPr>
    <w:rPr>
      <w:rFonts w:ascii="Times New Roman" w:hAnsi="Times New Roman" w:eastAsia="黑体"/>
      <w:sz w:val="20"/>
      <w:szCs w:val="20"/>
    </w:rPr>
  </w:style>
  <w:style w:type="paragraph" w:customStyle="1" w:styleId="274">
    <w:name w:val="标题5"/>
    <w:basedOn w:val="1"/>
    <w:link w:val="472"/>
    <w:qFormat/>
    <w:uiPriority w:val="0"/>
    <w:pPr>
      <w:tabs>
        <w:tab w:val="left" w:pos="0"/>
      </w:tabs>
      <w:autoSpaceDE w:val="0"/>
      <w:autoSpaceDN w:val="0"/>
      <w:adjustRightInd w:val="0"/>
      <w:snapToGrid w:val="0"/>
      <w:spacing w:line="320" w:lineRule="atLeast"/>
    </w:pPr>
    <w:rPr>
      <w:rFonts w:ascii="宋体" w:hAnsi="Times New Roman"/>
      <w:kern w:val="0"/>
      <w:sz w:val="21"/>
      <w:szCs w:val="20"/>
    </w:rPr>
  </w:style>
  <w:style w:type="paragraph" w:customStyle="1" w:styleId="275">
    <w:name w:val="样式 行距: 1.5 倍行距1"/>
    <w:basedOn w:val="1"/>
    <w:qFormat/>
    <w:uiPriority w:val="99"/>
    <w:pPr>
      <w:snapToGrid w:val="0"/>
    </w:pPr>
    <w:rPr>
      <w:rFonts w:ascii="Times New Roman" w:hAnsi="Times New Roman"/>
      <w:sz w:val="21"/>
      <w:szCs w:val="20"/>
    </w:rPr>
  </w:style>
  <w:style w:type="paragraph" w:customStyle="1" w:styleId="276">
    <w:name w:val="样式 行距: 1.5 倍行距 左  3.42 字符"/>
    <w:basedOn w:val="1"/>
    <w:qFormat/>
    <w:uiPriority w:val="99"/>
    <w:pPr>
      <w:spacing w:line="360" w:lineRule="auto"/>
      <w:ind w:left="200" w:leftChars="200" w:firstLine="200" w:firstLineChars="200"/>
    </w:pPr>
    <w:rPr>
      <w:rFonts w:ascii="Times New Roman" w:hAnsi="Times New Roman" w:cs="宋体"/>
      <w:sz w:val="21"/>
      <w:szCs w:val="20"/>
    </w:rPr>
  </w:style>
  <w:style w:type="paragraph" w:customStyle="1" w:styleId="277">
    <w:name w:val="Char Char Char Char Char Char1 Char"/>
    <w:basedOn w:val="1"/>
    <w:qFormat/>
    <w:uiPriority w:val="99"/>
    <w:pPr>
      <w:widowControl/>
      <w:spacing w:after="160" w:line="240" w:lineRule="exact"/>
      <w:jc w:val="left"/>
    </w:pPr>
    <w:rPr>
      <w:rFonts w:ascii="Verdana" w:hAnsi="Verdana"/>
      <w:kern w:val="0"/>
      <w:sz w:val="21"/>
      <w:szCs w:val="20"/>
      <w:lang w:eastAsia="en-US"/>
    </w:rPr>
  </w:style>
  <w:style w:type="paragraph" w:customStyle="1" w:styleId="278">
    <w:name w:val="Char1 Char Char Char1"/>
    <w:basedOn w:val="1"/>
    <w:qFormat/>
    <w:uiPriority w:val="99"/>
    <w:rPr>
      <w:rFonts w:ascii="Tahoma" w:hAnsi="Tahoma"/>
      <w:sz w:val="21"/>
      <w:szCs w:val="20"/>
    </w:rPr>
  </w:style>
  <w:style w:type="paragraph" w:customStyle="1" w:styleId="279">
    <w:name w:val="样式 样式 正文首行缩进 2 + 左  0 字符 + 首行缩进:  2.57 字符"/>
    <w:basedOn w:val="1"/>
    <w:next w:val="1"/>
    <w:qFormat/>
    <w:uiPriority w:val="99"/>
    <w:pPr>
      <w:adjustRightInd w:val="0"/>
      <w:snapToGrid w:val="0"/>
      <w:spacing w:after="120"/>
      <w:ind w:firstLine="540" w:firstLineChars="257"/>
    </w:pPr>
    <w:rPr>
      <w:rFonts w:ascii="Times New Roman" w:hAnsi="Times New Roman"/>
      <w:sz w:val="21"/>
      <w:szCs w:val="20"/>
    </w:rPr>
  </w:style>
  <w:style w:type="paragraph" w:customStyle="1" w:styleId="280">
    <w:name w:val="Char Char Char Char1"/>
    <w:basedOn w:val="19"/>
    <w:qFormat/>
    <w:uiPriority w:val="99"/>
    <w:pPr>
      <w:adjustRightInd w:val="0"/>
      <w:snapToGrid w:val="0"/>
      <w:spacing w:line="360" w:lineRule="auto"/>
    </w:pPr>
    <w:rPr>
      <w:rFonts w:ascii="仿宋_GB2312" w:eastAsia="仿宋_GB2312"/>
      <w:szCs w:val="24"/>
    </w:rPr>
  </w:style>
  <w:style w:type="paragraph" w:customStyle="1" w:styleId="281">
    <w:name w:val="CSS1级正文 Char"/>
    <w:basedOn w:val="2"/>
    <w:qFormat/>
    <w:uiPriority w:val="99"/>
    <w:pPr>
      <w:adjustRightInd w:val="0"/>
      <w:snapToGrid w:val="0"/>
      <w:spacing w:after="0" w:line="360" w:lineRule="auto"/>
      <w:ind w:firstLine="480"/>
    </w:pPr>
    <w:rPr>
      <w:szCs w:val="20"/>
    </w:rPr>
  </w:style>
  <w:style w:type="paragraph" w:customStyle="1" w:styleId="282">
    <w:name w:val="附录3"/>
    <w:basedOn w:val="1"/>
    <w:next w:val="1"/>
    <w:qFormat/>
    <w:uiPriority w:val="99"/>
    <w:pPr>
      <w:tabs>
        <w:tab w:val="left" w:pos="851"/>
      </w:tabs>
      <w:ind w:left="425" w:hanging="425"/>
      <w:outlineLvl w:val="2"/>
    </w:pPr>
    <w:rPr>
      <w:rFonts w:ascii="Times New Roman" w:hAnsi="Times New Roman" w:eastAsia="黑体"/>
      <w:b/>
      <w:sz w:val="32"/>
      <w:szCs w:val="20"/>
    </w:rPr>
  </w:style>
  <w:style w:type="paragraph" w:customStyle="1" w:styleId="283">
    <w:name w:val="1"/>
    <w:basedOn w:val="1"/>
    <w:next w:val="32"/>
    <w:qFormat/>
    <w:uiPriority w:val="0"/>
    <w:rPr>
      <w:rFonts w:ascii="宋体" w:hAnsi="Courier New"/>
      <w:sz w:val="21"/>
    </w:rPr>
  </w:style>
  <w:style w:type="paragraph" w:customStyle="1" w:styleId="284">
    <w:name w:val="样式4"/>
    <w:basedOn w:val="6"/>
    <w:qFormat/>
    <w:uiPriority w:val="99"/>
    <w:pPr>
      <w:adjustRightInd w:val="0"/>
      <w:snapToGrid w:val="0"/>
      <w:spacing w:before="280" w:line="374" w:lineRule="auto"/>
    </w:pPr>
  </w:style>
  <w:style w:type="paragraph" w:customStyle="1" w:styleId="285">
    <w:name w:val="表号"/>
    <w:basedOn w:val="1"/>
    <w:qFormat/>
    <w:uiPriority w:val="99"/>
    <w:pPr>
      <w:tabs>
        <w:tab w:val="left" w:pos="648"/>
      </w:tabs>
      <w:autoSpaceDE w:val="0"/>
      <w:autoSpaceDN w:val="0"/>
      <w:adjustRightInd w:val="0"/>
      <w:spacing w:before="210" w:after="210"/>
      <w:ind w:left="425" w:hanging="137"/>
      <w:jc w:val="center"/>
    </w:pPr>
    <w:rPr>
      <w:rFonts w:ascii="Times New Roman" w:hAnsi="Times New Roman"/>
      <w:kern w:val="0"/>
      <w:sz w:val="21"/>
      <w:szCs w:val="20"/>
      <w:lang w:eastAsia="en-US"/>
    </w:rPr>
  </w:style>
  <w:style w:type="paragraph" w:customStyle="1" w:styleId="286">
    <w:name w:val="WPSOffice手动目录 1"/>
    <w:qFormat/>
    <w:uiPriority w:val="99"/>
    <w:rPr>
      <w:rFonts w:ascii="Times New Roman" w:hAnsi="Times New Roman" w:eastAsia="宋体" w:cs="Times New Roman"/>
      <w:lang w:val="en-US" w:eastAsia="zh-CN" w:bidi="ar-SA"/>
    </w:rPr>
  </w:style>
  <w:style w:type="paragraph" w:customStyle="1" w:styleId="287">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288">
    <w:name w:val="pa-34"/>
    <w:basedOn w:val="1"/>
    <w:qFormat/>
    <w:uiPriority w:val="0"/>
    <w:pPr>
      <w:widowControl/>
      <w:spacing w:line="360" w:lineRule="atLeast"/>
      <w:ind w:firstLine="420"/>
      <w:jc w:val="left"/>
    </w:pPr>
    <w:rPr>
      <w:rFonts w:ascii="宋体" w:hAnsi="宋体" w:cs="宋体"/>
      <w:kern w:val="0"/>
    </w:rPr>
  </w:style>
  <w:style w:type="character" w:customStyle="1" w:styleId="289">
    <w:name w:val="脚注文本 字符1"/>
    <w:qFormat/>
    <w:uiPriority w:val="99"/>
    <w:rPr>
      <w:rFonts w:cs="Times New Roman"/>
      <w:kern w:val="2"/>
      <w:sz w:val="18"/>
      <w:szCs w:val="18"/>
    </w:rPr>
  </w:style>
  <w:style w:type="character" w:customStyle="1" w:styleId="290">
    <w:name w:val="正文文本首行缩进 字符"/>
    <w:qFormat/>
    <w:uiPriority w:val="99"/>
    <w:rPr>
      <w:rFonts w:cs="Times New Roman"/>
      <w:kern w:val="2"/>
      <w:sz w:val="24"/>
      <w:szCs w:val="24"/>
    </w:rPr>
  </w:style>
  <w:style w:type="character" w:customStyle="1" w:styleId="291">
    <w:name w:val="尾注文本 Char"/>
    <w:qFormat/>
    <w:uiPriority w:val="0"/>
    <w:rPr>
      <w:rFonts w:ascii="Calibri" w:hAnsi="Calibri" w:eastAsia="方正仿宋_GBK"/>
      <w:kern w:val="2"/>
      <w:sz w:val="24"/>
      <w:szCs w:val="22"/>
    </w:rPr>
  </w:style>
  <w:style w:type="character" w:customStyle="1" w:styleId="292">
    <w:name w:val="副标题 Char"/>
    <w:qFormat/>
    <w:uiPriority w:val="0"/>
    <w:rPr>
      <w:rFonts w:ascii="Cambria" w:hAnsi="Cambria" w:cs="Times New Roman"/>
      <w:b/>
      <w:bCs/>
      <w:kern w:val="28"/>
      <w:sz w:val="32"/>
      <w:szCs w:val="32"/>
    </w:rPr>
  </w:style>
  <w:style w:type="character" w:customStyle="1" w:styleId="293">
    <w:name w:val="HTML 预设格式 Char"/>
    <w:qFormat/>
    <w:uiPriority w:val="0"/>
    <w:rPr>
      <w:rFonts w:ascii="Courier New" w:hAnsi="Courier New" w:eastAsia="方正仿宋_GBK" w:cs="Courier New"/>
      <w:kern w:val="2"/>
    </w:rPr>
  </w:style>
  <w:style w:type="paragraph" w:styleId="294">
    <w:name w:val="List Paragraph"/>
    <w:basedOn w:val="1"/>
    <w:qFormat/>
    <w:uiPriority w:val="99"/>
    <w:pPr>
      <w:ind w:firstLine="420" w:firstLineChars="200"/>
    </w:pPr>
    <w:rPr>
      <w:rFonts w:ascii="Times New Roman" w:hAnsi="Times New Roman" w:eastAsia="宋体"/>
      <w:sz w:val="28"/>
      <w:szCs w:val="28"/>
    </w:rPr>
  </w:style>
  <w:style w:type="paragraph" w:customStyle="1" w:styleId="295">
    <w:name w:val="_Style 56"/>
    <w:basedOn w:val="3"/>
    <w:next w:val="1"/>
    <w:qFormat/>
    <w:uiPriority w:val="39"/>
    <w:pPr>
      <w:keepLines/>
      <w:widowControl/>
      <w:tabs>
        <w:tab w:val="clear" w:pos="3360"/>
      </w:tabs>
      <w:snapToGrid/>
      <w:spacing w:beforeLines="0" w:afterLines="0" w:line="276" w:lineRule="auto"/>
      <w:jc w:val="left"/>
      <w:outlineLvl w:val="9"/>
    </w:pPr>
    <w:rPr>
      <w:rFonts w:ascii="Cambria" w:hAnsi="Cambria" w:eastAsia="宋体"/>
      <w:b/>
      <w:bCs/>
      <w:color w:val="365F91"/>
      <w:kern w:val="0"/>
      <w:sz w:val="28"/>
      <w:szCs w:val="28"/>
    </w:rPr>
  </w:style>
  <w:style w:type="paragraph" w:customStyle="1" w:styleId="296">
    <w:name w:val="zz"/>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297">
    <w:name w:val="Char Char Char Char Char Char Char Char Char Char Char Char Char Char Char Char"/>
    <w:basedOn w:val="19"/>
    <w:qFormat/>
    <w:uiPriority w:val="0"/>
    <w:pPr>
      <w:spacing w:line="360" w:lineRule="auto"/>
      <w:ind w:firstLine="200" w:firstLineChars="200"/>
    </w:pPr>
    <w:rPr>
      <w:rFonts w:ascii="Tahoma" w:hAnsi="Tahoma" w:eastAsia="宋体"/>
      <w:szCs w:val="24"/>
    </w:rPr>
  </w:style>
  <w:style w:type="paragraph" w:customStyle="1" w:styleId="298">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99">
    <w:name w:val="zw"/>
    <w:basedOn w:val="1"/>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300">
    <w:name w:val="1 Char"/>
    <w:basedOn w:val="1"/>
    <w:qFormat/>
    <w:uiPriority w:val="0"/>
    <w:pPr>
      <w:widowControl/>
      <w:spacing w:after="160" w:line="240" w:lineRule="exact"/>
      <w:jc w:val="left"/>
    </w:pPr>
    <w:rPr>
      <w:rFonts w:eastAsia="宋体"/>
      <w:sz w:val="21"/>
      <w:szCs w:val="20"/>
    </w:rPr>
  </w:style>
  <w:style w:type="paragraph" w:customStyle="1" w:styleId="301">
    <w:name w:val="Char Char Char Char Char Char Char Char Char Char"/>
    <w:basedOn w:val="19"/>
    <w:qFormat/>
    <w:uiPriority w:val="0"/>
    <w:pPr>
      <w:spacing w:line="360" w:lineRule="auto"/>
      <w:ind w:firstLine="200" w:firstLineChars="200"/>
    </w:pPr>
    <w:rPr>
      <w:rFonts w:ascii="Tahoma" w:hAnsi="Tahoma" w:eastAsia="宋体"/>
      <w:szCs w:val="24"/>
    </w:rPr>
  </w:style>
  <w:style w:type="paragraph" w:customStyle="1" w:styleId="302">
    <w:name w:val="样式 标题 3 + (中文) 黑体 小四 非加粗 段前: 7.8 磅 段后: 0 磅 行距: 固定值 20 磅"/>
    <w:basedOn w:val="5"/>
    <w:next w:val="1"/>
    <w:qFormat/>
    <w:uiPriority w:val="0"/>
    <w:pPr>
      <w:spacing w:before="0" w:after="0" w:line="400" w:lineRule="exact"/>
    </w:pPr>
    <w:rPr>
      <w:rFonts w:eastAsia="黑体" w:cs="宋体"/>
      <w:b w:val="0"/>
      <w:sz w:val="24"/>
      <w:szCs w:val="20"/>
    </w:rPr>
  </w:style>
  <w:style w:type="paragraph" w:customStyle="1" w:styleId="303">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04">
    <w:name w:val="TOC 标题2"/>
    <w:basedOn w:val="3"/>
    <w:next w:val="1"/>
    <w:unhideWhenUsed/>
    <w:qFormat/>
    <w:uiPriority w:val="0"/>
    <w:pPr>
      <w:keepLines/>
      <w:tabs>
        <w:tab w:val="clear" w:pos="3360"/>
      </w:tabs>
      <w:snapToGrid/>
      <w:spacing w:beforeLines="0" w:afterLines="0" w:line="578" w:lineRule="auto"/>
      <w:jc w:val="both"/>
      <w:outlineLvl w:val="9"/>
    </w:pPr>
    <w:rPr>
      <w:rFonts w:ascii="Calibri" w:hAnsi="Calibri" w:eastAsia="宋体"/>
      <w:b/>
      <w:bCs/>
      <w:kern w:val="44"/>
      <w:szCs w:val="44"/>
    </w:rPr>
  </w:style>
  <w:style w:type="paragraph" w:customStyle="1" w:styleId="305">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306">
    <w:name w:val="pa-27"/>
    <w:basedOn w:val="1"/>
    <w:qFormat/>
    <w:uiPriority w:val="0"/>
    <w:pPr>
      <w:widowControl/>
      <w:spacing w:line="360" w:lineRule="atLeast"/>
      <w:ind w:firstLine="420"/>
    </w:pPr>
    <w:rPr>
      <w:rFonts w:ascii="宋体" w:hAnsi="宋体" w:eastAsia="宋体" w:cs="宋体"/>
      <w:kern w:val="0"/>
      <w:szCs w:val="24"/>
    </w:rPr>
  </w:style>
  <w:style w:type="paragraph" w:customStyle="1" w:styleId="307">
    <w:name w:val="_Style 72"/>
    <w:qFormat/>
    <w:uiPriority w:val="0"/>
    <w:rPr>
      <w:rFonts w:ascii="Times New Roman" w:hAnsi="Times New Roman" w:eastAsia="宋体" w:cs="Times New Roman"/>
      <w:kern w:val="2"/>
      <w:sz w:val="21"/>
      <w:szCs w:val="24"/>
      <w:lang w:val="en-US" w:eastAsia="zh-CN" w:bidi="ar-SA"/>
    </w:rPr>
  </w:style>
  <w:style w:type="paragraph" w:customStyle="1" w:styleId="308">
    <w:name w:val="Char Char1 Char Char Char Char Char Char Char Char Char Char"/>
    <w:basedOn w:val="1"/>
    <w:qFormat/>
    <w:uiPriority w:val="0"/>
    <w:pPr>
      <w:autoSpaceDE w:val="0"/>
      <w:autoSpaceDN w:val="0"/>
      <w:adjustRightInd w:val="0"/>
      <w:ind w:firstLine="482"/>
    </w:pPr>
    <w:rPr>
      <w:rFonts w:eastAsia="宋体"/>
      <w:sz w:val="21"/>
      <w:szCs w:val="20"/>
    </w:rPr>
  </w:style>
  <w:style w:type="paragraph" w:customStyle="1" w:styleId="309">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310">
    <w:name w:val="表格内容"/>
    <w:basedOn w:val="1"/>
    <w:qFormat/>
    <w:uiPriority w:val="0"/>
    <w:pPr>
      <w:suppressLineNumbers/>
      <w:suppressAutoHyphens/>
    </w:pPr>
    <w:rPr>
      <w:rFonts w:ascii="Times New Roman" w:hAnsi="Times New Roman" w:eastAsia="宋体"/>
      <w:sz w:val="21"/>
      <w:szCs w:val="24"/>
    </w:rPr>
  </w:style>
  <w:style w:type="paragraph" w:customStyle="1" w:styleId="311">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2">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313">
    <w:name w:val="_Style 105"/>
    <w:basedOn w:val="3"/>
    <w:next w:val="1"/>
    <w:qFormat/>
    <w:uiPriority w:val="39"/>
    <w:pPr>
      <w:keepLines/>
      <w:widowControl/>
      <w:tabs>
        <w:tab w:val="clear" w:pos="3360"/>
      </w:tabs>
      <w:snapToGrid/>
      <w:spacing w:beforeLines="0" w:afterLines="0" w:line="276" w:lineRule="auto"/>
      <w:jc w:val="left"/>
      <w:outlineLvl w:val="9"/>
    </w:pPr>
    <w:rPr>
      <w:rFonts w:ascii="Cambria" w:hAnsi="Cambria" w:eastAsia="宋体"/>
      <w:b/>
      <w:bCs/>
      <w:color w:val="365F91"/>
      <w:kern w:val="0"/>
      <w:sz w:val="28"/>
      <w:szCs w:val="28"/>
    </w:rPr>
  </w:style>
  <w:style w:type="paragraph" w:styleId="314">
    <w:name w:val="Intense Quote"/>
    <w:basedOn w:val="1"/>
    <w:next w:val="1"/>
    <w:link w:val="465"/>
    <w:qFormat/>
    <w:uiPriority w:val="0"/>
    <w:pPr>
      <w:pBdr>
        <w:bottom w:val="single" w:color="4F81BD" w:sz="4" w:space="4"/>
      </w:pBdr>
      <w:spacing w:before="200" w:after="280"/>
      <w:ind w:left="936" w:right="936"/>
    </w:pPr>
    <w:rPr>
      <w:rFonts w:ascii="Times New Roman" w:hAnsi="Times New Roman" w:eastAsia="宋体"/>
      <w:b/>
      <w:bCs/>
      <w:i/>
      <w:iCs/>
      <w:color w:val="4F81BD"/>
      <w:sz w:val="21"/>
    </w:rPr>
  </w:style>
  <w:style w:type="character" w:customStyle="1" w:styleId="315">
    <w:name w:val="明显引用 Char"/>
    <w:qFormat/>
    <w:uiPriority w:val="0"/>
    <w:rPr>
      <w:rFonts w:ascii="Calibri" w:hAnsi="Calibri" w:eastAsia="方正仿宋_GBK"/>
      <w:b/>
      <w:bCs/>
      <w:i/>
      <w:iCs/>
      <w:color w:val="4F81BD"/>
      <w:kern w:val="2"/>
      <w:sz w:val="24"/>
      <w:szCs w:val="22"/>
    </w:rPr>
  </w:style>
  <w:style w:type="paragraph" w:customStyle="1" w:styleId="316">
    <w:name w:val="表体"/>
    <w:basedOn w:val="1"/>
    <w:next w:val="1"/>
    <w:qFormat/>
    <w:uiPriority w:val="0"/>
    <w:pPr>
      <w:spacing w:line="0" w:lineRule="atLeast"/>
    </w:pPr>
    <w:rPr>
      <w:rFonts w:eastAsia="宋体"/>
      <w:b/>
      <w:snapToGrid w:val="0"/>
      <w:sz w:val="21"/>
      <w:szCs w:val="20"/>
    </w:rPr>
  </w:style>
  <w:style w:type="paragraph" w:customStyle="1" w:styleId="31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318">
    <w:name w:val="g3"/>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319">
    <w:name w:val="p16"/>
    <w:basedOn w:val="1"/>
    <w:qFormat/>
    <w:uiPriority w:val="0"/>
    <w:pPr>
      <w:widowControl/>
    </w:pPr>
    <w:rPr>
      <w:rFonts w:eastAsia="宋体" w:cs="宋体"/>
      <w:kern w:val="0"/>
      <w:sz w:val="21"/>
      <w:szCs w:val="21"/>
    </w:rPr>
  </w:style>
  <w:style w:type="paragraph" w:customStyle="1" w:styleId="320">
    <w:name w:val="6'"/>
    <w:basedOn w:val="1"/>
    <w:qFormat/>
    <w:uiPriority w:val="0"/>
    <w:pPr>
      <w:autoSpaceDE w:val="0"/>
      <w:autoSpaceDN w:val="0"/>
      <w:adjustRightInd w:val="0"/>
      <w:snapToGrid w:val="0"/>
      <w:spacing w:line="320" w:lineRule="exact"/>
      <w:jc w:val="center"/>
      <w:textAlignment w:val="baseline"/>
    </w:pPr>
    <w:rPr>
      <w:rFonts w:ascii="Times New Roman" w:hAnsi="Times New Roman" w:eastAsia="宋体"/>
      <w:spacing w:val="20"/>
      <w:kern w:val="28"/>
      <w:sz w:val="21"/>
      <w:szCs w:val="20"/>
    </w:rPr>
  </w:style>
  <w:style w:type="paragraph" w:customStyle="1" w:styleId="321">
    <w:name w:val="l-2"/>
    <w:basedOn w:val="1"/>
    <w:qFormat/>
    <w:uiPriority w:val="0"/>
    <w:pPr>
      <w:widowControl/>
      <w:spacing w:before="100" w:beforeAutospacing="1" w:after="100" w:afterAutospacing="1"/>
      <w:jc w:val="left"/>
    </w:pPr>
    <w:rPr>
      <w:rFonts w:ascii="宋体" w:hAnsi="宋体" w:eastAsia="宋体" w:cs="宋体"/>
      <w:b/>
      <w:bCs/>
      <w:color w:val="000000"/>
      <w:kern w:val="0"/>
      <w:sz w:val="13"/>
      <w:szCs w:val="13"/>
    </w:rPr>
  </w:style>
  <w:style w:type="paragraph" w:customStyle="1" w:styleId="322">
    <w:name w:val="标题4"/>
    <w:basedOn w:val="4"/>
    <w:next w:val="29"/>
    <w:link w:val="474"/>
    <w:qFormat/>
    <w:uiPriority w:val="0"/>
    <w:rPr>
      <w:rFonts w:ascii="Arial" w:hAnsi="Arial"/>
      <w:bCs/>
      <w:sz w:val="24"/>
      <w:szCs w:val="32"/>
    </w:rPr>
  </w:style>
  <w:style w:type="paragraph" w:customStyle="1" w:styleId="32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4">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325">
    <w:name w:val="WW-表格内容"/>
    <w:basedOn w:val="1"/>
    <w:qFormat/>
    <w:uiPriority w:val="0"/>
    <w:pPr>
      <w:suppressLineNumbers/>
      <w:suppressAutoHyphens/>
    </w:pPr>
    <w:rPr>
      <w:rFonts w:ascii="Times New Roman" w:hAnsi="Times New Roman" w:eastAsia="宋体"/>
      <w:sz w:val="21"/>
      <w:szCs w:val="24"/>
    </w:rPr>
  </w:style>
  <w:style w:type="paragraph" w:customStyle="1" w:styleId="326">
    <w:name w:val="明显引用11"/>
    <w:basedOn w:val="1"/>
    <w:next w:val="1"/>
    <w:qFormat/>
    <w:uiPriority w:val="30"/>
    <w:pPr>
      <w:pBdr>
        <w:bottom w:val="single" w:color="4F81BD" w:sz="4" w:space="4"/>
      </w:pBdr>
      <w:spacing w:before="200" w:after="280"/>
      <w:ind w:left="936" w:right="936"/>
    </w:pPr>
    <w:rPr>
      <w:rFonts w:eastAsia="宋体"/>
      <w:b/>
      <w:bCs/>
      <w:i/>
      <w:iCs/>
      <w:color w:val="4F81BD"/>
      <w:sz w:val="21"/>
    </w:rPr>
  </w:style>
  <w:style w:type="paragraph" w:customStyle="1" w:styleId="327">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328">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szCs w:val="24"/>
    </w:rPr>
  </w:style>
  <w:style w:type="paragraph" w:customStyle="1" w:styleId="329">
    <w:name w:val="rr"/>
    <w:basedOn w:val="1"/>
    <w:qFormat/>
    <w:uiPriority w:val="0"/>
    <w:pPr>
      <w:widowControl/>
      <w:spacing w:before="100" w:beforeAutospacing="1" w:after="100" w:afterAutospacing="1"/>
      <w:jc w:val="left"/>
    </w:pPr>
    <w:rPr>
      <w:rFonts w:hint="eastAsia" w:ascii="宋体" w:hAnsi="宋体" w:eastAsia="宋体"/>
      <w:kern w:val="0"/>
      <w:sz w:val="21"/>
      <w:szCs w:val="21"/>
    </w:rPr>
  </w:style>
  <w:style w:type="paragraph" w:customStyle="1" w:styleId="330">
    <w:name w:val="Char9 Char Char Char Char Char Char"/>
    <w:basedOn w:val="19"/>
    <w:qFormat/>
    <w:uiPriority w:val="0"/>
    <w:pPr>
      <w:spacing w:line="360" w:lineRule="auto"/>
      <w:ind w:firstLine="200" w:firstLineChars="200"/>
    </w:pPr>
    <w:rPr>
      <w:rFonts w:ascii="Tahoma" w:hAnsi="Tahoma" w:eastAsia="宋体"/>
      <w:szCs w:val="24"/>
    </w:rPr>
  </w:style>
  <w:style w:type="paragraph" w:customStyle="1" w:styleId="331">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332">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33">
    <w:name w:val="p15"/>
    <w:basedOn w:val="1"/>
    <w:qFormat/>
    <w:uiPriority w:val="0"/>
    <w:pPr>
      <w:widowControl/>
      <w:spacing w:after="120"/>
    </w:pPr>
    <w:rPr>
      <w:rFonts w:ascii="Times New Roman" w:hAnsi="Times New Roman" w:eastAsia="宋体"/>
      <w:kern w:val="0"/>
      <w:sz w:val="21"/>
      <w:szCs w:val="21"/>
    </w:rPr>
  </w:style>
  <w:style w:type="paragraph" w:customStyle="1" w:styleId="334">
    <w:name w:val="rw"/>
    <w:basedOn w:val="1"/>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335">
    <w:name w:val="正  文"/>
    <w:basedOn w:val="1"/>
    <w:qFormat/>
    <w:uiPriority w:val="0"/>
    <w:pPr>
      <w:spacing w:line="360" w:lineRule="auto"/>
      <w:ind w:firstLine="200" w:firstLineChars="200"/>
    </w:pPr>
    <w:rPr>
      <w:rFonts w:ascii="宋体" w:eastAsia="宋体"/>
      <w:szCs w:val="24"/>
    </w:rPr>
  </w:style>
  <w:style w:type="paragraph" w:customStyle="1" w:styleId="336">
    <w:name w:val="列出段落11"/>
    <w:basedOn w:val="1"/>
    <w:qFormat/>
    <w:uiPriority w:val="0"/>
    <w:pPr>
      <w:ind w:firstLine="420" w:firstLineChars="200"/>
    </w:pPr>
    <w:rPr>
      <w:rFonts w:ascii="Times New Roman" w:hAnsi="Times New Roman" w:eastAsia="宋体"/>
      <w:sz w:val="28"/>
      <w:szCs w:val="28"/>
    </w:rPr>
  </w:style>
  <w:style w:type="paragraph" w:customStyle="1" w:styleId="337">
    <w:name w:val="reader-word-layer"/>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338">
    <w:name w:val="样式 标题 1 + 黑体 三号 非加粗 居中 段前: 6 磅 段后: 6 磅 行距: 固定值 20 磅"/>
    <w:basedOn w:val="3"/>
    <w:qFormat/>
    <w:uiPriority w:val="0"/>
    <w:pPr>
      <w:keepLines/>
      <w:tabs>
        <w:tab w:val="clear" w:pos="3360"/>
      </w:tabs>
      <w:snapToGrid/>
      <w:spacing w:beforeLines="0" w:afterLines="0" w:line="400" w:lineRule="exact"/>
    </w:pPr>
    <w:rPr>
      <w:rFonts w:ascii="黑体" w:hAnsi="黑体" w:cs="宋体"/>
      <w:kern w:val="44"/>
      <w:sz w:val="32"/>
    </w:rPr>
  </w:style>
  <w:style w:type="paragraph" w:customStyle="1" w:styleId="339">
    <w:name w:val="_Style 96"/>
    <w:semiHidden/>
    <w:qFormat/>
    <w:uiPriority w:val="99"/>
    <w:rPr>
      <w:rFonts w:ascii="Calibri" w:hAnsi="Calibri" w:eastAsia="宋体" w:cs="Times New Roman"/>
      <w:kern w:val="2"/>
      <w:sz w:val="21"/>
      <w:szCs w:val="24"/>
      <w:lang w:val="en-US" w:eastAsia="zh-CN" w:bidi="ar-SA"/>
    </w:rPr>
  </w:style>
  <w:style w:type="paragraph" w:customStyle="1" w:styleId="340">
    <w:name w:val="表格文字"/>
    <w:basedOn w:val="1"/>
    <w:qFormat/>
    <w:uiPriority w:val="0"/>
    <w:pPr>
      <w:adjustRightInd w:val="0"/>
      <w:spacing w:line="420" w:lineRule="atLeast"/>
      <w:jc w:val="left"/>
      <w:textAlignment w:val="baseline"/>
    </w:pPr>
    <w:rPr>
      <w:rFonts w:ascii="Times New Roman" w:hAnsi="Times New Roman" w:eastAsia="宋体"/>
      <w:kern w:val="0"/>
      <w:sz w:val="21"/>
      <w:szCs w:val="20"/>
    </w:rPr>
  </w:style>
  <w:style w:type="paragraph" w:customStyle="1" w:styleId="341">
    <w:name w:val="TOC 标题11"/>
    <w:basedOn w:val="3"/>
    <w:next w:val="1"/>
    <w:qFormat/>
    <w:uiPriority w:val="0"/>
    <w:pPr>
      <w:keepLines/>
      <w:widowControl/>
      <w:tabs>
        <w:tab w:val="clear" w:pos="3360"/>
      </w:tabs>
      <w:snapToGrid/>
      <w:spacing w:beforeLines="0" w:afterLines="0" w:line="276" w:lineRule="auto"/>
      <w:jc w:val="left"/>
      <w:outlineLvl w:val="9"/>
    </w:pPr>
    <w:rPr>
      <w:rFonts w:ascii="Cambria" w:hAnsi="Cambria" w:eastAsia="宋体"/>
      <w:b/>
      <w:bCs/>
      <w:color w:val="365F91"/>
      <w:kern w:val="0"/>
      <w:sz w:val="28"/>
      <w:szCs w:val="28"/>
    </w:rPr>
  </w:style>
  <w:style w:type="paragraph" w:customStyle="1" w:styleId="342">
    <w:name w:val="引用2"/>
    <w:basedOn w:val="1"/>
    <w:next w:val="1"/>
    <w:link w:val="345"/>
    <w:qFormat/>
    <w:uiPriority w:val="0"/>
    <w:rPr>
      <w:i/>
      <w:iCs/>
      <w:color w:val="000000"/>
    </w:rPr>
  </w:style>
  <w:style w:type="paragraph" w:customStyle="1" w:styleId="343">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344">
    <w:name w:val="Quote"/>
    <w:basedOn w:val="1"/>
    <w:next w:val="1"/>
    <w:link w:val="397"/>
    <w:qFormat/>
    <w:uiPriority w:val="0"/>
    <w:rPr>
      <w:rFonts w:ascii="Times New Roman" w:hAnsi="Times New Roman" w:eastAsia="宋体"/>
      <w:i/>
      <w:iCs/>
      <w:color w:val="000000"/>
      <w:sz w:val="21"/>
    </w:rPr>
  </w:style>
  <w:style w:type="character" w:customStyle="1" w:styleId="345">
    <w:name w:val="引用 Char"/>
    <w:link w:val="342"/>
    <w:qFormat/>
    <w:uiPriority w:val="0"/>
    <w:rPr>
      <w:rFonts w:ascii="Calibri" w:hAnsi="Calibri" w:eastAsia="方正仿宋_GBK"/>
      <w:i/>
      <w:iCs/>
      <w:color w:val="000000"/>
      <w:kern w:val="2"/>
      <w:sz w:val="24"/>
      <w:szCs w:val="22"/>
    </w:rPr>
  </w:style>
  <w:style w:type="paragraph" w:customStyle="1" w:styleId="346">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styleId="3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8">
    <w:name w:val="表格标题"/>
    <w:basedOn w:val="310"/>
    <w:qFormat/>
    <w:uiPriority w:val="0"/>
  </w:style>
  <w:style w:type="paragraph" w:customStyle="1" w:styleId="349">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50">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351">
    <w:name w:val="intel1"/>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352">
    <w:name w:val="style12"/>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53">
    <w:name w:val="WW-表格标题"/>
    <w:basedOn w:val="325"/>
    <w:qFormat/>
    <w:uiPriority w:val="0"/>
  </w:style>
  <w:style w:type="paragraph" w:customStyle="1" w:styleId="354">
    <w:name w:val="ly"/>
    <w:basedOn w:val="1"/>
    <w:qFormat/>
    <w:uiPriority w:val="0"/>
    <w:pPr>
      <w:widowControl/>
      <w:spacing w:before="30"/>
      <w:jc w:val="right"/>
    </w:pPr>
    <w:rPr>
      <w:rFonts w:ascii="方正书宋简体" w:hAnsi="宋体" w:eastAsia="方正书宋简体"/>
      <w:color w:val="000000"/>
      <w:kern w:val="0"/>
      <w:sz w:val="21"/>
      <w:szCs w:val="21"/>
    </w:rPr>
  </w:style>
  <w:style w:type="paragraph" w:customStyle="1" w:styleId="355">
    <w:name w:val="明显引用1"/>
    <w:basedOn w:val="1"/>
    <w:next w:val="1"/>
    <w:link w:val="446"/>
    <w:qFormat/>
    <w:uiPriority w:val="30"/>
    <w:pPr>
      <w:pBdr>
        <w:bottom w:val="single" w:color="4F81BD" w:sz="4" w:space="4"/>
      </w:pBdr>
      <w:spacing w:before="200" w:after="280"/>
      <w:ind w:left="936" w:right="936"/>
    </w:pPr>
    <w:rPr>
      <w:rFonts w:ascii="Times New Roman" w:hAnsi="Times New Roman" w:eastAsia="宋体"/>
      <w:b/>
      <w:bCs/>
      <w:i/>
      <w:iCs/>
      <w:color w:val="4F81BD"/>
      <w:sz w:val="21"/>
      <w:szCs w:val="20"/>
    </w:rPr>
  </w:style>
  <w:style w:type="paragraph" w:customStyle="1" w:styleId="356">
    <w:name w:val="标准样式1"/>
    <w:basedOn w:val="1"/>
    <w:qFormat/>
    <w:uiPriority w:val="0"/>
    <w:pPr>
      <w:spacing w:line="600" w:lineRule="exact"/>
      <w:ind w:firstLine="567"/>
    </w:pPr>
    <w:rPr>
      <w:rFonts w:eastAsia="宋体"/>
      <w:sz w:val="28"/>
      <w:szCs w:val="24"/>
    </w:rPr>
  </w:style>
  <w:style w:type="paragraph" w:customStyle="1" w:styleId="357">
    <w:name w:val="Char3"/>
    <w:basedOn w:val="1"/>
    <w:qFormat/>
    <w:uiPriority w:val="0"/>
    <w:rPr>
      <w:rFonts w:ascii="Times New Roman" w:hAnsi="Times New Roman" w:eastAsia="宋体"/>
      <w:sz w:val="21"/>
      <w:szCs w:val="24"/>
    </w:rPr>
  </w:style>
  <w:style w:type="paragraph" w:customStyle="1" w:styleId="358">
    <w:name w:val="p17"/>
    <w:basedOn w:val="1"/>
    <w:qFormat/>
    <w:uiPriority w:val="0"/>
    <w:pPr>
      <w:widowControl/>
      <w:spacing w:before="120" w:after="120"/>
      <w:jc w:val="left"/>
    </w:pPr>
    <w:rPr>
      <w:rFonts w:eastAsia="宋体" w:cs="宋体"/>
      <w:b/>
      <w:bCs/>
      <w:caps/>
      <w:kern w:val="0"/>
      <w:sz w:val="28"/>
      <w:szCs w:val="28"/>
    </w:rPr>
  </w:style>
  <w:style w:type="paragraph" w:customStyle="1" w:styleId="359">
    <w:name w:val="Char Char1 Char Char"/>
    <w:basedOn w:val="19"/>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rPr>
  </w:style>
  <w:style w:type="paragraph" w:customStyle="1" w:styleId="360">
    <w:name w:val="引用1"/>
    <w:basedOn w:val="1"/>
    <w:next w:val="1"/>
    <w:link w:val="457"/>
    <w:qFormat/>
    <w:uiPriority w:val="29"/>
    <w:rPr>
      <w:rFonts w:ascii="Times New Roman" w:hAnsi="Times New Roman" w:eastAsia="宋体"/>
      <w:i/>
      <w:iCs/>
      <w:color w:val="000000"/>
      <w:sz w:val="21"/>
      <w:szCs w:val="20"/>
    </w:rPr>
  </w:style>
  <w:style w:type="paragraph" w:customStyle="1" w:styleId="361">
    <w:name w:val="_Style 87"/>
    <w:basedOn w:val="1"/>
    <w:qFormat/>
    <w:uiPriority w:val="99"/>
    <w:pPr>
      <w:ind w:firstLine="420" w:firstLineChars="200"/>
    </w:pPr>
    <w:rPr>
      <w:rFonts w:eastAsia="宋体"/>
      <w:sz w:val="28"/>
      <w:szCs w:val="28"/>
    </w:rPr>
  </w:style>
  <w:style w:type="paragraph" w:customStyle="1" w:styleId="362">
    <w:name w:val="自定样式1"/>
    <w:basedOn w:val="1"/>
    <w:qFormat/>
    <w:uiPriority w:val="0"/>
    <w:pPr>
      <w:suppressAutoHyphens/>
      <w:jc w:val="center"/>
    </w:pPr>
    <w:rPr>
      <w:rFonts w:ascii="宋体" w:hAnsi="宋体" w:eastAsia="宋体"/>
      <w:color w:val="000000"/>
      <w:sz w:val="18"/>
      <w:szCs w:val="24"/>
    </w:rPr>
  </w:style>
  <w:style w:type="paragraph" w:customStyle="1" w:styleId="36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rPr>
  </w:style>
  <w:style w:type="character" w:customStyle="1" w:styleId="364">
    <w:name w:val="未处理的提及1"/>
    <w:unhideWhenUsed/>
    <w:qFormat/>
    <w:uiPriority w:val="99"/>
    <w:rPr>
      <w:color w:val="808080"/>
      <w:shd w:val="clear" w:color="auto" w:fill="E6E6E6"/>
    </w:rPr>
  </w:style>
  <w:style w:type="character" w:customStyle="1" w:styleId="365">
    <w:name w:val="正文文本缩进 Char2"/>
    <w:semiHidden/>
    <w:qFormat/>
    <w:uiPriority w:val="99"/>
    <w:rPr>
      <w:rFonts w:ascii="Calibri" w:hAnsi="Calibri" w:eastAsia="宋体" w:cs="Times New Roman"/>
      <w:szCs w:val="24"/>
    </w:rPr>
  </w:style>
  <w:style w:type="character" w:customStyle="1" w:styleId="366">
    <w:name w:val="批注框文本 Char2"/>
    <w:qFormat/>
    <w:uiPriority w:val="99"/>
    <w:rPr>
      <w:kern w:val="2"/>
      <w:sz w:val="18"/>
      <w:szCs w:val="18"/>
    </w:rPr>
  </w:style>
  <w:style w:type="character" w:customStyle="1" w:styleId="367">
    <w:name w:val="textcontents"/>
    <w:qFormat/>
    <w:uiPriority w:val="0"/>
    <w:rPr>
      <w:rFonts w:cs="Times New Roman"/>
    </w:rPr>
  </w:style>
  <w:style w:type="character" w:customStyle="1" w:styleId="368">
    <w:name w:val="ht1"/>
    <w:qFormat/>
    <w:uiPriority w:val="0"/>
    <w:rPr>
      <w:rFonts w:ascii="黑体" w:eastAsia="黑体"/>
      <w:b/>
      <w:bCs/>
    </w:rPr>
  </w:style>
  <w:style w:type="character" w:customStyle="1" w:styleId="369">
    <w:name w:val="14t1"/>
    <w:qFormat/>
    <w:uiPriority w:val="0"/>
    <w:rPr>
      <w:rFonts w:hint="eastAsia" w:ascii="宋体" w:hAnsi="宋体" w:eastAsia="宋体"/>
      <w:sz w:val="11"/>
      <w:szCs w:val="11"/>
    </w:rPr>
  </w:style>
  <w:style w:type="character" w:customStyle="1" w:styleId="370">
    <w:name w:val="Char Char36"/>
    <w:qFormat/>
    <w:uiPriority w:val="0"/>
    <w:rPr>
      <w:rFonts w:ascii="仿宋_GB2312" w:eastAsia="仿宋_GB2312" w:cs="MingLiU"/>
      <w:b/>
      <w:sz w:val="24"/>
      <w:szCs w:val="28"/>
    </w:rPr>
  </w:style>
  <w:style w:type="character" w:customStyle="1" w:styleId="371">
    <w:name w:val="普通文字 Char Char2"/>
    <w:qFormat/>
    <w:uiPriority w:val="0"/>
    <w:rPr>
      <w:rFonts w:ascii="宋体" w:hAnsi="Courier New"/>
      <w:kern w:val="2"/>
      <w:sz w:val="28"/>
      <w:szCs w:val="28"/>
    </w:rPr>
  </w:style>
  <w:style w:type="character" w:customStyle="1" w:styleId="372">
    <w:name w:val="标题 4 Char2"/>
    <w:qFormat/>
    <w:uiPriority w:val="0"/>
    <w:rPr>
      <w:rFonts w:ascii="宋体" w:hAnsi="宋体" w:eastAsia="宋体" w:cs="宋体"/>
      <w:b/>
      <w:bCs/>
      <w:sz w:val="24"/>
      <w:szCs w:val="24"/>
      <w:lang w:val="en-US" w:eastAsia="zh-CN" w:bidi="ar-SA"/>
    </w:rPr>
  </w:style>
  <w:style w:type="character" w:customStyle="1" w:styleId="373">
    <w:name w:val="HTML 预设格式 Char3"/>
    <w:link w:val="54"/>
    <w:qFormat/>
    <w:uiPriority w:val="0"/>
    <w:rPr>
      <w:rFonts w:ascii="宋体" w:hAnsi="宋体" w:cs="宋体"/>
      <w:color w:val="000000"/>
      <w:sz w:val="24"/>
      <w:szCs w:val="24"/>
    </w:rPr>
  </w:style>
  <w:style w:type="character" w:customStyle="1" w:styleId="374">
    <w:name w:val="文档结构图 Char4"/>
    <w:qFormat/>
    <w:uiPriority w:val="0"/>
    <w:rPr>
      <w:rFonts w:eastAsia="宋体"/>
      <w:kern w:val="2"/>
      <w:sz w:val="21"/>
      <w:szCs w:val="24"/>
      <w:lang w:val="en-US" w:eastAsia="zh-CN" w:bidi="ar-SA"/>
    </w:rPr>
  </w:style>
  <w:style w:type="character" w:customStyle="1" w:styleId="375">
    <w:name w:val="正文文本缩进 2 Char1"/>
    <w:qFormat/>
    <w:uiPriority w:val="0"/>
    <w:rPr>
      <w:sz w:val="28"/>
      <w:szCs w:val="24"/>
    </w:rPr>
  </w:style>
  <w:style w:type="character" w:customStyle="1" w:styleId="376">
    <w:name w:val="标题 5 Char1"/>
    <w:qFormat/>
    <w:uiPriority w:val="0"/>
    <w:rPr>
      <w:rFonts w:ascii="宋体" w:hAnsi="宋体" w:eastAsia="宋体" w:cs="宋体"/>
      <w:b/>
      <w:bCs/>
      <w:sz w:val="20"/>
      <w:szCs w:val="20"/>
    </w:rPr>
  </w:style>
  <w:style w:type="character" w:customStyle="1" w:styleId="377">
    <w:name w:val="日期 Char4"/>
    <w:qFormat/>
    <w:uiPriority w:val="0"/>
    <w:rPr>
      <w:rFonts w:eastAsia="宋体"/>
      <w:kern w:val="2"/>
      <w:sz w:val="21"/>
      <w:szCs w:val="24"/>
      <w:lang w:val="en-US" w:eastAsia="zh-CN" w:bidi="ar-SA"/>
    </w:rPr>
  </w:style>
  <w:style w:type="character" w:customStyle="1" w:styleId="378">
    <w:name w:val="style121"/>
    <w:qFormat/>
    <w:uiPriority w:val="0"/>
    <w:rPr>
      <w:rFonts w:hint="eastAsia" w:ascii="宋体" w:hAnsi="宋体" w:eastAsia="宋体"/>
      <w:sz w:val="18"/>
      <w:szCs w:val="18"/>
    </w:rPr>
  </w:style>
  <w:style w:type="character" w:customStyle="1" w:styleId="379">
    <w:name w:val="Section Char"/>
    <w:qFormat/>
    <w:uiPriority w:val="0"/>
    <w:rPr>
      <w:rFonts w:ascii="仿宋_GB2312" w:eastAsia="仿宋_GB2312" w:cs="MingLiU"/>
      <w:b/>
      <w:sz w:val="24"/>
      <w:szCs w:val="28"/>
      <w:lang w:val="en-US" w:eastAsia="zh-CN" w:bidi="ar-SA"/>
    </w:rPr>
  </w:style>
  <w:style w:type="character" w:customStyle="1" w:styleId="380">
    <w:name w:val="正文文本 3 Char1"/>
    <w:qFormat/>
    <w:uiPriority w:val="0"/>
    <w:rPr>
      <w:kern w:val="2"/>
      <w:sz w:val="16"/>
      <w:szCs w:val="16"/>
    </w:rPr>
  </w:style>
  <w:style w:type="character" w:customStyle="1" w:styleId="381">
    <w:name w:val="文档结构图 Char1"/>
    <w:qFormat/>
    <w:uiPriority w:val="0"/>
    <w:rPr>
      <w:rFonts w:ascii="宋体"/>
      <w:kern w:val="2"/>
      <w:sz w:val="18"/>
      <w:szCs w:val="18"/>
    </w:rPr>
  </w:style>
  <w:style w:type="character" w:customStyle="1" w:styleId="382">
    <w:name w:val="_Style 170"/>
    <w:qFormat/>
    <w:uiPriority w:val="0"/>
    <w:rPr>
      <w:i/>
      <w:iCs/>
      <w:color w:val="808080"/>
    </w:rPr>
  </w:style>
  <w:style w:type="character" w:customStyle="1" w:styleId="383">
    <w:name w:val="_Style 171"/>
    <w:qFormat/>
    <w:uiPriority w:val="0"/>
    <w:rPr>
      <w:b/>
      <w:bCs/>
      <w:smallCaps/>
      <w:color w:val="C0504D"/>
      <w:spacing w:val="5"/>
      <w:u w:val="single"/>
    </w:rPr>
  </w:style>
  <w:style w:type="character" w:customStyle="1" w:styleId="384">
    <w:name w:val="页眉 Char1"/>
    <w:semiHidden/>
    <w:qFormat/>
    <w:uiPriority w:val="99"/>
    <w:rPr>
      <w:kern w:val="2"/>
      <w:sz w:val="18"/>
      <w:szCs w:val="18"/>
    </w:rPr>
  </w:style>
  <w:style w:type="character" w:customStyle="1" w:styleId="385">
    <w:name w:val="_Style 174"/>
    <w:qFormat/>
    <w:uiPriority w:val="0"/>
    <w:rPr>
      <w:b/>
      <w:bCs/>
      <w:i/>
      <w:iCs/>
      <w:color w:val="4F81BD"/>
    </w:rPr>
  </w:style>
  <w:style w:type="character" w:customStyle="1" w:styleId="386">
    <w:name w:val="Char Char35"/>
    <w:qFormat/>
    <w:uiPriority w:val="0"/>
    <w:rPr>
      <w:rFonts w:ascii="仿宋_GB2312" w:eastAsia="仿宋_GB2312" w:cs="MingLiU"/>
      <w:b/>
      <w:sz w:val="24"/>
      <w:szCs w:val="28"/>
    </w:rPr>
  </w:style>
  <w:style w:type="character" w:customStyle="1" w:styleId="387">
    <w:name w:val="日期 Char2"/>
    <w:qFormat/>
    <w:uiPriority w:val="99"/>
    <w:rPr>
      <w:kern w:val="2"/>
      <w:sz w:val="21"/>
      <w:szCs w:val="24"/>
    </w:rPr>
  </w:style>
  <w:style w:type="character" w:customStyle="1" w:styleId="388">
    <w:name w:val="Char Char22"/>
    <w:qFormat/>
    <w:uiPriority w:val="0"/>
    <w:rPr>
      <w:b/>
      <w:bCs/>
      <w:kern w:val="2"/>
      <w:sz w:val="32"/>
      <w:szCs w:val="32"/>
    </w:rPr>
  </w:style>
  <w:style w:type="character" w:customStyle="1" w:styleId="389">
    <w:name w:val="正文文本缩进 2 Char2"/>
    <w:semiHidden/>
    <w:qFormat/>
    <w:uiPriority w:val="99"/>
    <w:rPr>
      <w:rFonts w:ascii="Calibri" w:hAnsi="Calibri" w:eastAsia="宋体" w:cs="Times New Roman"/>
      <w:szCs w:val="24"/>
    </w:rPr>
  </w:style>
  <w:style w:type="character" w:customStyle="1" w:styleId="390">
    <w:name w:val="明显强调1"/>
    <w:qFormat/>
    <w:uiPriority w:val="0"/>
    <w:rPr>
      <w:b/>
      <w:bCs/>
      <w:i/>
      <w:iCs/>
      <w:color w:val="4F81BD"/>
    </w:rPr>
  </w:style>
  <w:style w:type="character" w:customStyle="1" w:styleId="391">
    <w:name w:val="Char Char14"/>
    <w:qFormat/>
    <w:uiPriority w:val="0"/>
    <w:rPr>
      <w:kern w:val="2"/>
      <w:sz w:val="18"/>
      <w:szCs w:val="18"/>
    </w:rPr>
  </w:style>
  <w:style w:type="character" w:customStyle="1" w:styleId="392">
    <w:name w:val="s3"/>
    <w:qFormat/>
    <w:uiPriority w:val="0"/>
  </w:style>
  <w:style w:type="character" w:customStyle="1" w:styleId="393">
    <w:name w:val="日期 Char3"/>
    <w:semiHidden/>
    <w:qFormat/>
    <w:uiPriority w:val="99"/>
    <w:rPr>
      <w:rFonts w:ascii="Calibri" w:hAnsi="Calibri" w:eastAsia="宋体" w:cs="Times New Roman"/>
      <w:szCs w:val="24"/>
    </w:rPr>
  </w:style>
  <w:style w:type="character" w:customStyle="1" w:styleId="394">
    <w:name w:val="标题 1 Char2"/>
    <w:qFormat/>
    <w:uiPriority w:val="0"/>
    <w:rPr>
      <w:rFonts w:eastAsia="宋体"/>
      <w:b/>
      <w:bCs/>
      <w:kern w:val="44"/>
      <w:sz w:val="44"/>
      <w:szCs w:val="44"/>
      <w:lang w:val="en-US" w:eastAsia="zh-CN" w:bidi="ar-SA"/>
    </w:rPr>
  </w:style>
  <w:style w:type="character" w:customStyle="1" w:styleId="395">
    <w:name w:val="title11"/>
    <w:qFormat/>
    <w:uiPriority w:val="0"/>
    <w:rPr>
      <w:b/>
      <w:bCs/>
      <w:color w:val="FFFFFF"/>
      <w:sz w:val="11"/>
      <w:szCs w:val="11"/>
    </w:rPr>
  </w:style>
  <w:style w:type="character" w:customStyle="1" w:styleId="396">
    <w:name w:val="明显引用 Char2"/>
    <w:qFormat/>
    <w:uiPriority w:val="99"/>
    <w:rPr>
      <w:b/>
      <w:bCs/>
      <w:i/>
      <w:iCs/>
      <w:color w:val="4F81BD"/>
      <w:kern w:val="2"/>
      <w:sz w:val="21"/>
      <w:szCs w:val="24"/>
    </w:rPr>
  </w:style>
  <w:style w:type="character" w:customStyle="1" w:styleId="397">
    <w:name w:val="引用 Char4"/>
    <w:link w:val="344"/>
    <w:qFormat/>
    <w:uiPriority w:val="0"/>
    <w:rPr>
      <w:i/>
      <w:iCs/>
      <w:color w:val="000000"/>
      <w:kern w:val="2"/>
      <w:sz w:val="21"/>
      <w:szCs w:val="22"/>
    </w:rPr>
  </w:style>
  <w:style w:type="character" w:customStyle="1" w:styleId="398">
    <w:name w:val="批注框文本 Char3"/>
    <w:semiHidden/>
    <w:qFormat/>
    <w:uiPriority w:val="99"/>
    <w:rPr>
      <w:rFonts w:ascii="Calibri" w:hAnsi="Calibri" w:eastAsia="宋体" w:cs="Times New Roman"/>
      <w:sz w:val="18"/>
      <w:szCs w:val="18"/>
    </w:rPr>
  </w:style>
  <w:style w:type="character" w:customStyle="1" w:styleId="399">
    <w:name w:val="标题 2 Char2"/>
    <w:qFormat/>
    <w:uiPriority w:val="0"/>
    <w:rPr>
      <w:rFonts w:ascii="Cambria" w:hAnsi="Cambria" w:eastAsia="宋体"/>
      <w:b/>
      <w:bCs/>
      <w:kern w:val="2"/>
      <w:sz w:val="32"/>
      <w:szCs w:val="32"/>
      <w:lang w:val="en-US" w:eastAsia="zh-CN" w:bidi="ar-SA"/>
    </w:rPr>
  </w:style>
  <w:style w:type="character" w:customStyle="1" w:styleId="400">
    <w:name w:val="Char Char33"/>
    <w:qFormat/>
    <w:uiPriority w:val="0"/>
    <w:rPr>
      <w:rFonts w:ascii="仿宋_GB2312" w:eastAsia="仿宋_GB2312" w:cs="MingLiU"/>
      <w:b/>
      <w:sz w:val="24"/>
      <w:szCs w:val="28"/>
    </w:rPr>
  </w:style>
  <w:style w:type="character" w:customStyle="1" w:styleId="401">
    <w:name w:val="l1"/>
    <w:qFormat/>
    <w:uiPriority w:val="0"/>
  </w:style>
  <w:style w:type="character" w:customStyle="1" w:styleId="402">
    <w:name w:val="手改 Char Char"/>
    <w:qFormat/>
    <w:uiPriority w:val="0"/>
    <w:rPr>
      <w:kern w:val="2"/>
      <w:sz w:val="21"/>
      <w:szCs w:val="24"/>
    </w:rPr>
  </w:style>
  <w:style w:type="character" w:customStyle="1" w:styleId="403">
    <w:name w:val="style21"/>
    <w:qFormat/>
    <w:uiPriority w:val="0"/>
    <w:rPr>
      <w:b/>
      <w:bCs/>
      <w:sz w:val="28"/>
      <w:szCs w:val="28"/>
    </w:rPr>
  </w:style>
  <w:style w:type="character" w:customStyle="1" w:styleId="404">
    <w:name w:val="Char Char24"/>
    <w:qFormat/>
    <w:uiPriority w:val="0"/>
    <w:rPr>
      <w:b/>
      <w:bCs/>
      <w:kern w:val="44"/>
      <w:sz w:val="44"/>
      <w:szCs w:val="44"/>
    </w:rPr>
  </w:style>
  <w:style w:type="character" w:customStyle="1" w:styleId="405">
    <w:name w:val="页脚 Char2"/>
    <w:qFormat/>
    <w:uiPriority w:val="0"/>
    <w:rPr>
      <w:rFonts w:eastAsia="宋体"/>
      <w:kern w:val="2"/>
      <w:sz w:val="18"/>
      <w:szCs w:val="18"/>
      <w:lang w:val="en-US" w:eastAsia="zh-CN" w:bidi="ar-SA"/>
    </w:rPr>
  </w:style>
  <w:style w:type="character" w:customStyle="1" w:styleId="406">
    <w:name w:val="_Style 197"/>
    <w:qFormat/>
    <w:uiPriority w:val="0"/>
    <w:rPr>
      <w:b/>
      <w:bCs/>
      <w:smallCaps/>
      <w:spacing w:val="5"/>
    </w:rPr>
  </w:style>
  <w:style w:type="character" w:customStyle="1" w:styleId="407">
    <w:name w:val="纯文本 Char1"/>
    <w:qFormat/>
    <w:uiPriority w:val="0"/>
    <w:rPr>
      <w:rFonts w:ascii="宋体" w:hAnsi="Courier New" w:cs="Courier New"/>
      <w:kern w:val="2"/>
      <w:sz w:val="21"/>
      <w:szCs w:val="21"/>
    </w:rPr>
  </w:style>
  <w:style w:type="character" w:customStyle="1" w:styleId="408">
    <w:name w:val="日期 Char1"/>
    <w:qFormat/>
    <w:uiPriority w:val="0"/>
    <w:rPr>
      <w:kern w:val="2"/>
      <w:sz w:val="21"/>
      <w:szCs w:val="22"/>
    </w:rPr>
  </w:style>
  <w:style w:type="character" w:customStyle="1" w:styleId="409">
    <w:name w:val="纯文本 Char3"/>
    <w:qFormat/>
    <w:uiPriority w:val="0"/>
    <w:rPr>
      <w:rFonts w:ascii="宋体" w:hAnsi="Courier New" w:eastAsia="宋体" w:cs="Courier New"/>
      <w:kern w:val="2"/>
      <w:sz w:val="21"/>
      <w:szCs w:val="21"/>
      <w:lang w:val="en-US" w:eastAsia="zh-CN" w:bidi="ar-SA"/>
    </w:rPr>
  </w:style>
  <w:style w:type="character" w:customStyle="1" w:styleId="410">
    <w:name w:val="正文文本 Char1"/>
    <w:qFormat/>
    <w:uiPriority w:val="0"/>
    <w:rPr>
      <w:kern w:val="2"/>
      <w:sz w:val="21"/>
      <w:szCs w:val="22"/>
    </w:rPr>
  </w:style>
  <w:style w:type="character" w:customStyle="1" w:styleId="411">
    <w:name w:val="标题 9 Char1"/>
    <w:qFormat/>
    <w:uiPriority w:val="0"/>
    <w:rPr>
      <w:rFonts w:ascii="Times New Roman" w:hAnsi="Times New Roman" w:eastAsia="仿宋_GB2312" w:cs="Times New Roman"/>
      <w:sz w:val="30"/>
      <w:szCs w:val="20"/>
    </w:rPr>
  </w:style>
  <w:style w:type="character" w:customStyle="1" w:styleId="412">
    <w:name w:val="批注框文本 Char4"/>
    <w:qFormat/>
    <w:uiPriority w:val="0"/>
    <w:rPr>
      <w:rFonts w:eastAsia="宋体"/>
      <w:kern w:val="2"/>
      <w:sz w:val="18"/>
      <w:szCs w:val="18"/>
      <w:lang w:val="en-US" w:eastAsia="zh-CN" w:bidi="ar-SA"/>
    </w:rPr>
  </w:style>
  <w:style w:type="character" w:customStyle="1" w:styleId="413">
    <w:name w:val="脚注文本 Char1"/>
    <w:qFormat/>
    <w:uiPriority w:val="0"/>
    <w:rPr>
      <w:rFonts w:ascii="Arial" w:hAnsi="Arial" w:cs="Arial"/>
      <w:sz w:val="18"/>
      <w:szCs w:val="18"/>
      <w:lang w:eastAsia="en-US"/>
    </w:rPr>
  </w:style>
  <w:style w:type="character" w:customStyle="1" w:styleId="414">
    <w:name w:val="HTML 预设格式 Char1"/>
    <w:qFormat/>
    <w:uiPriority w:val="0"/>
    <w:rPr>
      <w:rFonts w:ascii="宋体" w:hAnsi="宋体" w:cs="宋体"/>
      <w:color w:val="000000"/>
      <w:sz w:val="24"/>
      <w:szCs w:val="24"/>
    </w:rPr>
  </w:style>
  <w:style w:type="character" w:customStyle="1" w:styleId="415">
    <w:name w:val="引用 Char3"/>
    <w:qFormat/>
    <w:uiPriority w:val="29"/>
    <w:rPr>
      <w:rFonts w:ascii="Calibri" w:hAnsi="Calibri" w:eastAsia="宋体" w:cs="Times New Roman"/>
      <w:i/>
      <w:iCs/>
      <w:color w:val="000000"/>
      <w:szCs w:val="24"/>
    </w:rPr>
  </w:style>
  <w:style w:type="character" w:customStyle="1" w:styleId="416">
    <w:name w:val="尾注文本 Char3"/>
    <w:link w:val="36"/>
    <w:qFormat/>
    <w:uiPriority w:val="0"/>
    <w:rPr>
      <w:rFonts w:ascii="Arial" w:hAnsi="Arial" w:cs="Arial"/>
      <w:szCs w:val="24"/>
      <w:lang w:eastAsia="en-US"/>
    </w:rPr>
  </w:style>
  <w:style w:type="character" w:customStyle="1" w:styleId="417">
    <w:name w:val="标题 7 Char1"/>
    <w:qFormat/>
    <w:uiPriority w:val="0"/>
    <w:rPr>
      <w:rFonts w:ascii="Times New Roman" w:hAnsi="Times New Roman" w:eastAsia="仿宋_GB2312" w:cs="Times New Roman"/>
      <w:sz w:val="30"/>
      <w:szCs w:val="20"/>
    </w:rPr>
  </w:style>
  <w:style w:type="character" w:customStyle="1" w:styleId="418">
    <w:name w:val="普通文字 Char Char1"/>
    <w:qFormat/>
    <w:uiPriority w:val="0"/>
    <w:rPr>
      <w:rFonts w:ascii="宋体" w:hAnsi="Courier New"/>
      <w:kern w:val="2"/>
      <w:sz w:val="28"/>
      <w:szCs w:val="28"/>
    </w:rPr>
  </w:style>
  <w:style w:type="character" w:customStyle="1" w:styleId="419">
    <w:name w:val="明显参考1"/>
    <w:qFormat/>
    <w:uiPriority w:val="0"/>
    <w:rPr>
      <w:b/>
      <w:bCs/>
      <w:smallCaps/>
      <w:color w:val="C0504D"/>
      <w:spacing w:val="5"/>
      <w:u w:val="single"/>
    </w:rPr>
  </w:style>
  <w:style w:type="character" w:customStyle="1" w:styleId="420">
    <w:name w:val="style31"/>
    <w:qFormat/>
    <w:uiPriority w:val="0"/>
    <w:rPr>
      <w:sz w:val="10"/>
      <w:szCs w:val="10"/>
    </w:rPr>
  </w:style>
  <w:style w:type="character" w:customStyle="1" w:styleId="421">
    <w:name w:val="main_tdbg_7601"/>
    <w:qFormat/>
    <w:uiPriority w:val="0"/>
    <w:rPr>
      <w:sz w:val="14"/>
      <w:szCs w:val="14"/>
    </w:rPr>
  </w:style>
  <w:style w:type="character" w:customStyle="1" w:styleId="422">
    <w:name w:val="尾注文本 Char1"/>
    <w:qFormat/>
    <w:uiPriority w:val="0"/>
    <w:rPr>
      <w:rFonts w:ascii="Arial" w:hAnsi="Arial" w:cs="Arial"/>
      <w:szCs w:val="24"/>
      <w:lang w:eastAsia="en-US"/>
    </w:rPr>
  </w:style>
  <w:style w:type="character" w:customStyle="1" w:styleId="423">
    <w:name w:val="副标题 Char2"/>
    <w:qFormat/>
    <w:uiPriority w:val="11"/>
    <w:rPr>
      <w:rFonts w:ascii="Cambria" w:hAnsi="Cambria" w:eastAsia="宋体" w:cs="Times New Roman"/>
      <w:b/>
      <w:bCs/>
      <w:kern w:val="28"/>
      <w:sz w:val="32"/>
      <w:szCs w:val="32"/>
    </w:rPr>
  </w:style>
  <w:style w:type="character" w:customStyle="1" w:styleId="424">
    <w:name w:val="正文文本缩进 3 Char2"/>
    <w:semiHidden/>
    <w:qFormat/>
    <w:uiPriority w:val="99"/>
    <w:rPr>
      <w:rFonts w:ascii="Calibri" w:hAnsi="Calibri" w:eastAsia="宋体" w:cs="Times New Roman"/>
      <w:sz w:val="16"/>
      <w:szCs w:val="16"/>
    </w:rPr>
  </w:style>
  <w:style w:type="character" w:customStyle="1" w:styleId="425">
    <w:name w:val="Char Char34"/>
    <w:qFormat/>
    <w:uiPriority w:val="0"/>
    <w:rPr>
      <w:rFonts w:ascii="仿宋_GB2312" w:eastAsia="仿宋_GB2312" w:cs="MingLiU"/>
      <w:b/>
      <w:spacing w:val="1"/>
      <w:w w:val="99"/>
      <w:sz w:val="28"/>
      <w:szCs w:val="32"/>
    </w:rPr>
  </w:style>
  <w:style w:type="character" w:customStyle="1" w:styleId="426">
    <w:name w:val="docpro"/>
    <w:qFormat/>
    <w:uiPriority w:val="0"/>
  </w:style>
  <w:style w:type="character" w:customStyle="1" w:styleId="427">
    <w:name w:val="正文文本 Char4"/>
    <w:qFormat/>
    <w:uiPriority w:val="0"/>
    <w:rPr>
      <w:rFonts w:eastAsia="宋体"/>
      <w:kern w:val="2"/>
      <w:sz w:val="21"/>
      <w:szCs w:val="24"/>
      <w:lang w:val="en-US" w:eastAsia="zh-CN" w:bidi="ar-SA"/>
    </w:rPr>
  </w:style>
  <w:style w:type="character" w:customStyle="1" w:styleId="428">
    <w:name w:val="ITTHEADER1 Char"/>
    <w:qFormat/>
    <w:uiPriority w:val="0"/>
    <w:rPr>
      <w:rFonts w:eastAsia="黑体"/>
      <w:kern w:val="2"/>
      <w:sz w:val="44"/>
      <w:szCs w:val="44"/>
      <w:lang w:val="en-US" w:eastAsia="zh-CN" w:bidi="ar-SA"/>
    </w:rPr>
  </w:style>
  <w:style w:type="character" w:customStyle="1" w:styleId="429">
    <w:name w:val="标题 6 Char2"/>
    <w:qFormat/>
    <w:uiPriority w:val="0"/>
    <w:rPr>
      <w:rFonts w:hAnsi="Arial" w:eastAsia="仿宋_GB2312"/>
      <w:sz w:val="30"/>
      <w:lang w:val="en-US" w:eastAsia="zh-CN" w:bidi="ar-SA"/>
    </w:rPr>
  </w:style>
  <w:style w:type="character" w:customStyle="1" w:styleId="430">
    <w:name w:val="标题 Char2"/>
    <w:qFormat/>
    <w:uiPriority w:val="10"/>
    <w:rPr>
      <w:rFonts w:ascii="Cambria" w:hAnsi="Cambria" w:eastAsia="宋体" w:cs="Times New Roman"/>
      <w:b/>
      <w:bCs/>
      <w:sz w:val="32"/>
      <w:szCs w:val="32"/>
    </w:rPr>
  </w:style>
  <w:style w:type="character" w:customStyle="1" w:styleId="431">
    <w:name w:val="正文文本 Char2"/>
    <w:qFormat/>
    <w:uiPriority w:val="99"/>
    <w:rPr>
      <w:kern w:val="2"/>
      <w:sz w:val="21"/>
      <w:szCs w:val="24"/>
    </w:rPr>
  </w:style>
  <w:style w:type="character" w:customStyle="1" w:styleId="432">
    <w:name w:val="0d1471"/>
    <w:qFormat/>
    <w:uiPriority w:val="0"/>
    <w:rPr>
      <w:color w:val="000000"/>
      <w:sz w:val="11"/>
      <w:szCs w:val="11"/>
      <w:u w:val="none"/>
    </w:rPr>
  </w:style>
  <w:style w:type="character" w:customStyle="1" w:styleId="433">
    <w:name w:val="正文文本 2 Char1"/>
    <w:semiHidden/>
    <w:qFormat/>
    <w:uiPriority w:val="99"/>
    <w:rPr>
      <w:rFonts w:ascii="Calibri" w:hAnsi="Calibri" w:eastAsia="宋体" w:cs="Times New Roman"/>
      <w:szCs w:val="24"/>
    </w:rPr>
  </w:style>
  <w:style w:type="character" w:customStyle="1" w:styleId="434">
    <w:name w:val="批注框文本 Char1"/>
    <w:qFormat/>
    <w:uiPriority w:val="0"/>
    <w:rPr>
      <w:kern w:val="2"/>
      <w:sz w:val="18"/>
      <w:szCs w:val="18"/>
    </w:rPr>
  </w:style>
  <w:style w:type="character" w:customStyle="1" w:styleId="435">
    <w:name w:val="标题 Char3"/>
    <w:qFormat/>
    <w:uiPriority w:val="0"/>
    <w:rPr>
      <w:rFonts w:eastAsia="宋体"/>
      <w:szCs w:val="24"/>
      <w:u w:val="single"/>
      <w:lang w:val="en-US" w:eastAsia="en-US" w:bidi="ar-SA"/>
    </w:rPr>
  </w:style>
  <w:style w:type="character" w:customStyle="1" w:styleId="436">
    <w:name w:val="正文文本缩进 2 Char3"/>
    <w:qFormat/>
    <w:uiPriority w:val="0"/>
    <w:rPr>
      <w:rFonts w:eastAsia="宋体"/>
      <w:sz w:val="28"/>
      <w:szCs w:val="24"/>
      <w:lang w:val="en-US" w:eastAsia="zh-CN" w:bidi="ar-SA"/>
    </w:rPr>
  </w:style>
  <w:style w:type="character" w:customStyle="1" w:styleId="437">
    <w:name w:val="font161"/>
    <w:qFormat/>
    <w:uiPriority w:val="0"/>
    <w:rPr>
      <w:b/>
      <w:bCs/>
      <w:sz w:val="32"/>
      <w:szCs w:val="32"/>
    </w:rPr>
  </w:style>
  <w:style w:type="character" w:customStyle="1" w:styleId="438">
    <w:name w:val="正文文本缩进 Char3"/>
    <w:qFormat/>
    <w:uiPriority w:val="0"/>
    <w:rPr>
      <w:rFonts w:eastAsia="宋体"/>
      <w:kern w:val="2"/>
      <w:sz w:val="21"/>
      <w:szCs w:val="24"/>
      <w:lang w:val="en-US" w:eastAsia="zh-CN" w:bidi="ar-SA"/>
    </w:rPr>
  </w:style>
  <w:style w:type="character" w:customStyle="1" w:styleId="439">
    <w:name w:val="标题 9 Char2"/>
    <w:qFormat/>
    <w:uiPriority w:val="0"/>
    <w:rPr>
      <w:rFonts w:eastAsia="仿宋_GB2312"/>
      <w:sz w:val="30"/>
      <w:lang w:val="en-US" w:eastAsia="zh-CN" w:bidi="ar-SA"/>
    </w:rPr>
  </w:style>
  <w:style w:type="character" w:customStyle="1" w:styleId="440">
    <w:name w:val="标题 8 Char2"/>
    <w:qFormat/>
    <w:uiPriority w:val="0"/>
    <w:rPr>
      <w:rFonts w:hAnsi="Arial" w:eastAsia="仿宋_GB2312"/>
      <w:sz w:val="30"/>
      <w:lang w:val="en-US" w:eastAsia="zh-CN" w:bidi="ar-SA"/>
    </w:rPr>
  </w:style>
  <w:style w:type="character" w:customStyle="1" w:styleId="441">
    <w:name w:val="Char Char32"/>
    <w:qFormat/>
    <w:uiPriority w:val="0"/>
    <w:rPr>
      <w:rFonts w:ascii="仿宋_GB2312" w:eastAsia="仿宋_GB2312" w:cs="MingLiU"/>
      <w:b/>
      <w:spacing w:val="1"/>
      <w:w w:val="99"/>
      <w:sz w:val="28"/>
      <w:szCs w:val="32"/>
    </w:rPr>
  </w:style>
  <w:style w:type="character" w:customStyle="1" w:styleId="442">
    <w:name w:val="正文文本缩进 3 Char3"/>
    <w:qFormat/>
    <w:uiPriority w:val="0"/>
    <w:rPr>
      <w:rFonts w:ascii="宋体" w:hAnsi="宋体" w:eastAsia="宋体"/>
      <w:kern w:val="2"/>
      <w:sz w:val="28"/>
      <w:szCs w:val="28"/>
      <w:lang w:val="en-US" w:eastAsia="zh-CN" w:bidi="ar-SA"/>
    </w:rPr>
  </w:style>
  <w:style w:type="character" w:customStyle="1" w:styleId="443">
    <w:name w:val="标题 2 Char1"/>
    <w:qFormat/>
    <w:uiPriority w:val="0"/>
    <w:rPr>
      <w:rFonts w:ascii="Cambria" w:hAnsi="Cambria" w:eastAsia="宋体" w:cs="Times New Roman"/>
      <w:b/>
      <w:bCs/>
      <w:kern w:val="2"/>
      <w:sz w:val="32"/>
      <w:szCs w:val="32"/>
    </w:rPr>
  </w:style>
  <w:style w:type="character" w:customStyle="1" w:styleId="444">
    <w:name w:val="ss16"/>
    <w:qFormat/>
    <w:uiPriority w:val="0"/>
    <w:rPr>
      <w:rFonts w:hint="eastAsia" w:ascii="宋体" w:hAnsi="宋体" w:eastAsia="宋体"/>
      <w:color w:val="000000"/>
      <w:sz w:val="9"/>
      <w:szCs w:val="9"/>
    </w:rPr>
  </w:style>
  <w:style w:type="character" w:customStyle="1" w:styleId="445">
    <w:name w:val="批注主题 Char3"/>
    <w:semiHidden/>
    <w:qFormat/>
    <w:uiPriority w:val="99"/>
    <w:rPr>
      <w:rFonts w:ascii="Calibri" w:hAnsi="Calibri" w:eastAsia="宋体" w:cs="Times New Roman"/>
      <w:b/>
      <w:bCs/>
      <w:szCs w:val="24"/>
    </w:rPr>
  </w:style>
  <w:style w:type="character" w:customStyle="1" w:styleId="446">
    <w:name w:val="明显引用 Char1"/>
    <w:link w:val="355"/>
    <w:qFormat/>
    <w:uiPriority w:val="30"/>
    <w:rPr>
      <w:b/>
      <w:bCs/>
      <w:i/>
      <w:iCs/>
      <w:color w:val="4F81BD"/>
      <w:kern w:val="2"/>
      <w:sz w:val="21"/>
    </w:rPr>
  </w:style>
  <w:style w:type="character" w:customStyle="1" w:styleId="447">
    <w:name w:val="HTML 预设格式 Char2"/>
    <w:semiHidden/>
    <w:qFormat/>
    <w:uiPriority w:val="99"/>
    <w:rPr>
      <w:rFonts w:ascii="Courier New" w:hAnsi="Courier New" w:eastAsia="宋体" w:cs="Courier New"/>
      <w:sz w:val="20"/>
      <w:szCs w:val="20"/>
    </w:rPr>
  </w:style>
  <w:style w:type="character" w:customStyle="1" w:styleId="448">
    <w:name w:val="Char Char17"/>
    <w:qFormat/>
    <w:uiPriority w:val="0"/>
    <w:rPr>
      <w:kern w:val="2"/>
      <w:sz w:val="26"/>
      <w:szCs w:val="24"/>
    </w:rPr>
  </w:style>
  <w:style w:type="character" w:customStyle="1" w:styleId="449">
    <w:name w:val="页脚 Char1"/>
    <w:semiHidden/>
    <w:qFormat/>
    <w:uiPriority w:val="99"/>
    <w:rPr>
      <w:kern w:val="2"/>
      <w:sz w:val="18"/>
      <w:szCs w:val="18"/>
    </w:rPr>
  </w:style>
  <w:style w:type="character" w:customStyle="1" w:styleId="450">
    <w:name w:val="unnamed1"/>
    <w:qFormat/>
    <w:uiPriority w:val="0"/>
  </w:style>
  <w:style w:type="character" w:customStyle="1" w:styleId="451">
    <w:name w:val="Char Char9"/>
    <w:qFormat/>
    <w:locked/>
    <w:uiPriority w:val="0"/>
    <w:rPr>
      <w:rFonts w:ascii="仿宋_GB2312" w:eastAsia="仿宋_GB2312" w:cs="MingLiU"/>
      <w:b/>
      <w:sz w:val="24"/>
      <w:szCs w:val="28"/>
      <w:lang w:val="en-US" w:eastAsia="zh-CN" w:bidi="ar-SA"/>
    </w:rPr>
  </w:style>
  <w:style w:type="character" w:customStyle="1" w:styleId="452">
    <w:name w:val="批注主题 Char1"/>
    <w:qFormat/>
    <w:uiPriority w:val="0"/>
    <w:rPr>
      <w:b/>
      <w:bCs/>
      <w:kern w:val="2"/>
      <w:sz w:val="21"/>
      <w:szCs w:val="22"/>
    </w:rPr>
  </w:style>
  <w:style w:type="character" w:customStyle="1" w:styleId="453">
    <w:name w:val="正文文本 3 Char3"/>
    <w:qFormat/>
    <w:uiPriority w:val="0"/>
    <w:rPr>
      <w:rFonts w:eastAsia="宋体"/>
      <w:kern w:val="2"/>
      <w:sz w:val="16"/>
      <w:szCs w:val="16"/>
      <w:lang w:val="en-US" w:eastAsia="zh-CN" w:bidi="ar-SA"/>
    </w:rPr>
  </w:style>
  <w:style w:type="character" w:customStyle="1" w:styleId="454">
    <w:name w:val="纯文本 Char2"/>
    <w:semiHidden/>
    <w:qFormat/>
    <w:uiPriority w:val="99"/>
    <w:rPr>
      <w:rFonts w:ascii="宋体" w:hAnsi="Courier New" w:eastAsia="宋体" w:cs="Courier New"/>
      <w:szCs w:val="21"/>
    </w:rPr>
  </w:style>
  <w:style w:type="character" w:customStyle="1" w:styleId="455">
    <w:name w:val="intel3"/>
    <w:qFormat/>
    <w:uiPriority w:val="0"/>
  </w:style>
  <w:style w:type="character" w:customStyle="1" w:styleId="456">
    <w:name w:val="subhead1"/>
    <w:qFormat/>
    <w:uiPriority w:val="0"/>
    <w:rPr>
      <w:rFonts w:hint="default" w:ascii="Tahoma" w:hAnsi="Tahoma" w:cs="Tahoma"/>
      <w:color w:val="000000"/>
      <w:sz w:val="18"/>
      <w:szCs w:val="18"/>
      <w:u w:val="none"/>
      <w:shd w:val="clear" w:color="auto" w:fill="FFFFFF"/>
    </w:rPr>
  </w:style>
  <w:style w:type="character" w:customStyle="1" w:styleId="457">
    <w:name w:val="引用 Char1"/>
    <w:link w:val="360"/>
    <w:qFormat/>
    <w:uiPriority w:val="29"/>
    <w:rPr>
      <w:i/>
      <w:iCs/>
      <w:color w:val="000000"/>
      <w:kern w:val="2"/>
      <w:sz w:val="21"/>
    </w:rPr>
  </w:style>
  <w:style w:type="character" w:customStyle="1" w:styleId="458">
    <w:name w:val="脚注文本 Char2"/>
    <w:semiHidden/>
    <w:qFormat/>
    <w:uiPriority w:val="99"/>
    <w:rPr>
      <w:rFonts w:ascii="Calibri" w:hAnsi="Calibri" w:eastAsia="宋体" w:cs="Times New Roman"/>
      <w:sz w:val="18"/>
      <w:szCs w:val="18"/>
    </w:rPr>
  </w:style>
  <w:style w:type="character" w:customStyle="1" w:styleId="459">
    <w:name w:val="ca-141"/>
    <w:qFormat/>
    <w:uiPriority w:val="0"/>
    <w:rPr>
      <w:rFonts w:hint="eastAsia" w:ascii="仿宋_GB2312" w:eastAsia="仿宋_GB2312"/>
      <w:sz w:val="21"/>
      <w:szCs w:val="21"/>
    </w:rPr>
  </w:style>
  <w:style w:type="character" w:customStyle="1" w:styleId="460">
    <w:name w:val="标题 Char1"/>
    <w:qFormat/>
    <w:uiPriority w:val="10"/>
    <w:rPr>
      <w:szCs w:val="24"/>
      <w:u w:val="single"/>
      <w:lang w:eastAsia="en-US"/>
    </w:rPr>
  </w:style>
  <w:style w:type="character" w:customStyle="1" w:styleId="461">
    <w:name w:val="style161"/>
    <w:qFormat/>
    <w:uiPriority w:val="0"/>
    <w:rPr>
      <w:b/>
      <w:bCs/>
      <w:color w:val="333333"/>
    </w:rPr>
  </w:style>
  <w:style w:type="character" w:customStyle="1" w:styleId="462">
    <w:name w:val="批注文字 Char1"/>
    <w:qFormat/>
    <w:uiPriority w:val="99"/>
    <w:rPr>
      <w:rFonts w:ascii="Times New Roman" w:hAnsi="Times New Roman" w:eastAsia="宋体" w:cs="Times New Roman"/>
      <w:szCs w:val="24"/>
    </w:rPr>
  </w:style>
  <w:style w:type="character" w:customStyle="1" w:styleId="463">
    <w:name w:val="标题 5 Char2"/>
    <w:qFormat/>
    <w:uiPriority w:val="0"/>
    <w:rPr>
      <w:rFonts w:ascii="宋体" w:hAnsi="宋体" w:eastAsia="宋体" w:cs="宋体"/>
      <w:b/>
      <w:bCs/>
      <w:lang w:val="en-US" w:eastAsia="zh-CN" w:bidi="ar-SA"/>
    </w:rPr>
  </w:style>
  <w:style w:type="character" w:customStyle="1" w:styleId="464">
    <w:name w:val="正文文本缩进 3 Char1"/>
    <w:qFormat/>
    <w:uiPriority w:val="0"/>
    <w:rPr>
      <w:rFonts w:ascii="宋体" w:hAnsi="宋体"/>
      <w:kern w:val="2"/>
      <w:sz w:val="28"/>
      <w:szCs w:val="28"/>
    </w:rPr>
  </w:style>
  <w:style w:type="character" w:customStyle="1" w:styleId="465">
    <w:name w:val="明显引用 Char4"/>
    <w:link w:val="314"/>
    <w:qFormat/>
    <w:uiPriority w:val="0"/>
    <w:rPr>
      <w:b/>
      <w:bCs/>
      <w:i/>
      <w:iCs/>
      <w:color w:val="4F81BD"/>
      <w:kern w:val="2"/>
      <w:sz w:val="21"/>
      <w:szCs w:val="22"/>
    </w:rPr>
  </w:style>
  <w:style w:type="character" w:customStyle="1" w:styleId="466">
    <w:name w:val="明显引用 Char3"/>
    <w:qFormat/>
    <w:uiPriority w:val="30"/>
    <w:rPr>
      <w:rFonts w:ascii="Calibri" w:hAnsi="Calibri" w:eastAsia="宋体" w:cs="Times New Roman"/>
      <w:b/>
      <w:bCs/>
      <w:i/>
      <w:iCs/>
      <w:color w:val="4F81BD"/>
      <w:szCs w:val="24"/>
    </w:rPr>
  </w:style>
  <w:style w:type="character" w:customStyle="1" w:styleId="467">
    <w:name w:val="引用 Char2"/>
    <w:qFormat/>
    <w:uiPriority w:val="99"/>
    <w:rPr>
      <w:i/>
      <w:iCs/>
      <w:color w:val="000000"/>
      <w:kern w:val="2"/>
      <w:sz w:val="21"/>
      <w:szCs w:val="24"/>
    </w:rPr>
  </w:style>
  <w:style w:type="character" w:customStyle="1" w:styleId="468">
    <w:name w:val="批注主题 Char4"/>
    <w:qFormat/>
    <w:uiPriority w:val="0"/>
    <w:rPr>
      <w:rFonts w:eastAsia="宋体"/>
      <w:b/>
      <w:bCs/>
      <w:kern w:val="2"/>
      <w:sz w:val="21"/>
      <w:szCs w:val="24"/>
      <w:lang w:val="en-US" w:eastAsia="zh-CN" w:bidi="ar-SA"/>
    </w:rPr>
  </w:style>
  <w:style w:type="character" w:customStyle="1" w:styleId="469">
    <w:name w:val="不明显强调1"/>
    <w:qFormat/>
    <w:uiPriority w:val="0"/>
    <w:rPr>
      <w:i/>
      <w:iCs/>
      <w:color w:val="808080"/>
    </w:rPr>
  </w:style>
  <w:style w:type="character" w:customStyle="1" w:styleId="470">
    <w:name w:val="color_red1"/>
    <w:qFormat/>
    <w:uiPriority w:val="0"/>
    <w:rPr>
      <w:color w:val="FA0004"/>
    </w:rPr>
  </w:style>
  <w:style w:type="character" w:customStyle="1" w:styleId="471">
    <w:name w:val="标题 7 Char2"/>
    <w:qFormat/>
    <w:uiPriority w:val="0"/>
    <w:rPr>
      <w:rFonts w:eastAsia="仿宋_GB2312"/>
      <w:sz w:val="30"/>
      <w:lang w:val="en-US" w:eastAsia="zh-CN" w:bidi="ar-SA"/>
    </w:rPr>
  </w:style>
  <w:style w:type="character" w:customStyle="1" w:styleId="472">
    <w:name w:val="标题5 Char Char"/>
    <w:link w:val="274"/>
    <w:qFormat/>
    <w:uiPriority w:val="0"/>
    <w:rPr>
      <w:rFonts w:ascii="宋体" w:eastAsia="方正仿宋_GBK"/>
      <w:sz w:val="21"/>
    </w:rPr>
  </w:style>
  <w:style w:type="character" w:customStyle="1" w:styleId="473">
    <w:name w:val="脚注文本 Char3"/>
    <w:qFormat/>
    <w:uiPriority w:val="0"/>
    <w:rPr>
      <w:rFonts w:ascii="Arial" w:hAnsi="Arial" w:eastAsia="宋体" w:cs="Arial"/>
      <w:sz w:val="18"/>
      <w:szCs w:val="18"/>
      <w:lang w:val="en-US" w:eastAsia="en-US" w:bidi="ar-SA"/>
    </w:rPr>
  </w:style>
  <w:style w:type="character" w:customStyle="1" w:styleId="474">
    <w:name w:val="标题4 Char Char"/>
    <w:link w:val="322"/>
    <w:qFormat/>
    <w:uiPriority w:val="0"/>
    <w:rPr>
      <w:rFonts w:ascii="Arial" w:hAnsi="Arial"/>
      <w:b/>
      <w:bCs/>
      <w:sz w:val="24"/>
      <w:szCs w:val="32"/>
    </w:rPr>
  </w:style>
  <w:style w:type="character" w:customStyle="1" w:styleId="475">
    <w:name w:val="Char Char13"/>
    <w:qFormat/>
    <w:uiPriority w:val="0"/>
    <w:rPr>
      <w:kern w:val="2"/>
      <w:sz w:val="18"/>
      <w:szCs w:val="18"/>
    </w:rPr>
  </w:style>
  <w:style w:type="character" w:customStyle="1" w:styleId="476">
    <w:name w:val="文档结构图 Char2"/>
    <w:qFormat/>
    <w:uiPriority w:val="99"/>
    <w:rPr>
      <w:kern w:val="2"/>
      <w:sz w:val="21"/>
      <w:szCs w:val="24"/>
      <w:shd w:val="clear" w:color="auto" w:fill="000080"/>
    </w:rPr>
  </w:style>
  <w:style w:type="character" w:customStyle="1" w:styleId="477">
    <w:name w:val="批注文字 Char2"/>
    <w:qFormat/>
    <w:uiPriority w:val="0"/>
    <w:rPr>
      <w:rFonts w:ascii="Calibri" w:hAnsi="Calibri" w:eastAsia="宋体" w:cs="Times New Roman"/>
      <w:szCs w:val="24"/>
    </w:rPr>
  </w:style>
  <w:style w:type="character" w:customStyle="1" w:styleId="478">
    <w:name w:val="标题 8 Char1"/>
    <w:qFormat/>
    <w:uiPriority w:val="0"/>
    <w:rPr>
      <w:rFonts w:ascii="Times New Roman" w:hAnsi="Arial" w:eastAsia="仿宋_GB2312" w:cs="Times New Roman"/>
      <w:sz w:val="30"/>
      <w:szCs w:val="20"/>
    </w:rPr>
  </w:style>
  <w:style w:type="character" w:customStyle="1" w:styleId="479">
    <w:name w:val="页眉 Char2"/>
    <w:qFormat/>
    <w:uiPriority w:val="0"/>
    <w:rPr>
      <w:rFonts w:eastAsia="宋体"/>
      <w:kern w:val="2"/>
      <w:sz w:val="18"/>
      <w:szCs w:val="18"/>
      <w:lang w:val="en-US" w:eastAsia="zh-CN" w:bidi="ar-SA"/>
    </w:rPr>
  </w:style>
  <w:style w:type="character" w:customStyle="1" w:styleId="480">
    <w:name w:val="标题 6 Char1"/>
    <w:qFormat/>
    <w:uiPriority w:val="0"/>
    <w:rPr>
      <w:rFonts w:ascii="Times New Roman" w:hAnsi="Arial" w:eastAsia="仿宋_GB2312" w:cs="Times New Roman"/>
      <w:sz w:val="30"/>
      <w:szCs w:val="20"/>
    </w:rPr>
  </w:style>
  <w:style w:type="character" w:customStyle="1" w:styleId="481">
    <w:name w:val="_Style 293"/>
    <w:qFormat/>
    <w:uiPriority w:val="0"/>
    <w:rPr>
      <w:smallCaps/>
      <w:color w:val="C0504D"/>
      <w:u w:val="single"/>
    </w:rPr>
  </w:style>
  <w:style w:type="character" w:customStyle="1" w:styleId="482">
    <w:name w:val="副标题 Char1"/>
    <w:qFormat/>
    <w:uiPriority w:val="0"/>
    <w:rPr>
      <w:szCs w:val="24"/>
      <w:u w:val="single"/>
      <w:lang w:eastAsia="en-US"/>
    </w:rPr>
  </w:style>
  <w:style w:type="character" w:customStyle="1" w:styleId="483">
    <w:name w:val="正文文本 Char3"/>
    <w:semiHidden/>
    <w:qFormat/>
    <w:uiPriority w:val="99"/>
    <w:rPr>
      <w:rFonts w:ascii="Calibri" w:hAnsi="Calibri" w:eastAsia="宋体" w:cs="Times New Roman"/>
      <w:szCs w:val="24"/>
    </w:rPr>
  </w:style>
  <w:style w:type="character" w:customStyle="1" w:styleId="484">
    <w:name w:val="标题 4 Char1"/>
    <w:qFormat/>
    <w:uiPriority w:val="0"/>
    <w:rPr>
      <w:rFonts w:ascii="宋体" w:hAnsi="宋体" w:eastAsia="宋体" w:cs="宋体"/>
      <w:b/>
      <w:bCs/>
      <w:sz w:val="24"/>
      <w:szCs w:val="24"/>
    </w:rPr>
  </w:style>
  <w:style w:type="character" w:customStyle="1" w:styleId="485">
    <w:name w:val="文档结构图 Char3"/>
    <w:semiHidden/>
    <w:qFormat/>
    <w:uiPriority w:val="99"/>
    <w:rPr>
      <w:rFonts w:ascii="宋体" w:hAnsi="Calibri" w:eastAsia="宋体" w:cs="Times New Roman"/>
      <w:sz w:val="18"/>
      <w:szCs w:val="18"/>
    </w:rPr>
  </w:style>
  <w:style w:type="character" w:customStyle="1" w:styleId="486">
    <w:name w:val="标题 3 Char2"/>
    <w:qFormat/>
    <w:uiPriority w:val="0"/>
    <w:rPr>
      <w:rFonts w:eastAsia="宋体"/>
      <w:b/>
      <w:bCs/>
      <w:kern w:val="2"/>
      <w:sz w:val="32"/>
      <w:szCs w:val="32"/>
      <w:lang w:val="en-US" w:eastAsia="zh-CN" w:bidi="ar-SA"/>
    </w:rPr>
  </w:style>
  <w:style w:type="character" w:customStyle="1" w:styleId="487">
    <w:name w:val="正文文本 3 Char2"/>
    <w:semiHidden/>
    <w:qFormat/>
    <w:uiPriority w:val="99"/>
    <w:rPr>
      <w:rFonts w:ascii="Calibri" w:hAnsi="Calibri" w:eastAsia="宋体" w:cs="Times New Roman"/>
      <w:sz w:val="16"/>
      <w:szCs w:val="16"/>
    </w:rPr>
  </w:style>
  <w:style w:type="character" w:customStyle="1" w:styleId="488">
    <w:name w:val="Char Char23"/>
    <w:qFormat/>
    <w:uiPriority w:val="0"/>
    <w:rPr>
      <w:rFonts w:ascii="Cambria" w:hAnsi="Cambria" w:eastAsia="宋体" w:cs="Times New Roman"/>
      <w:b/>
      <w:bCs/>
      <w:kern w:val="2"/>
      <w:sz w:val="32"/>
      <w:szCs w:val="32"/>
    </w:rPr>
  </w:style>
  <w:style w:type="character" w:customStyle="1" w:styleId="489">
    <w:name w:val="尾注文本 Char2"/>
    <w:semiHidden/>
    <w:qFormat/>
    <w:uiPriority w:val="99"/>
    <w:rPr>
      <w:rFonts w:ascii="Calibri" w:hAnsi="Calibri" w:eastAsia="宋体" w:cs="Times New Roman"/>
      <w:szCs w:val="24"/>
    </w:rPr>
  </w:style>
  <w:style w:type="character" w:customStyle="1" w:styleId="490">
    <w:name w:val="书籍标题1"/>
    <w:qFormat/>
    <w:uiPriority w:val="0"/>
    <w:rPr>
      <w:b/>
      <w:bCs/>
      <w:smallCaps/>
      <w:spacing w:val="5"/>
    </w:rPr>
  </w:style>
  <w:style w:type="character" w:customStyle="1" w:styleId="491">
    <w:name w:val="ITTHEADER2 Char"/>
    <w:qFormat/>
    <w:uiPriority w:val="0"/>
    <w:rPr>
      <w:rFonts w:ascii="仿宋_GB2312" w:eastAsia="仿宋_GB2312" w:cs="MingLiU"/>
      <w:b/>
      <w:spacing w:val="1"/>
      <w:w w:val="99"/>
      <w:sz w:val="28"/>
      <w:szCs w:val="32"/>
      <w:lang w:val="en-US" w:eastAsia="zh-CN" w:bidi="ar-SA"/>
    </w:rPr>
  </w:style>
  <w:style w:type="character" w:customStyle="1" w:styleId="492">
    <w:name w:val="批注文字 Char3"/>
    <w:qFormat/>
    <w:uiPriority w:val="99"/>
    <w:rPr>
      <w:rFonts w:eastAsia="宋体"/>
      <w:kern w:val="2"/>
      <w:sz w:val="21"/>
      <w:szCs w:val="24"/>
      <w:lang w:val="en-US" w:eastAsia="zh-CN" w:bidi="ar-SA"/>
    </w:rPr>
  </w:style>
  <w:style w:type="character" w:customStyle="1" w:styleId="493">
    <w:name w:val="批注文字 Char Char"/>
    <w:qFormat/>
    <w:uiPriority w:val="0"/>
    <w:rPr>
      <w:rFonts w:ascii="宋体" w:hAnsi="Times New Roman" w:eastAsia="宋体" w:cs="Times New Roman"/>
      <w:sz w:val="28"/>
      <w:szCs w:val="20"/>
    </w:rPr>
  </w:style>
  <w:style w:type="character" w:customStyle="1" w:styleId="494">
    <w:name w:val="副标题 Char3"/>
    <w:link w:val="43"/>
    <w:qFormat/>
    <w:uiPriority w:val="0"/>
    <w:rPr>
      <w:szCs w:val="24"/>
      <w:u w:val="single"/>
      <w:lang w:eastAsia="en-US"/>
    </w:rPr>
  </w:style>
  <w:style w:type="character" w:customStyle="1" w:styleId="495">
    <w:name w:val="批注主题 Char2"/>
    <w:qFormat/>
    <w:uiPriority w:val="99"/>
    <w:rPr>
      <w:b/>
      <w:bCs/>
      <w:kern w:val="2"/>
      <w:sz w:val="21"/>
      <w:szCs w:val="24"/>
    </w:rPr>
  </w:style>
  <w:style w:type="character" w:customStyle="1" w:styleId="496">
    <w:name w:val="normaltext1"/>
    <w:qFormat/>
    <w:uiPriority w:val="0"/>
    <w:rPr>
      <w:rFonts w:hint="default" w:ascii="ˎ̥" w:hAnsi="ˎ̥"/>
      <w:sz w:val="9"/>
      <w:szCs w:val="9"/>
    </w:rPr>
  </w:style>
  <w:style w:type="character" w:customStyle="1" w:styleId="497">
    <w:name w:val="不明显参考1"/>
    <w:qFormat/>
    <w:uiPriority w:val="0"/>
    <w:rPr>
      <w:smallCaps/>
      <w:color w:val="C0504D"/>
      <w:u w:val="single"/>
    </w:rPr>
  </w:style>
  <w:style w:type="character" w:customStyle="1" w:styleId="498">
    <w:name w:val="NormalCharacter"/>
    <w:qFormat/>
    <w:uiPriority w:val="0"/>
  </w:style>
  <w:style w:type="character" w:customStyle="1" w:styleId="499">
    <w:name w:val="UserStyle_34"/>
    <w:link w:val="500"/>
    <w:qFormat/>
    <w:uiPriority w:val="0"/>
    <w:rPr>
      <w:rFonts w:ascii="宋体" w:hAnsi="Calibri"/>
      <w:kern w:val="0"/>
      <w:sz w:val="20"/>
    </w:rPr>
  </w:style>
  <w:style w:type="paragraph" w:customStyle="1" w:styleId="500">
    <w:name w:val="Heading1"/>
    <w:basedOn w:val="1"/>
    <w:next w:val="1"/>
    <w:link w:val="499"/>
    <w:qFormat/>
    <w:uiPriority w:val="0"/>
    <w:pPr>
      <w:keepNext/>
      <w:widowControl/>
      <w:snapToGrid w:val="0"/>
      <w:spacing w:line="360" w:lineRule="atLeast"/>
      <w:textAlignment w:val="baseline"/>
    </w:pPr>
    <w:rPr>
      <w:rFonts w:ascii="宋体" w:hAnsi="Calibri"/>
      <w:kern w:val="0"/>
      <w:sz w:val="20"/>
    </w:rPr>
  </w:style>
  <w:style w:type="paragraph" w:customStyle="1" w:styleId="501">
    <w:name w:val="Heading3"/>
    <w:basedOn w:val="1"/>
    <w:next w:val="1"/>
    <w:qFormat/>
    <w:uiPriority w:val="0"/>
    <w:pPr>
      <w:keepNext/>
      <w:keepLines/>
      <w:widowControl/>
      <w:spacing w:before="260" w:after="260" w:line="413" w:lineRule="auto"/>
      <w:textAlignment w:val="baseline"/>
    </w:pPr>
    <w:rPr>
      <w:rFonts w:ascii="Times New Roman" w:hAnsi="Times New Roman"/>
      <w:b/>
      <w:sz w:val="32"/>
    </w:rPr>
  </w:style>
  <w:style w:type="paragraph" w:customStyle="1" w:styleId="502">
    <w:name w:val="Heading4"/>
    <w:basedOn w:val="1"/>
    <w:next w:val="1"/>
    <w:qFormat/>
    <w:uiPriority w:val="0"/>
    <w:pPr>
      <w:keepNext/>
      <w:keepLines/>
      <w:widowControl/>
      <w:spacing w:before="280" w:after="290" w:line="372" w:lineRule="auto"/>
      <w:textAlignment w:val="baseline"/>
    </w:pPr>
    <w:rPr>
      <w:rFonts w:ascii="Arial" w:hAnsi="Arial" w:eastAsia="黑体"/>
      <w:b/>
    </w:rPr>
  </w:style>
  <w:style w:type="paragraph" w:customStyle="1" w:styleId="503">
    <w:name w:val="Heading5"/>
    <w:basedOn w:val="1"/>
    <w:next w:val="1"/>
    <w:qFormat/>
    <w:uiPriority w:val="0"/>
    <w:pPr>
      <w:keepNext/>
      <w:keepLines/>
      <w:widowControl/>
      <w:tabs>
        <w:tab w:val="left" w:pos="2551"/>
      </w:tabs>
      <w:spacing w:before="280" w:after="290" w:line="372" w:lineRule="auto"/>
      <w:ind w:left="2551" w:hanging="850"/>
      <w:textAlignment w:val="baseline"/>
    </w:pPr>
    <w:rPr>
      <w:rFonts w:ascii="Times New Roman" w:hAnsi="Times New Roman"/>
      <w:b/>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91</Pages>
  <Words>49496</Words>
  <Characters>52094</Characters>
  <Lines>575</Lines>
  <Paragraphs>162</Paragraphs>
  <TotalTime>0</TotalTime>
  <ScaleCrop>false</ScaleCrop>
  <LinksUpToDate>false</LinksUpToDate>
  <CharactersWithSpaces>54901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2021-10-14T05:04:00Z</dcterms:created>
  <dc:creator>微软用户</dc:creator>
  <cp:lastModifiedBy>wening</cp:lastModifiedBy>
  <cp:lastPrinted>2022-03-30T06:42:00Z</cp:lastPrinted>
  <dcterms:modified xsi:type="dcterms:W3CDTF">2023-07-12T01:21:13Z</dcterms:modified>
  <dc:title>竞争性磋商文件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8168A2C14AAF4FE488885DC5C7752590</vt:lpwstr>
  </property>
</Properties>
</file>