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5BE3BB">
      <w:pPr>
        <w:jc w:val="center"/>
        <w:rPr>
          <w:rFonts w:ascii="微软雅黑" w:hAnsi="微软雅黑" w:eastAsia="微软雅黑" w:cs="Times New Roman"/>
          <w:spacing w:val="80"/>
          <w:sz w:val="112"/>
          <w:szCs w:val="112"/>
        </w:rPr>
      </w:pPr>
      <w:r>
        <w:rPr>
          <w:rFonts w:hint="eastAsia" w:ascii="微软雅黑" w:hAnsi="微软雅黑" w:eastAsia="微软雅黑" w:cs="Times New Roman"/>
          <w:spacing w:val="80"/>
          <w:sz w:val="112"/>
          <w:szCs w:val="112"/>
        </w:rPr>
        <w:t>竞争性谈判</w:t>
      </w:r>
    </w:p>
    <w:p w14:paraId="163DDD7E">
      <w:pPr>
        <w:jc w:val="center"/>
        <w:rPr>
          <w:rFonts w:ascii="微软雅黑" w:hAnsi="微软雅黑" w:eastAsia="微软雅黑" w:cs="Times New Roman"/>
          <w:spacing w:val="80"/>
          <w:sz w:val="112"/>
          <w:szCs w:val="112"/>
        </w:rPr>
      </w:pPr>
      <w:r>
        <w:rPr>
          <w:rFonts w:hint="eastAsia" w:ascii="微软雅黑" w:hAnsi="微软雅黑" w:eastAsia="微软雅黑" w:cs="Times New Roman"/>
          <w:spacing w:val="80"/>
          <w:sz w:val="112"/>
          <w:szCs w:val="112"/>
        </w:rPr>
        <w:t>文件</w:t>
      </w:r>
    </w:p>
    <w:p w14:paraId="2A260DB3">
      <w:pPr>
        <w:spacing w:line="700" w:lineRule="exact"/>
        <w:jc w:val="center"/>
        <w:rPr>
          <w:rFonts w:ascii="微软雅黑" w:hAnsi="微软雅黑" w:eastAsia="微软雅黑" w:cs="Times New Roman"/>
          <w:sz w:val="32"/>
          <w:szCs w:val="20"/>
        </w:rPr>
      </w:pPr>
    </w:p>
    <w:p w14:paraId="64C90952">
      <w:pPr>
        <w:spacing w:line="700" w:lineRule="exact"/>
        <w:jc w:val="center"/>
        <w:rPr>
          <w:rFonts w:ascii="微软雅黑" w:hAnsi="微软雅黑" w:eastAsia="微软雅黑" w:cs="Times New Roman"/>
          <w:sz w:val="32"/>
          <w:szCs w:val="20"/>
        </w:rPr>
      </w:pPr>
    </w:p>
    <w:p w14:paraId="5B772CBC">
      <w:pPr>
        <w:spacing w:line="700" w:lineRule="exact"/>
        <w:jc w:val="center"/>
        <w:rPr>
          <w:rFonts w:ascii="微软雅黑" w:hAnsi="微软雅黑" w:eastAsia="微软雅黑" w:cs="Times New Roman"/>
          <w:sz w:val="32"/>
          <w:szCs w:val="20"/>
        </w:rPr>
      </w:pPr>
    </w:p>
    <w:p w14:paraId="264944CB">
      <w:pPr>
        <w:rPr>
          <w:rFonts w:ascii="微软雅黑" w:hAnsi="微软雅黑" w:eastAsia="微软雅黑" w:cs="Times New Roman"/>
          <w:sz w:val="36"/>
          <w:szCs w:val="30"/>
        </w:rPr>
      </w:pPr>
      <w:r>
        <w:rPr>
          <w:rFonts w:hint="eastAsia" w:ascii="微软雅黑" w:hAnsi="微软雅黑" w:eastAsia="微软雅黑" w:cs="Times New Roman"/>
          <w:sz w:val="36"/>
          <w:szCs w:val="30"/>
        </w:rPr>
        <w:t xml:space="preserve"> 项目编号：龙源建招【</w:t>
      </w:r>
      <w:r>
        <w:rPr>
          <w:rFonts w:ascii="微软雅黑" w:hAnsi="微软雅黑" w:eastAsia="微软雅黑" w:cs="Times New Roman"/>
          <w:sz w:val="36"/>
          <w:szCs w:val="30"/>
        </w:rPr>
        <w:t>2019】37号</w:t>
      </w:r>
    </w:p>
    <w:p w14:paraId="1784F285">
      <w:pPr>
        <w:rPr>
          <w:rFonts w:ascii="微软雅黑" w:hAnsi="微软雅黑" w:eastAsia="微软雅黑" w:cs="Times New Roman"/>
          <w:sz w:val="36"/>
          <w:szCs w:val="30"/>
        </w:rPr>
      </w:pPr>
      <w:r>
        <w:rPr>
          <w:rFonts w:hint="eastAsia" w:ascii="微软雅黑" w:hAnsi="微软雅黑" w:eastAsia="微软雅黑" w:cs="Times New Roman"/>
          <w:sz w:val="36"/>
          <w:szCs w:val="30"/>
        </w:rPr>
        <w:t xml:space="preserve"> 项目名称：重庆市射击运动学校射击馆维修工程</w:t>
      </w:r>
    </w:p>
    <w:p w14:paraId="07F40285">
      <w:pPr>
        <w:rPr>
          <w:rFonts w:ascii="微软雅黑" w:hAnsi="微软雅黑" w:eastAsia="微软雅黑" w:cs="Times New Roman"/>
          <w:sz w:val="36"/>
          <w:szCs w:val="30"/>
        </w:rPr>
      </w:pPr>
    </w:p>
    <w:p w14:paraId="206011DF">
      <w:pPr>
        <w:rPr>
          <w:rFonts w:ascii="微软雅黑" w:hAnsi="微软雅黑" w:eastAsia="微软雅黑" w:cs="Times New Roman"/>
          <w:sz w:val="36"/>
          <w:szCs w:val="30"/>
        </w:rPr>
      </w:pPr>
    </w:p>
    <w:p w14:paraId="0D070ED6">
      <w:pPr>
        <w:rPr>
          <w:rFonts w:ascii="微软雅黑" w:hAnsi="微软雅黑" w:eastAsia="微软雅黑" w:cs="Times New Roman"/>
          <w:sz w:val="36"/>
          <w:szCs w:val="30"/>
        </w:rPr>
      </w:pPr>
    </w:p>
    <w:p w14:paraId="50CE942D">
      <w:pPr>
        <w:rPr>
          <w:rFonts w:ascii="微软雅黑" w:hAnsi="微软雅黑" w:eastAsia="微软雅黑" w:cs="Times New Roman"/>
          <w:sz w:val="36"/>
          <w:szCs w:val="30"/>
        </w:rPr>
      </w:pPr>
      <w:r>
        <w:rPr>
          <w:rFonts w:hint="eastAsia" w:ascii="微软雅黑" w:hAnsi="微软雅黑" w:eastAsia="微软雅黑" w:cs="Times New Roman"/>
          <w:sz w:val="36"/>
          <w:szCs w:val="30"/>
        </w:rPr>
        <w:t xml:space="preserve">  采 购 人：重庆市射击运动学校</w:t>
      </w:r>
    </w:p>
    <w:p w14:paraId="31A4D214">
      <w:pPr>
        <w:rPr>
          <w:rFonts w:ascii="微软雅黑" w:hAnsi="微软雅黑" w:eastAsia="微软雅黑" w:cs="Times New Roman"/>
          <w:sz w:val="36"/>
          <w:szCs w:val="30"/>
        </w:rPr>
      </w:pPr>
      <w:r>
        <w:rPr>
          <w:rFonts w:hint="eastAsia" w:ascii="微软雅黑" w:hAnsi="微软雅黑" w:eastAsia="微软雅黑" w:cs="Times New Roman"/>
          <w:sz w:val="36"/>
          <w:szCs w:val="30"/>
        </w:rPr>
        <w:t xml:space="preserve">  采购代理机构：重庆龙源建设工程造价有限公司 </w:t>
      </w:r>
    </w:p>
    <w:p w14:paraId="6098C751">
      <w:pPr>
        <w:jc w:val="center"/>
        <w:rPr>
          <w:rFonts w:ascii="微软雅黑" w:hAnsi="微软雅黑" w:eastAsia="微软雅黑" w:cs="Times New Roman"/>
          <w:sz w:val="36"/>
          <w:szCs w:val="30"/>
        </w:rPr>
      </w:pPr>
      <w:r>
        <w:rPr>
          <w:rFonts w:hint="eastAsia" w:ascii="微软雅黑" w:hAnsi="微软雅黑" w:eastAsia="微软雅黑" w:cs="Times New Roman"/>
          <w:sz w:val="36"/>
          <w:szCs w:val="30"/>
        </w:rPr>
        <w:t>二〇一九年十月</w:t>
      </w:r>
    </w:p>
    <w:p w14:paraId="123385E2">
      <w:pPr>
        <w:widowControl/>
        <w:jc w:val="left"/>
        <w:rPr>
          <w:rFonts w:ascii="微软雅黑" w:hAnsi="微软雅黑" w:eastAsia="微软雅黑" w:cs="Times New Roman"/>
          <w:sz w:val="36"/>
          <w:szCs w:val="30"/>
        </w:rPr>
      </w:pPr>
      <w:r>
        <w:rPr>
          <w:rFonts w:ascii="微软雅黑" w:hAnsi="微软雅黑" w:eastAsia="微软雅黑" w:cs="Times New Roman"/>
          <w:sz w:val="36"/>
          <w:szCs w:val="30"/>
        </w:rPr>
        <w:br w:type="page"/>
      </w:r>
    </w:p>
    <w:p w14:paraId="11D4CBE8">
      <w:pPr>
        <w:jc w:val="center"/>
        <w:rPr>
          <w:rFonts w:ascii="微软雅黑" w:hAnsi="微软雅黑" w:eastAsia="微软雅黑" w:cs="Times New Roman"/>
          <w:sz w:val="44"/>
          <w:szCs w:val="28"/>
        </w:rPr>
      </w:pPr>
      <w:r>
        <w:rPr>
          <w:rFonts w:hint="eastAsia" w:ascii="微软雅黑" w:hAnsi="微软雅黑" w:eastAsia="微软雅黑" w:cs="Times New Roman"/>
          <w:sz w:val="44"/>
          <w:szCs w:val="28"/>
        </w:rPr>
        <w:t>目   录</w:t>
      </w:r>
    </w:p>
    <w:p w14:paraId="53B9D6EE">
      <w:pPr>
        <w:rPr>
          <w:rFonts w:ascii="微软雅黑" w:hAnsi="微软雅黑" w:eastAsia="微软雅黑" w:cs="Times New Roman"/>
          <w:sz w:val="44"/>
          <w:szCs w:val="28"/>
        </w:rPr>
      </w:pPr>
    </w:p>
    <w:p w14:paraId="66233AF1">
      <w:pPr>
        <w:pStyle w:val="36"/>
        <w:tabs>
          <w:tab w:val="right" w:leader="dot" w:pos="9071"/>
          <w:tab w:val="clear" w:pos="8608"/>
        </w:tabs>
      </w:pPr>
      <w:bookmarkStart w:id="0" w:name="_Toc12789052"/>
      <w:bookmarkStart w:id="1" w:name="_Toc11641050"/>
      <w:r>
        <w:rPr>
          <w:rFonts w:ascii="微软雅黑" w:hAnsi="微软雅黑" w:eastAsia="微软雅黑"/>
          <w:sz w:val="28"/>
          <w:szCs w:val="21"/>
        </w:rPr>
        <w:fldChar w:fldCharType="begin"/>
      </w:r>
      <w:r>
        <w:rPr>
          <w:rFonts w:ascii="微软雅黑" w:hAnsi="微软雅黑" w:eastAsia="微软雅黑"/>
          <w:sz w:val="28"/>
          <w:szCs w:val="21"/>
        </w:rPr>
        <w:instrText xml:space="preserve">TOC \o "1-1" \h \u </w:instrText>
      </w:r>
      <w:r>
        <w:rPr>
          <w:rFonts w:ascii="微软雅黑" w:hAnsi="微软雅黑" w:eastAsia="微软雅黑"/>
          <w:sz w:val="28"/>
          <w:szCs w:val="21"/>
        </w:rPr>
        <w:fldChar w:fldCharType="separate"/>
      </w:r>
      <w:r>
        <w:fldChar w:fldCharType="begin"/>
      </w:r>
      <w:r>
        <w:instrText xml:space="preserve"> HYPERLINK \l "_Toc5460" </w:instrText>
      </w:r>
      <w:r>
        <w:fldChar w:fldCharType="separate"/>
      </w:r>
      <w:r>
        <w:rPr>
          <w:rFonts w:hint="eastAsia" w:ascii="微软雅黑" w:hAnsi="微软雅黑" w:eastAsia="微软雅黑"/>
          <w:szCs w:val="30"/>
        </w:rPr>
        <w:t>第一篇  竞争性谈判邀请书</w:t>
      </w:r>
      <w:r>
        <w:tab/>
      </w:r>
      <w:r>
        <w:fldChar w:fldCharType="begin"/>
      </w:r>
      <w:r>
        <w:instrText xml:space="preserve"> PAGEREF _Toc5460 </w:instrText>
      </w:r>
      <w:r>
        <w:fldChar w:fldCharType="separate"/>
      </w:r>
      <w:r>
        <w:t>3</w:t>
      </w:r>
      <w:r>
        <w:fldChar w:fldCharType="end"/>
      </w:r>
      <w:r>
        <w:fldChar w:fldCharType="end"/>
      </w:r>
    </w:p>
    <w:p w14:paraId="16FB0A43">
      <w:pPr>
        <w:pStyle w:val="36"/>
        <w:tabs>
          <w:tab w:val="right" w:leader="dot" w:pos="9071"/>
          <w:tab w:val="clear" w:pos="8608"/>
        </w:tabs>
      </w:pPr>
      <w:r>
        <w:fldChar w:fldCharType="begin"/>
      </w:r>
      <w:r>
        <w:instrText xml:space="preserve"> HYPERLINK \l "_Toc21265" </w:instrText>
      </w:r>
      <w:r>
        <w:fldChar w:fldCharType="separate"/>
      </w:r>
      <w:r>
        <w:rPr>
          <w:rFonts w:hint="eastAsia" w:ascii="微软雅黑" w:hAnsi="微软雅黑" w:eastAsia="微软雅黑"/>
          <w:szCs w:val="30"/>
        </w:rPr>
        <w:t>第二篇  投标人须知</w:t>
      </w:r>
      <w:r>
        <w:tab/>
      </w:r>
      <w:r>
        <w:fldChar w:fldCharType="begin"/>
      </w:r>
      <w:r>
        <w:instrText xml:space="preserve"> PAGEREF _Toc21265 </w:instrText>
      </w:r>
      <w:r>
        <w:fldChar w:fldCharType="separate"/>
      </w:r>
      <w:r>
        <w:t>7</w:t>
      </w:r>
      <w:r>
        <w:fldChar w:fldCharType="end"/>
      </w:r>
      <w:r>
        <w:fldChar w:fldCharType="end"/>
      </w:r>
    </w:p>
    <w:p w14:paraId="60F587CF">
      <w:pPr>
        <w:pStyle w:val="36"/>
        <w:tabs>
          <w:tab w:val="right" w:leader="dot" w:pos="9071"/>
          <w:tab w:val="clear" w:pos="8608"/>
        </w:tabs>
      </w:pPr>
      <w:r>
        <w:fldChar w:fldCharType="begin"/>
      </w:r>
      <w:r>
        <w:instrText xml:space="preserve"> HYPERLINK \l "_Toc18030" </w:instrText>
      </w:r>
      <w:r>
        <w:fldChar w:fldCharType="separate"/>
      </w:r>
      <w:r>
        <w:rPr>
          <w:rFonts w:hint="eastAsia" w:ascii="微软雅黑" w:hAnsi="微软雅黑" w:eastAsia="微软雅黑"/>
          <w:szCs w:val="30"/>
        </w:rPr>
        <w:t>第三篇    谈判项目技术要求和商务需求</w:t>
      </w:r>
      <w:r>
        <w:tab/>
      </w:r>
      <w:r>
        <w:fldChar w:fldCharType="begin"/>
      </w:r>
      <w:r>
        <w:instrText xml:space="preserve"> PAGEREF _Toc18030 </w:instrText>
      </w:r>
      <w:r>
        <w:fldChar w:fldCharType="separate"/>
      </w:r>
      <w:r>
        <w:t>- 13 -</w:t>
      </w:r>
      <w:r>
        <w:fldChar w:fldCharType="end"/>
      </w:r>
      <w:r>
        <w:fldChar w:fldCharType="end"/>
      </w:r>
    </w:p>
    <w:p w14:paraId="359E23B0">
      <w:pPr>
        <w:pStyle w:val="36"/>
        <w:tabs>
          <w:tab w:val="right" w:leader="dot" w:pos="9071"/>
          <w:tab w:val="clear" w:pos="8608"/>
        </w:tabs>
      </w:pPr>
      <w:r>
        <w:fldChar w:fldCharType="begin"/>
      </w:r>
      <w:r>
        <w:instrText xml:space="preserve"> HYPERLINK \l "_Toc29990" </w:instrText>
      </w:r>
      <w:r>
        <w:fldChar w:fldCharType="separate"/>
      </w:r>
      <w:r>
        <w:rPr>
          <w:rFonts w:hint="eastAsia" w:ascii="微软雅黑" w:hAnsi="微软雅黑" w:eastAsia="微软雅黑"/>
          <w:szCs w:val="30"/>
        </w:rPr>
        <w:t>第四篇   合  同</w:t>
      </w:r>
      <w:r>
        <w:tab/>
      </w:r>
      <w:r>
        <w:fldChar w:fldCharType="begin"/>
      </w:r>
      <w:r>
        <w:instrText xml:space="preserve"> PAGEREF _Toc29990 </w:instrText>
      </w:r>
      <w:r>
        <w:fldChar w:fldCharType="separate"/>
      </w:r>
      <w:r>
        <w:t>- 18 -</w:t>
      </w:r>
      <w:r>
        <w:fldChar w:fldCharType="end"/>
      </w:r>
      <w:r>
        <w:fldChar w:fldCharType="end"/>
      </w:r>
    </w:p>
    <w:p w14:paraId="4AA82289">
      <w:pPr>
        <w:pStyle w:val="36"/>
        <w:tabs>
          <w:tab w:val="right" w:leader="dot" w:pos="9071"/>
          <w:tab w:val="clear" w:pos="8608"/>
        </w:tabs>
      </w:pPr>
      <w:r>
        <w:fldChar w:fldCharType="begin"/>
      </w:r>
      <w:r>
        <w:instrText xml:space="preserve"> HYPERLINK \l "_Toc31311" </w:instrText>
      </w:r>
      <w:r>
        <w:fldChar w:fldCharType="separate"/>
      </w:r>
      <w:r>
        <w:rPr>
          <w:rFonts w:hint="eastAsia" w:ascii="微软雅黑" w:hAnsi="微软雅黑" w:eastAsia="微软雅黑"/>
          <w:szCs w:val="30"/>
        </w:rPr>
        <w:t>第五篇   响应文件格式要求</w:t>
      </w:r>
      <w:r>
        <w:tab/>
      </w:r>
      <w:r>
        <w:fldChar w:fldCharType="begin"/>
      </w:r>
      <w:r>
        <w:instrText xml:space="preserve"> PAGEREF _Toc31311 </w:instrText>
      </w:r>
      <w:r>
        <w:fldChar w:fldCharType="separate"/>
      </w:r>
      <w:r>
        <w:t>60</w:t>
      </w:r>
      <w:r>
        <w:fldChar w:fldCharType="end"/>
      </w:r>
      <w:r>
        <w:fldChar w:fldCharType="end"/>
      </w:r>
    </w:p>
    <w:p w14:paraId="5E0B43B3">
      <w:pPr>
        <w:rPr>
          <w:rFonts w:ascii="微软雅黑" w:hAnsi="微软雅黑" w:eastAsia="微软雅黑" w:cs="Times New Roman"/>
          <w:sz w:val="28"/>
          <w:szCs w:val="21"/>
        </w:rPr>
      </w:pPr>
      <w:r>
        <w:rPr>
          <w:rFonts w:ascii="微软雅黑" w:hAnsi="微软雅黑" w:eastAsia="微软雅黑" w:cs="Times New Roman"/>
          <w:szCs w:val="21"/>
        </w:rPr>
        <w:fldChar w:fldCharType="end"/>
      </w:r>
    </w:p>
    <w:p w14:paraId="55A4679C">
      <w:pPr>
        <w:widowControl/>
        <w:jc w:val="left"/>
        <w:rPr>
          <w:rFonts w:ascii="微软雅黑" w:hAnsi="微软雅黑" w:eastAsia="微软雅黑" w:cs="Times New Roman"/>
          <w:sz w:val="28"/>
          <w:szCs w:val="21"/>
        </w:rPr>
      </w:pPr>
      <w:r>
        <w:rPr>
          <w:rFonts w:ascii="微软雅黑" w:hAnsi="微软雅黑" w:eastAsia="微软雅黑" w:cs="Times New Roman"/>
          <w:sz w:val="28"/>
          <w:szCs w:val="21"/>
        </w:rPr>
        <w:br w:type="page"/>
      </w:r>
    </w:p>
    <w:p w14:paraId="31C365E4">
      <w:pPr>
        <w:rPr>
          <w:rFonts w:ascii="微软雅黑" w:hAnsi="微软雅黑" w:eastAsia="微软雅黑" w:cs="Times New Roman"/>
          <w:sz w:val="36"/>
          <w:szCs w:val="30"/>
        </w:rPr>
      </w:pPr>
    </w:p>
    <w:p w14:paraId="70EC999D">
      <w:pPr>
        <w:pStyle w:val="2"/>
        <w:jc w:val="center"/>
        <w:rPr>
          <w:rFonts w:ascii="微软雅黑" w:hAnsi="微软雅黑" w:eastAsia="微软雅黑" w:cs="Times New Roman"/>
          <w:sz w:val="36"/>
          <w:szCs w:val="30"/>
        </w:rPr>
      </w:pPr>
      <w:bookmarkStart w:id="2" w:name="_Toc5460"/>
      <w:bookmarkStart w:id="3" w:name="_Toc21959720"/>
      <w:r>
        <w:rPr>
          <w:rFonts w:hint="eastAsia" w:ascii="微软雅黑" w:hAnsi="微软雅黑" w:eastAsia="微软雅黑" w:cs="Times New Roman"/>
          <w:sz w:val="36"/>
          <w:szCs w:val="30"/>
        </w:rPr>
        <w:t>第一篇  竞争性谈判邀请书</w:t>
      </w:r>
      <w:bookmarkEnd w:id="0"/>
      <w:bookmarkEnd w:id="1"/>
      <w:bookmarkEnd w:id="2"/>
      <w:bookmarkEnd w:id="3"/>
    </w:p>
    <w:p w14:paraId="128EFE96">
      <w:pPr>
        <w:rPr>
          <w:rFonts w:ascii="微软雅黑" w:hAnsi="微软雅黑" w:eastAsia="微软雅黑" w:cs="Times New Roman"/>
          <w:sz w:val="24"/>
          <w:szCs w:val="24"/>
        </w:rPr>
      </w:pPr>
      <w:r>
        <w:rPr>
          <w:rFonts w:hint="eastAsia" w:ascii="微软雅黑" w:hAnsi="微软雅黑" w:eastAsia="微软雅黑" w:cs="Times New Roman"/>
          <w:b/>
          <w:sz w:val="24"/>
          <w:szCs w:val="24"/>
        </w:rPr>
        <w:t xml:space="preserve">      </w:t>
      </w:r>
      <w:r>
        <w:rPr>
          <w:rFonts w:hint="eastAsia" w:ascii="微软雅黑" w:hAnsi="微软雅黑" w:eastAsia="微软雅黑" w:cs="Times New Roman"/>
          <w:sz w:val="24"/>
          <w:szCs w:val="24"/>
        </w:rPr>
        <w:t>重庆龙源建设工程造价有限公司根据重庆市射击运动学校要求，对重庆市射击运动学校射击馆维修工程进行竞争性谈判。欢迎有资格的投标人前来参加谈判。</w:t>
      </w:r>
    </w:p>
    <w:p w14:paraId="58E22F2C">
      <w:pPr>
        <w:pStyle w:val="3"/>
        <w:rPr>
          <w:rFonts w:ascii="微软雅黑" w:hAnsi="微软雅黑" w:eastAsia="微软雅黑" w:cs="Times New Roman"/>
          <w:sz w:val="24"/>
          <w:szCs w:val="24"/>
        </w:rPr>
      </w:pPr>
      <w:bookmarkStart w:id="4" w:name="_Toc21959721"/>
      <w:bookmarkStart w:id="5" w:name="_Toc317775175"/>
      <w:bookmarkStart w:id="6" w:name="_Toc423007314"/>
      <w:bookmarkStart w:id="7" w:name="_Toc313893526"/>
      <w:r>
        <w:rPr>
          <w:rFonts w:hint="eastAsia" w:ascii="微软雅黑" w:hAnsi="微软雅黑" w:eastAsia="微软雅黑" w:cs="Times New Roman"/>
          <w:sz w:val="24"/>
          <w:szCs w:val="24"/>
        </w:rPr>
        <w:t>一、竞争性谈判内容</w:t>
      </w:r>
      <w:bookmarkEnd w:id="4"/>
      <w:bookmarkEnd w:id="5"/>
      <w:bookmarkEnd w:id="6"/>
      <w:bookmarkEnd w:id="7"/>
    </w:p>
    <w:tbl>
      <w:tblPr>
        <w:tblStyle w:val="53"/>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2779"/>
        <w:gridCol w:w="1886"/>
        <w:gridCol w:w="1234"/>
        <w:gridCol w:w="1079"/>
        <w:gridCol w:w="1234"/>
      </w:tblGrid>
      <w:tr w14:paraId="0209D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075" w:type="dxa"/>
            <w:tcBorders>
              <w:top w:val="single" w:color="auto" w:sz="4" w:space="0"/>
              <w:left w:val="single" w:color="auto" w:sz="4" w:space="0"/>
              <w:right w:val="single" w:color="auto" w:sz="4" w:space="0"/>
            </w:tcBorders>
            <w:vAlign w:val="center"/>
          </w:tcPr>
          <w:p w14:paraId="0A3D18F7">
            <w:pPr>
              <w:widowControl/>
              <w:jc w:val="center"/>
              <w:rPr>
                <w:rFonts w:ascii="微软雅黑" w:hAnsi="微软雅黑" w:eastAsia="微软雅黑" w:cs="宋体"/>
                <w:b/>
                <w:bCs/>
                <w:kern w:val="0"/>
                <w:szCs w:val="24"/>
              </w:rPr>
            </w:pPr>
            <w:r>
              <w:rPr>
                <w:rFonts w:hint="eastAsia" w:ascii="微软雅黑" w:hAnsi="微软雅黑" w:eastAsia="微软雅黑" w:cs="宋体"/>
                <w:b/>
                <w:bCs/>
                <w:kern w:val="0"/>
                <w:szCs w:val="24"/>
              </w:rPr>
              <w:t>分包号</w:t>
            </w:r>
          </w:p>
        </w:tc>
        <w:tc>
          <w:tcPr>
            <w:tcW w:w="2779" w:type="dxa"/>
            <w:tcBorders>
              <w:top w:val="single" w:color="auto" w:sz="4" w:space="0"/>
              <w:left w:val="single" w:color="auto" w:sz="4" w:space="0"/>
              <w:right w:val="single" w:color="auto" w:sz="4" w:space="0"/>
            </w:tcBorders>
            <w:vAlign w:val="center"/>
          </w:tcPr>
          <w:p w14:paraId="535E0DAD">
            <w:pPr>
              <w:widowControl/>
              <w:jc w:val="center"/>
              <w:rPr>
                <w:rFonts w:ascii="微软雅黑" w:hAnsi="微软雅黑" w:eastAsia="微软雅黑" w:cs="宋体"/>
                <w:b/>
                <w:bCs/>
                <w:kern w:val="0"/>
                <w:szCs w:val="24"/>
              </w:rPr>
            </w:pPr>
            <w:r>
              <w:rPr>
                <w:rFonts w:hint="eastAsia" w:ascii="微软雅黑" w:hAnsi="微软雅黑" w:eastAsia="微软雅黑" w:cs="宋体"/>
                <w:b/>
                <w:bCs/>
                <w:kern w:val="0"/>
                <w:szCs w:val="24"/>
              </w:rPr>
              <w:t>项目名称</w:t>
            </w:r>
          </w:p>
        </w:tc>
        <w:tc>
          <w:tcPr>
            <w:tcW w:w="1886" w:type="dxa"/>
            <w:vAlign w:val="center"/>
          </w:tcPr>
          <w:p w14:paraId="0BA7CABD">
            <w:pPr>
              <w:widowControl/>
              <w:jc w:val="center"/>
              <w:rPr>
                <w:rFonts w:ascii="微软雅黑" w:hAnsi="微软雅黑" w:eastAsia="微软雅黑" w:cs="宋体"/>
                <w:b/>
                <w:bCs/>
                <w:kern w:val="0"/>
                <w:szCs w:val="24"/>
              </w:rPr>
            </w:pPr>
            <w:r>
              <w:rPr>
                <w:rFonts w:hint="eastAsia" w:ascii="微软雅黑" w:hAnsi="微软雅黑" w:eastAsia="微软雅黑" w:cs="宋体"/>
                <w:b/>
                <w:bCs/>
                <w:kern w:val="0"/>
                <w:szCs w:val="24"/>
              </w:rPr>
              <w:t>参数及要求</w:t>
            </w:r>
          </w:p>
        </w:tc>
        <w:tc>
          <w:tcPr>
            <w:tcW w:w="1234" w:type="dxa"/>
            <w:tcBorders>
              <w:top w:val="single" w:color="auto" w:sz="4" w:space="0"/>
              <w:left w:val="single" w:color="auto" w:sz="4" w:space="0"/>
              <w:right w:val="single" w:color="auto" w:sz="4" w:space="0"/>
            </w:tcBorders>
            <w:vAlign w:val="center"/>
          </w:tcPr>
          <w:p w14:paraId="3ED028A8">
            <w:pPr>
              <w:widowControl/>
              <w:jc w:val="center"/>
              <w:rPr>
                <w:rFonts w:ascii="微软雅黑" w:hAnsi="微软雅黑" w:eastAsia="微软雅黑" w:cs="宋体"/>
                <w:b/>
                <w:bCs/>
                <w:kern w:val="0"/>
                <w:szCs w:val="24"/>
              </w:rPr>
            </w:pPr>
            <w:r>
              <w:rPr>
                <w:rFonts w:hint="eastAsia" w:ascii="微软雅黑" w:hAnsi="微软雅黑" w:eastAsia="微软雅黑" w:cs="宋体"/>
                <w:b/>
                <w:bCs/>
                <w:kern w:val="0"/>
                <w:szCs w:val="24"/>
              </w:rPr>
              <w:t>采购预算</w:t>
            </w:r>
          </w:p>
          <w:p w14:paraId="579E74D6">
            <w:pPr>
              <w:widowControl/>
              <w:jc w:val="center"/>
              <w:rPr>
                <w:rFonts w:ascii="微软雅黑" w:hAnsi="微软雅黑" w:eastAsia="微软雅黑" w:cs="宋体"/>
                <w:b/>
                <w:bCs/>
                <w:kern w:val="0"/>
                <w:szCs w:val="24"/>
              </w:rPr>
            </w:pPr>
            <w:r>
              <w:rPr>
                <w:rFonts w:hint="eastAsia" w:ascii="微软雅黑" w:hAnsi="微软雅黑" w:eastAsia="微软雅黑" w:cs="宋体"/>
                <w:b/>
                <w:bCs/>
                <w:kern w:val="0"/>
                <w:szCs w:val="24"/>
              </w:rPr>
              <w:t>（元）</w:t>
            </w:r>
          </w:p>
        </w:tc>
        <w:tc>
          <w:tcPr>
            <w:tcW w:w="1079" w:type="dxa"/>
            <w:tcBorders>
              <w:top w:val="single" w:color="auto" w:sz="4" w:space="0"/>
              <w:left w:val="single" w:color="auto" w:sz="4" w:space="0"/>
              <w:right w:val="single" w:color="auto" w:sz="4" w:space="0"/>
            </w:tcBorders>
            <w:vAlign w:val="center"/>
          </w:tcPr>
          <w:p w14:paraId="350587B5">
            <w:pPr>
              <w:widowControl/>
              <w:jc w:val="center"/>
              <w:rPr>
                <w:rFonts w:ascii="微软雅黑" w:hAnsi="微软雅黑" w:eastAsia="微软雅黑" w:cs="宋体"/>
                <w:b/>
                <w:bCs/>
                <w:kern w:val="0"/>
                <w:szCs w:val="24"/>
              </w:rPr>
            </w:pPr>
            <w:r>
              <w:rPr>
                <w:rFonts w:hint="eastAsia" w:ascii="微软雅黑" w:hAnsi="微软雅黑" w:eastAsia="微软雅黑" w:cs="宋体"/>
                <w:b/>
                <w:bCs/>
                <w:kern w:val="0"/>
                <w:szCs w:val="24"/>
              </w:rPr>
              <w:t>保证金</w:t>
            </w:r>
          </w:p>
          <w:p w14:paraId="5052C544">
            <w:pPr>
              <w:widowControl/>
              <w:jc w:val="center"/>
              <w:rPr>
                <w:rFonts w:ascii="微软雅黑" w:hAnsi="微软雅黑" w:eastAsia="微软雅黑" w:cs="宋体"/>
                <w:b/>
                <w:bCs/>
                <w:kern w:val="0"/>
                <w:szCs w:val="24"/>
              </w:rPr>
            </w:pPr>
            <w:r>
              <w:rPr>
                <w:rFonts w:hint="eastAsia" w:ascii="微软雅黑" w:hAnsi="微软雅黑" w:eastAsia="微软雅黑" w:cs="宋体"/>
                <w:b/>
                <w:bCs/>
                <w:kern w:val="0"/>
                <w:szCs w:val="24"/>
              </w:rPr>
              <w:t>（元）</w:t>
            </w:r>
          </w:p>
        </w:tc>
        <w:tc>
          <w:tcPr>
            <w:tcW w:w="1234" w:type="dxa"/>
            <w:tcBorders>
              <w:top w:val="single" w:color="auto" w:sz="4" w:space="0"/>
              <w:left w:val="single" w:color="auto" w:sz="4" w:space="0"/>
              <w:right w:val="single" w:color="auto" w:sz="4" w:space="0"/>
            </w:tcBorders>
            <w:vAlign w:val="center"/>
          </w:tcPr>
          <w:p w14:paraId="564793D7">
            <w:pPr>
              <w:widowControl/>
              <w:jc w:val="center"/>
              <w:rPr>
                <w:rFonts w:ascii="微软雅黑" w:hAnsi="微软雅黑" w:eastAsia="微软雅黑" w:cs="宋体"/>
                <w:b/>
                <w:bCs/>
                <w:kern w:val="0"/>
                <w:szCs w:val="24"/>
              </w:rPr>
            </w:pPr>
            <w:r>
              <w:rPr>
                <w:rFonts w:hint="eastAsia" w:ascii="微软雅黑" w:hAnsi="微软雅黑" w:eastAsia="微软雅黑" w:cs="宋体"/>
                <w:b/>
                <w:bCs/>
                <w:kern w:val="0"/>
                <w:szCs w:val="24"/>
              </w:rPr>
              <w:t>备注</w:t>
            </w:r>
          </w:p>
        </w:tc>
      </w:tr>
      <w:tr w14:paraId="17EA3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1075" w:type="dxa"/>
            <w:tcBorders>
              <w:top w:val="single" w:color="auto" w:sz="4" w:space="0"/>
              <w:left w:val="single" w:color="auto" w:sz="4" w:space="0"/>
              <w:right w:val="single" w:color="auto" w:sz="4" w:space="0"/>
            </w:tcBorders>
            <w:vAlign w:val="center"/>
          </w:tcPr>
          <w:p w14:paraId="31B922AC">
            <w:pPr>
              <w:widowControl/>
              <w:spacing w:line="220" w:lineRule="exact"/>
              <w:jc w:val="center"/>
              <w:rPr>
                <w:rFonts w:ascii="微软雅黑" w:hAnsi="微软雅黑" w:eastAsia="微软雅黑" w:cs="宋体"/>
                <w:kern w:val="0"/>
                <w:szCs w:val="24"/>
              </w:rPr>
            </w:pPr>
            <w:bookmarkStart w:id="8" w:name="_Hlk344477914"/>
            <w:r>
              <w:rPr>
                <w:rFonts w:hint="eastAsia" w:ascii="微软雅黑" w:hAnsi="微软雅黑" w:eastAsia="微软雅黑" w:cs="宋体"/>
                <w:kern w:val="0"/>
                <w:szCs w:val="24"/>
              </w:rPr>
              <w:t>无分包</w:t>
            </w:r>
          </w:p>
        </w:tc>
        <w:tc>
          <w:tcPr>
            <w:tcW w:w="2779" w:type="dxa"/>
            <w:tcBorders>
              <w:top w:val="single" w:color="auto" w:sz="4" w:space="0"/>
              <w:left w:val="single" w:color="auto" w:sz="4" w:space="0"/>
              <w:right w:val="single" w:color="auto" w:sz="4" w:space="0"/>
            </w:tcBorders>
            <w:vAlign w:val="center"/>
          </w:tcPr>
          <w:p w14:paraId="6695FFBC">
            <w:pPr>
              <w:spacing w:line="500" w:lineRule="exact"/>
              <w:outlineLvl w:val="0"/>
              <w:rPr>
                <w:rFonts w:ascii="微软雅黑" w:hAnsi="微软雅黑" w:eastAsia="微软雅黑" w:cs="宋体"/>
                <w:kern w:val="0"/>
                <w:szCs w:val="24"/>
              </w:rPr>
            </w:pPr>
            <w:bookmarkStart w:id="9" w:name="_Toc21129"/>
            <w:r>
              <w:rPr>
                <w:rFonts w:hint="eastAsia" w:ascii="微软雅黑" w:hAnsi="微软雅黑" w:eastAsia="微软雅黑" w:cs="Times New Roman"/>
                <w:sz w:val="24"/>
                <w:szCs w:val="24"/>
              </w:rPr>
              <w:t>重庆市射击运动学校射击馆维修工程</w:t>
            </w:r>
            <w:bookmarkEnd w:id="9"/>
          </w:p>
        </w:tc>
        <w:tc>
          <w:tcPr>
            <w:tcW w:w="1886" w:type="dxa"/>
            <w:vAlign w:val="center"/>
          </w:tcPr>
          <w:p w14:paraId="513DAF22">
            <w:pPr>
              <w:widowControl/>
              <w:spacing w:line="260" w:lineRule="exact"/>
              <w:jc w:val="center"/>
              <w:rPr>
                <w:rFonts w:ascii="微软雅黑" w:hAnsi="微软雅黑" w:eastAsia="微软雅黑" w:cs="Times New Roman"/>
                <w:sz w:val="24"/>
                <w:szCs w:val="24"/>
              </w:rPr>
            </w:pPr>
            <w:r>
              <w:rPr>
                <w:rFonts w:hint="eastAsia" w:ascii="微软雅黑" w:hAnsi="微软雅黑" w:eastAsia="微软雅黑" w:cs="Times New Roman"/>
                <w:sz w:val="24"/>
                <w:szCs w:val="24"/>
              </w:rPr>
              <w:t>详细参数及要求见第二篇</w:t>
            </w:r>
          </w:p>
        </w:tc>
        <w:tc>
          <w:tcPr>
            <w:tcW w:w="1234" w:type="dxa"/>
            <w:tcBorders>
              <w:top w:val="single" w:color="auto" w:sz="4" w:space="0"/>
              <w:left w:val="single" w:color="auto" w:sz="4" w:space="0"/>
              <w:right w:val="single" w:color="auto" w:sz="4" w:space="0"/>
            </w:tcBorders>
            <w:vAlign w:val="center"/>
          </w:tcPr>
          <w:p w14:paraId="49E30D94">
            <w:pPr>
              <w:widowControl/>
              <w:spacing w:line="240" w:lineRule="exact"/>
              <w:jc w:val="left"/>
              <w:rPr>
                <w:rFonts w:ascii="微软雅黑" w:hAnsi="微软雅黑" w:eastAsia="微软雅黑" w:cs="Times New Roman"/>
                <w:sz w:val="24"/>
                <w:szCs w:val="24"/>
              </w:rPr>
            </w:pPr>
            <w:r>
              <w:rPr>
                <w:rFonts w:ascii="微软雅黑" w:hAnsi="微软雅黑" w:eastAsia="微软雅黑" w:cs="Times New Roman"/>
                <w:sz w:val="24"/>
                <w:szCs w:val="24"/>
              </w:rPr>
              <w:t>673418.02</w:t>
            </w:r>
          </w:p>
        </w:tc>
        <w:tc>
          <w:tcPr>
            <w:tcW w:w="1079" w:type="dxa"/>
            <w:tcBorders>
              <w:top w:val="single" w:color="auto" w:sz="4" w:space="0"/>
              <w:left w:val="single" w:color="auto" w:sz="4" w:space="0"/>
              <w:right w:val="single" w:color="auto" w:sz="4" w:space="0"/>
            </w:tcBorders>
            <w:vAlign w:val="center"/>
          </w:tcPr>
          <w:p w14:paraId="5B144233">
            <w:pPr>
              <w:widowControl/>
              <w:spacing w:line="220" w:lineRule="exact"/>
              <w:jc w:val="center"/>
              <w:rPr>
                <w:rFonts w:ascii="微软雅黑" w:hAnsi="微软雅黑" w:eastAsia="微软雅黑" w:cs="Times New Roman"/>
                <w:sz w:val="24"/>
                <w:szCs w:val="24"/>
              </w:rPr>
            </w:pPr>
            <w:r>
              <w:rPr>
                <w:rFonts w:hint="eastAsia" w:ascii="微软雅黑" w:hAnsi="微软雅黑" w:eastAsia="微软雅黑" w:cs="Times New Roman"/>
                <w:sz w:val="24"/>
                <w:szCs w:val="24"/>
              </w:rPr>
              <w:t>12000</w:t>
            </w:r>
          </w:p>
        </w:tc>
        <w:tc>
          <w:tcPr>
            <w:tcW w:w="1234" w:type="dxa"/>
            <w:tcBorders>
              <w:top w:val="single" w:color="auto" w:sz="4" w:space="0"/>
              <w:left w:val="single" w:color="auto" w:sz="4" w:space="0"/>
              <w:right w:val="single" w:color="auto" w:sz="4" w:space="0"/>
            </w:tcBorders>
            <w:vAlign w:val="center"/>
          </w:tcPr>
          <w:p w14:paraId="4AADB959">
            <w:pPr>
              <w:widowControl/>
              <w:spacing w:line="360" w:lineRule="auto"/>
              <w:jc w:val="center"/>
              <w:rPr>
                <w:rFonts w:ascii="微软雅黑" w:hAnsi="微软雅黑" w:eastAsia="微软雅黑" w:cs="Times New Roman"/>
                <w:sz w:val="24"/>
                <w:szCs w:val="24"/>
              </w:rPr>
            </w:pPr>
            <w:r>
              <w:rPr>
                <w:rFonts w:hint="eastAsia" w:ascii="微软雅黑" w:hAnsi="微软雅黑" w:eastAsia="微软雅黑" w:cs="Times New Roman"/>
                <w:sz w:val="24"/>
                <w:szCs w:val="24"/>
              </w:rPr>
              <w:t>不允许联合投标</w:t>
            </w:r>
          </w:p>
        </w:tc>
      </w:tr>
      <w:bookmarkEnd w:id="8"/>
    </w:tbl>
    <w:p w14:paraId="625626EC">
      <w:pPr>
        <w:pStyle w:val="3"/>
        <w:rPr>
          <w:rFonts w:ascii="微软雅黑" w:hAnsi="微软雅黑" w:eastAsia="微软雅黑" w:cs="Times New Roman"/>
          <w:sz w:val="24"/>
          <w:szCs w:val="24"/>
        </w:rPr>
      </w:pPr>
      <w:bookmarkStart w:id="10" w:name="_Toc21959722"/>
      <w:bookmarkStart w:id="11" w:name="_Toc423007315"/>
      <w:bookmarkStart w:id="12" w:name="_Toc373860293"/>
      <w:bookmarkStart w:id="13" w:name="_Toc317775178"/>
      <w:r>
        <w:rPr>
          <w:rFonts w:hint="eastAsia" w:ascii="微软雅黑" w:hAnsi="微软雅黑" w:eastAsia="微软雅黑" w:cs="Times New Roman"/>
          <w:sz w:val="24"/>
          <w:szCs w:val="24"/>
        </w:rPr>
        <w:t>二、资金来源</w:t>
      </w:r>
      <w:bookmarkEnd w:id="10"/>
      <w:bookmarkEnd w:id="11"/>
    </w:p>
    <w:p w14:paraId="6341C58A">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自筹。</w:t>
      </w:r>
    </w:p>
    <w:p w14:paraId="37D0E980">
      <w:pPr>
        <w:pStyle w:val="3"/>
        <w:rPr>
          <w:rFonts w:ascii="微软雅黑" w:hAnsi="微软雅黑" w:eastAsia="微软雅黑" w:cs="Times New Roman"/>
          <w:sz w:val="24"/>
          <w:szCs w:val="24"/>
        </w:rPr>
      </w:pPr>
      <w:bookmarkStart w:id="14" w:name="_Toc21959723"/>
      <w:bookmarkStart w:id="15" w:name="_Toc423007316"/>
      <w:r>
        <w:rPr>
          <w:rFonts w:hint="eastAsia" w:ascii="微软雅黑" w:hAnsi="微软雅黑" w:eastAsia="微软雅黑" w:cs="Times New Roman"/>
          <w:sz w:val="24"/>
          <w:szCs w:val="24"/>
        </w:rPr>
        <w:t>三、谈判资格</w:t>
      </w:r>
      <w:bookmarkEnd w:id="14"/>
      <w:bookmarkEnd w:id="15"/>
    </w:p>
    <w:p w14:paraId="2A4048DC">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合格的投标人应首先符合政府采购法第二十二条规定的基本条件，同时符合根据该项目特殊要求设置的其他资格条件。</w:t>
      </w:r>
    </w:p>
    <w:p w14:paraId="56CB664F">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（一）一般资格条件</w:t>
      </w:r>
    </w:p>
    <w:p w14:paraId="16C28A90">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1、具有独立承担民事责任的能力；</w:t>
      </w:r>
    </w:p>
    <w:p w14:paraId="5C37C707">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2、具有良好的商业信誉和健全的财务会计制度；（诚信声明附格式）</w:t>
      </w:r>
    </w:p>
    <w:p w14:paraId="30B002A7">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3、具有履行合同所必需的设备和专业技术能力；（诚信声明附格式）</w:t>
      </w:r>
    </w:p>
    <w:p w14:paraId="204543EA">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4、有依法缴纳税收和社会保障资金的良好记录；（诚信声明附格式）</w:t>
      </w:r>
    </w:p>
    <w:p w14:paraId="24F0198A">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5、参加政府采购活动近3年，在经营活动中没有重大违法记录；（诚信声明附格式）</w:t>
      </w:r>
    </w:p>
    <w:p w14:paraId="1C5C4192">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6、法律、行政法规规定的其他条件。</w:t>
      </w:r>
    </w:p>
    <w:p w14:paraId="63475053">
      <w:pPr>
        <w:spacing w:line="40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（二）其他资格条件：</w:t>
      </w:r>
    </w:p>
    <w:p w14:paraId="6957EF86">
      <w:pPr>
        <w:spacing w:line="480" w:lineRule="exact"/>
        <w:rPr>
          <w:rFonts w:ascii="微软雅黑" w:hAnsi="微软雅黑" w:eastAsia="微软雅黑" w:cs="Times New Roman"/>
          <w:sz w:val="24"/>
          <w:szCs w:val="24"/>
        </w:rPr>
      </w:pPr>
      <w:bookmarkStart w:id="16" w:name="_Toc423007317"/>
      <w:r>
        <w:rPr>
          <w:rFonts w:hint="eastAsia" w:ascii="微软雅黑" w:hAnsi="微软雅黑" w:eastAsia="微软雅黑" w:cs="Times New Roman"/>
          <w:sz w:val="24"/>
          <w:szCs w:val="24"/>
        </w:rPr>
        <w:t>1、本次招标要求投标人须具备建设行政主管部门颁发的建筑工程施工总承包叁级及以上资质，并在人员、设备、资金等方面具有相应的施工能力；</w:t>
      </w:r>
      <w:r>
        <w:rPr>
          <w:rFonts w:hint="eastAsia" w:ascii="微软雅黑" w:hAnsi="微软雅黑" w:eastAsia="微软雅黑" w:cs="Times New Roman"/>
          <w:b/>
          <w:sz w:val="24"/>
          <w:szCs w:val="24"/>
        </w:rPr>
        <w:t>（须提供有效的资质证书副本复印件</w:t>
      </w:r>
      <w:r>
        <w:rPr>
          <w:rFonts w:hint="eastAsia" w:ascii="微软雅黑" w:hAnsi="微软雅黑" w:eastAsia="微软雅黑" w:cs="Times New Roman"/>
          <w:sz w:val="24"/>
          <w:szCs w:val="24"/>
        </w:rPr>
        <w:t>）</w:t>
      </w:r>
    </w:p>
    <w:p w14:paraId="2F288F49">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2、投标人需具备建设行政主管部门颁发的有效的安全生产许可证，企业主要负责人、拟担任该项目项目经理和专职安全生产管理人员（即“三类人员”）具备相应的由建设行政主管部门颁发的安全生产考核合格证书。（</w:t>
      </w:r>
      <w:r>
        <w:rPr>
          <w:rFonts w:hint="eastAsia" w:ascii="微软雅黑" w:hAnsi="微软雅黑" w:eastAsia="微软雅黑" w:cs="Times New Roman"/>
          <w:b/>
          <w:sz w:val="24"/>
          <w:szCs w:val="24"/>
        </w:rPr>
        <w:t>须提供有效的安全生产许可证及“三类人员”安全生产考核合格证书复印件</w:t>
      </w:r>
      <w:r>
        <w:rPr>
          <w:rFonts w:hint="eastAsia" w:ascii="微软雅黑" w:hAnsi="微软雅黑" w:eastAsia="微软雅黑" w:cs="Times New Roman"/>
          <w:sz w:val="24"/>
          <w:szCs w:val="24"/>
        </w:rPr>
        <w:t>）。</w:t>
      </w:r>
    </w:p>
    <w:p w14:paraId="210A56C0">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3、拟投入本项目项目经理必须已在投标人单位注册并应有建筑工程类贰级及以上注册建造师执业资格，并且不能在在建工程担任项目经理；成交后不得随意更换。（</w:t>
      </w:r>
      <w:r>
        <w:rPr>
          <w:rFonts w:hint="eastAsia" w:ascii="微软雅黑" w:hAnsi="微软雅黑" w:eastAsia="微软雅黑" w:cs="Times New Roman"/>
          <w:b/>
          <w:sz w:val="24"/>
          <w:szCs w:val="24"/>
        </w:rPr>
        <w:t>项目经理应附建造师执业资格注册证、社保机构出具的</w:t>
      </w:r>
      <w:r>
        <w:rPr>
          <w:rFonts w:ascii="微软雅黑" w:hAnsi="微软雅黑" w:eastAsia="微软雅黑" w:cs="Times New Roman"/>
          <w:b/>
          <w:sz w:val="24"/>
          <w:szCs w:val="24"/>
        </w:rPr>
        <w:t>2019年</w:t>
      </w:r>
      <w:r>
        <w:rPr>
          <w:rFonts w:hint="eastAsia" w:ascii="微软雅黑" w:hAnsi="微软雅黑" w:eastAsia="微软雅黑" w:cs="Times New Roman"/>
          <w:b/>
          <w:sz w:val="24"/>
          <w:szCs w:val="24"/>
        </w:rPr>
        <w:t>4</w:t>
      </w:r>
      <w:r>
        <w:rPr>
          <w:rFonts w:ascii="微软雅黑" w:hAnsi="微软雅黑" w:eastAsia="微软雅黑" w:cs="Times New Roman"/>
          <w:b/>
          <w:sz w:val="24"/>
          <w:szCs w:val="24"/>
        </w:rPr>
        <w:t>月至2019年</w:t>
      </w:r>
      <w:r>
        <w:rPr>
          <w:rFonts w:hint="eastAsia" w:ascii="微软雅黑" w:hAnsi="微软雅黑" w:eastAsia="微软雅黑" w:cs="Times New Roman"/>
          <w:b/>
          <w:sz w:val="24"/>
          <w:szCs w:val="24"/>
        </w:rPr>
        <w:t>9</w:t>
      </w:r>
      <w:r>
        <w:rPr>
          <w:rFonts w:ascii="微软雅黑" w:hAnsi="微软雅黑" w:eastAsia="微软雅黑" w:cs="Times New Roman"/>
          <w:b/>
          <w:sz w:val="24"/>
          <w:szCs w:val="24"/>
        </w:rPr>
        <w:t>月单位职工养老保险缴纳证明材料复印件</w:t>
      </w:r>
      <w:r>
        <w:rPr>
          <w:rFonts w:hint="eastAsia" w:ascii="微软雅黑" w:hAnsi="微软雅黑" w:eastAsia="微软雅黑" w:cs="Times New Roman"/>
          <w:b/>
          <w:sz w:val="24"/>
          <w:szCs w:val="24"/>
        </w:rPr>
        <w:t>）</w:t>
      </w:r>
    </w:p>
    <w:p w14:paraId="72E0B5CC">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4、投标人自行承诺投入本项目主要管理人员不得低于【重庆市房屋建筑与市政基础设施工现场施工从业人员配备标准】及渝建发〔</w:t>
      </w:r>
      <w:r>
        <w:rPr>
          <w:rFonts w:ascii="微软雅黑" w:hAnsi="微软雅黑" w:eastAsia="微软雅黑" w:cs="Times New Roman"/>
          <w:sz w:val="24"/>
          <w:szCs w:val="24"/>
        </w:rPr>
        <w:t>2013〕1号文件及相关求标准且必须为本单位人员。</w:t>
      </w:r>
      <w:r>
        <w:rPr>
          <w:rFonts w:hint="eastAsia" w:ascii="微软雅黑" w:hAnsi="微软雅黑" w:eastAsia="微软雅黑" w:cs="Times New Roman"/>
          <w:sz w:val="24"/>
          <w:szCs w:val="24"/>
        </w:rPr>
        <w:t>（</w:t>
      </w:r>
      <w:r>
        <w:rPr>
          <w:rFonts w:ascii="微软雅黑" w:hAnsi="微软雅黑" w:eastAsia="微软雅黑" w:cs="Times New Roman"/>
          <w:sz w:val="24"/>
          <w:szCs w:val="24"/>
        </w:rPr>
        <w:t>承诺格式由投标人自拟</w:t>
      </w:r>
      <w:r>
        <w:rPr>
          <w:rFonts w:hint="eastAsia" w:ascii="微软雅黑" w:hAnsi="微软雅黑" w:eastAsia="微软雅黑" w:cs="Times New Roman"/>
          <w:sz w:val="24"/>
          <w:szCs w:val="24"/>
        </w:rPr>
        <w:t>。）</w:t>
      </w:r>
    </w:p>
    <w:p w14:paraId="38E87536">
      <w:pPr>
        <w:pStyle w:val="3"/>
        <w:rPr>
          <w:rFonts w:ascii="微软雅黑" w:hAnsi="微软雅黑" w:eastAsia="微软雅黑" w:cs="Times New Roman"/>
          <w:sz w:val="24"/>
          <w:szCs w:val="24"/>
        </w:rPr>
      </w:pPr>
      <w:bookmarkStart w:id="17" w:name="_Toc21959724"/>
      <w:r>
        <w:rPr>
          <w:rFonts w:hint="eastAsia" w:ascii="微软雅黑" w:hAnsi="微软雅黑" w:eastAsia="微软雅黑" w:cs="Times New Roman"/>
          <w:sz w:val="24"/>
          <w:szCs w:val="24"/>
        </w:rPr>
        <w:t>四、谈判有关说明</w:t>
      </w:r>
      <w:bookmarkEnd w:id="12"/>
      <w:bookmarkEnd w:id="16"/>
      <w:bookmarkEnd w:id="17"/>
    </w:p>
    <w:p w14:paraId="4110EBB9">
      <w:pPr>
        <w:spacing w:line="380" w:lineRule="exact"/>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（一）凡有意参加谈判的投标人，请于公告发布之日起至</w:t>
      </w:r>
      <w:r>
        <w:rPr>
          <w:rFonts w:ascii="微软雅黑" w:hAnsi="微软雅黑" w:eastAsia="微软雅黑" w:cs="Times New Roman"/>
          <w:sz w:val="24"/>
          <w:szCs w:val="24"/>
        </w:rPr>
        <w:t>2019 年</w:t>
      </w:r>
      <w:r>
        <w:rPr>
          <w:rFonts w:hint="eastAsia" w:ascii="微软雅黑" w:hAnsi="微软雅黑" w:eastAsia="微软雅黑" w:cs="Times New Roman"/>
          <w:sz w:val="24"/>
          <w:szCs w:val="24"/>
        </w:rPr>
        <w:t>10</w:t>
      </w:r>
      <w:r>
        <w:rPr>
          <w:rFonts w:ascii="微软雅黑" w:hAnsi="微软雅黑" w:eastAsia="微软雅黑" w:cs="Times New Roman"/>
          <w:sz w:val="24"/>
          <w:szCs w:val="24"/>
        </w:rPr>
        <w:t>月</w:t>
      </w:r>
      <w:r>
        <w:rPr>
          <w:rFonts w:hint="eastAsia" w:ascii="微软雅黑" w:hAnsi="微软雅黑" w:eastAsia="微软雅黑" w:cs="Times New Roman"/>
          <w:sz w:val="24"/>
          <w:szCs w:val="24"/>
        </w:rPr>
        <w:t>24</w:t>
      </w:r>
      <w:r>
        <w:rPr>
          <w:rFonts w:ascii="微软雅黑" w:hAnsi="微软雅黑" w:eastAsia="微软雅黑" w:cs="Times New Roman"/>
          <w:sz w:val="24"/>
          <w:szCs w:val="24"/>
        </w:rPr>
        <w:t>日</w:t>
      </w:r>
      <w:r>
        <w:rPr>
          <w:rFonts w:hint="eastAsia" w:ascii="微软雅黑" w:hAnsi="微软雅黑" w:eastAsia="微软雅黑" w:cs="Times New Roman"/>
          <w:sz w:val="24"/>
          <w:szCs w:val="24"/>
        </w:rPr>
        <w:t>17时30分前，请到采购代理机构领取或在《重庆市体育局官网》（</w:t>
      </w:r>
      <w:r>
        <w:rPr>
          <w:rFonts w:ascii="微软雅黑" w:hAnsi="微软雅黑" w:eastAsia="微软雅黑" w:cs="Times New Roman"/>
          <w:sz w:val="24"/>
          <w:szCs w:val="24"/>
        </w:rPr>
        <w:t>http://tyj.cq.gov.cn/ty_portal/）</w:t>
      </w:r>
      <w:r>
        <w:rPr>
          <w:rFonts w:hint="eastAsia" w:ascii="微软雅黑" w:hAnsi="微软雅黑" w:eastAsia="微软雅黑" w:cs="Times New Roman"/>
          <w:sz w:val="24"/>
          <w:szCs w:val="24"/>
        </w:rPr>
        <w:t>下载本项目竞争性采购文件以及补遗等前公布的所有项目资料，无论投标人领取或下载与否，均视为已知晓所有磋商实质性要求内容。</w:t>
      </w:r>
    </w:p>
    <w:p w14:paraId="39EBF92E">
      <w:pPr>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（二）谈判文件售价300元/套，售后不退，有意参加谈判的投标人须在购买谈判文件的同时，向采购代理机构缴纳谈判文件费，否则不予受理</w:t>
      </w:r>
    </w:p>
    <w:p w14:paraId="04006962">
      <w:pPr>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（三）投标人须满足以下三种要件，其响应文件才被接受：</w:t>
      </w:r>
    </w:p>
    <w:p w14:paraId="0903BB0B">
      <w:pPr>
        <w:spacing w:line="380" w:lineRule="exact"/>
        <w:rPr>
          <w:rFonts w:ascii="微软雅黑" w:hAnsi="微软雅黑" w:eastAsia="微软雅黑" w:cs="Times New Roman"/>
          <w:b/>
          <w:sz w:val="24"/>
          <w:szCs w:val="24"/>
        </w:rPr>
      </w:pPr>
      <w:r>
        <w:rPr>
          <w:rFonts w:hint="eastAsia" w:ascii="微软雅黑" w:hAnsi="微软雅黑" w:eastAsia="微软雅黑" w:cs="Times New Roman"/>
          <w:b/>
          <w:sz w:val="24"/>
          <w:szCs w:val="24"/>
        </w:rPr>
        <w:t>1、按时递交了响应文件；</w:t>
      </w:r>
    </w:p>
    <w:p w14:paraId="4BA58874">
      <w:pPr>
        <w:spacing w:line="380" w:lineRule="exact"/>
        <w:rPr>
          <w:rFonts w:ascii="微软雅黑" w:hAnsi="微软雅黑" w:eastAsia="微软雅黑" w:cs="Times New Roman"/>
          <w:b/>
          <w:sz w:val="24"/>
          <w:szCs w:val="24"/>
        </w:rPr>
      </w:pPr>
      <w:r>
        <w:rPr>
          <w:rFonts w:hint="eastAsia" w:ascii="微软雅黑" w:hAnsi="微软雅黑" w:eastAsia="微软雅黑" w:cs="Times New Roman"/>
          <w:b/>
          <w:sz w:val="24"/>
          <w:szCs w:val="24"/>
        </w:rPr>
        <w:t>2、按时报名签到；</w:t>
      </w:r>
    </w:p>
    <w:p w14:paraId="459AEBB3">
      <w:pPr>
        <w:spacing w:line="380" w:lineRule="exact"/>
        <w:rPr>
          <w:rFonts w:ascii="微软雅黑" w:hAnsi="微软雅黑" w:eastAsia="微软雅黑" w:cs="Times New Roman"/>
          <w:sz w:val="24"/>
          <w:szCs w:val="24"/>
        </w:rPr>
      </w:pPr>
      <w:r>
        <w:rPr>
          <w:rFonts w:hint="eastAsia" w:ascii="微软雅黑" w:hAnsi="微软雅黑" w:eastAsia="微软雅黑" w:cs="Times New Roman"/>
          <w:b/>
          <w:sz w:val="24"/>
          <w:szCs w:val="24"/>
        </w:rPr>
        <w:t>3、按时递交谈判保证金和按时缴纳了竞争性谈判文件购买费。</w:t>
      </w:r>
    </w:p>
    <w:p w14:paraId="37955D0E">
      <w:pPr>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（四）谈判地点：重庆市射击运动学校三楼会议室（重庆市九龙坡区金凤镇海兰村</w:t>
      </w:r>
      <w:r>
        <w:rPr>
          <w:rFonts w:ascii="微软雅黑" w:hAnsi="微软雅黑" w:eastAsia="微软雅黑" w:cs="Times New Roman"/>
          <w:sz w:val="24"/>
          <w:szCs w:val="24"/>
        </w:rPr>
        <w:t>100号</w:t>
      </w:r>
      <w:r>
        <w:rPr>
          <w:rFonts w:hint="eastAsia" w:ascii="微软雅黑" w:hAnsi="微软雅黑" w:eastAsia="微软雅黑" w:cs="Times New Roman"/>
          <w:sz w:val="24"/>
          <w:szCs w:val="24"/>
        </w:rPr>
        <w:t>）。</w:t>
      </w:r>
    </w:p>
    <w:p w14:paraId="73158EED">
      <w:pPr>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（五）提交响应文件起止时间：2019年10月25日北京时间9:00-9:30</w:t>
      </w:r>
    </w:p>
    <w:p w14:paraId="007EF2E7">
      <w:pPr>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（六）谈判开始时间：</w:t>
      </w:r>
      <w:bookmarkStart w:id="18" w:name="_Toc373860294"/>
      <w:bookmarkStart w:id="19" w:name="_Toc423007318"/>
      <w:r>
        <w:rPr>
          <w:rFonts w:hint="eastAsia" w:ascii="微软雅黑" w:hAnsi="微软雅黑" w:eastAsia="微软雅黑" w:cs="Times New Roman"/>
          <w:sz w:val="24"/>
          <w:szCs w:val="24"/>
        </w:rPr>
        <w:t>2019年10月25日北京时间9:30</w:t>
      </w:r>
    </w:p>
    <w:p w14:paraId="7D0A5C05">
      <w:pPr>
        <w:pStyle w:val="3"/>
        <w:rPr>
          <w:rFonts w:ascii="微软雅黑" w:hAnsi="微软雅黑" w:eastAsia="微软雅黑" w:cs="Times New Roman"/>
          <w:sz w:val="24"/>
          <w:szCs w:val="24"/>
        </w:rPr>
      </w:pPr>
      <w:bookmarkStart w:id="20" w:name="_Toc21959725"/>
      <w:r>
        <w:rPr>
          <w:rFonts w:hint="eastAsia" w:ascii="微软雅黑" w:hAnsi="微软雅黑" w:eastAsia="微软雅黑" w:cs="Times New Roman"/>
          <w:sz w:val="24"/>
          <w:szCs w:val="24"/>
        </w:rPr>
        <w:t>五、保证金</w:t>
      </w:r>
      <w:bookmarkEnd w:id="18"/>
      <w:bookmarkEnd w:id="19"/>
      <w:bookmarkEnd w:id="20"/>
    </w:p>
    <w:p w14:paraId="563937C8">
      <w:pPr>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（一）谈判保证金</w:t>
      </w:r>
    </w:p>
    <w:p w14:paraId="4FC73D47">
      <w:pPr>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1、谈判保证金递交时间：递交响应文件同时现场缴纳现金。</w:t>
      </w:r>
    </w:p>
    <w:p w14:paraId="539DD11A">
      <w:pPr>
        <w:spacing w:line="400" w:lineRule="exact"/>
        <w:ind w:firstLine="480" w:firstLineChars="200"/>
        <w:rPr>
          <w:rFonts w:ascii="微软雅黑" w:hAnsi="微软雅黑" w:eastAsia="微软雅黑"/>
          <w:sz w:val="24"/>
          <w:szCs w:val="24"/>
        </w:rPr>
      </w:pPr>
      <w:r>
        <w:rPr>
          <w:rFonts w:hint="eastAsia" w:ascii="微软雅黑" w:hAnsi="微软雅黑" w:eastAsia="微软雅黑"/>
          <w:sz w:val="24"/>
          <w:szCs w:val="24"/>
        </w:rPr>
        <w:t>2、谈判保证金退还方式：未成交人的谈判保证金当场退还；成交单位签订合同后退还。</w:t>
      </w:r>
    </w:p>
    <w:p w14:paraId="48A7DDEF">
      <w:pPr>
        <w:spacing w:line="400" w:lineRule="exact"/>
        <w:rPr>
          <w:rFonts w:ascii="微软雅黑" w:hAnsi="微软雅黑" w:eastAsia="微软雅黑"/>
          <w:sz w:val="24"/>
          <w:szCs w:val="24"/>
        </w:rPr>
      </w:pPr>
      <w:r>
        <w:rPr>
          <w:rFonts w:hint="eastAsia" w:ascii="微软雅黑" w:hAnsi="微软雅黑" w:eastAsia="微软雅黑"/>
          <w:sz w:val="24"/>
          <w:szCs w:val="24"/>
        </w:rPr>
        <w:t>（二）履约保证金</w:t>
      </w:r>
    </w:p>
    <w:p w14:paraId="6D4D597A">
      <w:pPr>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1、履约保证金递交时间：签订合同前。</w:t>
      </w:r>
    </w:p>
    <w:p w14:paraId="61699412">
      <w:pPr>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2、履约保证金金额：成交价的</w:t>
      </w:r>
      <w:r>
        <w:rPr>
          <w:rFonts w:ascii="微软雅黑" w:hAnsi="微软雅黑" w:eastAsia="微软雅黑" w:cs="Times New Roman"/>
          <w:sz w:val="24"/>
          <w:szCs w:val="24"/>
        </w:rPr>
        <w:t>10%</w:t>
      </w:r>
      <w:r>
        <w:rPr>
          <w:rFonts w:hint="eastAsia" w:ascii="微软雅黑" w:hAnsi="微软雅黑" w:eastAsia="微软雅黑" w:cs="Times New Roman"/>
          <w:sz w:val="24"/>
          <w:szCs w:val="24"/>
        </w:rPr>
        <w:t>。</w:t>
      </w:r>
    </w:p>
    <w:p w14:paraId="11622F99">
      <w:pPr>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3、履约保证金退还方式：竣工验收合格后十日内一次性不计息退还履约保证金。</w:t>
      </w:r>
    </w:p>
    <w:p w14:paraId="5CC441F2">
      <w:pPr>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（三）低价风险担保</w:t>
      </w:r>
    </w:p>
    <w:p w14:paraId="381C6166">
      <w:pPr>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1、若成交人的成交价格低于本项目最高限价的85%，采购人将要求成交人递交低价风险担保。</w:t>
      </w:r>
    </w:p>
    <w:p w14:paraId="3953F4E0">
      <w:pPr>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2、递交时间：签订合同前。</w:t>
      </w:r>
    </w:p>
    <w:p w14:paraId="1D96B0F4">
      <w:pPr>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3、低价风险担保金额：本项目最高限价的85%和成交价的差额。</w:t>
      </w:r>
    </w:p>
    <w:p w14:paraId="604AFCC6">
      <w:pPr>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4、低价风险担保退还方式：竣工验收合格后十日内一次性不计息退还低价风险担保金。</w:t>
      </w:r>
    </w:p>
    <w:p w14:paraId="39F69364">
      <w:pPr>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（四）其他</w:t>
      </w:r>
    </w:p>
    <w:p w14:paraId="795CCCA1">
      <w:pPr>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1、成交人不能按</w:t>
      </w:r>
      <w:r>
        <w:rPr>
          <w:rFonts w:ascii="微软雅黑" w:hAnsi="微软雅黑" w:eastAsia="微软雅黑" w:cs="Times New Roman"/>
          <w:sz w:val="24"/>
          <w:szCs w:val="24"/>
        </w:rPr>
        <w:t>要求提交</w:t>
      </w:r>
      <w:r>
        <w:rPr>
          <w:rFonts w:hint="eastAsia" w:ascii="微软雅黑" w:hAnsi="微软雅黑" w:eastAsia="微软雅黑" w:cs="Times New Roman"/>
          <w:sz w:val="24"/>
          <w:szCs w:val="24"/>
        </w:rPr>
        <w:t>履约</w:t>
      </w:r>
      <w:r>
        <w:rPr>
          <w:rFonts w:ascii="微软雅黑" w:hAnsi="微软雅黑" w:eastAsia="微软雅黑" w:cs="Times New Roman"/>
          <w:sz w:val="24"/>
          <w:szCs w:val="24"/>
        </w:rPr>
        <w:t>保证金</w:t>
      </w:r>
      <w:r>
        <w:rPr>
          <w:rFonts w:hint="eastAsia" w:ascii="微软雅黑" w:hAnsi="微软雅黑" w:eastAsia="微软雅黑" w:cs="Times New Roman"/>
          <w:sz w:val="24"/>
          <w:szCs w:val="24"/>
        </w:rPr>
        <w:t>和低价风险担保（如果有）</w:t>
      </w:r>
      <w:r>
        <w:rPr>
          <w:rFonts w:ascii="微软雅黑" w:hAnsi="微软雅黑" w:eastAsia="微软雅黑" w:cs="Times New Roman"/>
          <w:sz w:val="24"/>
          <w:szCs w:val="24"/>
        </w:rPr>
        <w:t>，视为放弃</w:t>
      </w:r>
      <w:r>
        <w:rPr>
          <w:rFonts w:hint="eastAsia" w:ascii="微软雅黑" w:hAnsi="微软雅黑" w:eastAsia="微软雅黑" w:cs="Times New Roman"/>
          <w:sz w:val="24"/>
          <w:szCs w:val="24"/>
        </w:rPr>
        <w:t>成交资格</w:t>
      </w:r>
      <w:r>
        <w:rPr>
          <w:rFonts w:ascii="微软雅黑" w:hAnsi="微软雅黑" w:eastAsia="微软雅黑" w:cs="Times New Roman"/>
          <w:sz w:val="24"/>
          <w:szCs w:val="24"/>
        </w:rPr>
        <w:t>，其</w:t>
      </w:r>
      <w:r>
        <w:rPr>
          <w:rFonts w:hint="eastAsia" w:ascii="微软雅黑" w:hAnsi="微软雅黑" w:eastAsia="微软雅黑" w:cs="Times New Roman"/>
          <w:sz w:val="24"/>
          <w:szCs w:val="24"/>
        </w:rPr>
        <w:t>谈判</w:t>
      </w:r>
      <w:r>
        <w:rPr>
          <w:rFonts w:ascii="微软雅黑" w:hAnsi="微软雅黑" w:eastAsia="微软雅黑" w:cs="Times New Roman"/>
          <w:sz w:val="24"/>
          <w:szCs w:val="24"/>
        </w:rPr>
        <w:t>保证金不予退还，给</w:t>
      </w:r>
      <w:r>
        <w:rPr>
          <w:rFonts w:hint="eastAsia" w:ascii="微软雅黑" w:hAnsi="微软雅黑" w:eastAsia="微软雅黑" w:cs="Times New Roman"/>
          <w:sz w:val="24"/>
          <w:szCs w:val="24"/>
        </w:rPr>
        <w:t>采购</w:t>
      </w:r>
      <w:r>
        <w:rPr>
          <w:rFonts w:ascii="微软雅黑" w:hAnsi="微软雅黑" w:eastAsia="微软雅黑" w:cs="Times New Roman"/>
          <w:sz w:val="24"/>
          <w:szCs w:val="24"/>
        </w:rPr>
        <w:t>人造成的损失超过</w:t>
      </w:r>
      <w:r>
        <w:rPr>
          <w:rFonts w:hint="eastAsia" w:ascii="微软雅黑" w:hAnsi="微软雅黑" w:eastAsia="微软雅黑" w:cs="Times New Roman"/>
          <w:sz w:val="24"/>
          <w:szCs w:val="24"/>
        </w:rPr>
        <w:t>谈判</w:t>
      </w:r>
      <w:r>
        <w:rPr>
          <w:rFonts w:ascii="微软雅黑" w:hAnsi="微软雅黑" w:eastAsia="微软雅黑" w:cs="Times New Roman"/>
          <w:sz w:val="24"/>
          <w:szCs w:val="24"/>
        </w:rPr>
        <w:t>保证金数额的，</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人还应当对超过部分予以赔偿。</w:t>
      </w:r>
    </w:p>
    <w:p w14:paraId="717DE968">
      <w:pPr>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2、采购人和成交人应当自成交通知书发出之日起</w:t>
      </w:r>
      <w:r>
        <w:rPr>
          <w:rFonts w:ascii="微软雅黑" w:hAnsi="微软雅黑" w:eastAsia="微软雅黑" w:cs="Times New Roman"/>
          <w:sz w:val="24"/>
          <w:szCs w:val="24"/>
        </w:rPr>
        <w:t>5天内，根据</w:t>
      </w:r>
      <w:r>
        <w:rPr>
          <w:rFonts w:hint="eastAsia" w:ascii="微软雅黑" w:hAnsi="微软雅黑" w:eastAsia="微软雅黑" w:cs="Times New Roman"/>
          <w:sz w:val="24"/>
          <w:szCs w:val="24"/>
        </w:rPr>
        <w:t>谈判</w:t>
      </w:r>
      <w:r>
        <w:rPr>
          <w:rFonts w:ascii="微软雅黑" w:hAnsi="微软雅黑" w:eastAsia="微软雅黑" w:cs="Times New Roman"/>
          <w:sz w:val="24"/>
          <w:szCs w:val="24"/>
        </w:rPr>
        <w:t>文件和</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人的</w:t>
      </w:r>
      <w:r>
        <w:rPr>
          <w:rFonts w:hint="eastAsia" w:ascii="微软雅黑" w:hAnsi="微软雅黑" w:eastAsia="微软雅黑" w:cs="Times New Roman"/>
          <w:sz w:val="24"/>
          <w:szCs w:val="24"/>
        </w:rPr>
        <w:t>响应文件</w:t>
      </w:r>
      <w:r>
        <w:rPr>
          <w:rFonts w:ascii="微软雅黑" w:hAnsi="微软雅黑" w:eastAsia="微软雅黑" w:cs="Times New Roman"/>
          <w:sz w:val="24"/>
          <w:szCs w:val="24"/>
        </w:rPr>
        <w:t>订立书面合同。</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人无正当理由拒签合同的，</w:t>
      </w:r>
      <w:r>
        <w:rPr>
          <w:rFonts w:hint="eastAsia" w:ascii="微软雅黑" w:hAnsi="微软雅黑" w:eastAsia="微软雅黑" w:cs="Times New Roman"/>
          <w:sz w:val="24"/>
          <w:szCs w:val="24"/>
        </w:rPr>
        <w:t>采购</w:t>
      </w:r>
      <w:r>
        <w:rPr>
          <w:rFonts w:ascii="微软雅黑" w:hAnsi="微软雅黑" w:eastAsia="微软雅黑" w:cs="Times New Roman"/>
          <w:sz w:val="24"/>
          <w:szCs w:val="24"/>
        </w:rPr>
        <w:t>人取消其</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资格，其</w:t>
      </w:r>
      <w:r>
        <w:rPr>
          <w:rFonts w:hint="eastAsia" w:ascii="微软雅黑" w:hAnsi="微软雅黑" w:eastAsia="微软雅黑" w:cs="Times New Roman"/>
          <w:sz w:val="24"/>
          <w:szCs w:val="24"/>
        </w:rPr>
        <w:t>谈判</w:t>
      </w:r>
      <w:r>
        <w:rPr>
          <w:rFonts w:ascii="微软雅黑" w:hAnsi="微软雅黑" w:eastAsia="微软雅黑" w:cs="Times New Roman"/>
          <w:sz w:val="24"/>
          <w:szCs w:val="24"/>
        </w:rPr>
        <w:t>保证金不予退还；给</w:t>
      </w:r>
      <w:r>
        <w:rPr>
          <w:rFonts w:hint="eastAsia" w:ascii="微软雅黑" w:hAnsi="微软雅黑" w:eastAsia="微软雅黑" w:cs="Times New Roman"/>
          <w:sz w:val="24"/>
          <w:szCs w:val="24"/>
        </w:rPr>
        <w:t>采购</w:t>
      </w:r>
      <w:r>
        <w:rPr>
          <w:rFonts w:ascii="微软雅黑" w:hAnsi="微软雅黑" w:eastAsia="微软雅黑" w:cs="Times New Roman"/>
          <w:sz w:val="24"/>
          <w:szCs w:val="24"/>
        </w:rPr>
        <w:t>人造成的损失超过</w:t>
      </w:r>
      <w:r>
        <w:rPr>
          <w:rFonts w:hint="eastAsia" w:ascii="微软雅黑" w:hAnsi="微软雅黑" w:eastAsia="微软雅黑" w:cs="Times New Roman"/>
          <w:sz w:val="24"/>
          <w:szCs w:val="24"/>
        </w:rPr>
        <w:t>谈判</w:t>
      </w:r>
      <w:r>
        <w:rPr>
          <w:rFonts w:ascii="微软雅黑" w:hAnsi="微软雅黑" w:eastAsia="微软雅黑" w:cs="Times New Roman"/>
          <w:sz w:val="24"/>
          <w:szCs w:val="24"/>
        </w:rPr>
        <w:t>保证金数额的，</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人还应当对超过部分予以赔偿。</w:t>
      </w:r>
    </w:p>
    <w:p w14:paraId="039564B7">
      <w:pPr>
        <w:pStyle w:val="3"/>
        <w:rPr>
          <w:rFonts w:ascii="微软雅黑" w:hAnsi="微软雅黑" w:eastAsia="微软雅黑" w:cs="Times New Roman"/>
          <w:sz w:val="24"/>
          <w:szCs w:val="24"/>
        </w:rPr>
      </w:pPr>
      <w:bookmarkStart w:id="21" w:name="_Toc423007319"/>
      <w:bookmarkStart w:id="22" w:name="_Toc21959726"/>
      <w:r>
        <w:rPr>
          <w:rFonts w:hint="eastAsia" w:ascii="微软雅黑" w:hAnsi="微软雅黑" w:eastAsia="微软雅黑" w:cs="Times New Roman"/>
          <w:sz w:val="24"/>
          <w:szCs w:val="24"/>
        </w:rPr>
        <w:t>六、</w:t>
      </w:r>
      <w:bookmarkEnd w:id="13"/>
      <w:r>
        <w:rPr>
          <w:rFonts w:hint="eastAsia" w:ascii="微软雅黑" w:hAnsi="微软雅黑" w:eastAsia="微软雅黑" w:cs="Times New Roman"/>
          <w:sz w:val="24"/>
          <w:szCs w:val="24"/>
        </w:rPr>
        <w:t>其它有关规定</w:t>
      </w:r>
      <w:bookmarkEnd w:id="21"/>
      <w:bookmarkEnd w:id="22"/>
    </w:p>
    <w:p w14:paraId="35C9C12D">
      <w:pPr>
        <w:snapToGrid w:val="0"/>
        <w:spacing w:line="380" w:lineRule="exact"/>
        <w:rPr>
          <w:rFonts w:ascii="微软雅黑" w:hAnsi="微软雅黑" w:eastAsia="微软雅黑" w:cs="Times New Roman"/>
          <w:sz w:val="24"/>
          <w:szCs w:val="24"/>
        </w:rPr>
      </w:pPr>
      <w:bookmarkStart w:id="23" w:name="_Toc423007320"/>
      <w:r>
        <w:rPr>
          <w:rFonts w:hint="eastAsia" w:ascii="微软雅黑" w:hAnsi="微软雅黑" w:eastAsia="微软雅黑" w:cs="Times New Roman"/>
          <w:sz w:val="24"/>
          <w:szCs w:val="24"/>
        </w:rPr>
        <w:t>（一）单位负责人为同一人或者存在直接控股、管理关系的不同投标人，不得参加同一合同项（分包）下的政府采购活动，否则均为无效响应。</w:t>
      </w:r>
    </w:p>
    <w:p w14:paraId="7705E876">
      <w:pPr>
        <w:snapToGrid w:val="0"/>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（二）为采购项目提供整体设计、规范编制或者项目管理、监理、检测等服务的投标人，不得再参加该采购项目的其他采购活动。</w:t>
      </w:r>
    </w:p>
    <w:p w14:paraId="0D39B205">
      <w:pPr>
        <w:snapToGrid w:val="0"/>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（三）谈判费用：无论谈判结果如何，投标人参与本项目谈判的所有费用均应由投标人自行承担。</w:t>
      </w:r>
    </w:p>
    <w:p w14:paraId="27FE5706">
      <w:pPr>
        <w:snapToGrid w:val="0"/>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（四）按照《财政部关于在政府采购活动中查询及使用信用记录有关问题的通知》财库〔</w:t>
      </w:r>
      <w:r>
        <w:rPr>
          <w:rFonts w:ascii="微软雅黑" w:hAnsi="微软雅黑" w:eastAsia="微软雅黑" w:cs="Times New Roman"/>
          <w:sz w:val="24"/>
          <w:szCs w:val="24"/>
        </w:rPr>
        <w:t>2016〕125号，</w:t>
      </w:r>
      <w:r>
        <w:rPr>
          <w:rFonts w:hint="eastAsia" w:ascii="微软雅黑" w:hAnsi="微软雅黑" w:eastAsia="微软雅黑" w:cs="Times New Roman"/>
          <w:sz w:val="24"/>
          <w:szCs w:val="24"/>
        </w:rPr>
        <w:t>投标人</w:t>
      </w:r>
      <w:r>
        <w:rPr>
          <w:rFonts w:ascii="微软雅黑" w:hAnsi="微软雅黑" w:eastAsia="微软雅黑" w:cs="Times New Roman"/>
          <w:sz w:val="24"/>
          <w:szCs w:val="24"/>
        </w:rPr>
        <w:t>列入失信被执行人、重大税收违法案件当事人名单、政府采购严重违法失信行为记录名单及其他不符合《中华人民共和国政府采购法》第二十二条规定条件的</w:t>
      </w:r>
      <w:r>
        <w:rPr>
          <w:rFonts w:hint="eastAsia" w:ascii="微软雅黑" w:hAnsi="微软雅黑" w:eastAsia="微软雅黑" w:cs="Times New Roman"/>
          <w:sz w:val="24"/>
          <w:szCs w:val="24"/>
        </w:rPr>
        <w:t>投标人</w:t>
      </w:r>
      <w:r>
        <w:rPr>
          <w:rFonts w:ascii="微软雅黑" w:hAnsi="微软雅黑" w:eastAsia="微软雅黑" w:cs="Times New Roman"/>
          <w:sz w:val="24"/>
          <w:szCs w:val="24"/>
        </w:rPr>
        <w:t>，将拒绝其参与政府采购活动。</w:t>
      </w:r>
    </w:p>
    <w:p w14:paraId="3DC892C8">
      <w:pPr>
        <w:pStyle w:val="3"/>
        <w:rPr>
          <w:rFonts w:ascii="微软雅黑" w:hAnsi="微软雅黑" w:eastAsia="微软雅黑" w:cs="Times New Roman"/>
          <w:sz w:val="24"/>
          <w:szCs w:val="24"/>
        </w:rPr>
      </w:pPr>
      <w:bookmarkStart w:id="24" w:name="_Toc21959727"/>
      <w:r>
        <w:rPr>
          <w:rFonts w:hint="eastAsia" w:ascii="微软雅黑" w:hAnsi="微软雅黑" w:eastAsia="微软雅黑" w:cs="Times New Roman"/>
          <w:sz w:val="24"/>
          <w:szCs w:val="24"/>
        </w:rPr>
        <w:t>七、联系方式</w:t>
      </w:r>
      <w:bookmarkEnd w:id="23"/>
      <w:bookmarkEnd w:id="24"/>
    </w:p>
    <w:p w14:paraId="4C4A9019">
      <w:pPr>
        <w:snapToGrid w:val="0"/>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（一）采购人：重庆市射击运动学校</w:t>
      </w:r>
    </w:p>
    <w:p w14:paraId="487EF41A">
      <w:pPr>
        <w:snapToGrid w:val="0"/>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联系人：舒老师</w:t>
      </w:r>
    </w:p>
    <w:p w14:paraId="495C6611">
      <w:pPr>
        <w:snapToGrid w:val="0"/>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电  话：</w:t>
      </w:r>
      <w:r>
        <w:rPr>
          <w:rFonts w:ascii="微软雅黑" w:hAnsi="微软雅黑" w:eastAsia="微软雅黑" w:cs="Times New Roman"/>
          <w:sz w:val="24"/>
          <w:szCs w:val="24"/>
        </w:rPr>
        <w:t>18623178911</w:t>
      </w:r>
    </w:p>
    <w:p w14:paraId="39C0BBC1">
      <w:pPr>
        <w:snapToGrid w:val="0"/>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（二）采购代理机构：重庆龙源建设工程造价有限公司</w:t>
      </w:r>
    </w:p>
    <w:p w14:paraId="350BDF77">
      <w:pPr>
        <w:snapToGrid w:val="0"/>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联系人：王太杭</w:t>
      </w:r>
    </w:p>
    <w:p w14:paraId="2380B7BF">
      <w:pPr>
        <w:snapToGrid w:val="0"/>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电  话：13193118555</w:t>
      </w:r>
    </w:p>
    <w:p w14:paraId="052EA76A">
      <w:pPr>
        <w:snapToGrid w:val="0"/>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地  址：重庆江北区建新西路中冶大厦</w:t>
      </w:r>
      <w:r>
        <w:rPr>
          <w:rFonts w:ascii="微软雅黑" w:hAnsi="微软雅黑" w:eastAsia="微软雅黑" w:cs="Times New Roman"/>
          <w:sz w:val="24"/>
          <w:szCs w:val="24"/>
        </w:rPr>
        <w:t>5楼B座</w:t>
      </w:r>
    </w:p>
    <w:p w14:paraId="753488AD">
      <w:pPr>
        <w:snapToGrid w:val="0"/>
        <w:spacing w:line="3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邮  编：</w:t>
      </w:r>
      <w:r>
        <w:rPr>
          <w:rFonts w:ascii="微软雅黑" w:hAnsi="微软雅黑" w:eastAsia="微软雅黑" w:cs="Times New Roman"/>
          <w:sz w:val="24"/>
          <w:szCs w:val="24"/>
        </w:rPr>
        <w:t>400020</w:t>
      </w:r>
    </w:p>
    <w:p w14:paraId="758A7550">
      <w:pPr>
        <w:widowControl/>
        <w:jc w:val="left"/>
        <w:outlineLvl w:val="0"/>
        <w:rPr>
          <w:rFonts w:ascii="微软雅黑" w:hAnsi="微软雅黑" w:eastAsia="微软雅黑" w:cs="Times New Roman"/>
          <w:sz w:val="32"/>
          <w:szCs w:val="30"/>
        </w:rPr>
      </w:pPr>
      <w:r>
        <w:rPr>
          <w:rFonts w:ascii="微软雅黑" w:hAnsi="微软雅黑" w:eastAsia="微软雅黑" w:cs="Times New Roman"/>
          <w:sz w:val="36"/>
          <w:szCs w:val="30"/>
        </w:rPr>
        <w:br w:type="page"/>
      </w:r>
      <w:bookmarkStart w:id="25" w:name="_Toc21265"/>
      <w:r>
        <w:rPr>
          <w:rFonts w:hint="eastAsia" w:ascii="微软雅黑" w:hAnsi="微软雅黑" w:eastAsia="微软雅黑" w:cs="Times New Roman"/>
          <w:sz w:val="36"/>
          <w:szCs w:val="30"/>
        </w:rPr>
        <w:t>第二篇  投标人须知</w:t>
      </w:r>
      <w:bookmarkEnd w:id="25"/>
    </w:p>
    <w:p w14:paraId="6F6F9263">
      <w:pPr>
        <w:keepNext/>
        <w:keepLines/>
        <w:spacing w:before="260" w:after="260" w:line="360" w:lineRule="auto"/>
        <w:outlineLvl w:val="1"/>
        <w:rPr>
          <w:rFonts w:ascii="微软雅黑" w:hAnsi="微软雅黑" w:eastAsia="微软雅黑" w:cs="Times New Roman"/>
          <w:b/>
          <w:sz w:val="24"/>
          <w:szCs w:val="24"/>
        </w:rPr>
      </w:pPr>
      <w:bookmarkStart w:id="26" w:name="_Toc342913389"/>
      <w:bookmarkStart w:id="27" w:name="_Toc423007322"/>
      <w:r>
        <w:rPr>
          <w:rFonts w:hint="eastAsia" w:ascii="微软雅黑" w:hAnsi="微软雅黑" w:eastAsia="微软雅黑" w:cs="Times New Roman"/>
          <w:b/>
          <w:sz w:val="24"/>
          <w:szCs w:val="24"/>
        </w:rPr>
        <w:t>一、谈判费用</w:t>
      </w:r>
      <w:bookmarkEnd w:id="26"/>
      <w:bookmarkEnd w:id="27"/>
    </w:p>
    <w:p w14:paraId="7EB3EB6C">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参与谈判的投标人应承担其编制响应文件与递交响应文件所涉及的一切费用，不论谈判结果如何，采购人和交易中心任何情况下无义务也无责任承担这些费用。</w:t>
      </w:r>
    </w:p>
    <w:p w14:paraId="55A6BD2E">
      <w:pPr>
        <w:keepNext/>
        <w:keepLines/>
        <w:tabs>
          <w:tab w:val="left" w:pos="2640"/>
        </w:tabs>
        <w:spacing w:before="260" w:after="260" w:line="360" w:lineRule="auto"/>
        <w:outlineLvl w:val="1"/>
        <w:rPr>
          <w:rFonts w:ascii="微软雅黑" w:hAnsi="微软雅黑" w:eastAsia="微软雅黑" w:cs="Times New Roman"/>
          <w:b/>
          <w:sz w:val="24"/>
          <w:szCs w:val="24"/>
        </w:rPr>
      </w:pPr>
      <w:bookmarkStart w:id="28" w:name="_Toc423007323"/>
      <w:bookmarkStart w:id="29" w:name="_Toc342913391"/>
      <w:r>
        <w:rPr>
          <w:rFonts w:hint="eastAsia" w:ascii="微软雅黑" w:hAnsi="微软雅黑" w:eastAsia="微软雅黑" w:cs="Times New Roman"/>
          <w:b/>
          <w:sz w:val="24"/>
          <w:szCs w:val="24"/>
        </w:rPr>
        <w:t>二、竞争性谈判文件</w:t>
      </w:r>
      <w:bookmarkEnd w:id="28"/>
      <w:bookmarkEnd w:id="29"/>
      <w:r>
        <w:rPr>
          <w:rFonts w:ascii="微软雅黑" w:hAnsi="微软雅黑" w:eastAsia="微软雅黑" w:cs="Times New Roman"/>
          <w:b/>
          <w:sz w:val="24"/>
          <w:szCs w:val="24"/>
        </w:rPr>
        <w:tab/>
      </w:r>
    </w:p>
    <w:p w14:paraId="2467A7F6">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1、竞争性谈判文件由竞争性谈判邀请书、投标人须知、谈判项目技术和商务需求、合同草案条款、响应文件格式要求五部分组成。</w:t>
      </w:r>
    </w:p>
    <w:p w14:paraId="62858C4C">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2、交易中心所作的一切有效的书面通知、修改及补充，都是竞争性谈判文件不可分割的部分。</w:t>
      </w:r>
    </w:p>
    <w:p w14:paraId="05090E6E">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3、竞争性谈判文件的解释</w:t>
      </w:r>
    </w:p>
    <w:p w14:paraId="55A0946A">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投标人如对竞争性谈判文件有疑问，必须以书面形式在谈判截止时间2个工作日前向采购人（或交易中心）要求澄清，采购人（或交易中心）可视具体情况做出处理或答复。如投标人未提出疑问，视为完全理解并同意本竞争性谈判文件。一经进入谈判程序，即视为投标人已详细阅读全部文件资料，完全理解竞争性谈判文件所有条款内容并同意放弃对这方面有不明白及误解的权利。</w:t>
      </w:r>
      <w:bookmarkStart w:id="30" w:name="_Toc318159780"/>
      <w:bookmarkStart w:id="31" w:name="_Toc318159160"/>
      <w:bookmarkStart w:id="32" w:name="_Toc318166429"/>
      <w:bookmarkStart w:id="33" w:name="_Toc318159349"/>
    </w:p>
    <w:p w14:paraId="2CD49E2E">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4、本竞争性谈判文件中，谈判小组根据与投标人谈判情况可能实质性变动的内容为竞争性谈判文件第三篇全部内容。</w:t>
      </w:r>
    </w:p>
    <w:bookmarkEnd w:id="30"/>
    <w:bookmarkEnd w:id="31"/>
    <w:bookmarkEnd w:id="32"/>
    <w:bookmarkEnd w:id="33"/>
    <w:p w14:paraId="0B4D8C65">
      <w:pPr>
        <w:keepNext/>
        <w:keepLines/>
        <w:tabs>
          <w:tab w:val="left" w:pos="2640"/>
        </w:tabs>
        <w:spacing w:before="260" w:after="260" w:line="360" w:lineRule="auto"/>
        <w:outlineLvl w:val="1"/>
        <w:rPr>
          <w:rFonts w:ascii="微软雅黑" w:hAnsi="微软雅黑" w:eastAsia="微软雅黑" w:cs="Times New Roman"/>
          <w:b/>
          <w:sz w:val="24"/>
          <w:szCs w:val="24"/>
        </w:rPr>
      </w:pPr>
      <w:bookmarkStart w:id="34" w:name="_Toc179714297"/>
      <w:bookmarkStart w:id="35" w:name="_Toc102227318"/>
      <w:bookmarkStart w:id="36" w:name="_Toc342913392"/>
      <w:bookmarkStart w:id="37" w:name="_Toc423007324"/>
      <w:r>
        <w:rPr>
          <w:rFonts w:hint="eastAsia" w:ascii="微软雅黑" w:hAnsi="微软雅黑" w:eastAsia="微软雅黑" w:cs="Times New Roman"/>
          <w:b/>
          <w:sz w:val="24"/>
          <w:szCs w:val="24"/>
        </w:rPr>
        <w:t>三、谈判要求</w:t>
      </w:r>
      <w:bookmarkEnd w:id="34"/>
      <w:bookmarkEnd w:id="35"/>
      <w:bookmarkEnd w:id="36"/>
      <w:bookmarkEnd w:id="37"/>
    </w:p>
    <w:p w14:paraId="68C42F27">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1、响应文件</w:t>
      </w:r>
    </w:p>
    <w:p w14:paraId="6A59A4E7">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投标人应当按照竞争性谈判文件的要求编制响应文件，并对竞争性谈判文件提出的要求和条件作出实质性响应，响应文件原则上采用软面订本，同时应编制完整的页码、目录。</w:t>
      </w:r>
    </w:p>
    <w:p w14:paraId="3014F508">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1.1响应文件组成</w:t>
      </w:r>
    </w:p>
    <w:p w14:paraId="4581A97F">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响应文件由第五篇“响应文件格式要求”规定的部分和投标人所作的一切有效补充、修改和承诺等文件组成，投标人应按照第五篇“响应文件格式”规定的目录顺序组织编写和装订，也可在基本格式基础上对表格进行扩展，未规定格式的由投标人自定格式。</w:t>
      </w:r>
    </w:p>
    <w:p w14:paraId="319418F0">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1.2本项目不接受联合投标。</w:t>
      </w:r>
    </w:p>
    <w:p w14:paraId="5EE26383">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1.3谈判有效期：响应文件及有关承诺文件有效期为谈判开始时间起90天。</w:t>
      </w:r>
    </w:p>
    <w:p w14:paraId="74E25F9C">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2、保证金：</w:t>
      </w:r>
    </w:p>
    <w:p w14:paraId="4F00CD6A">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2.1投标人提交保证金金额和方式详见“第一篇  五、</w:t>
      </w:r>
      <w:r>
        <w:rPr>
          <w:rFonts w:hint="eastAsia" w:ascii="微软雅黑" w:hAnsi="微软雅黑" w:eastAsia="微软雅黑" w:cs="Times New Roman"/>
          <w:b/>
          <w:bCs/>
          <w:sz w:val="24"/>
          <w:szCs w:val="24"/>
        </w:rPr>
        <w:t>保证金</w:t>
      </w:r>
      <w:r>
        <w:rPr>
          <w:rFonts w:hint="eastAsia" w:ascii="微软雅黑" w:hAnsi="微软雅黑" w:eastAsia="微软雅黑" w:cs="Times New Roman"/>
          <w:sz w:val="24"/>
          <w:szCs w:val="24"/>
        </w:rPr>
        <w:t>”；</w:t>
      </w:r>
    </w:p>
    <w:p w14:paraId="16C43C5A">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2.2发生以下情况之一者，保证金不予退还：</w:t>
      </w:r>
    </w:p>
    <w:p w14:paraId="5ADD3EAF">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2.2.1投标人在提交响应文件截止时间后撤回响应文件的；</w:t>
      </w:r>
    </w:p>
    <w:p w14:paraId="32DF693D">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2.2.2投标人在响应文件中提供虚假材料的；</w:t>
      </w:r>
    </w:p>
    <w:p w14:paraId="341B5C37">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2.2.3除因不可抗力或竞争性谈判文件认可的情形以外，成交投标人不与采购人签订合同的；</w:t>
      </w:r>
    </w:p>
    <w:p w14:paraId="4566699C">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2.2.4投标人与采购人、其他投标人或者采购代理机构恶意串通的；</w:t>
      </w:r>
    </w:p>
    <w:p w14:paraId="054B43B1">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2.2.5成交投标人不按规定的时间或拒绝按成交状态签订合同（即不按照采购文件确定的合同文本以及采购标的、规格型号、采购金额、采购数量、技术和服务要求等事项签订政府采购合同的）。</w:t>
      </w:r>
    </w:p>
    <w:p w14:paraId="6F82F2AE">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3、报价要求</w:t>
      </w:r>
    </w:p>
    <w:p w14:paraId="19CE82B4">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因成交投标人自身原因造成漏报、少报皆由其自行承担责任，采购人不再补偿。</w:t>
      </w:r>
    </w:p>
    <w:p w14:paraId="22FD6527">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4、修正错误</w:t>
      </w:r>
    </w:p>
    <w:p w14:paraId="7B5413FE">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若投标人所递交的响应文件或最后报价中的价格出现大写金额和小写金额不一致的错误，以大写金额修正为准，合同范本与采购文件不一致时，以采购文件为准。</w:t>
      </w:r>
    </w:p>
    <w:p w14:paraId="48C39D74">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谈判小组按上述修正错误的原则及方法修正投标人的报价，投标人同意并签字确认后，修正后的报价对投标人具有约束作用。如果投标人不接受修正后的价格，将失去成为成交投标人的资格。</w:t>
      </w:r>
    </w:p>
    <w:p w14:paraId="3948921D">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5、提交响应文件的份数和签署</w:t>
      </w:r>
    </w:p>
    <w:p w14:paraId="2136791B">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5.1响应文件一式二份，其中正本一份，副本二份，副本可为正本的复印件，应与正本一致，如出现不一致情况以正本为准。</w:t>
      </w:r>
    </w:p>
    <w:p w14:paraId="750280F8">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5.2在响应文件正本中，竞争性谈判文件第五篇响应文件格式中规定签字、盖章的地方必须按其规定签字、盖章。</w:t>
      </w:r>
    </w:p>
    <w:p w14:paraId="4D7B79B3">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6、响应文件的递交</w:t>
      </w:r>
    </w:p>
    <w:p w14:paraId="7A4ED995">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6.1响应文件的密封与标记</w:t>
      </w:r>
    </w:p>
    <w:p w14:paraId="524211A8">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响应文件的正本、副本均采用信封分别密封。信封上注明项目名称、投标人名称、“正本”、“副本”、字样。信封的应加盖投标人公章或法人授权代表签字或法定代表人签字。</w:t>
      </w:r>
    </w:p>
    <w:p w14:paraId="5CB2AE7C">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如未按上述密封和标识，公共资源综合交易中心可以拒绝接收。</w:t>
      </w:r>
    </w:p>
    <w:p w14:paraId="6D83EFF2">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6.2响应文件投递截止时间：参阅竞争性谈判邀请书。</w:t>
      </w:r>
    </w:p>
    <w:p w14:paraId="11D67312">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7、响应文件语言：简体中文</w:t>
      </w:r>
    </w:p>
    <w:p w14:paraId="7A7282E8">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8、投标人参与人员</w:t>
      </w:r>
    </w:p>
    <w:p w14:paraId="1D9695FC">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各个投标人可派1-2名代表参与谈判，至少1人应为法定代表人或具有法定代表人授权委托书的授权代表。</w:t>
      </w:r>
    </w:p>
    <w:p w14:paraId="5B39365E">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9、无效谈判</w:t>
      </w:r>
    </w:p>
    <w:p w14:paraId="65291DF4">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投标人发生以下条款情况之一者，视为无效谈判，其响应文件将被拒绝：</w:t>
      </w:r>
    </w:p>
    <w:p w14:paraId="6CCBD3B3">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9.1不符合规定的基本资格条件或其他资格条件；</w:t>
      </w:r>
    </w:p>
    <w:p w14:paraId="71D2D96D">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9.2法定代表人或其授权代表未参加谈判；</w:t>
      </w:r>
    </w:p>
    <w:p w14:paraId="780FB390">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9.3投标人未按照竞争性谈判文件的要求缴纳保证金；</w:t>
      </w:r>
    </w:p>
    <w:p w14:paraId="4A48EDCB">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9.4响应文件不按规定签字、盖章；</w:t>
      </w:r>
    </w:p>
    <w:p w14:paraId="7B3738C1">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9.5第一次报价超过采购预算；</w:t>
      </w:r>
    </w:p>
    <w:p w14:paraId="6FB797CC">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9.6投标人响应文件内容有与国家现行法律法规相违背的内容，或附有采购人无法接受的条件。</w:t>
      </w:r>
    </w:p>
    <w:p w14:paraId="626BFBB9">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9.7未带相应原件的。</w:t>
      </w:r>
    </w:p>
    <w:p w14:paraId="786BD43D">
      <w:pPr>
        <w:keepNext/>
        <w:keepLines/>
        <w:spacing w:line="360" w:lineRule="auto"/>
        <w:outlineLvl w:val="1"/>
        <w:rPr>
          <w:rFonts w:ascii="微软雅黑" w:hAnsi="微软雅黑" w:eastAsia="微软雅黑" w:cs="Times New Roman"/>
          <w:b/>
          <w:sz w:val="24"/>
          <w:szCs w:val="24"/>
        </w:rPr>
      </w:pPr>
      <w:bookmarkStart w:id="38" w:name="_Toc423007325"/>
      <w:bookmarkStart w:id="39" w:name="_Toc102227319"/>
      <w:bookmarkStart w:id="40" w:name="_Toc179714298"/>
      <w:bookmarkStart w:id="41" w:name="_Toc342913393"/>
      <w:r>
        <w:rPr>
          <w:rFonts w:hint="eastAsia" w:ascii="微软雅黑" w:hAnsi="微软雅黑" w:eastAsia="微软雅黑" w:cs="Times New Roman"/>
          <w:b/>
          <w:sz w:val="24"/>
          <w:szCs w:val="24"/>
        </w:rPr>
        <w:t>四、谈判程序</w:t>
      </w:r>
      <w:bookmarkEnd w:id="38"/>
      <w:bookmarkEnd w:id="39"/>
      <w:bookmarkEnd w:id="40"/>
      <w:bookmarkEnd w:id="41"/>
    </w:p>
    <w:p w14:paraId="4EBC36B0">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1、谈判按竞争性谈判文件规定的时间和地点进行。投标人须有法定代表人或其授权代表参加并签到。</w:t>
      </w:r>
    </w:p>
    <w:p w14:paraId="1691B6F4">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竞争性谈判以抽签的形式确定谈判顺序，由本项目谈判小组分别与各投标人进行谈判。在正式谈判前，对各投标人的资格条件、响应文件的有效性、完整性和响应程度进行审查，审查的内容包括投标人营业执照和诚信声明、特定资格条件证明文件、投标人法定代表人身份证明书和授权代表委托书身份证明等。各投标人只有在完全符合谈判要求的前提下，才能参与正式谈判。</w:t>
      </w:r>
    </w:p>
    <w:p w14:paraId="00A32E11">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3、谈判小组在对响应文件的有效性、完整性和响应程度进行审查时，可以要求投标人对响应文件中含义不明确、同类问题表述不一致或者有明显文字和计算错误的内容等作出必要的澄清、说明或者更正。投标人的澄清、说明或者更正不得超出响应文件的范围或者改变响应文件的实质性内容。</w:t>
      </w:r>
    </w:p>
    <w:p w14:paraId="0F2FCD79">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4、谈判小组要求投标人澄清、说明或者更正响应文件应当以书面形式作出。投标人的澄清、说明或者更正应当由法定代表人或其授权代表签字或者加盖公章。由授权代表签字的，应当附法定代表人授权书。投标人为自然人的，应当由本人签字并附身份证明。</w:t>
      </w:r>
    </w:p>
    <w:p w14:paraId="5AD60D1F">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5、在谈判过程中谈判的任何一方不得向他人透露与谈判有关的技术资料、价格或其他信息。</w:t>
      </w:r>
    </w:p>
    <w:p w14:paraId="7AC8505B">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6、在谈判过程中，谈判小组可以根据竞争性谈判文件和谈判情况实质性变动采购需求中的技术、服务要求以及合同草案条款，但不得变动竞争性谈判文件中的其他内容。实质性变动的内容，须经采购人代表确认。对竞争性谈判文件作出的实质性变动是竞争性谈判谈判文件的有效组成部分，谈判小组应当及时以书面形式同时通知所有参加谈判的投标人。投标人应当按照竞争性谈判文件的变动情况和谈判小组的</w:t>
      </w:r>
      <w:r>
        <w:rPr>
          <w:rFonts w:hint="eastAsia" w:ascii="微软雅黑" w:hAnsi="微软雅黑" w:eastAsia="微软雅黑" w:cs="Times New Roman"/>
          <w:b/>
          <w:color w:val="FF0000"/>
          <w:sz w:val="24"/>
          <w:szCs w:val="24"/>
        </w:rPr>
        <w:t>可</w:t>
      </w:r>
      <w:r>
        <w:rPr>
          <w:rFonts w:hint="eastAsia" w:ascii="微软雅黑" w:hAnsi="微软雅黑" w:eastAsia="微软雅黑" w:cs="Times New Roman"/>
          <w:sz w:val="24"/>
          <w:szCs w:val="24"/>
        </w:rPr>
        <w:t>要求</w:t>
      </w:r>
      <w:r>
        <w:rPr>
          <w:rFonts w:hint="eastAsia" w:ascii="微软雅黑" w:hAnsi="微软雅黑" w:eastAsia="微软雅黑" w:cs="Times New Roman"/>
          <w:b/>
          <w:sz w:val="24"/>
          <w:szCs w:val="24"/>
        </w:rPr>
        <w:t>重新提交响应文件或重新做出相关的书面承诺，并报出最佳服务，最后统一报价</w:t>
      </w:r>
      <w:r>
        <w:rPr>
          <w:rFonts w:hint="eastAsia" w:ascii="微软雅黑" w:hAnsi="微软雅黑" w:eastAsia="微软雅黑" w:cs="Times New Roman"/>
          <w:sz w:val="24"/>
          <w:szCs w:val="24"/>
        </w:rPr>
        <w:t>。</w:t>
      </w:r>
    </w:p>
    <w:p w14:paraId="13370FF2">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7、投标人在谈判时作出的所有书面承诺须由法定代表人或其授权代表签字。</w:t>
      </w:r>
    </w:p>
    <w:p w14:paraId="0A5BE206">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8、谈判结束后，谈判小组要求所有参加正式谈判的投标人在规定时间内同时书面提交最后报价及有关承诺（填写《最终报价函》并提交）。已提交响应文件但</w:t>
      </w:r>
      <w:r>
        <w:rPr>
          <w:rFonts w:hint="eastAsia" w:ascii="微软雅黑" w:hAnsi="微软雅黑" w:eastAsia="微软雅黑" w:cs="Times New Roman"/>
          <w:b/>
          <w:sz w:val="24"/>
          <w:szCs w:val="24"/>
        </w:rPr>
        <w:t>未按谈判小组要求</w:t>
      </w:r>
      <w:r>
        <w:rPr>
          <w:rFonts w:hint="eastAsia" w:ascii="微软雅黑" w:hAnsi="微软雅黑" w:eastAsia="微软雅黑" w:cs="Times New Roman"/>
          <w:sz w:val="24"/>
          <w:szCs w:val="24"/>
        </w:rPr>
        <w:t>在规定时间内进行最后报价的投标人，视为放弃最后报价，以投标人响应文件中的报价为准。</w:t>
      </w:r>
    </w:p>
    <w:p w14:paraId="6E1C87BB">
      <w:pPr>
        <w:keepNext/>
        <w:keepLines/>
        <w:spacing w:line="360" w:lineRule="auto"/>
        <w:outlineLvl w:val="1"/>
        <w:rPr>
          <w:rFonts w:ascii="微软雅黑" w:hAnsi="微软雅黑" w:eastAsia="微软雅黑" w:cs="Times New Roman"/>
          <w:b/>
          <w:sz w:val="24"/>
          <w:szCs w:val="24"/>
        </w:rPr>
      </w:pPr>
      <w:bookmarkStart w:id="42" w:name="_Toc423007326"/>
      <w:bookmarkStart w:id="43" w:name="_Toc102227320"/>
      <w:bookmarkStart w:id="44" w:name="_Toc342913394"/>
      <w:r>
        <w:rPr>
          <w:rFonts w:hint="eastAsia" w:ascii="微软雅黑" w:hAnsi="微软雅黑" w:eastAsia="微软雅黑" w:cs="Times New Roman"/>
          <w:b/>
          <w:sz w:val="24"/>
          <w:szCs w:val="24"/>
        </w:rPr>
        <w:t>五、评审依据</w:t>
      </w:r>
      <w:bookmarkEnd w:id="42"/>
    </w:p>
    <w:p w14:paraId="7367220E">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评审的依据为竞争性谈判文件和响应文件（含有效的补充文件）。谈判小组判断响应文件对竞争性谈判文件的响应，仅基于响应文件本身而不靠外部证据。</w:t>
      </w:r>
    </w:p>
    <w:p w14:paraId="39B9DAC4">
      <w:pPr>
        <w:keepNext/>
        <w:keepLines/>
        <w:spacing w:line="360" w:lineRule="auto"/>
        <w:outlineLvl w:val="1"/>
        <w:rPr>
          <w:rFonts w:ascii="微软雅黑" w:hAnsi="微软雅黑" w:eastAsia="微软雅黑" w:cs="Times New Roman"/>
          <w:b/>
          <w:sz w:val="24"/>
          <w:szCs w:val="24"/>
        </w:rPr>
      </w:pPr>
      <w:bookmarkStart w:id="45" w:name="_Toc423007327"/>
      <w:r>
        <w:rPr>
          <w:rFonts w:hint="eastAsia" w:ascii="微软雅黑" w:hAnsi="微软雅黑" w:eastAsia="微软雅黑" w:cs="Times New Roman"/>
          <w:b/>
          <w:sz w:val="24"/>
          <w:szCs w:val="24"/>
        </w:rPr>
        <w:t>六、成交</w:t>
      </w:r>
      <w:bookmarkEnd w:id="43"/>
      <w:r>
        <w:rPr>
          <w:rFonts w:hint="eastAsia" w:ascii="微软雅黑" w:hAnsi="微软雅黑" w:eastAsia="微软雅黑" w:cs="Times New Roman"/>
          <w:b/>
          <w:sz w:val="24"/>
          <w:szCs w:val="24"/>
        </w:rPr>
        <w:t>原则</w:t>
      </w:r>
      <w:bookmarkEnd w:id="44"/>
      <w:bookmarkEnd w:id="45"/>
    </w:p>
    <w:p w14:paraId="603283EB">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1、评审办法</w:t>
      </w:r>
    </w:p>
    <w:p w14:paraId="60A4B978">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1.1谈判小组将依照本竞争性谈判文件相关规定对质量和服务均能满足竞争性谈判实质性响应要求的投标人所提交的最后报价由低到高的顺序提出3名以上成交候选人，并编写评审报告。</w:t>
      </w:r>
    </w:p>
    <w:p w14:paraId="02C9D171">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1.2若投标人的最后报价价格相同，按技术参数（条款）的优劣顺序排列；以上都相同的，按服务条款的优劣顺序排列。</w:t>
      </w:r>
    </w:p>
    <w:p w14:paraId="72BA0220">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1.3成交价格=成交人的最后报价</w:t>
      </w:r>
    </w:p>
    <w:p w14:paraId="26075713">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2、评审细则：</w:t>
      </w:r>
    </w:p>
    <w:p w14:paraId="1311C1A8">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2.1 资格符合性检查</w:t>
      </w:r>
    </w:p>
    <w:p w14:paraId="7A86DDF2">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依据法律法规和竞争性谈判文件的规定，对投标人的资格证明、保证金等进行审查，以确定投标人是否具备谈判资格。</w:t>
      </w:r>
    </w:p>
    <w:p w14:paraId="7E8583A0">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2.2对响应文件的有效性、完整性和响应程度检查</w:t>
      </w:r>
    </w:p>
    <w:p w14:paraId="6970F2D1">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依据竞争性谈判文件的规定，对投标人的响应文件从质量、服务等方面进行审查，以确定投标人是否实质性响应竞争性谈判文件的要求。对技术、服务未作实质性响应的投标人，谈判小组将要求其在最后报价前做出相应的承诺。</w:t>
      </w:r>
    </w:p>
    <w:p w14:paraId="7ABB13D0">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2.3成交投标人的确定：</w:t>
      </w:r>
    </w:p>
    <w:p w14:paraId="3ADA9CE1">
      <w:pPr>
        <w:snapToGrid w:val="0"/>
        <w:spacing w:line="380" w:lineRule="exact"/>
        <w:ind w:firstLine="480" w:firstLineChars="200"/>
        <w:rPr>
          <w:rFonts w:ascii="微软雅黑" w:hAnsi="微软雅黑" w:eastAsia="微软雅黑" w:cs="Times New Roman"/>
          <w:b/>
          <w:bCs/>
          <w:sz w:val="24"/>
          <w:szCs w:val="24"/>
        </w:rPr>
      </w:pPr>
      <w:r>
        <w:rPr>
          <w:rFonts w:hint="eastAsia" w:ascii="微软雅黑" w:hAnsi="微软雅黑" w:eastAsia="微软雅黑" w:cs="Times New Roman"/>
          <w:b/>
          <w:bCs/>
          <w:sz w:val="24"/>
          <w:szCs w:val="24"/>
        </w:rPr>
        <w:t>2.3.1“第三篇 谈判项目技术需求”有一条及以上不能满足竞争性谈判文件要求的投标人将失去成为成交投标人的资格；</w:t>
      </w:r>
    </w:p>
    <w:p w14:paraId="16677CC4">
      <w:pPr>
        <w:snapToGrid w:val="0"/>
        <w:spacing w:line="380" w:lineRule="exact"/>
        <w:ind w:firstLine="480" w:firstLineChars="200"/>
        <w:rPr>
          <w:rFonts w:ascii="微软雅黑" w:hAnsi="微软雅黑" w:eastAsia="微软雅黑" w:cs="Times New Roman"/>
          <w:b/>
          <w:bCs/>
          <w:sz w:val="24"/>
          <w:szCs w:val="24"/>
        </w:rPr>
      </w:pPr>
      <w:r>
        <w:rPr>
          <w:rFonts w:hint="eastAsia" w:ascii="微软雅黑" w:hAnsi="微软雅黑" w:eastAsia="微软雅黑" w:cs="Times New Roman"/>
          <w:b/>
          <w:bCs/>
          <w:sz w:val="24"/>
          <w:szCs w:val="24"/>
        </w:rPr>
        <w:t>2.3.2“第三篇 谈判项目商务需求”有一条及以上不能满足竞争性谈判文件要求的投标人将失去成为成交投标人的资格。</w:t>
      </w:r>
    </w:p>
    <w:p w14:paraId="39680E2F">
      <w:pPr>
        <w:snapToGrid w:val="0"/>
        <w:spacing w:line="380" w:lineRule="exact"/>
        <w:ind w:firstLine="480" w:firstLineChars="200"/>
        <w:rPr>
          <w:rFonts w:ascii="微软雅黑" w:hAnsi="微软雅黑" w:eastAsia="微软雅黑" w:cs="Times New Roman"/>
          <w:b/>
          <w:bCs/>
          <w:sz w:val="24"/>
          <w:szCs w:val="24"/>
        </w:rPr>
      </w:pPr>
      <w:r>
        <w:rPr>
          <w:rFonts w:hint="eastAsia" w:ascii="微软雅黑" w:hAnsi="微软雅黑" w:eastAsia="微软雅黑" w:cs="Times New Roman"/>
          <w:b/>
          <w:bCs/>
          <w:sz w:val="24"/>
          <w:szCs w:val="24"/>
        </w:rPr>
        <w:t>2.3.3谈判小组认为，排在前面的成交候选人的最后报价或者某些分项报价明显不合理或者低于成本，有可能影响商品质量和不能诚信履约的，将要求其在规定的期限内提供书面文件予以解释说明，并提交相关证明材料；否则，谈判小组可以取消该成交候选人成为成交投标人的资格，按顺序由排在后面的成交候选人递补，以此类推。</w:t>
      </w:r>
    </w:p>
    <w:p w14:paraId="6EE6C811">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2.3.4谈判小组将依照评审办法提出3名以上成交候选人。</w:t>
      </w:r>
    </w:p>
    <w:p w14:paraId="77CE218D">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2.3.5采购代理机构评审结束后2个工作日内将评审报告送采购人确认。采购人应当在收到评审报告后5个工作日内，从评审报告提出的成交候选人中，根据质量和服务均能满足采购文件实质性响应要求且最后报价最低的原则确定成交投标人，也可以书面授权谈判小组直接确定成交投标人。采购人逾期未确定成交投标人且不提出异议的，视为确定评审报告提出的最后报价最低的投标人为成交投标人。</w:t>
      </w:r>
    </w:p>
    <w:p w14:paraId="75CD8C5A">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2.4成交投标人的变更</w:t>
      </w:r>
    </w:p>
    <w:p w14:paraId="2BDE5719">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2.4.1若为下列情况之一的，成交投标人因不可抗力或者自身原因不能履行合同的，采购人可以确定排名其后一位的成交候选人为成交投标人。排名第一的成交候选人放弃成交资格后，排名第二或第三的成交候选人按次序确定为成交人的，其投标报价高于第一中标候选人投标报价的，须以第一成交候选人的投标价格为成交价格，其投标价格低于第一成交候选人投标报价的，以其实际投标价格为成交价格。</w:t>
      </w:r>
    </w:p>
    <w:p w14:paraId="46629DDC">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2.4.2成交投标人无充分理由放弃成交的，采购人将会同交易中心把相关情况报财政部门，财政部门将根据财政部十八号令第七十五条的规定对违规投标人进行处罚。</w:t>
      </w:r>
    </w:p>
    <w:p w14:paraId="545CDA09">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2.5出现下列情形之一的，采购人或者交易中心应当终止竞争性谈判采购活动，发布项目终止公告并说明原因，重新开展采购活动：</w:t>
      </w:r>
    </w:p>
    <w:p w14:paraId="4526AA35">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2.5.1因情况变化，不再符合规定的竞争性谈判采购方式适用情形的；</w:t>
      </w:r>
    </w:p>
    <w:p w14:paraId="0314B712">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2.5.2出现影响采购公正的违法、违规行为的；</w:t>
      </w:r>
    </w:p>
    <w:p w14:paraId="680E7F35">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2.5.3在采购过程中符合竞争要求的投标人或者报价未超过采购预算的投标人不足3家的，但《政府采购非招标采购方式管理办法》第二十七条第二款规定的情形除外。</w:t>
      </w:r>
    </w:p>
    <w:p w14:paraId="2F2E8594">
      <w:pPr>
        <w:keepNext/>
        <w:keepLines/>
        <w:spacing w:line="360" w:lineRule="auto"/>
        <w:outlineLvl w:val="1"/>
        <w:rPr>
          <w:rFonts w:ascii="微软雅黑" w:hAnsi="微软雅黑" w:eastAsia="微软雅黑" w:cs="Times New Roman"/>
          <w:b/>
          <w:sz w:val="24"/>
          <w:szCs w:val="24"/>
        </w:rPr>
      </w:pPr>
      <w:bookmarkStart w:id="46" w:name="_Toc342913395"/>
      <w:bookmarkStart w:id="47" w:name="_Toc423007328"/>
      <w:bookmarkStart w:id="48" w:name="_Toc102227321"/>
      <w:r>
        <w:rPr>
          <w:rFonts w:hint="eastAsia" w:ascii="微软雅黑" w:hAnsi="微软雅黑" w:eastAsia="微软雅黑" w:cs="Times New Roman"/>
          <w:b/>
          <w:sz w:val="24"/>
          <w:szCs w:val="24"/>
        </w:rPr>
        <w:t>七、成交通知</w:t>
      </w:r>
      <w:bookmarkEnd w:id="46"/>
      <w:bookmarkEnd w:id="47"/>
      <w:bookmarkEnd w:id="48"/>
    </w:p>
    <w:p w14:paraId="068C65E8">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1、成交投标人确定后2个工作日内，“重庆市体育局网址”（</w:t>
      </w:r>
      <w:r>
        <w:fldChar w:fldCharType="begin"/>
      </w:r>
      <w:r>
        <w:instrText xml:space="preserve"> HYPERLINK "http://www.cqgp.gov.cn/" </w:instrText>
      </w:r>
      <w:r>
        <w:fldChar w:fldCharType="separate"/>
      </w:r>
      <w:r>
        <w:rPr>
          <w:rFonts w:hint="eastAsia" w:ascii="微软雅黑" w:hAnsi="微软雅黑" w:eastAsia="微软雅黑" w:cs="Times New Roman"/>
          <w:sz w:val="24"/>
          <w:szCs w:val="24"/>
        </w:rPr>
        <w:t>http://tyj.cq.gov.cn/ty_portal/</w:t>
      </w:r>
      <w:r>
        <w:rPr>
          <w:rFonts w:hint="eastAsia" w:ascii="微软雅黑" w:hAnsi="微软雅黑" w:eastAsia="微软雅黑" w:cs="Times New Roman"/>
          <w:sz w:val="24"/>
          <w:szCs w:val="24"/>
        </w:rPr>
        <w:fldChar w:fldCharType="end"/>
      </w:r>
      <w:r>
        <w:rPr>
          <w:rFonts w:hint="eastAsia" w:ascii="微软雅黑" w:hAnsi="微软雅黑" w:eastAsia="微软雅黑" w:cs="Times New Roman"/>
          <w:sz w:val="24"/>
          <w:szCs w:val="24"/>
        </w:rPr>
        <w:t>）上发布成交结果预公示。</w:t>
      </w:r>
    </w:p>
    <w:p w14:paraId="55CDB337">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2、结果公告发出同时，交易中心将以书面形式发出《成交通知书》。《成交通知书》一经发出即发生法律效力。</w:t>
      </w:r>
    </w:p>
    <w:p w14:paraId="33759DC6">
      <w:pPr>
        <w:snapToGrid w:val="0"/>
        <w:spacing w:line="38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3、《成交通知书》将作为签订合同的依据。</w:t>
      </w:r>
    </w:p>
    <w:p w14:paraId="6B7E0A9B">
      <w:pPr>
        <w:snapToGrid w:val="0"/>
        <w:spacing w:line="380" w:lineRule="exact"/>
        <w:ind w:firstLine="480" w:firstLineChars="200"/>
        <w:rPr>
          <w:rFonts w:ascii="微软雅黑" w:hAnsi="微软雅黑" w:eastAsia="微软雅黑" w:cs="Times New Roman"/>
          <w:sz w:val="28"/>
          <w:szCs w:val="20"/>
        </w:rPr>
      </w:pPr>
      <w:r>
        <w:rPr>
          <w:rFonts w:hint="eastAsia" w:ascii="微软雅黑" w:hAnsi="微软雅黑" w:eastAsia="微软雅黑" w:cs="Times New Roman"/>
          <w:sz w:val="24"/>
          <w:szCs w:val="24"/>
        </w:rPr>
        <w:t>4、如有投标人对成交结果提出质疑的，在质疑处理完毕后发出成交通知书。</w:t>
      </w:r>
    </w:p>
    <w:p w14:paraId="6BAE6632">
      <w:pPr>
        <w:keepNext/>
        <w:keepLines/>
        <w:spacing w:line="360" w:lineRule="auto"/>
        <w:outlineLvl w:val="1"/>
        <w:rPr>
          <w:rFonts w:ascii="微软雅黑" w:hAnsi="微软雅黑" w:eastAsia="微软雅黑" w:cs="Times New Roman"/>
          <w:b/>
          <w:sz w:val="24"/>
          <w:szCs w:val="24"/>
        </w:rPr>
      </w:pPr>
      <w:bookmarkStart w:id="49" w:name="_Toc423007329"/>
      <w:r>
        <w:rPr>
          <w:rFonts w:hint="eastAsia" w:ascii="微软雅黑" w:hAnsi="微软雅黑" w:eastAsia="微软雅黑" w:cs="Times New Roman"/>
          <w:b/>
          <w:sz w:val="24"/>
          <w:szCs w:val="24"/>
        </w:rPr>
        <w:t>八、关于质疑和投诉</w:t>
      </w:r>
      <w:bookmarkEnd w:id="49"/>
    </w:p>
    <w:p w14:paraId="67141194">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（一）质疑内容、时限</w:t>
      </w:r>
    </w:p>
    <w:p w14:paraId="6BB426D1">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1、投标人对成交结果有异议的，应当在成交预公示发布之日起七个工作日内以书面形式向采购人（交易中心）提出质疑，并附相关证明材料。</w:t>
      </w:r>
    </w:p>
    <w:p w14:paraId="042B6914">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2、投标人对采购文件中投标人特定资格条件、技术质量和商务要求、评审标准及评审细则有异议的，应主要向采购人提出质疑，其他问题可向交易中心提出质疑。</w:t>
      </w:r>
    </w:p>
    <w:p w14:paraId="3C5BCB35">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（三）投诉</w:t>
      </w:r>
    </w:p>
    <w:p w14:paraId="166456A0">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1、投标人对采购人、交易中心的答复不满意或者采购人、交易中心未在规定时间内答复的，可在答复期满后十五个工作日内按有关规定，向同级财政部门投诉。</w:t>
      </w:r>
    </w:p>
    <w:p w14:paraId="275E146D">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2、在提出投诉时，应附送相关证明材料。投诉书及证明材料为外文的，应同时提供其中文译本；中文与外文意思不一致的，以中文为准。</w:t>
      </w:r>
    </w:p>
    <w:p w14:paraId="20ADEC2E">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3、在确定受理投诉后，财政部门自受理投诉之日起三十个工作日内对投诉事项做出处理决定，并将投诉处理决定书送达投诉人、被投诉人和其他与投诉处理决定有利害关系的政府采购相关当事人，同时在重庆市政府采购网公告投诉处理决定书。</w:t>
      </w:r>
    </w:p>
    <w:p w14:paraId="101961BA">
      <w:pPr>
        <w:keepNext/>
        <w:keepLines/>
        <w:spacing w:line="360" w:lineRule="auto"/>
        <w:outlineLvl w:val="1"/>
        <w:rPr>
          <w:rFonts w:ascii="微软雅黑" w:hAnsi="微软雅黑" w:eastAsia="微软雅黑" w:cs="Times New Roman"/>
          <w:b/>
          <w:sz w:val="24"/>
          <w:szCs w:val="24"/>
        </w:rPr>
      </w:pPr>
      <w:bookmarkStart w:id="50" w:name="_Toc102227322"/>
      <w:bookmarkStart w:id="51" w:name="_Toc423007330"/>
      <w:bookmarkStart w:id="52" w:name="_Toc342913396"/>
      <w:r>
        <w:rPr>
          <w:rFonts w:hint="eastAsia" w:ascii="微软雅黑" w:hAnsi="微软雅黑" w:eastAsia="微软雅黑" w:cs="Times New Roman"/>
          <w:b/>
          <w:sz w:val="24"/>
          <w:szCs w:val="24"/>
        </w:rPr>
        <w:t>九、签订</w:t>
      </w:r>
      <w:bookmarkEnd w:id="50"/>
      <w:r>
        <w:rPr>
          <w:rFonts w:hint="eastAsia" w:ascii="微软雅黑" w:hAnsi="微软雅黑" w:eastAsia="微软雅黑" w:cs="Times New Roman"/>
          <w:b/>
          <w:sz w:val="24"/>
          <w:szCs w:val="24"/>
        </w:rPr>
        <w:t>合同</w:t>
      </w:r>
      <w:bookmarkEnd w:id="51"/>
      <w:bookmarkEnd w:id="52"/>
    </w:p>
    <w:p w14:paraId="7EF3B1DC">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1、采购人与成交投标人应当在成交通知书发出之日起5日内，按照采购文件确定的合同文本以及采购标的、项目施工范围、采购金额、采购数量、技术和服务、人员配备要求等事项签订政府采购合同。</w:t>
      </w:r>
    </w:p>
    <w:p w14:paraId="616BE249">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2、竞争性谈判文件、成交投标人的响应文件及有效承诺文件等，均为签订合同的依据。</w:t>
      </w:r>
    </w:p>
    <w:p w14:paraId="58AC6BA7">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3、如成交投标人放弃成交项目或在签订合同时擅自改变成交状态的，采购人将按照相关法律法规处理。</w:t>
      </w:r>
    </w:p>
    <w:p w14:paraId="182CB878">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4、采购人不得向成交投标人提出超出竞争性谈判以外的任何要求作为签订合同的条件，不得与成交投标人订立背离竞争性谈判确定的合同文本以及采购标的、项目施工范围、采购金额、采购数量、技术和服务、人员配备要求等实质性内容的协议。</w:t>
      </w:r>
    </w:p>
    <w:p w14:paraId="39872D14">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5、除不可抗力等因素外，成交通知书发出后，采购人改变成交结果，或者成交投标人拒绝签订政府采购合同的，应当承担相应的法律责任。</w:t>
      </w:r>
    </w:p>
    <w:p w14:paraId="57EEC0F1">
      <w:pPr>
        <w:keepNext/>
        <w:keepLines/>
        <w:spacing w:line="360" w:lineRule="auto"/>
        <w:outlineLvl w:val="1"/>
        <w:rPr>
          <w:rFonts w:ascii="微软雅黑" w:hAnsi="微软雅黑" w:eastAsia="微软雅黑" w:cs="Times New Roman"/>
          <w:sz w:val="36"/>
          <w:szCs w:val="30"/>
        </w:rPr>
        <w:sectPr>
          <w:headerReference r:id="rId3" w:type="default"/>
          <w:footerReference r:id="rId4" w:type="default"/>
          <w:pgSz w:w="11907" w:h="16840"/>
          <w:pgMar w:top="1418" w:right="1418" w:bottom="1418" w:left="1418" w:header="851" w:footer="992" w:gutter="0"/>
          <w:cols w:space="720" w:num="1"/>
          <w:docGrid w:type="lines" w:linePitch="380" w:charSpace="-5735"/>
        </w:sectPr>
      </w:pPr>
    </w:p>
    <w:p w14:paraId="2457478A">
      <w:pPr>
        <w:keepNext/>
        <w:keepLines/>
        <w:spacing w:line="360" w:lineRule="auto"/>
        <w:jc w:val="center"/>
        <w:outlineLvl w:val="0"/>
        <w:rPr>
          <w:rFonts w:ascii="微软雅黑" w:hAnsi="微软雅黑" w:eastAsia="微软雅黑" w:cs="Times New Roman"/>
          <w:sz w:val="36"/>
          <w:szCs w:val="30"/>
        </w:rPr>
      </w:pPr>
      <w:bookmarkStart w:id="53" w:name="_Toc18030"/>
      <w:r>
        <w:rPr>
          <w:rFonts w:hint="eastAsia" w:ascii="微软雅黑" w:hAnsi="微软雅黑" w:eastAsia="微软雅黑" w:cs="Times New Roman"/>
          <w:sz w:val="36"/>
          <w:szCs w:val="30"/>
        </w:rPr>
        <w:t>第三篇    谈判项目技术要求和商务需求</w:t>
      </w:r>
      <w:bookmarkEnd w:id="53"/>
    </w:p>
    <w:p w14:paraId="001EBC1E">
      <w:pPr>
        <w:keepNext/>
        <w:keepLines/>
        <w:spacing w:line="360" w:lineRule="auto"/>
        <w:outlineLvl w:val="1"/>
        <w:rPr>
          <w:rFonts w:ascii="微软雅黑" w:hAnsi="微软雅黑" w:eastAsia="微软雅黑" w:cs="Times New Roman"/>
          <w:b/>
          <w:sz w:val="24"/>
          <w:szCs w:val="24"/>
        </w:rPr>
      </w:pPr>
      <w:r>
        <w:rPr>
          <w:rFonts w:hint="eastAsia" w:ascii="微软雅黑" w:hAnsi="微软雅黑" w:eastAsia="微软雅黑" w:cs="Times New Roman"/>
          <w:b/>
          <w:sz w:val="24"/>
          <w:szCs w:val="24"/>
        </w:rPr>
        <w:t>一、采购清单</w:t>
      </w:r>
    </w:p>
    <w:p w14:paraId="14166977">
      <w:pPr>
        <w:keepNext/>
        <w:keepLines/>
        <w:spacing w:line="360" w:lineRule="auto"/>
        <w:rPr>
          <w:rFonts w:ascii="微软雅黑" w:hAnsi="微软雅黑" w:eastAsia="微软雅黑"/>
          <w:sz w:val="36"/>
          <w:szCs w:val="36"/>
        </w:rPr>
      </w:pPr>
      <w:r>
        <w:rPr>
          <w:rFonts w:hint="eastAsia" w:ascii="微软雅黑" w:hAnsi="微软雅黑" w:eastAsia="微软雅黑" w:cs="宋体"/>
          <w:color w:val="000000"/>
          <w:kern w:val="0"/>
          <w:sz w:val="24"/>
        </w:rPr>
        <w:t>详见附件：清单。</w:t>
      </w:r>
      <w:r>
        <w:rPr>
          <w:rFonts w:hint="eastAsia" w:ascii="微软雅黑" w:hAnsi="微软雅黑" w:eastAsia="微软雅黑"/>
          <w:sz w:val="36"/>
          <w:szCs w:val="36"/>
        </w:rPr>
        <w:t xml:space="preserve"> </w:t>
      </w:r>
    </w:p>
    <w:p w14:paraId="65192E6D">
      <w:pPr>
        <w:keepNext/>
        <w:keepLines/>
        <w:spacing w:line="360" w:lineRule="auto"/>
        <w:outlineLvl w:val="1"/>
        <w:rPr>
          <w:rFonts w:ascii="微软雅黑" w:hAnsi="微软雅黑" w:eastAsia="微软雅黑" w:cs="Times New Roman"/>
          <w:b/>
          <w:sz w:val="24"/>
          <w:szCs w:val="24"/>
        </w:rPr>
      </w:pPr>
      <w:r>
        <w:rPr>
          <w:rFonts w:hint="eastAsia" w:ascii="微软雅黑" w:hAnsi="微软雅黑" w:eastAsia="微软雅黑" w:cs="Times New Roman"/>
          <w:b/>
          <w:sz w:val="24"/>
          <w:szCs w:val="24"/>
        </w:rPr>
        <w:t>二、项目商务要求</w:t>
      </w:r>
    </w:p>
    <w:p w14:paraId="6DB60A8E">
      <w:pPr>
        <w:pStyle w:val="4"/>
        <w:rPr>
          <w:rFonts w:ascii="微软雅黑" w:hAnsi="微软雅黑" w:eastAsia="微软雅黑" w:cs="Times New Roman"/>
          <w:b w:val="0"/>
          <w:sz w:val="24"/>
          <w:szCs w:val="24"/>
        </w:rPr>
      </w:pPr>
      <w:bookmarkStart w:id="54" w:name="_Toc21959728"/>
      <w:bookmarkStart w:id="55" w:name="_Toc501205160"/>
      <w:bookmarkStart w:id="56" w:name="_Toc356744528"/>
      <w:r>
        <w:rPr>
          <w:rFonts w:hint="eastAsia" w:ascii="微软雅黑" w:hAnsi="微软雅黑" w:eastAsia="微软雅黑" w:cs="Times New Roman"/>
          <w:b w:val="0"/>
          <w:sz w:val="24"/>
          <w:szCs w:val="24"/>
        </w:rPr>
        <w:t>（一）</w:t>
      </w:r>
      <w:r>
        <w:rPr>
          <w:rFonts w:hint="eastAsia" w:ascii="微软雅黑" w:hAnsi="微软雅黑" w:eastAsia="微软雅黑" w:cs="Times New Roman"/>
          <w:sz w:val="24"/>
          <w:szCs w:val="24"/>
        </w:rPr>
        <w:t>工期：</w:t>
      </w:r>
      <w:bookmarkEnd w:id="54"/>
    </w:p>
    <w:p w14:paraId="3DF89577">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30日历天。</w:t>
      </w:r>
    </w:p>
    <w:p w14:paraId="3F1A8589">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因成交人原因造成工期延误，逾期竣工违约金的计算方法为：</w:t>
      </w:r>
    </w:p>
    <w:p w14:paraId="1CF64A78">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逾期交工违约金按人民币 5000 元/天计算，时间自预定的交工日期起到交工证书中写明的实际交工日期止（扣除已批准的延长工期），按天计算。发包人可以从应付或到期应付给承包人的任何款项中或采用其他方法扣除此违约金。</w:t>
      </w:r>
    </w:p>
    <w:p w14:paraId="509710B0">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因成交人原因造成工期延误，逾期竣工违约金的上限：逾期交工违约金累计金额最高不超过签约合同价的10%。</w:t>
      </w:r>
    </w:p>
    <w:p w14:paraId="47FA354F">
      <w:pPr>
        <w:pStyle w:val="4"/>
        <w:rPr>
          <w:rFonts w:ascii="微软雅黑" w:hAnsi="微软雅黑" w:eastAsia="微软雅黑" w:cs="Times New Roman"/>
          <w:b w:val="0"/>
          <w:sz w:val="24"/>
          <w:szCs w:val="24"/>
        </w:rPr>
      </w:pPr>
      <w:bookmarkStart w:id="57" w:name="_Toc21959729"/>
      <w:r>
        <w:rPr>
          <w:rFonts w:hint="eastAsia" w:ascii="微软雅黑" w:hAnsi="微软雅黑" w:eastAsia="微软雅黑" w:cs="Times New Roman"/>
          <w:b w:val="0"/>
          <w:sz w:val="24"/>
          <w:szCs w:val="24"/>
        </w:rPr>
        <w:t>（二）</w:t>
      </w:r>
      <w:r>
        <w:rPr>
          <w:rFonts w:hint="eastAsia" w:ascii="微软雅黑" w:hAnsi="微软雅黑" w:eastAsia="微软雅黑" w:cs="Times New Roman"/>
          <w:sz w:val="24"/>
          <w:szCs w:val="24"/>
        </w:rPr>
        <w:t>报价要求</w:t>
      </w:r>
      <w:bookmarkEnd w:id="55"/>
      <w:bookmarkEnd w:id="56"/>
      <w:bookmarkEnd w:id="57"/>
      <w:bookmarkStart w:id="58" w:name="_Toc501205161"/>
    </w:p>
    <w:p w14:paraId="5E37F418">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1.</w:t>
      </w:r>
      <w:r>
        <w:rPr>
          <w:rFonts w:hint="eastAsia" w:ascii="微软雅黑" w:hAnsi="微软雅黑" w:eastAsia="微软雅黑"/>
        </w:rPr>
        <w:t xml:space="preserve"> </w:t>
      </w:r>
      <w:r>
        <w:rPr>
          <w:rFonts w:hint="eastAsia" w:ascii="微软雅黑" w:hAnsi="微软雅黑" w:eastAsia="微软雅黑" w:cs="Times New Roman"/>
          <w:sz w:val="24"/>
          <w:szCs w:val="24"/>
        </w:rPr>
        <w:t>本次谈判报价须为人民币报价，计价方式采用总价包干合同</w:t>
      </w:r>
      <w:r>
        <w:rPr>
          <w:rFonts w:ascii="微软雅黑" w:hAnsi="微软雅黑" w:eastAsia="微软雅黑" w:cs="Times New Roman"/>
          <w:sz w:val="24"/>
          <w:szCs w:val="24"/>
        </w:rPr>
        <w:t>。</w:t>
      </w:r>
      <w:r>
        <w:rPr>
          <w:rFonts w:hint="eastAsia" w:ascii="微软雅黑" w:hAnsi="微软雅黑" w:eastAsia="微软雅黑" w:cs="Times New Roman"/>
          <w:sz w:val="24"/>
          <w:szCs w:val="24"/>
        </w:rPr>
        <w:t>即清单、图纸范围内的工程费用按中标价总价结算，不作调整；清单、图纸范围外的工作内容或设计变更必须经采购人批准后方可增减（变更）。</w:t>
      </w:r>
    </w:p>
    <w:p w14:paraId="3AA2C582">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2.</w:t>
      </w:r>
      <w:r>
        <w:rPr>
          <w:rFonts w:hint="eastAsia" w:ascii="微软雅黑" w:hAnsi="微软雅黑" w:eastAsia="微软雅黑"/>
        </w:rPr>
        <w:t xml:space="preserve"> </w:t>
      </w:r>
      <w:r>
        <w:rPr>
          <w:rFonts w:hint="eastAsia" w:ascii="微软雅黑" w:hAnsi="微软雅黑" w:eastAsia="微软雅黑" w:cs="Times New Roman"/>
          <w:sz w:val="24"/>
          <w:szCs w:val="24"/>
        </w:rPr>
        <w:t>谈判报价范围：各投标人对采购人提供的工程量清单、施工图纸和现场情况进行报价。投标人应自行联系现场踏勘（无论投标人是否踏勘现场，均视为投标人已踏勘现场）。</w:t>
      </w:r>
    </w:p>
    <w:p w14:paraId="33CB170C">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3.</w:t>
      </w:r>
      <w:r>
        <w:rPr>
          <w:rFonts w:hint="eastAsia" w:ascii="微软雅黑" w:hAnsi="微软雅黑" w:eastAsia="微软雅黑"/>
        </w:rPr>
        <w:t xml:space="preserve"> </w:t>
      </w:r>
      <w:r>
        <w:rPr>
          <w:rFonts w:hint="eastAsia" w:ascii="微软雅黑" w:hAnsi="微软雅黑" w:eastAsia="微软雅黑" w:cs="Times New Roman"/>
          <w:sz w:val="24"/>
          <w:szCs w:val="24"/>
        </w:rPr>
        <w:t>报价原则：本采购工程由投标以采购文件、合同条件、本次采购范围的施工设计图纸、工程量清单、国家技术和经济规范及标准、《通用安装工程工程量计算规范》</w:t>
      </w:r>
      <w:r>
        <w:rPr>
          <w:rFonts w:ascii="微软雅黑" w:hAnsi="微软雅黑" w:eastAsia="微软雅黑" w:cs="Times New Roman"/>
          <w:sz w:val="24"/>
          <w:szCs w:val="24"/>
        </w:rPr>
        <w:t>GB50856-2013、《房屋建筑与装饰工程工程量计算规范》GB50854-2013、《重庆市建设工程工程量计算规则》（CQJLGZ-2013 ）、《建设工程工程量清单计价规范》（GB50500-2013）、《重庆市建设工程工程量清单计价规则》（CQJJGZ- 2013）、2018年系列计价定额、2018年《重庆市建设工程费用定额》</w:t>
      </w:r>
      <w:r>
        <w:rPr>
          <w:rFonts w:hint="eastAsia" w:ascii="微软雅黑" w:hAnsi="微软雅黑" w:eastAsia="微软雅黑" w:cs="Times New Roman"/>
          <w:sz w:val="24"/>
          <w:szCs w:val="24"/>
        </w:rPr>
        <w:t>及相关配套文件等</w:t>
      </w:r>
      <w:r>
        <w:rPr>
          <w:rFonts w:ascii="微软雅黑" w:hAnsi="微软雅黑" w:eastAsia="微软雅黑" w:cs="Times New Roman"/>
          <w:sz w:val="24"/>
          <w:szCs w:val="24"/>
        </w:rPr>
        <w:t>为依据，由</w:t>
      </w:r>
      <w:r>
        <w:rPr>
          <w:rFonts w:hint="eastAsia" w:ascii="微软雅黑" w:hAnsi="微软雅黑" w:eastAsia="微软雅黑" w:cs="Times New Roman"/>
          <w:sz w:val="24"/>
          <w:szCs w:val="24"/>
        </w:rPr>
        <w:t>投标人</w:t>
      </w:r>
      <w:r>
        <w:rPr>
          <w:rFonts w:ascii="微软雅黑" w:hAnsi="微软雅黑" w:eastAsia="微软雅黑" w:cs="Times New Roman"/>
          <w:sz w:val="24"/>
          <w:szCs w:val="24"/>
        </w:rPr>
        <w:t>结合自身实力、市场行情自主合理报价。谈判报价应包括完成采购范围内工程项目的分部分项工程费、措施项目费、其他项目费、规费、税金（包含易撒漏物资密闭运输的费用及满足蓝天行动、安全</w:t>
      </w:r>
      <w:r>
        <w:rPr>
          <w:rFonts w:hint="eastAsia" w:ascii="微软雅黑" w:hAnsi="微软雅黑" w:eastAsia="微软雅黑" w:cs="Times New Roman"/>
          <w:sz w:val="24"/>
          <w:szCs w:val="24"/>
        </w:rPr>
        <w:t>文明施工要求、相关道路通行手续、相邻行政区及相关职能部门的协调费用及手续办理等）。采购人除此以外不支付其它费用。</w:t>
      </w:r>
    </w:p>
    <w:p w14:paraId="7F4B4FC4">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4.</w:t>
      </w:r>
      <w:r>
        <w:rPr>
          <w:rFonts w:ascii="微软雅黑" w:hAnsi="微软雅黑" w:eastAsia="微软雅黑"/>
        </w:rPr>
        <w:t xml:space="preserve"> </w:t>
      </w:r>
      <w:r>
        <w:rPr>
          <w:rFonts w:ascii="微软雅黑" w:hAnsi="微软雅黑" w:eastAsia="微软雅黑" w:cs="Times New Roman"/>
          <w:sz w:val="24"/>
          <w:szCs w:val="24"/>
        </w:rPr>
        <w:t>措施费用包括组织措施项目与技术措施项目，包括与本工程有关的所有措施费用。无论</w:t>
      </w:r>
      <w:r>
        <w:rPr>
          <w:rFonts w:hint="eastAsia" w:ascii="微软雅黑" w:hAnsi="微软雅黑" w:eastAsia="微软雅黑" w:cs="Times New Roman"/>
          <w:sz w:val="24"/>
          <w:szCs w:val="24"/>
        </w:rPr>
        <w:t>投标人</w:t>
      </w:r>
      <w:r>
        <w:rPr>
          <w:rFonts w:ascii="微软雅黑" w:hAnsi="微软雅黑" w:eastAsia="微软雅黑" w:cs="Times New Roman"/>
          <w:sz w:val="24"/>
          <w:szCs w:val="24"/>
        </w:rPr>
        <w:t>采用何种施工措施，以及采购人可能发布的洽商和变更，都不能作为</w:t>
      </w:r>
      <w:r>
        <w:rPr>
          <w:rFonts w:hint="eastAsia" w:ascii="微软雅黑" w:hAnsi="微软雅黑" w:eastAsia="微软雅黑" w:cs="Times New Roman"/>
          <w:sz w:val="24"/>
          <w:szCs w:val="24"/>
        </w:rPr>
        <w:t>投标人</w:t>
      </w:r>
      <w:r>
        <w:rPr>
          <w:rFonts w:ascii="微软雅黑" w:hAnsi="微软雅黑" w:eastAsia="微软雅黑" w:cs="Times New Roman"/>
          <w:sz w:val="24"/>
          <w:szCs w:val="24"/>
        </w:rPr>
        <w:t>增加措施项目及措施费的依据，但因工程量减少应扣减相应的措施费。</w:t>
      </w:r>
    </w:p>
    <w:p w14:paraId="4733ACE6">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5.</w:t>
      </w:r>
      <w:r>
        <w:rPr>
          <w:rFonts w:hint="eastAsia" w:ascii="微软雅黑" w:hAnsi="微软雅黑" w:eastAsia="微软雅黑"/>
        </w:rPr>
        <w:t xml:space="preserve"> </w:t>
      </w:r>
      <w:r>
        <w:rPr>
          <w:rFonts w:hint="eastAsia" w:ascii="微软雅黑" w:hAnsi="微软雅黑" w:eastAsia="微软雅黑" w:cs="Times New Roman"/>
          <w:sz w:val="24"/>
          <w:szCs w:val="24"/>
        </w:rPr>
        <w:t>采购人在工程量清单中所列出的价格（包括暂列金额、暂估价等），投标人不得修改。否则，按否决投标处理。</w:t>
      </w:r>
    </w:p>
    <w:p w14:paraId="66728852">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6.</w:t>
      </w:r>
      <w:r>
        <w:rPr>
          <w:rFonts w:ascii="微软雅黑" w:hAnsi="微软雅黑" w:eastAsia="微软雅黑"/>
        </w:rPr>
        <w:t xml:space="preserve"> </w:t>
      </w:r>
      <w:r>
        <w:rPr>
          <w:rFonts w:ascii="微软雅黑" w:hAnsi="微软雅黑" w:eastAsia="微软雅黑" w:cs="Times New Roman"/>
          <w:sz w:val="24"/>
          <w:szCs w:val="24"/>
        </w:rPr>
        <w:t>安全文明施工费：</w:t>
      </w:r>
    </w:p>
    <w:p w14:paraId="082FBB2D">
      <w:pPr>
        <w:snapToGrid w:val="0"/>
        <w:spacing w:line="380" w:lineRule="exact"/>
        <w:ind w:firstLine="480" w:firstLineChars="200"/>
        <w:jc w:val="left"/>
        <w:rPr>
          <w:rFonts w:ascii="微软雅黑" w:hAnsi="微软雅黑" w:eastAsia="微软雅黑" w:cs="Times New Roman"/>
          <w:sz w:val="24"/>
          <w:szCs w:val="24"/>
        </w:rPr>
      </w:pPr>
      <w:r>
        <w:rPr>
          <w:rFonts w:ascii="微软雅黑" w:hAnsi="微软雅黑" w:eastAsia="微软雅黑" w:cs="Times New Roman"/>
          <w:sz w:val="24"/>
          <w:szCs w:val="24"/>
        </w:rPr>
        <w:t>6.1根据《关于印发&lt;重庆市建设工程安全文明施工费计取及使用管理规定&gt;的通知》（渝建发〔2014〕25号）及《重庆市城乡建设委员会关于适用增值税新税率调整建设工程计价依据的通知》（渝建〔2018〕195号）规定，安全文明施工费由安全施工费、文明施工费、环境保护费及临时设施费组成。费用标准单列。</w:t>
      </w:r>
    </w:p>
    <w:p w14:paraId="3DAC0E14">
      <w:pPr>
        <w:snapToGrid w:val="0"/>
        <w:spacing w:line="380" w:lineRule="exact"/>
        <w:ind w:firstLine="480" w:firstLineChars="200"/>
        <w:jc w:val="left"/>
        <w:rPr>
          <w:rFonts w:ascii="微软雅黑" w:hAnsi="微软雅黑" w:eastAsia="微软雅黑" w:cs="Times New Roman"/>
          <w:sz w:val="24"/>
          <w:szCs w:val="24"/>
        </w:rPr>
      </w:pPr>
      <w:r>
        <w:rPr>
          <w:rFonts w:ascii="微软雅黑" w:hAnsi="微软雅黑" w:eastAsia="微软雅黑" w:cs="Times New Roman"/>
          <w:sz w:val="24"/>
          <w:szCs w:val="24"/>
        </w:rPr>
        <w:t>6.2 由采购人根据《建设工程工程量清单计价规范》（GB50500-2013)、《重庆市建设工程工程量清单计价规则》（CQJJGZ-2013)、《关于印发&lt;重庆市建设工程安全文明施工费计取及使用管理规定&gt;的通知》（渝建发〔2014〕25号）、《关于调整工程费用计算程序及工程计价表格的通知》（渝建价发〔2014〕6 号）、《重庆市城乡建设委员会关于建筑业营业税改增值税调整建设工程计价依据的通知》（渝建发〔2016〕35号）及《重庆市城乡建设委员会关于适用增值税新税率调整建设工程计价依据的通知》（渝建〔2018</w:t>
      </w:r>
      <w:r>
        <w:rPr>
          <w:rFonts w:hint="eastAsia" w:ascii="微软雅黑" w:hAnsi="微软雅黑" w:eastAsia="微软雅黑" w:cs="Times New Roman"/>
          <w:sz w:val="24"/>
          <w:szCs w:val="24"/>
        </w:rPr>
        <w:t>〕</w:t>
      </w:r>
      <w:r>
        <w:rPr>
          <w:rFonts w:ascii="微软雅黑" w:hAnsi="微软雅黑" w:eastAsia="微软雅黑" w:cs="Times New Roman"/>
          <w:sz w:val="24"/>
          <w:szCs w:val="24"/>
        </w:rPr>
        <w:t>195号）的相关规定和费用标准单列计算，安全文明施工费为暂定金额 19172.72 元。</w:t>
      </w:r>
      <w:r>
        <w:rPr>
          <w:rFonts w:ascii="微软雅黑" w:hAnsi="微软雅黑" w:eastAsia="微软雅黑" w:cs="Times New Roman"/>
          <w:b/>
          <w:sz w:val="24"/>
          <w:szCs w:val="24"/>
        </w:rPr>
        <w:t>《</w:t>
      </w:r>
      <w:r>
        <w:rPr>
          <w:rFonts w:hint="eastAsia" w:ascii="微软雅黑" w:hAnsi="微软雅黑" w:eastAsia="微软雅黑" w:cs="Times New Roman"/>
          <w:b/>
          <w:sz w:val="24"/>
          <w:szCs w:val="24"/>
        </w:rPr>
        <w:t>竞争性报价函</w:t>
      </w:r>
      <w:r>
        <w:rPr>
          <w:rFonts w:ascii="微软雅黑" w:hAnsi="微软雅黑" w:eastAsia="微软雅黑" w:cs="Times New Roman"/>
          <w:b/>
          <w:sz w:val="24"/>
          <w:szCs w:val="24"/>
        </w:rPr>
        <w:t>》及工程量清单报价</w:t>
      </w:r>
      <w:r>
        <w:rPr>
          <w:rFonts w:hint="eastAsia" w:ascii="微软雅黑" w:hAnsi="微软雅黑" w:eastAsia="微软雅黑" w:cs="Times New Roman"/>
          <w:b/>
          <w:sz w:val="24"/>
          <w:szCs w:val="24"/>
        </w:rPr>
        <w:t>（投标报价明细表）</w:t>
      </w:r>
      <w:r>
        <w:rPr>
          <w:rFonts w:ascii="微软雅黑" w:hAnsi="微软雅黑" w:eastAsia="微软雅黑" w:cs="Times New Roman"/>
          <w:sz w:val="24"/>
          <w:szCs w:val="24"/>
        </w:rPr>
        <w:t>中的安全文明施工费必须按照采购人给出的金额填报，否则视为对竞争性谈判文件不作实质性响应，其</w:t>
      </w:r>
      <w:r>
        <w:rPr>
          <w:rFonts w:hint="eastAsia" w:ascii="微软雅黑" w:hAnsi="微软雅黑" w:eastAsia="微软雅黑" w:cs="Times New Roman"/>
          <w:sz w:val="24"/>
          <w:szCs w:val="24"/>
        </w:rPr>
        <w:t>响应</w:t>
      </w:r>
      <w:r>
        <w:rPr>
          <w:rFonts w:ascii="微软雅黑" w:hAnsi="微软雅黑" w:eastAsia="微软雅黑" w:cs="Times New Roman"/>
          <w:sz w:val="24"/>
          <w:szCs w:val="24"/>
        </w:rPr>
        <w:t>文件按否决投标处理。</w:t>
      </w:r>
    </w:p>
    <w:p w14:paraId="4A58B763">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7</w:t>
      </w:r>
      <w:r>
        <w:rPr>
          <w:rFonts w:ascii="微软雅黑" w:hAnsi="微软雅黑" w:eastAsia="微软雅黑" w:cs="Times New Roman"/>
          <w:sz w:val="24"/>
          <w:szCs w:val="24"/>
        </w:rPr>
        <w:t>. 材料采购及报价</w:t>
      </w:r>
    </w:p>
    <w:p w14:paraId="1023D72B">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7</w:t>
      </w:r>
      <w:r>
        <w:rPr>
          <w:rFonts w:ascii="微软雅黑" w:hAnsi="微软雅黑" w:eastAsia="微软雅黑" w:cs="Times New Roman"/>
          <w:sz w:val="24"/>
          <w:szCs w:val="24"/>
        </w:rPr>
        <w:t>.1本工程所需材料、设备由</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人自行采购，但所采购的材料、设备必须符合国家及重庆市规范标准及设计文件、</w:t>
      </w:r>
      <w:r>
        <w:rPr>
          <w:rFonts w:hint="eastAsia" w:ascii="微软雅黑" w:hAnsi="微软雅黑" w:eastAsia="微软雅黑" w:cs="Times New Roman"/>
          <w:sz w:val="24"/>
          <w:szCs w:val="24"/>
        </w:rPr>
        <w:t>谈判</w:t>
      </w:r>
      <w:r>
        <w:rPr>
          <w:rFonts w:ascii="微软雅黑" w:hAnsi="微软雅黑" w:eastAsia="微软雅黑" w:cs="Times New Roman"/>
          <w:sz w:val="24"/>
          <w:szCs w:val="24"/>
        </w:rPr>
        <w:t>文件要求，并提供相应合格证明资料、质保书等，并由监理人、</w:t>
      </w:r>
      <w:r>
        <w:rPr>
          <w:rFonts w:hint="eastAsia" w:ascii="微软雅黑" w:hAnsi="微软雅黑" w:eastAsia="微软雅黑" w:cs="Times New Roman"/>
          <w:sz w:val="24"/>
          <w:szCs w:val="24"/>
        </w:rPr>
        <w:t>采购</w:t>
      </w:r>
      <w:r>
        <w:rPr>
          <w:rFonts w:ascii="微软雅黑" w:hAnsi="微软雅黑" w:eastAsia="微软雅黑" w:cs="Times New Roman"/>
          <w:sz w:val="24"/>
          <w:szCs w:val="24"/>
        </w:rPr>
        <w:t>人验收合格后方可用于施工，如果</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人采购的材料、设备未经监理人和采购人验收直接用于施工，则</w:t>
      </w:r>
      <w:r>
        <w:rPr>
          <w:rFonts w:hint="eastAsia" w:ascii="微软雅黑" w:hAnsi="微软雅黑" w:eastAsia="微软雅黑" w:cs="Times New Roman"/>
          <w:sz w:val="24"/>
          <w:szCs w:val="24"/>
        </w:rPr>
        <w:t>采购</w:t>
      </w:r>
      <w:r>
        <w:rPr>
          <w:rFonts w:ascii="微软雅黑" w:hAnsi="微软雅黑" w:eastAsia="微软雅黑" w:cs="Times New Roman"/>
          <w:sz w:val="24"/>
          <w:szCs w:val="24"/>
        </w:rPr>
        <w:t>人有权要求</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人无条件的更换至符合</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人要求，且</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人不得以此为由要求延长工期和增加费用。</w:t>
      </w:r>
    </w:p>
    <w:p w14:paraId="04E25923">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7</w:t>
      </w:r>
      <w:r>
        <w:rPr>
          <w:rFonts w:ascii="微软雅黑" w:hAnsi="微软雅黑" w:eastAsia="微软雅黑" w:cs="Times New Roman"/>
          <w:sz w:val="24"/>
          <w:szCs w:val="24"/>
        </w:rPr>
        <w:t>.2本工程所需的全部材料、设备（暂估价、暂列金额除外）由各投标人结合市场行情以及投标人的自身实力自主报价；投标人承担材料、设备价格涨跌风险。</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后材料、设备价格均不作调整。</w:t>
      </w:r>
    </w:p>
    <w:p w14:paraId="1EB55C9F">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7</w:t>
      </w:r>
      <w:r>
        <w:rPr>
          <w:rFonts w:ascii="微软雅黑" w:hAnsi="微软雅黑" w:eastAsia="微软雅黑" w:cs="Times New Roman"/>
          <w:sz w:val="24"/>
          <w:szCs w:val="24"/>
        </w:rPr>
        <w:t>.3材料、设备运输距离由投标人根据自身情况及踏勘现场情况自行确定，</w:t>
      </w:r>
      <w:r>
        <w:rPr>
          <w:rFonts w:hint="eastAsia" w:ascii="微软雅黑" w:hAnsi="微软雅黑" w:eastAsia="微软雅黑" w:cs="Times New Roman"/>
          <w:sz w:val="24"/>
          <w:szCs w:val="24"/>
        </w:rPr>
        <w:t>成交</w:t>
      </w:r>
      <w:r>
        <w:rPr>
          <w:rFonts w:ascii="微软雅黑" w:hAnsi="微软雅黑" w:eastAsia="微软雅黑" w:cs="Times New Roman"/>
          <w:sz w:val="24"/>
          <w:szCs w:val="24"/>
        </w:rPr>
        <w:t>后不得调整。</w:t>
      </w:r>
    </w:p>
    <w:p w14:paraId="54D43D98">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8.本工程人工工日单价由各投标人结合市场行情自主报价计入投标报价中，中标后不作调整。</w:t>
      </w:r>
    </w:p>
    <w:p w14:paraId="5D78A14A">
      <w:pPr>
        <w:snapToGrid w:val="0"/>
        <w:spacing w:line="380" w:lineRule="exact"/>
        <w:ind w:firstLine="480" w:firstLineChars="200"/>
        <w:jc w:val="left"/>
        <w:rPr>
          <w:rFonts w:ascii="微软雅黑" w:hAnsi="微软雅黑" w:eastAsia="微软雅黑" w:cs="Times New Roman"/>
          <w:sz w:val="24"/>
          <w:szCs w:val="24"/>
        </w:rPr>
      </w:pPr>
      <w:r>
        <w:rPr>
          <w:rFonts w:hint="eastAsia" w:ascii="微软雅黑" w:hAnsi="微软雅黑" w:eastAsia="微软雅黑" w:cs="Times New Roman"/>
          <w:sz w:val="24"/>
          <w:szCs w:val="24"/>
        </w:rPr>
        <w:t>9</w:t>
      </w:r>
      <w:r>
        <w:rPr>
          <w:rFonts w:ascii="微软雅黑" w:hAnsi="微软雅黑" w:eastAsia="微软雅黑" w:cs="Times New Roman"/>
          <w:sz w:val="24"/>
          <w:szCs w:val="24"/>
        </w:rPr>
        <w:t>.施工技术措施项目清单计价表中以项为单位计列的项目，由投标人根据现场踏勘情况及本工程的实际情况结合自身施工组织设计，以项为单位自行报价，包干使用。</w:t>
      </w:r>
    </w:p>
    <w:p w14:paraId="5796F0EA">
      <w:pPr>
        <w:snapToGrid w:val="0"/>
        <w:spacing w:line="380" w:lineRule="exact"/>
        <w:ind w:firstLine="480" w:firstLineChars="200"/>
        <w:jc w:val="left"/>
        <w:rPr>
          <w:rFonts w:ascii="微软雅黑" w:hAnsi="微软雅黑" w:eastAsia="微软雅黑" w:cs="Times New Roman"/>
          <w:sz w:val="24"/>
          <w:szCs w:val="24"/>
        </w:rPr>
      </w:pPr>
      <w:r>
        <w:rPr>
          <w:rFonts w:ascii="微软雅黑" w:hAnsi="微软雅黑" w:eastAsia="微软雅黑" w:cs="Times New Roman"/>
          <w:sz w:val="24"/>
          <w:szCs w:val="24"/>
        </w:rPr>
        <w:t>1</w:t>
      </w:r>
      <w:r>
        <w:rPr>
          <w:rFonts w:hint="eastAsia" w:ascii="微软雅黑" w:hAnsi="微软雅黑" w:eastAsia="微软雅黑" w:cs="Times New Roman"/>
          <w:sz w:val="24"/>
          <w:szCs w:val="24"/>
        </w:rPr>
        <w:t>0</w:t>
      </w:r>
      <w:r>
        <w:rPr>
          <w:rFonts w:ascii="微软雅黑" w:hAnsi="微软雅黑" w:eastAsia="微软雅黑" w:cs="Times New Roman"/>
          <w:sz w:val="24"/>
          <w:szCs w:val="24"/>
        </w:rPr>
        <w:t>.本工程设置投标总报价最高限价、分部分项工程量清单综合单价报价最高限价。本工程投标总报价最高限价为￥673418.02元，其中已含安全文明施工费19172.72元。分部分项工程量清单综合单价报价最高限价详见附件</w:t>
      </w:r>
      <w:r>
        <w:rPr>
          <w:rFonts w:hint="eastAsia" w:ascii="微软雅黑" w:hAnsi="微软雅黑" w:eastAsia="微软雅黑" w:cs="Times New Roman"/>
          <w:sz w:val="24"/>
          <w:szCs w:val="24"/>
        </w:rPr>
        <w:t>:限价</w:t>
      </w:r>
      <w:r>
        <w:rPr>
          <w:rFonts w:ascii="微软雅黑" w:hAnsi="微软雅黑" w:eastAsia="微软雅黑" w:cs="Times New Roman"/>
          <w:sz w:val="24"/>
          <w:szCs w:val="24"/>
        </w:rPr>
        <w:t>，随</w:t>
      </w:r>
      <w:r>
        <w:rPr>
          <w:rFonts w:hint="eastAsia" w:ascii="微软雅黑" w:hAnsi="微软雅黑" w:eastAsia="微软雅黑" w:cs="Times New Roman"/>
          <w:sz w:val="24"/>
          <w:szCs w:val="24"/>
        </w:rPr>
        <w:t>谈判</w:t>
      </w:r>
      <w:r>
        <w:rPr>
          <w:rFonts w:ascii="微软雅黑" w:hAnsi="微软雅黑" w:eastAsia="微软雅黑" w:cs="Times New Roman"/>
          <w:sz w:val="24"/>
          <w:szCs w:val="24"/>
        </w:rPr>
        <w:t>文件发布。</w:t>
      </w:r>
    </w:p>
    <w:p w14:paraId="3F02ADF3">
      <w:pPr>
        <w:snapToGrid w:val="0"/>
        <w:spacing w:line="380" w:lineRule="exact"/>
        <w:ind w:firstLine="480" w:firstLineChars="200"/>
        <w:jc w:val="left"/>
        <w:rPr>
          <w:rFonts w:ascii="微软雅黑" w:hAnsi="微软雅黑" w:eastAsia="微软雅黑" w:cs="Times New Roman"/>
          <w:sz w:val="24"/>
          <w:szCs w:val="24"/>
        </w:rPr>
      </w:pPr>
      <w:r>
        <w:rPr>
          <w:rFonts w:ascii="微软雅黑" w:hAnsi="微软雅黑" w:eastAsia="微软雅黑" w:cs="Times New Roman"/>
          <w:sz w:val="24"/>
          <w:szCs w:val="24"/>
        </w:rPr>
        <w:t>1</w:t>
      </w:r>
      <w:r>
        <w:rPr>
          <w:rFonts w:hint="eastAsia" w:ascii="微软雅黑" w:hAnsi="微软雅黑" w:eastAsia="微软雅黑" w:cs="Times New Roman"/>
          <w:sz w:val="24"/>
          <w:szCs w:val="24"/>
        </w:rPr>
        <w:t>1</w:t>
      </w:r>
      <w:r>
        <w:rPr>
          <w:rFonts w:ascii="微软雅黑" w:hAnsi="微软雅黑" w:eastAsia="微软雅黑" w:cs="Times New Roman"/>
          <w:sz w:val="24"/>
          <w:szCs w:val="24"/>
        </w:rPr>
        <w:t>.本项目所采用技术、工艺和产品等必须执行《重庆市城乡建设委员会关于发布《重庆市建设领域禁止限制使用落后技术通告（第一至八号）》的通知》（渝建发﹝2015﹞74号）的规定。</w:t>
      </w:r>
    </w:p>
    <w:p w14:paraId="067FF951">
      <w:pPr>
        <w:snapToGrid w:val="0"/>
        <w:spacing w:line="380" w:lineRule="exact"/>
        <w:ind w:firstLine="480" w:firstLineChars="200"/>
        <w:jc w:val="left"/>
        <w:rPr>
          <w:rFonts w:ascii="微软雅黑" w:hAnsi="微软雅黑" w:eastAsia="微软雅黑" w:cs="Times New Roman"/>
          <w:sz w:val="24"/>
          <w:szCs w:val="24"/>
        </w:rPr>
      </w:pPr>
      <w:r>
        <w:rPr>
          <w:rFonts w:ascii="微软雅黑" w:hAnsi="微软雅黑" w:eastAsia="微软雅黑" w:cs="Times New Roman"/>
          <w:sz w:val="24"/>
          <w:szCs w:val="24"/>
        </w:rPr>
        <w:t>1</w:t>
      </w:r>
      <w:r>
        <w:rPr>
          <w:rFonts w:hint="eastAsia" w:ascii="微软雅黑" w:hAnsi="微软雅黑" w:eastAsia="微软雅黑" w:cs="Times New Roman"/>
          <w:sz w:val="24"/>
          <w:szCs w:val="24"/>
        </w:rPr>
        <w:t>2</w:t>
      </w:r>
      <w:r>
        <w:rPr>
          <w:rFonts w:ascii="微软雅黑" w:hAnsi="微软雅黑" w:eastAsia="微软雅黑" w:cs="Times New Roman"/>
          <w:sz w:val="24"/>
          <w:szCs w:val="24"/>
        </w:rPr>
        <w:t>. 本工程若需混凝土，则必须使用商品混凝土，不得自建搅拌站。</w:t>
      </w:r>
    </w:p>
    <w:p w14:paraId="04E0097B">
      <w:pPr>
        <w:pStyle w:val="64"/>
        <w:keepNext/>
        <w:keepLines/>
        <w:adjustRightInd w:val="0"/>
        <w:snapToGrid w:val="0"/>
        <w:spacing w:before="386" w:after="193" w:line="360" w:lineRule="auto"/>
        <w:ind w:firstLine="0" w:firstLineChars="0"/>
        <w:jc w:val="left"/>
        <w:outlineLvl w:val="2"/>
        <w:rPr>
          <w:rFonts w:ascii="微软雅黑" w:hAnsi="微软雅黑" w:eastAsia="微软雅黑" w:cs="Times New Roman"/>
          <w:b/>
          <w:sz w:val="24"/>
          <w:szCs w:val="24"/>
        </w:rPr>
      </w:pPr>
      <w:r>
        <w:rPr>
          <w:rFonts w:hint="eastAsia" w:ascii="微软雅黑" w:hAnsi="微软雅黑" w:eastAsia="微软雅黑" w:cs="Times New Roman"/>
          <w:b/>
          <w:sz w:val="24"/>
          <w:szCs w:val="24"/>
        </w:rPr>
        <w:t>（三）验收方式</w:t>
      </w:r>
      <w:bookmarkEnd w:id="58"/>
    </w:p>
    <w:p w14:paraId="1FA1E5C9">
      <w:pPr>
        <w:snapToGrid w:val="0"/>
        <w:spacing w:line="400" w:lineRule="exact"/>
        <w:ind w:firstLine="480" w:firstLineChars="200"/>
        <w:rPr>
          <w:rFonts w:ascii="微软雅黑" w:hAnsi="微软雅黑" w:eastAsia="微软雅黑" w:cs="Times New Roman"/>
          <w:sz w:val="24"/>
          <w:szCs w:val="24"/>
        </w:rPr>
      </w:pPr>
      <w:r>
        <w:rPr>
          <w:rFonts w:ascii="微软雅黑" w:hAnsi="微软雅黑" w:eastAsia="微软雅黑" w:cs="Times New Roman"/>
          <w:sz w:val="24"/>
          <w:szCs w:val="24"/>
        </w:rPr>
        <w:t>1、成交</w:t>
      </w:r>
      <w:r>
        <w:rPr>
          <w:rFonts w:hint="eastAsia" w:ascii="微软雅黑" w:hAnsi="微软雅黑" w:eastAsia="微软雅黑" w:cs="Times New Roman"/>
          <w:sz w:val="24"/>
          <w:szCs w:val="24"/>
        </w:rPr>
        <w:t>投标人</w:t>
      </w:r>
      <w:r>
        <w:rPr>
          <w:rFonts w:ascii="微软雅黑" w:hAnsi="微软雅黑" w:eastAsia="微软雅黑" w:cs="Times New Roman"/>
          <w:sz w:val="24"/>
          <w:szCs w:val="24"/>
        </w:rPr>
        <w:t>应派遣有丰富经验和相应能力的工程师进行现场组织施工，并对施工操作不当或错误所导致的直接损失和间接损失承担全部赔偿责任。</w:t>
      </w:r>
    </w:p>
    <w:p w14:paraId="0315F969">
      <w:pPr>
        <w:snapToGrid w:val="0"/>
        <w:spacing w:line="400" w:lineRule="exact"/>
        <w:ind w:firstLine="480" w:firstLineChars="200"/>
        <w:rPr>
          <w:rFonts w:ascii="微软雅黑" w:hAnsi="微软雅黑" w:eastAsia="微软雅黑" w:cs="Times New Roman"/>
          <w:sz w:val="24"/>
          <w:szCs w:val="24"/>
        </w:rPr>
      </w:pPr>
      <w:r>
        <w:rPr>
          <w:rFonts w:ascii="微软雅黑" w:hAnsi="微软雅黑" w:eastAsia="微软雅黑" w:cs="Times New Roman"/>
          <w:sz w:val="24"/>
          <w:szCs w:val="24"/>
        </w:rPr>
        <w:t>2、施工过程应遵照现行国家有关及规程规范进行施工，按照有关要求进行检查验收。成交单位提供所有设备和材料应有完善的质量检测手段和质量保证体系，必须符合国家标准和行业标准。</w:t>
      </w:r>
    </w:p>
    <w:p w14:paraId="41B26BE9">
      <w:pPr>
        <w:snapToGrid w:val="0"/>
        <w:spacing w:line="400" w:lineRule="exact"/>
        <w:ind w:firstLine="480" w:firstLineChars="200"/>
        <w:rPr>
          <w:rFonts w:ascii="微软雅黑" w:hAnsi="微软雅黑" w:eastAsia="微软雅黑" w:cs="Times New Roman"/>
          <w:sz w:val="24"/>
          <w:szCs w:val="24"/>
        </w:rPr>
      </w:pPr>
      <w:r>
        <w:rPr>
          <w:rFonts w:ascii="微软雅黑" w:hAnsi="微软雅黑" w:eastAsia="微软雅黑" w:cs="Times New Roman"/>
          <w:sz w:val="24"/>
          <w:szCs w:val="24"/>
        </w:rPr>
        <w:t>3、工程完工后，按国家相关标准验收程序和规程进行验收，验收合格后双方认可签字。验收的相关费用由成交</w:t>
      </w:r>
      <w:r>
        <w:rPr>
          <w:rFonts w:hint="eastAsia" w:ascii="微软雅黑" w:hAnsi="微软雅黑" w:eastAsia="微软雅黑" w:cs="Times New Roman"/>
          <w:sz w:val="24"/>
          <w:szCs w:val="24"/>
        </w:rPr>
        <w:t>人</w:t>
      </w:r>
      <w:r>
        <w:rPr>
          <w:rFonts w:ascii="微软雅黑" w:hAnsi="微软雅黑" w:eastAsia="微软雅黑" w:cs="Times New Roman"/>
          <w:sz w:val="24"/>
          <w:szCs w:val="24"/>
        </w:rPr>
        <w:t>负责。</w:t>
      </w:r>
    </w:p>
    <w:p w14:paraId="1E2FB3A1">
      <w:pPr>
        <w:pStyle w:val="64"/>
        <w:keepNext/>
        <w:keepLines/>
        <w:adjustRightInd w:val="0"/>
        <w:snapToGrid w:val="0"/>
        <w:spacing w:before="386" w:after="193" w:line="360" w:lineRule="auto"/>
        <w:ind w:left="120" w:firstLine="0" w:firstLineChars="0"/>
        <w:outlineLvl w:val="2"/>
        <w:rPr>
          <w:rFonts w:ascii="微软雅黑" w:hAnsi="微软雅黑" w:eastAsia="微软雅黑" w:cs="Times New Roman"/>
          <w:b/>
          <w:sz w:val="24"/>
          <w:szCs w:val="24"/>
        </w:rPr>
      </w:pPr>
      <w:bookmarkStart w:id="59" w:name="_Toc21001"/>
      <w:bookmarkStart w:id="60" w:name="_Toc22387"/>
      <w:bookmarkStart w:id="61" w:name="_Toc340223146"/>
      <w:r>
        <w:rPr>
          <w:rFonts w:hint="eastAsia" w:ascii="微软雅黑" w:hAnsi="微软雅黑" w:eastAsia="微软雅黑" w:cs="Times New Roman"/>
          <w:b/>
          <w:sz w:val="24"/>
          <w:szCs w:val="24"/>
        </w:rPr>
        <w:t>（四）</w:t>
      </w:r>
      <w:r>
        <w:rPr>
          <w:rFonts w:ascii="微软雅黑" w:hAnsi="微软雅黑" w:eastAsia="微软雅黑" w:cs="Times New Roman"/>
          <w:b/>
          <w:sz w:val="24"/>
          <w:szCs w:val="24"/>
        </w:rPr>
        <w:t>质量保证及售后服务</w:t>
      </w:r>
      <w:bookmarkEnd w:id="59"/>
      <w:bookmarkEnd w:id="60"/>
      <w:bookmarkEnd w:id="61"/>
    </w:p>
    <w:p w14:paraId="5C9F234A">
      <w:pPr>
        <w:snapToGrid w:val="0"/>
        <w:spacing w:line="400" w:lineRule="exact"/>
        <w:ind w:firstLine="480" w:firstLineChars="200"/>
        <w:rPr>
          <w:rFonts w:ascii="微软雅黑" w:hAnsi="微软雅黑" w:eastAsia="微软雅黑" w:cs="Times New Roman"/>
          <w:sz w:val="24"/>
          <w:szCs w:val="24"/>
        </w:rPr>
      </w:pPr>
      <w:bookmarkStart w:id="62" w:name="_Toc17950"/>
      <w:bookmarkStart w:id="63" w:name="_Toc30255"/>
      <w:bookmarkStart w:id="64" w:name="_Toc340223147"/>
      <w:bookmarkStart w:id="65" w:name="_Toc267320051"/>
      <w:r>
        <w:rPr>
          <w:rFonts w:hint="eastAsia" w:ascii="微软雅黑" w:hAnsi="微软雅黑" w:eastAsia="微软雅黑" w:cs="Times New Roman"/>
          <w:sz w:val="24"/>
          <w:szCs w:val="24"/>
        </w:rPr>
        <w:t>（一）工程质保期需满足重庆市建设工程质量监督总站监制《重庆市建设工程质量保修书》相关要求，质量保证期为两年。</w:t>
      </w:r>
    </w:p>
    <w:p w14:paraId="6984F788">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（二）保修期内，施工质量缺陷的维护及维修（非人为损坏）均为免费。</w:t>
      </w:r>
    </w:p>
    <w:p w14:paraId="3ED7F94A">
      <w:pPr>
        <w:pStyle w:val="4"/>
        <w:rPr>
          <w:rFonts w:ascii="微软雅黑" w:hAnsi="微软雅黑" w:eastAsia="微软雅黑" w:cs="Times New Roman"/>
          <w:sz w:val="24"/>
          <w:szCs w:val="24"/>
        </w:rPr>
      </w:pPr>
      <w:bookmarkStart w:id="66" w:name="_Toc21959730"/>
      <w:r>
        <w:rPr>
          <w:rFonts w:hint="eastAsia" w:ascii="微软雅黑" w:hAnsi="微软雅黑" w:eastAsia="微软雅黑" w:cs="Times New Roman"/>
          <w:sz w:val="24"/>
          <w:szCs w:val="24"/>
        </w:rPr>
        <w:t>（五）</w:t>
      </w:r>
      <w:r>
        <w:rPr>
          <w:rFonts w:ascii="微软雅黑" w:hAnsi="微软雅黑" w:eastAsia="微软雅黑" w:cs="Times New Roman"/>
          <w:sz w:val="24"/>
          <w:szCs w:val="24"/>
        </w:rPr>
        <w:t>付款</w:t>
      </w:r>
      <w:bookmarkEnd w:id="62"/>
      <w:bookmarkEnd w:id="63"/>
      <w:bookmarkEnd w:id="64"/>
      <w:bookmarkEnd w:id="65"/>
      <w:r>
        <w:rPr>
          <w:rFonts w:hint="eastAsia" w:ascii="微软雅黑" w:hAnsi="微软雅黑" w:eastAsia="微软雅黑" w:cs="Times New Roman"/>
          <w:sz w:val="24"/>
          <w:szCs w:val="24"/>
        </w:rPr>
        <w:t>方式</w:t>
      </w:r>
      <w:bookmarkEnd w:id="66"/>
    </w:p>
    <w:p w14:paraId="7748AB3E">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本项目无预付款，工程完工验收合格后支付合同价的</w:t>
      </w:r>
      <w:r>
        <w:rPr>
          <w:rFonts w:ascii="微软雅黑" w:hAnsi="微软雅黑" w:eastAsia="微软雅黑" w:cs="Times New Roman"/>
          <w:sz w:val="24"/>
          <w:szCs w:val="24"/>
        </w:rPr>
        <w:t>60%，经审计结束后，支付至审定金额的97%，余下金额作为质保金，缺陷责任期2年满后一次性付清质保金（不计息）。</w:t>
      </w:r>
    </w:p>
    <w:p w14:paraId="71B4E927">
      <w:pPr>
        <w:pStyle w:val="4"/>
        <w:rPr>
          <w:rFonts w:ascii="微软雅黑" w:hAnsi="微软雅黑" w:eastAsia="微软雅黑" w:cs="Times New Roman"/>
          <w:sz w:val="24"/>
          <w:szCs w:val="24"/>
        </w:rPr>
      </w:pPr>
      <w:bookmarkStart w:id="67" w:name="_Toc21959731"/>
      <w:r>
        <w:rPr>
          <w:rFonts w:hint="eastAsia" w:ascii="微软雅黑" w:hAnsi="微软雅黑" w:eastAsia="微软雅黑" w:cs="Times New Roman"/>
          <w:sz w:val="24"/>
          <w:szCs w:val="24"/>
        </w:rPr>
        <w:t>（六）结算原则</w:t>
      </w:r>
      <w:bookmarkEnd w:id="67"/>
    </w:p>
    <w:p w14:paraId="0E477326">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（一）</w:t>
      </w:r>
      <w:r>
        <w:rPr>
          <w:rFonts w:ascii="微软雅黑" w:hAnsi="微软雅黑" w:eastAsia="微软雅黑" w:cs="Times New Roman"/>
          <w:sz w:val="24"/>
          <w:szCs w:val="24"/>
        </w:rPr>
        <w:t>结算价=中标价±增减（变更）工程造价±合同约定的其它费用，最终结算金额以审计结果为准。本工程采用总价包干合同，清单、图纸范围内的工程费用按中标价总价结算，不作调整；清单、图纸范围外的工作内容或设计变更必须经</w:t>
      </w:r>
      <w:r>
        <w:rPr>
          <w:rFonts w:hint="eastAsia" w:ascii="微软雅黑" w:hAnsi="微软雅黑" w:eastAsia="微软雅黑" w:cs="Times New Roman"/>
          <w:sz w:val="24"/>
          <w:szCs w:val="24"/>
        </w:rPr>
        <w:t>采购</w:t>
      </w:r>
      <w:r>
        <w:rPr>
          <w:rFonts w:ascii="微软雅黑" w:hAnsi="微软雅黑" w:eastAsia="微软雅黑" w:cs="Times New Roman"/>
          <w:sz w:val="24"/>
          <w:szCs w:val="24"/>
        </w:rPr>
        <w:t>人</w:t>
      </w:r>
      <w:r>
        <w:rPr>
          <w:rFonts w:hint="eastAsia" w:ascii="微软雅黑" w:hAnsi="微软雅黑" w:eastAsia="微软雅黑" w:cs="Times New Roman"/>
          <w:sz w:val="24"/>
          <w:szCs w:val="24"/>
        </w:rPr>
        <w:t>和监理单位</w:t>
      </w:r>
      <w:r>
        <w:rPr>
          <w:rFonts w:ascii="微软雅黑" w:hAnsi="微软雅黑" w:eastAsia="微软雅黑" w:cs="Times New Roman"/>
          <w:sz w:val="24"/>
          <w:szCs w:val="24"/>
        </w:rPr>
        <w:t>批准后方可增减（变更）。</w:t>
      </w:r>
    </w:p>
    <w:p w14:paraId="68328290">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（二）</w:t>
      </w:r>
      <w:r>
        <w:rPr>
          <w:rFonts w:ascii="微软雅黑" w:hAnsi="微软雅黑" w:eastAsia="微软雅黑" w:cs="Times New Roman"/>
          <w:sz w:val="24"/>
          <w:szCs w:val="24"/>
        </w:rPr>
        <w:t xml:space="preserve">增减（变更）工程结算： </w:t>
      </w:r>
    </w:p>
    <w:p w14:paraId="68BD63F4">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1.</w:t>
      </w:r>
      <w:r>
        <w:rPr>
          <w:rFonts w:ascii="微软雅黑" w:hAnsi="微软雅黑" w:eastAsia="微软雅黑" w:cs="Times New Roman"/>
          <w:sz w:val="24"/>
          <w:szCs w:val="24"/>
        </w:rPr>
        <w:t>工程内容与已标价工程量清单中有相同的子项或类似子项，则按投标时的相同子项或类似子项的综合单价执行（类似子项及其综合单价由采购人审定）；</w:t>
      </w:r>
    </w:p>
    <w:p w14:paraId="63ECAFE0">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2.</w:t>
      </w:r>
      <w:r>
        <w:rPr>
          <w:rFonts w:ascii="微软雅黑" w:hAnsi="微软雅黑" w:eastAsia="微软雅黑" w:cs="Times New Roman"/>
          <w:sz w:val="24"/>
          <w:szCs w:val="24"/>
        </w:rPr>
        <w:t>工程内容如有与已标价工程量清单不同的子项（既无相同子项，又无类似子项），按重庆市2018年系列计价定额、2018年《重庆市建设工程费用定额》、《重庆市城乡建设委员会关于建筑业营业税改征增值税调整建设工程计价依据的通知》（渝建发[2016]35号）、《重庆市城乡建设委员会关于适用增值税新税率调整建设工程计价依据的通知》（渝建〔2018〕195号）及相关配套文件计算后，再按承包人报价浮动率【承包人报价浮动率=（1-中标价/投标总报价最高限价）×100%】进行下浮后结算【其中：人工工日单价参照2019年第7</w:t>
      </w:r>
      <w:r>
        <w:rPr>
          <w:rFonts w:hint="eastAsia" w:ascii="微软雅黑" w:hAnsi="微软雅黑" w:eastAsia="微软雅黑" w:cs="Times New Roman"/>
          <w:sz w:val="24"/>
          <w:szCs w:val="24"/>
        </w:rPr>
        <w:t>期《重庆工程造价信息》公布的主城区的不含税价格执行；材料单价按施工有效期内的《重庆工程造价信息》公布的不含税材料信息价的算术平均值计算（《重庆工程造价信息》公布了主城区的材料价格的，按主城区的不含税材料价格算术平均值计算），《重庆工程造价信息》中没有的材料结合铜梁区市场行情认质核价；下浮基数不含安全文明施工费、认质核价的材料费、规费、税金】。</w:t>
      </w:r>
    </w:p>
    <w:p w14:paraId="0F659052">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（三）</w:t>
      </w:r>
      <w:r>
        <w:rPr>
          <w:rFonts w:ascii="微软雅黑" w:hAnsi="微软雅黑" w:eastAsia="微软雅黑" w:cs="Times New Roman"/>
          <w:sz w:val="24"/>
          <w:szCs w:val="24"/>
        </w:rPr>
        <w:t>安全文明施工费:按《关于印发&lt;重庆市建设工程安全文明施工费计取及使用管理规定&gt;的通知》（渝建发[2014]25号）及《重庆市城乡建设委员会关于建筑业营业税改增值税调整建设工程计价依据的通知》（渝建发〔2016〕35号）及《重庆市城乡建设委员会关于适用增值税新税率调整建设工程计价依据的通知》（渝建〔2018〕195号）规定进行结算，安全文明施工综合评定结果为不合格，则不计取。</w:t>
      </w:r>
    </w:p>
    <w:p w14:paraId="31B48996">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（四）</w:t>
      </w:r>
      <w:r>
        <w:rPr>
          <w:rFonts w:ascii="微软雅黑" w:hAnsi="微软雅黑" w:eastAsia="微软雅黑" w:cs="Times New Roman"/>
          <w:sz w:val="24"/>
          <w:szCs w:val="24"/>
        </w:rPr>
        <w:t>施工技术措施项目清单计价表中以项为单位计列的项目，按投标时的报价作为结算价，包干使用。</w:t>
      </w:r>
    </w:p>
    <w:p w14:paraId="69709C72">
      <w:pPr>
        <w:pStyle w:val="4"/>
        <w:rPr>
          <w:rFonts w:ascii="微软雅黑" w:hAnsi="微软雅黑" w:eastAsia="微软雅黑" w:cs="Times New Roman"/>
          <w:sz w:val="24"/>
          <w:szCs w:val="24"/>
        </w:rPr>
      </w:pPr>
      <w:bookmarkStart w:id="68" w:name="_Toc340223148"/>
      <w:bookmarkStart w:id="69" w:name="_Toc21959732"/>
      <w:bookmarkStart w:id="70" w:name="_Toc28916"/>
      <w:bookmarkStart w:id="71" w:name="_Toc28630"/>
      <w:bookmarkStart w:id="72" w:name="_Toc267320052"/>
      <w:r>
        <w:rPr>
          <w:rFonts w:hint="eastAsia" w:ascii="微软雅黑" w:hAnsi="微软雅黑" w:eastAsia="微软雅黑" w:cs="Times New Roman"/>
          <w:sz w:val="24"/>
          <w:szCs w:val="24"/>
        </w:rPr>
        <w:t>（七）</w:t>
      </w:r>
      <w:r>
        <w:rPr>
          <w:rFonts w:ascii="微软雅黑" w:hAnsi="微软雅黑" w:eastAsia="微软雅黑" w:cs="Times New Roman"/>
          <w:sz w:val="24"/>
          <w:szCs w:val="24"/>
        </w:rPr>
        <w:t>知识产权</w:t>
      </w:r>
      <w:bookmarkEnd w:id="68"/>
      <w:bookmarkEnd w:id="69"/>
      <w:bookmarkEnd w:id="70"/>
      <w:bookmarkEnd w:id="71"/>
      <w:bookmarkEnd w:id="72"/>
    </w:p>
    <w:p w14:paraId="0FB5A7D1">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采购人在中华人民共和国境内使用投标人提供的货物及服务时免受第三方提出的侵犯其专利权或其它知识产权的起诉。如果第三方提出侵权指控，成交人应承担由此而引起的一切法律责任和费用。</w:t>
      </w:r>
    </w:p>
    <w:p w14:paraId="3F4C6081">
      <w:pPr>
        <w:pStyle w:val="4"/>
        <w:rPr>
          <w:rFonts w:ascii="微软雅黑" w:hAnsi="微软雅黑" w:eastAsia="微软雅黑" w:cs="Times New Roman"/>
          <w:sz w:val="24"/>
          <w:szCs w:val="24"/>
        </w:rPr>
      </w:pPr>
      <w:bookmarkStart w:id="73" w:name="_Toc11279"/>
      <w:bookmarkStart w:id="74" w:name="_Toc21959733"/>
      <w:bookmarkStart w:id="75" w:name="_Toc340223150"/>
      <w:bookmarkStart w:id="76" w:name="_Toc267320054"/>
      <w:bookmarkStart w:id="77" w:name="_Toc6807"/>
      <w:r>
        <w:rPr>
          <w:rFonts w:hint="eastAsia" w:ascii="微软雅黑" w:hAnsi="微软雅黑" w:eastAsia="微软雅黑" w:cs="Times New Roman"/>
          <w:sz w:val="24"/>
          <w:szCs w:val="24"/>
        </w:rPr>
        <w:t>（八）</w:t>
      </w:r>
      <w:r>
        <w:rPr>
          <w:rFonts w:ascii="微软雅黑" w:hAnsi="微软雅黑" w:eastAsia="微软雅黑" w:cs="Times New Roman"/>
          <w:sz w:val="24"/>
          <w:szCs w:val="24"/>
        </w:rPr>
        <w:t>其他</w:t>
      </w:r>
      <w:bookmarkEnd w:id="73"/>
      <w:bookmarkEnd w:id="74"/>
      <w:bookmarkEnd w:id="75"/>
      <w:bookmarkEnd w:id="76"/>
      <w:bookmarkEnd w:id="77"/>
    </w:p>
    <w:p w14:paraId="1CCB1F97">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（一）</w:t>
      </w:r>
      <w:r>
        <w:rPr>
          <w:rFonts w:ascii="微软雅黑" w:hAnsi="微软雅黑" w:eastAsia="微软雅黑" w:cs="Times New Roman"/>
          <w:sz w:val="24"/>
          <w:szCs w:val="24"/>
        </w:rPr>
        <w:t>投标人必须在</w:t>
      </w:r>
      <w:r>
        <w:rPr>
          <w:rFonts w:hint="eastAsia" w:ascii="微软雅黑" w:hAnsi="微软雅黑" w:eastAsia="微软雅黑" w:cs="Times New Roman"/>
          <w:sz w:val="24"/>
          <w:szCs w:val="24"/>
        </w:rPr>
        <w:t>响应文件</w:t>
      </w:r>
      <w:r>
        <w:rPr>
          <w:rFonts w:ascii="微软雅黑" w:hAnsi="微软雅黑" w:eastAsia="微软雅黑" w:cs="Times New Roman"/>
          <w:sz w:val="24"/>
          <w:szCs w:val="24"/>
        </w:rPr>
        <w:t>中对以上条款和服务承诺明确列出，承诺内容必须达到本篇及</w:t>
      </w:r>
      <w:r>
        <w:rPr>
          <w:rFonts w:hint="eastAsia" w:ascii="微软雅黑" w:hAnsi="微软雅黑" w:eastAsia="微软雅黑" w:cs="Times New Roman"/>
          <w:sz w:val="24"/>
          <w:szCs w:val="24"/>
        </w:rPr>
        <w:t>谈判</w:t>
      </w:r>
      <w:r>
        <w:rPr>
          <w:rFonts w:ascii="微软雅黑" w:hAnsi="微软雅黑" w:eastAsia="微软雅黑" w:cs="Times New Roman"/>
          <w:sz w:val="24"/>
          <w:szCs w:val="24"/>
        </w:rPr>
        <w:t>文件其他条款的要求。</w:t>
      </w:r>
    </w:p>
    <w:p w14:paraId="03E66000">
      <w:pPr>
        <w:snapToGrid w:val="0"/>
        <w:spacing w:line="400" w:lineRule="exact"/>
        <w:ind w:firstLine="480" w:firstLineChars="200"/>
        <w:rPr>
          <w:rFonts w:ascii="微软雅黑" w:hAnsi="微软雅黑" w:eastAsia="微软雅黑" w:cs="Times New Roman"/>
          <w:sz w:val="24"/>
          <w:szCs w:val="24"/>
        </w:rPr>
      </w:pPr>
      <w:r>
        <w:rPr>
          <w:rFonts w:ascii="微软雅黑" w:hAnsi="微软雅黑" w:eastAsia="微软雅黑" w:cs="Times New Roman"/>
          <w:sz w:val="24"/>
          <w:szCs w:val="24"/>
        </w:rPr>
        <w:t>（</w:t>
      </w:r>
      <w:r>
        <w:rPr>
          <w:rFonts w:hint="eastAsia" w:ascii="微软雅黑" w:hAnsi="微软雅黑" w:eastAsia="微软雅黑" w:cs="Times New Roman"/>
          <w:sz w:val="24"/>
          <w:szCs w:val="24"/>
        </w:rPr>
        <w:t>二</w:t>
      </w:r>
      <w:r>
        <w:rPr>
          <w:rFonts w:ascii="微软雅黑" w:hAnsi="微软雅黑" w:eastAsia="微软雅黑" w:cs="Times New Roman"/>
          <w:sz w:val="24"/>
          <w:szCs w:val="24"/>
        </w:rPr>
        <w:t>）其他未尽事宜由供需双方在采购合同中详细约定。</w:t>
      </w:r>
    </w:p>
    <w:p w14:paraId="03B2CC3B">
      <w:pPr>
        <w:pStyle w:val="4"/>
        <w:rPr>
          <w:rFonts w:ascii="微软雅黑" w:hAnsi="微软雅黑" w:eastAsia="微软雅黑" w:cs="Times New Roman"/>
          <w:sz w:val="24"/>
          <w:szCs w:val="24"/>
        </w:rPr>
      </w:pPr>
      <w:bookmarkStart w:id="78" w:name="_Toc21959734"/>
      <w:r>
        <w:rPr>
          <w:rFonts w:hint="eastAsia" w:ascii="微软雅黑" w:hAnsi="微软雅黑" w:eastAsia="微软雅黑" w:cs="Times New Roman"/>
          <w:sz w:val="24"/>
          <w:szCs w:val="24"/>
        </w:rPr>
        <w:t>（九）采购代理服务费</w:t>
      </w:r>
      <w:bookmarkEnd w:id="78"/>
    </w:p>
    <w:p w14:paraId="00B23588">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（一）本项目采购代理服务费由成交人支付。</w:t>
      </w:r>
    </w:p>
    <w:p w14:paraId="128119AF">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（二）采购代理服务费金额：6700元（大写：陆仟柒佰元整）。</w:t>
      </w:r>
    </w:p>
    <w:p w14:paraId="16899062">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（三）支付时间：在成交通知书发出前由成交人一次性支付给采购代理机构。</w:t>
      </w:r>
    </w:p>
    <w:p w14:paraId="73777773">
      <w:pPr>
        <w:keepNext/>
        <w:keepLines/>
        <w:spacing w:line="360" w:lineRule="auto"/>
        <w:outlineLvl w:val="1"/>
        <w:rPr>
          <w:rFonts w:ascii="微软雅黑" w:hAnsi="微软雅黑" w:eastAsia="微软雅黑" w:cs="Times New Roman"/>
          <w:b/>
          <w:sz w:val="24"/>
          <w:szCs w:val="24"/>
        </w:rPr>
      </w:pPr>
      <w:r>
        <w:rPr>
          <w:rFonts w:hint="eastAsia" w:ascii="微软雅黑" w:hAnsi="微软雅黑" w:eastAsia="微软雅黑" w:cs="Times New Roman"/>
          <w:b/>
          <w:sz w:val="24"/>
          <w:szCs w:val="24"/>
        </w:rPr>
        <w:t>三、项目技术要求</w:t>
      </w:r>
    </w:p>
    <w:p w14:paraId="0423952A">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（一）技术标准和要求以本工程设计施工图为准。</w:t>
      </w:r>
    </w:p>
    <w:p w14:paraId="02ADC4A4">
      <w:pPr>
        <w:snapToGrid w:val="0"/>
        <w:spacing w:line="400" w:lineRule="exact"/>
        <w:ind w:firstLine="480" w:firstLineChars="200"/>
        <w:rPr>
          <w:rFonts w:ascii="微软雅黑" w:hAnsi="微软雅黑" w:eastAsia="微软雅黑" w:cs="Times New Roman"/>
          <w:sz w:val="24"/>
          <w:szCs w:val="24"/>
        </w:rPr>
      </w:pPr>
      <w:r>
        <w:rPr>
          <w:rFonts w:hint="eastAsia" w:ascii="微软雅黑" w:hAnsi="微软雅黑" w:eastAsia="微软雅黑" w:cs="Times New Roman"/>
          <w:sz w:val="24"/>
          <w:szCs w:val="24"/>
        </w:rPr>
        <w:t>（二）按国家及重庆市相关设计、施工验收规范及标准执行。</w:t>
      </w:r>
    </w:p>
    <w:p w14:paraId="2B9DB3D8">
      <w:pPr>
        <w:rPr>
          <w:rFonts w:ascii="微软雅黑" w:hAnsi="微软雅黑" w:eastAsia="微软雅黑"/>
        </w:rPr>
      </w:pPr>
      <w:r>
        <w:rPr>
          <w:rFonts w:ascii="微软雅黑" w:hAnsi="微软雅黑" w:eastAsia="微软雅黑"/>
          <w:sz w:val="24"/>
          <w:szCs w:val="24"/>
        </w:rPr>
        <w:br w:type="page"/>
      </w:r>
    </w:p>
    <w:p w14:paraId="681F7621">
      <w:pPr>
        <w:pStyle w:val="2"/>
        <w:rPr>
          <w:rFonts w:ascii="微软雅黑" w:hAnsi="微软雅黑" w:eastAsia="微软雅黑" w:cs="Times New Roman"/>
          <w:sz w:val="36"/>
          <w:szCs w:val="30"/>
        </w:rPr>
      </w:pPr>
      <w:bookmarkStart w:id="79" w:name="_Toc21959735"/>
      <w:bookmarkStart w:id="80" w:name="_Toc29990"/>
      <w:r>
        <w:rPr>
          <w:rFonts w:hint="eastAsia" w:ascii="微软雅黑" w:hAnsi="微软雅黑" w:eastAsia="微软雅黑" w:cs="Times New Roman"/>
          <w:sz w:val="36"/>
          <w:szCs w:val="30"/>
        </w:rPr>
        <w:t>第四篇   合  同</w:t>
      </w:r>
      <w:bookmarkEnd w:id="79"/>
      <w:bookmarkEnd w:id="80"/>
    </w:p>
    <w:p w14:paraId="25A345BC">
      <w:pPr>
        <w:spacing w:line="360" w:lineRule="auto"/>
        <w:jc w:val="center"/>
        <w:rPr>
          <w:rFonts w:ascii="微软雅黑" w:hAnsi="微软雅黑" w:eastAsia="微软雅黑" w:cs="宋体"/>
          <w:bCs/>
          <w:sz w:val="44"/>
          <w:szCs w:val="44"/>
        </w:rPr>
      </w:pPr>
      <w:bookmarkStart w:id="81" w:name="_Toc11412"/>
      <w:r>
        <w:rPr>
          <w:rFonts w:hint="eastAsia" w:ascii="微软雅黑" w:hAnsi="微软雅黑" w:eastAsia="微软雅黑" w:cs="宋体"/>
          <w:b/>
          <w:bCs/>
          <w:sz w:val="32"/>
          <w:szCs w:val="32"/>
        </w:rPr>
        <w:t>第一节 合同协议书</w:t>
      </w:r>
      <w:bookmarkEnd w:id="81"/>
    </w:p>
    <w:p w14:paraId="1A67B78B">
      <w:pPr>
        <w:spacing w:line="360" w:lineRule="auto"/>
        <w:rPr>
          <w:rFonts w:ascii="微软雅黑" w:hAnsi="微软雅黑" w:eastAsia="微软雅黑" w:cs="宋体"/>
          <w:b/>
          <w:szCs w:val="21"/>
          <w:u w:val="single"/>
        </w:rPr>
      </w:pPr>
      <w:r>
        <w:rPr>
          <w:rFonts w:hint="eastAsia" w:ascii="微软雅黑" w:hAnsi="微软雅黑" w:eastAsia="微软雅黑" w:cs="宋体"/>
          <w:b/>
          <w:szCs w:val="21"/>
        </w:rPr>
        <w:t>发包人（全称）：重庆市射击运动学校</w:t>
      </w:r>
    </w:p>
    <w:p w14:paraId="318C9B88">
      <w:pPr>
        <w:spacing w:line="360" w:lineRule="auto"/>
        <w:rPr>
          <w:rFonts w:ascii="微软雅黑" w:hAnsi="微软雅黑" w:eastAsia="微软雅黑" w:cs="宋体"/>
          <w:b/>
          <w:szCs w:val="21"/>
          <w:u w:val="single"/>
        </w:rPr>
      </w:pPr>
      <w:r>
        <w:rPr>
          <w:rFonts w:hint="eastAsia" w:ascii="微软雅黑" w:hAnsi="微软雅黑" w:eastAsia="微软雅黑" w:cs="宋体"/>
          <w:b/>
          <w:szCs w:val="21"/>
        </w:rPr>
        <w:t>承包人（全称）：</w:t>
      </w:r>
      <w:r>
        <w:rPr>
          <w:rFonts w:hint="eastAsia" w:ascii="微软雅黑" w:hAnsi="微软雅黑" w:eastAsia="微软雅黑" w:cs="宋体"/>
          <w:b/>
          <w:szCs w:val="21"/>
          <w:u w:val="single"/>
        </w:rPr>
        <w:t xml:space="preserve">                   　   </w:t>
      </w:r>
    </w:p>
    <w:p w14:paraId="22524A30">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根据《中华人民共和国合同法》、《中华人民共和国建筑法》及有关法律规定，遵循平等、自愿、公平和诚实信用的原则，双方就</w:t>
      </w:r>
      <w:r>
        <w:rPr>
          <w:rFonts w:hint="eastAsia" w:ascii="微软雅黑" w:hAnsi="微软雅黑" w:eastAsia="微软雅黑" w:cs="宋体"/>
          <w:b/>
          <w:szCs w:val="21"/>
          <w:u w:val="single"/>
        </w:rPr>
        <w:t>重庆市射击运动学校射击馆维修工程</w:t>
      </w:r>
      <w:r>
        <w:rPr>
          <w:rFonts w:hint="eastAsia" w:ascii="微软雅黑" w:hAnsi="微软雅黑" w:eastAsia="微软雅黑" w:cs="宋体"/>
          <w:szCs w:val="21"/>
        </w:rPr>
        <w:t>施工及有关事项协商一致，共同达成如下协议：</w:t>
      </w:r>
    </w:p>
    <w:p w14:paraId="1E210C71">
      <w:pPr>
        <w:spacing w:line="360" w:lineRule="auto"/>
        <w:ind w:firstLine="420" w:firstLineChars="200"/>
        <w:outlineLvl w:val="0"/>
        <w:rPr>
          <w:rFonts w:ascii="微软雅黑" w:hAnsi="微软雅黑" w:eastAsia="微软雅黑" w:cs="宋体"/>
          <w:b/>
          <w:szCs w:val="21"/>
        </w:rPr>
      </w:pPr>
      <w:bookmarkStart w:id="82" w:name="_Toc22405"/>
      <w:bookmarkStart w:id="83" w:name="_Toc15874"/>
      <w:bookmarkStart w:id="84" w:name="_Toc11114"/>
      <w:bookmarkStart w:id="85" w:name="_Toc7869"/>
      <w:bookmarkStart w:id="86" w:name="_Toc1052"/>
      <w:bookmarkStart w:id="87" w:name="_Toc23930"/>
      <w:bookmarkStart w:id="88" w:name="_Toc18270"/>
      <w:r>
        <w:rPr>
          <w:rFonts w:hint="eastAsia" w:ascii="微软雅黑" w:hAnsi="微软雅黑" w:eastAsia="微软雅黑" w:cs="宋体"/>
          <w:b/>
          <w:szCs w:val="21"/>
        </w:rPr>
        <w:t>一、工程概况</w:t>
      </w:r>
      <w:bookmarkEnd w:id="82"/>
      <w:bookmarkEnd w:id="83"/>
      <w:bookmarkEnd w:id="84"/>
      <w:bookmarkEnd w:id="85"/>
      <w:bookmarkEnd w:id="86"/>
      <w:bookmarkEnd w:id="87"/>
      <w:bookmarkEnd w:id="88"/>
    </w:p>
    <w:p w14:paraId="19F3FA94">
      <w:pPr>
        <w:spacing w:line="360" w:lineRule="auto"/>
        <w:ind w:firstLine="411" w:firstLineChars="196"/>
        <w:rPr>
          <w:rFonts w:ascii="微软雅黑" w:hAnsi="微软雅黑" w:eastAsia="微软雅黑" w:cs="宋体"/>
          <w:szCs w:val="21"/>
          <w:u w:val="single"/>
        </w:rPr>
      </w:pPr>
      <w:r>
        <w:rPr>
          <w:rFonts w:hint="eastAsia" w:ascii="微软雅黑" w:hAnsi="微软雅黑" w:eastAsia="微软雅黑" w:cs="宋体"/>
          <w:bCs/>
          <w:szCs w:val="21"/>
        </w:rPr>
        <w:t>1.工程名称</w:t>
      </w:r>
      <w:r>
        <w:rPr>
          <w:rFonts w:hint="eastAsia" w:ascii="微软雅黑" w:hAnsi="微软雅黑" w:eastAsia="微软雅黑" w:cs="宋体"/>
          <w:b/>
          <w:szCs w:val="21"/>
          <w:u w:val="single"/>
        </w:rPr>
        <w:t>：重庆市射击运动学校射击馆维修工程</w:t>
      </w:r>
      <w:r>
        <w:rPr>
          <w:rFonts w:hint="eastAsia" w:ascii="微软雅黑" w:hAnsi="微软雅黑" w:eastAsia="微软雅黑" w:cs="宋体"/>
          <w:szCs w:val="21"/>
        </w:rPr>
        <w:t>。</w:t>
      </w:r>
    </w:p>
    <w:p w14:paraId="690B6024">
      <w:pPr>
        <w:spacing w:line="360" w:lineRule="auto"/>
        <w:ind w:firstLine="411" w:firstLineChars="196"/>
        <w:rPr>
          <w:rFonts w:ascii="微软雅黑" w:hAnsi="微软雅黑" w:eastAsia="微软雅黑" w:cs="宋体"/>
          <w:bCs/>
          <w:szCs w:val="21"/>
        </w:rPr>
      </w:pPr>
      <w:r>
        <w:rPr>
          <w:rFonts w:hint="eastAsia" w:ascii="微软雅黑" w:hAnsi="微软雅黑" w:eastAsia="微软雅黑" w:cs="宋体"/>
          <w:bCs/>
          <w:szCs w:val="21"/>
        </w:rPr>
        <w:t>2.工程地点：</w:t>
      </w:r>
      <w:r>
        <w:rPr>
          <w:rFonts w:hint="eastAsia" w:ascii="微软雅黑" w:hAnsi="微软雅黑" w:eastAsia="微软雅黑" w:cs="宋体"/>
          <w:bCs/>
          <w:szCs w:val="21"/>
          <w:u w:val="single"/>
        </w:rPr>
        <w:t>重庆市九龙坡区金凤镇</w:t>
      </w:r>
      <w:r>
        <w:rPr>
          <w:rFonts w:hint="eastAsia" w:ascii="微软雅黑" w:hAnsi="微软雅黑" w:eastAsia="微软雅黑" w:cs="宋体"/>
          <w:szCs w:val="21"/>
        </w:rPr>
        <w:t>。</w:t>
      </w:r>
    </w:p>
    <w:p w14:paraId="3303F72F">
      <w:pPr>
        <w:spacing w:line="360" w:lineRule="auto"/>
        <w:ind w:firstLine="411" w:firstLineChars="196"/>
        <w:rPr>
          <w:rFonts w:ascii="微软雅黑" w:hAnsi="微软雅黑" w:eastAsia="微软雅黑" w:cs="宋体"/>
          <w:bCs/>
          <w:szCs w:val="21"/>
        </w:rPr>
      </w:pPr>
      <w:r>
        <w:rPr>
          <w:rFonts w:hint="eastAsia" w:ascii="微软雅黑" w:hAnsi="微软雅黑" w:eastAsia="微软雅黑" w:cs="宋体"/>
          <w:bCs/>
          <w:szCs w:val="21"/>
        </w:rPr>
        <w:t>3.工程立项批准文号：</w:t>
      </w:r>
      <w:r>
        <w:rPr>
          <w:rFonts w:hint="eastAsia" w:ascii="微软雅黑" w:hAnsi="微软雅黑" w:eastAsia="微软雅黑" w:cs="宋体"/>
          <w:bCs/>
          <w:szCs w:val="21"/>
          <w:u w:val="single"/>
        </w:rPr>
        <w:t xml:space="preserve">           </w:t>
      </w:r>
      <w:r>
        <w:rPr>
          <w:rFonts w:hint="eastAsia" w:ascii="微软雅黑" w:hAnsi="微软雅黑" w:eastAsia="微软雅黑" w:cs="宋体"/>
          <w:bCs/>
          <w:szCs w:val="21"/>
        </w:rPr>
        <w:t>。</w:t>
      </w:r>
    </w:p>
    <w:p w14:paraId="241F6C11">
      <w:pPr>
        <w:spacing w:line="360" w:lineRule="auto"/>
        <w:ind w:firstLine="411" w:firstLineChars="196"/>
        <w:rPr>
          <w:rFonts w:ascii="微软雅黑" w:hAnsi="微软雅黑" w:eastAsia="微软雅黑" w:cs="宋体"/>
          <w:bCs/>
          <w:szCs w:val="21"/>
        </w:rPr>
      </w:pPr>
      <w:r>
        <w:rPr>
          <w:rFonts w:hint="eastAsia" w:ascii="微软雅黑" w:hAnsi="微软雅黑" w:eastAsia="微软雅黑" w:cs="宋体"/>
          <w:bCs/>
          <w:szCs w:val="21"/>
        </w:rPr>
        <w:t>4.资金来源：</w:t>
      </w:r>
      <w:r>
        <w:rPr>
          <w:rFonts w:hint="eastAsia" w:ascii="微软雅黑" w:hAnsi="微软雅黑" w:eastAsia="微软雅黑" w:cs="宋体"/>
          <w:bCs/>
          <w:szCs w:val="21"/>
          <w:u w:val="single"/>
        </w:rPr>
        <w:t>业主自筹</w:t>
      </w:r>
      <w:r>
        <w:rPr>
          <w:rFonts w:hint="eastAsia" w:ascii="微软雅黑" w:hAnsi="微软雅黑" w:eastAsia="微软雅黑" w:cs="宋体"/>
          <w:bCs/>
          <w:szCs w:val="21"/>
        </w:rPr>
        <w:t>。</w:t>
      </w:r>
    </w:p>
    <w:p w14:paraId="0E3BD9B0">
      <w:pPr>
        <w:spacing w:line="360" w:lineRule="auto"/>
        <w:ind w:firstLine="411" w:firstLineChars="196"/>
        <w:rPr>
          <w:rFonts w:ascii="微软雅黑" w:hAnsi="微软雅黑" w:eastAsia="微软雅黑" w:cs="宋体"/>
          <w:bCs/>
          <w:szCs w:val="21"/>
        </w:rPr>
      </w:pPr>
      <w:r>
        <w:rPr>
          <w:rFonts w:hint="eastAsia" w:ascii="微软雅黑" w:hAnsi="微软雅黑" w:eastAsia="微软雅黑" w:cs="宋体"/>
          <w:bCs/>
          <w:szCs w:val="21"/>
        </w:rPr>
        <w:t>5.工程内容：</w:t>
      </w:r>
      <w:r>
        <w:rPr>
          <w:rFonts w:hint="eastAsia" w:ascii="微软雅黑" w:hAnsi="微软雅黑" w:eastAsia="微软雅黑" w:cs="宋体"/>
          <w:bCs/>
          <w:szCs w:val="21"/>
          <w:u w:val="single"/>
        </w:rPr>
        <w:t>要包括射击馆内一层25米靶场2个厕所以及50米靶场1个厕所的墙面、地面、盥洗台、天花、蹲位、内隔墙等的改造装修。一层院内走廊墙面改造、消防栓更换。部分外墙加固装修。一层飞碟控制房维修装修。屋面维修。铝塑板幕墙安装等。场馆建筑高度约15.30m。</w:t>
      </w:r>
    </w:p>
    <w:p w14:paraId="2F4E3F5D">
      <w:pPr>
        <w:spacing w:line="360" w:lineRule="auto"/>
        <w:ind w:firstLine="411" w:firstLineChars="196"/>
        <w:rPr>
          <w:rFonts w:ascii="微软雅黑" w:hAnsi="微软雅黑" w:eastAsia="微软雅黑" w:cs="宋体"/>
          <w:bCs/>
          <w:szCs w:val="21"/>
        </w:rPr>
      </w:pPr>
      <w:r>
        <w:rPr>
          <w:rFonts w:hint="eastAsia" w:ascii="微软雅黑" w:hAnsi="微软雅黑" w:eastAsia="微软雅黑" w:cs="宋体"/>
          <w:bCs/>
          <w:szCs w:val="21"/>
        </w:rPr>
        <w:t>6.工程承包范围：</w:t>
      </w:r>
    </w:p>
    <w:p w14:paraId="38DC14CE">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u w:val="single"/>
        </w:rPr>
        <w:t>重庆市射击运动学校射击馆维修工程</w:t>
      </w:r>
      <w:r>
        <w:rPr>
          <w:rFonts w:hint="eastAsia" w:ascii="微软雅黑" w:hAnsi="微软雅黑" w:eastAsia="微软雅黑" w:cs="宋体"/>
          <w:szCs w:val="21"/>
        </w:rPr>
        <w:t>，具体包含按国家相关规范及设计要求完成施工图范围内的所有内容、发布的工程量清单、设计交底、竞争性谈判文件、竞争性谈判文件补遗、答疑、澄清中补充的全部工程内容及其它保证施工顺利进行的各种协调工作等。</w:t>
      </w:r>
    </w:p>
    <w:p w14:paraId="3B5E8255">
      <w:pPr>
        <w:spacing w:line="360" w:lineRule="auto"/>
        <w:ind w:firstLine="420" w:firstLineChars="200"/>
        <w:outlineLvl w:val="0"/>
        <w:rPr>
          <w:rFonts w:ascii="微软雅黑" w:hAnsi="微软雅黑" w:eastAsia="微软雅黑" w:cs="宋体"/>
          <w:b/>
          <w:szCs w:val="21"/>
        </w:rPr>
      </w:pPr>
      <w:bookmarkStart w:id="89" w:name="_Toc13876"/>
      <w:bookmarkStart w:id="90" w:name="_Toc30684"/>
      <w:bookmarkStart w:id="91" w:name="_Toc30547"/>
      <w:bookmarkStart w:id="92" w:name="_Toc25322"/>
      <w:bookmarkStart w:id="93" w:name="_Toc8597"/>
      <w:bookmarkStart w:id="94" w:name="_Toc25829"/>
      <w:bookmarkStart w:id="95" w:name="_Toc24994"/>
      <w:r>
        <w:rPr>
          <w:rFonts w:hint="eastAsia" w:ascii="微软雅黑" w:hAnsi="微软雅黑" w:eastAsia="微软雅黑" w:cs="宋体"/>
          <w:b/>
          <w:szCs w:val="21"/>
        </w:rPr>
        <w:t>二、合同工期</w:t>
      </w:r>
      <w:bookmarkEnd w:id="89"/>
      <w:bookmarkEnd w:id="90"/>
      <w:bookmarkEnd w:id="91"/>
      <w:bookmarkEnd w:id="92"/>
      <w:bookmarkEnd w:id="93"/>
      <w:bookmarkEnd w:id="94"/>
      <w:bookmarkEnd w:id="95"/>
    </w:p>
    <w:p w14:paraId="06F321F4">
      <w:pPr>
        <w:spacing w:line="360" w:lineRule="auto"/>
        <w:ind w:firstLine="459"/>
        <w:rPr>
          <w:rFonts w:ascii="微软雅黑" w:hAnsi="微软雅黑" w:eastAsia="微软雅黑" w:cs="宋体"/>
          <w:szCs w:val="21"/>
        </w:rPr>
      </w:pPr>
      <w:r>
        <w:rPr>
          <w:rFonts w:hint="eastAsia" w:ascii="微软雅黑" w:hAnsi="微软雅黑" w:eastAsia="微软雅黑" w:cs="宋体"/>
          <w:szCs w:val="21"/>
        </w:rPr>
        <w:t>计划开工日期：</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年</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月</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日。</w:t>
      </w:r>
    </w:p>
    <w:p w14:paraId="1C03BB91">
      <w:pPr>
        <w:spacing w:line="360" w:lineRule="auto"/>
        <w:ind w:firstLine="459"/>
        <w:rPr>
          <w:rFonts w:ascii="微软雅黑" w:hAnsi="微软雅黑" w:eastAsia="微软雅黑" w:cs="宋体"/>
          <w:szCs w:val="21"/>
        </w:rPr>
      </w:pPr>
      <w:r>
        <w:rPr>
          <w:rFonts w:hint="eastAsia" w:ascii="微软雅黑" w:hAnsi="微软雅黑" w:eastAsia="微软雅黑" w:cs="宋体"/>
          <w:szCs w:val="21"/>
        </w:rPr>
        <w:t>计划竣工日期：</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年</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月</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日。</w:t>
      </w:r>
    </w:p>
    <w:p w14:paraId="6F2A9C32">
      <w:pPr>
        <w:spacing w:line="360" w:lineRule="auto"/>
        <w:ind w:firstLine="459"/>
        <w:rPr>
          <w:rFonts w:ascii="微软雅黑" w:hAnsi="微软雅黑" w:eastAsia="微软雅黑" w:cs="宋体"/>
          <w:szCs w:val="21"/>
        </w:rPr>
      </w:pPr>
      <w:r>
        <w:rPr>
          <w:rFonts w:hint="eastAsia" w:ascii="微软雅黑" w:hAnsi="微软雅黑" w:eastAsia="微软雅黑" w:cs="宋体"/>
          <w:szCs w:val="21"/>
        </w:rPr>
        <w:t>工期总日历天数：</w:t>
      </w:r>
      <w:r>
        <w:rPr>
          <w:rFonts w:hint="eastAsia" w:ascii="微软雅黑" w:hAnsi="微软雅黑" w:eastAsia="微软雅黑" w:cs="宋体"/>
          <w:szCs w:val="21"/>
          <w:u w:val="single"/>
        </w:rPr>
        <w:t>30 日历天</w:t>
      </w:r>
      <w:r>
        <w:rPr>
          <w:rFonts w:hint="eastAsia" w:ascii="微软雅黑" w:hAnsi="微软雅黑" w:eastAsia="微软雅黑" w:cs="宋体"/>
          <w:szCs w:val="21"/>
        </w:rPr>
        <w:t>。</w:t>
      </w:r>
    </w:p>
    <w:p w14:paraId="3A16F930">
      <w:pPr>
        <w:spacing w:line="360" w:lineRule="auto"/>
        <w:ind w:firstLine="420" w:firstLineChars="200"/>
        <w:rPr>
          <w:rFonts w:ascii="微软雅黑" w:hAnsi="微软雅黑" w:eastAsia="微软雅黑" w:cs="宋体"/>
          <w:b/>
          <w:szCs w:val="21"/>
        </w:rPr>
      </w:pPr>
      <w:r>
        <w:rPr>
          <w:rFonts w:hint="eastAsia" w:ascii="微软雅黑" w:hAnsi="微软雅黑" w:eastAsia="微软雅黑" w:cs="宋体"/>
          <w:b/>
          <w:szCs w:val="21"/>
        </w:rPr>
        <w:t>三、质量标准</w:t>
      </w:r>
    </w:p>
    <w:p w14:paraId="7AE2C591">
      <w:pPr>
        <w:spacing w:line="360" w:lineRule="auto"/>
        <w:ind w:firstLine="459"/>
        <w:rPr>
          <w:rFonts w:ascii="微软雅黑" w:hAnsi="微软雅黑" w:eastAsia="微软雅黑" w:cs="宋体"/>
          <w:snapToGrid w:val="0"/>
          <w:kern w:val="0"/>
          <w:szCs w:val="21"/>
        </w:rPr>
      </w:pPr>
      <w:r>
        <w:rPr>
          <w:rFonts w:hint="eastAsia" w:ascii="微软雅黑" w:hAnsi="微软雅黑" w:eastAsia="微软雅黑" w:cs="宋体"/>
          <w:snapToGrid w:val="0"/>
          <w:kern w:val="0"/>
          <w:szCs w:val="21"/>
        </w:rPr>
        <w:t>工程质量符合</w:t>
      </w:r>
      <w:r>
        <w:rPr>
          <w:rFonts w:hint="eastAsia" w:ascii="微软雅黑" w:hAnsi="微软雅黑" w:eastAsia="微软雅黑" w:cs="宋体"/>
          <w:snapToGrid w:val="0"/>
          <w:kern w:val="0"/>
          <w:szCs w:val="21"/>
          <w:u w:val="single"/>
        </w:rPr>
        <w:t xml:space="preserve">               </w:t>
      </w:r>
      <w:r>
        <w:rPr>
          <w:rFonts w:hint="eastAsia" w:ascii="微软雅黑" w:hAnsi="微软雅黑" w:eastAsia="微软雅黑" w:cs="宋体"/>
          <w:snapToGrid w:val="0"/>
          <w:kern w:val="0"/>
          <w:szCs w:val="21"/>
        </w:rPr>
        <w:t>标准。</w:t>
      </w:r>
    </w:p>
    <w:p w14:paraId="13898959">
      <w:pPr>
        <w:spacing w:line="360" w:lineRule="auto"/>
        <w:ind w:firstLine="420" w:firstLineChars="200"/>
        <w:outlineLvl w:val="0"/>
        <w:rPr>
          <w:rFonts w:ascii="微软雅黑" w:hAnsi="微软雅黑" w:eastAsia="微软雅黑" w:cs="宋体"/>
          <w:b/>
          <w:szCs w:val="21"/>
        </w:rPr>
      </w:pPr>
      <w:bookmarkStart w:id="96" w:name="_Toc6151"/>
      <w:bookmarkStart w:id="97" w:name="_Toc21099"/>
      <w:bookmarkStart w:id="98" w:name="_Toc15613"/>
      <w:bookmarkStart w:id="99" w:name="_Toc30840"/>
      <w:bookmarkStart w:id="100" w:name="_Toc14766"/>
      <w:bookmarkStart w:id="101" w:name="_Toc13662"/>
      <w:bookmarkStart w:id="102" w:name="_Toc14463"/>
      <w:r>
        <w:rPr>
          <w:rFonts w:hint="eastAsia" w:ascii="微软雅黑" w:hAnsi="微软雅黑" w:eastAsia="微软雅黑" w:cs="宋体"/>
          <w:b/>
          <w:szCs w:val="21"/>
        </w:rPr>
        <w:t>四、签约合同价与合同价格形式</w:t>
      </w:r>
      <w:bookmarkEnd w:id="96"/>
      <w:bookmarkEnd w:id="97"/>
      <w:bookmarkEnd w:id="98"/>
      <w:bookmarkEnd w:id="99"/>
      <w:bookmarkEnd w:id="100"/>
      <w:bookmarkEnd w:id="101"/>
      <w:bookmarkEnd w:id="102"/>
      <w:r>
        <w:rPr>
          <w:rFonts w:hint="eastAsia" w:ascii="微软雅黑" w:hAnsi="微软雅黑" w:eastAsia="微软雅黑" w:cs="宋体"/>
          <w:b/>
          <w:szCs w:val="21"/>
        </w:rPr>
        <w:tab/>
      </w:r>
    </w:p>
    <w:p w14:paraId="7F31E6E2">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1.签约合同价为：</w:t>
      </w:r>
    </w:p>
    <w:p w14:paraId="28C460E9">
      <w:pPr>
        <w:spacing w:line="360" w:lineRule="auto"/>
        <w:ind w:firstLine="525" w:firstLineChars="250"/>
        <w:rPr>
          <w:rFonts w:ascii="微软雅黑" w:hAnsi="微软雅黑" w:eastAsia="微软雅黑" w:cs="宋体"/>
          <w:szCs w:val="21"/>
        </w:rPr>
      </w:pPr>
      <w:r>
        <w:rPr>
          <w:rFonts w:hint="eastAsia" w:ascii="微软雅黑" w:hAnsi="微软雅黑" w:eastAsia="微软雅黑" w:cs="宋体"/>
          <w:szCs w:val="21"/>
        </w:rPr>
        <w:t>人民币（大写）</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元)；</w:t>
      </w:r>
    </w:p>
    <w:p w14:paraId="47AB016E">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其中：</w:t>
      </w:r>
    </w:p>
    <w:p w14:paraId="319AC676">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（1）安全文明施工费：</w:t>
      </w:r>
    </w:p>
    <w:p w14:paraId="43A32AE8">
      <w:pPr>
        <w:spacing w:line="360" w:lineRule="auto"/>
        <w:ind w:firstLine="945" w:firstLineChars="450"/>
        <w:rPr>
          <w:rFonts w:ascii="微软雅黑" w:hAnsi="微软雅黑" w:eastAsia="微软雅黑" w:cs="宋体"/>
          <w:szCs w:val="21"/>
        </w:rPr>
      </w:pPr>
      <w:r>
        <w:rPr>
          <w:rFonts w:hint="eastAsia" w:ascii="微软雅黑" w:hAnsi="微软雅黑" w:eastAsia="微软雅黑" w:cs="宋体"/>
          <w:szCs w:val="21"/>
        </w:rPr>
        <w:t>人民币（大写）</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 xml:space="preserve"> (¥</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元)；</w:t>
      </w:r>
    </w:p>
    <w:p w14:paraId="6D62AEC7">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（2）材料和工程设备暂估价金额：</w:t>
      </w:r>
    </w:p>
    <w:p w14:paraId="08881927">
      <w:pPr>
        <w:spacing w:line="360" w:lineRule="auto"/>
        <w:ind w:firstLine="945" w:firstLineChars="450"/>
        <w:rPr>
          <w:rFonts w:ascii="微软雅黑" w:hAnsi="微软雅黑" w:eastAsia="微软雅黑" w:cs="宋体"/>
          <w:szCs w:val="21"/>
        </w:rPr>
      </w:pPr>
      <w:r>
        <w:rPr>
          <w:rFonts w:hint="eastAsia" w:ascii="微软雅黑" w:hAnsi="微软雅黑" w:eastAsia="微软雅黑" w:cs="宋体"/>
          <w:szCs w:val="21"/>
        </w:rPr>
        <w:t>人民币（大写）</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 xml:space="preserve"> (¥</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元)；</w:t>
      </w:r>
    </w:p>
    <w:p w14:paraId="2EFEB736">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（3）专业工程暂估价金额：</w:t>
      </w:r>
    </w:p>
    <w:p w14:paraId="47E8B4D2">
      <w:pPr>
        <w:spacing w:line="360" w:lineRule="auto"/>
        <w:ind w:firstLine="945" w:firstLineChars="450"/>
        <w:rPr>
          <w:rFonts w:ascii="微软雅黑" w:hAnsi="微软雅黑" w:eastAsia="微软雅黑" w:cs="宋体"/>
          <w:szCs w:val="21"/>
        </w:rPr>
      </w:pPr>
      <w:r>
        <w:rPr>
          <w:rFonts w:hint="eastAsia" w:ascii="微软雅黑" w:hAnsi="微软雅黑" w:eastAsia="微软雅黑" w:cs="宋体"/>
          <w:szCs w:val="21"/>
        </w:rPr>
        <w:t>人民币（大写）</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 xml:space="preserve"> (¥</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元)；</w:t>
      </w:r>
    </w:p>
    <w:p w14:paraId="3B4CA2A3">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（4）暂列金额：</w:t>
      </w:r>
    </w:p>
    <w:p w14:paraId="670CAF50">
      <w:pPr>
        <w:spacing w:line="360" w:lineRule="auto"/>
        <w:ind w:firstLine="945" w:firstLineChars="450"/>
        <w:rPr>
          <w:rFonts w:ascii="微软雅黑" w:hAnsi="微软雅黑" w:eastAsia="微软雅黑" w:cs="宋体"/>
          <w:szCs w:val="21"/>
        </w:rPr>
      </w:pPr>
      <w:r>
        <w:rPr>
          <w:rFonts w:hint="eastAsia" w:ascii="微软雅黑" w:hAnsi="微软雅黑" w:eastAsia="微软雅黑" w:cs="宋体"/>
          <w:szCs w:val="21"/>
        </w:rPr>
        <w:t>人民币（大写）</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 xml:space="preserve"> (¥</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元)。</w:t>
      </w:r>
    </w:p>
    <w:p w14:paraId="002F570E">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2.合同价格形式：总价包干。</w:t>
      </w:r>
    </w:p>
    <w:p w14:paraId="629A56E3">
      <w:pPr>
        <w:spacing w:line="360" w:lineRule="auto"/>
        <w:ind w:firstLine="420" w:firstLineChars="200"/>
        <w:outlineLvl w:val="0"/>
        <w:rPr>
          <w:rFonts w:ascii="微软雅黑" w:hAnsi="微软雅黑" w:eastAsia="微软雅黑" w:cs="宋体"/>
          <w:b/>
          <w:szCs w:val="21"/>
        </w:rPr>
      </w:pPr>
      <w:bookmarkStart w:id="103" w:name="_Toc829"/>
      <w:bookmarkStart w:id="104" w:name="_Toc5065"/>
      <w:bookmarkStart w:id="105" w:name="_Toc9153"/>
      <w:bookmarkStart w:id="106" w:name="_Toc18474"/>
      <w:bookmarkStart w:id="107" w:name="_Toc130"/>
      <w:bookmarkStart w:id="108" w:name="_Toc2934"/>
      <w:bookmarkStart w:id="109" w:name="_Toc8965"/>
      <w:r>
        <w:rPr>
          <w:rFonts w:hint="eastAsia" w:ascii="微软雅黑" w:hAnsi="微软雅黑" w:eastAsia="微软雅黑" w:cs="宋体"/>
          <w:b/>
          <w:szCs w:val="21"/>
        </w:rPr>
        <w:t>五、承包人项目经理：</w:t>
      </w:r>
      <w:r>
        <w:rPr>
          <w:rFonts w:hint="eastAsia" w:ascii="微软雅黑" w:hAnsi="微软雅黑" w:eastAsia="微软雅黑" w:cs="宋体"/>
          <w:szCs w:val="21"/>
          <w:u w:val="single"/>
        </w:rPr>
        <w:t xml:space="preserve">                  。</w:t>
      </w:r>
      <w:bookmarkEnd w:id="103"/>
      <w:bookmarkEnd w:id="104"/>
      <w:bookmarkEnd w:id="105"/>
      <w:bookmarkEnd w:id="106"/>
      <w:bookmarkEnd w:id="107"/>
      <w:bookmarkEnd w:id="108"/>
      <w:bookmarkEnd w:id="109"/>
    </w:p>
    <w:p w14:paraId="43052E9D">
      <w:pPr>
        <w:spacing w:line="360" w:lineRule="auto"/>
        <w:ind w:firstLine="420" w:firstLineChars="200"/>
        <w:outlineLvl w:val="0"/>
        <w:rPr>
          <w:rFonts w:ascii="微软雅黑" w:hAnsi="微软雅黑" w:eastAsia="微软雅黑" w:cs="宋体"/>
          <w:b/>
          <w:szCs w:val="21"/>
        </w:rPr>
      </w:pPr>
      <w:bookmarkStart w:id="110" w:name="_Toc32314"/>
      <w:bookmarkStart w:id="111" w:name="_Toc18220"/>
      <w:bookmarkStart w:id="112" w:name="_Toc5126"/>
      <w:bookmarkStart w:id="113" w:name="_Toc18285"/>
      <w:bookmarkStart w:id="114" w:name="_Toc2396"/>
      <w:bookmarkStart w:id="115" w:name="_Toc2308"/>
      <w:bookmarkStart w:id="116" w:name="_Toc13198"/>
      <w:r>
        <w:rPr>
          <w:rFonts w:hint="eastAsia" w:ascii="微软雅黑" w:hAnsi="微软雅黑" w:eastAsia="微软雅黑" w:cs="宋体"/>
          <w:b/>
          <w:szCs w:val="21"/>
        </w:rPr>
        <w:t>六、合同文件构成</w:t>
      </w:r>
      <w:bookmarkEnd w:id="110"/>
      <w:bookmarkEnd w:id="111"/>
      <w:bookmarkEnd w:id="112"/>
      <w:bookmarkEnd w:id="113"/>
      <w:bookmarkEnd w:id="114"/>
      <w:bookmarkEnd w:id="115"/>
      <w:bookmarkEnd w:id="116"/>
    </w:p>
    <w:p w14:paraId="3E7D00BD">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本协议书与下列文件一起构成合同文件：</w:t>
      </w:r>
    </w:p>
    <w:p w14:paraId="650C34DD">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（1）成交通知书；</w:t>
      </w:r>
    </w:p>
    <w:p w14:paraId="149024AA">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（2）谈判文件及补遗；</w:t>
      </w:r>
    </w:p>
    <w:p w14:paraId="021DF9F7">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（3）响应文件</w:t>
      </w:r>
    </w:p>
    <w:p w14:paraId="3E43D463">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（4）专用合同条款及其附件；</w:t>
      </w:r>
    </w:p>
    <w:p w14:paraId="1CACD602">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（5）通用合同条款；</w:t>
      </w:r>
    </w:p>
    <w:p w14:paraId="1002FFBF">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（6）技术标准和要求；</w:t>
      </w:r>
    </w:p>
    <w:p w14:paraId="4A989418">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（7）图纸；</w:t>
      </w:r>
    </w:p>
    <w:p w14:paraId="3EEC3DE5">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（8）已标价工程量清单；</w:t>
      </w:r>
    </w:p>
    <w:p w14:paraId="7ED67B64">
      <w:pPr>
        <w:autoSpaceDE w:val="0"/>
        <w:autoSpaceDN w:val="0"/>
        <w:adjustRightInd w:val="0"/>
        <w:spacing w:line="360" w:lineRule="auto"/>
        <w:ind w:firstLine="420" w:firstLineChars="200"/>
        <w:jc w:val="left"/>
        <w:outlineLvl w:val="0"/>
        <w:rPr>
          <w:rFonts w:ascii="微软雅黑" w:hAnsi="微软雅黑" w:eastAsia="微软雅黑" w:cs="宋体"/>
          <w:szCs w:val="21"/>
        </w:rPr>
      </w:pPr>
      <w:bookmarkStart w:id="117" w:name="_Toc18523"/>
      <w:bookmarkStart w:id="118" w:name="_Toc2949"/>
      <w:bookmarkStart w:id="119" w:name="_Toc26441"/>
      <w:bookmarkStart w:id="120" w:name="_Toc29111"/>
      <w:bookmarkStart w:id="121" w:name="_Toc9069"/>
      <w:bookmarkStart w:id="122" w:name="_Toc31739"/>
      <w:bookmarkStart w:id="123" w:name="_Toc5589"/>
      <w:r>
        <w:rPr>
          <w:rFonts w:hint="eastAsia" w:ascii="微软雅黑" w:hAnsi="微软雅黑" w:eastAsia="微软雅黑" w:cs="宋体"/>
          <w:szCs w:val="21"/>
        </w:rPr>
        <w:t>(9) 其他合同文件。</w:t>
      </w:r>
      <w:bookmarkEnd w:id="117"/>
      <w:bookmarkEnd w:id="118"/>
      <w:bookmarkEnd w:id="119"/>
      <w:bookmarkEnd w:id="120"/>
      <w:bookmarkEnd w:id="121"/>
      <w:bookmarkEnd w:id="122"/>
      <w:bookmarkEnd w:id="123"/>
    </w:p>
    <w:p w14:paraId="784BC759">
      <w:pPr>
        <w:autoSpaceDE w:val="0"/>
        <w:autoSpaceDN w:val="0"/>
        <w:adjustRightInd w:val="0"/>
        <w:spacing w:line="360" w:lineRule="auto"/>
        <w:ind w:firstLine="315" w:firstLineChars="150"/>
        <w:jc w:val="left"/>
        <w:rPr>
          <w:rFonts w:ascii="微软雅黑" w:hAnsi="微软雅黑" w:eastAsia="微软雅黑" w:cs="宋体"/>
          <w:szCs w:val="21"/>
        </w:rPr>
      </w:pPr>
      <w:r>
        <w:rPr>
          <w:rFonts w:hint="eastAsia" w:ascii="微软雅黑" w:hAnsi="微软雅黑" w:eastAsia="微软雅黑" w:cs="宋体"/>
          <w:szCs w:val="21"/>
        </w:rPr>
        <w:t>（10）在合同订立及履行过程中形成的与合同有关的文件均构成合同文件组成部分。</w:t>
      </w:r>
    </w:p>
    <w:p w14:paraId="348FD968">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上述各项合同文件包括合同当事人就该项合同文件所作出的补充和修改，属于同一类内容的文件，应以最新签署的为准。专用合同条款及其附件须经合同当事人签字或盖章。</w:t>
      </w:r>
    </w:p>
    <w:p w14:paraId="66B3F230">
      <w:pPr>
        <w:spacing w:line="360" w:lineRule="auto"/>
        <w:ind w:firstLine="420" w:firstLineChars="200"/>
        <w:outlineLvl w:val="0"/>
        <w:rPr>
          <w:rFonts w:ascii="微软雅黑" w:hAnsi="微软雅黑" w:eastAsia="微软雅黑" w:cs="宋体"/>
          <w:b/>
          <w:szCs w:val="21"/>
        </w:rPr>
      </w:pPr>
      <w:bookmarkStart w:id="124" w:name="_Toc8158"/>
      <w:bookmarkStart w:id="125" w:name="_Toc7439"/>
      <w:bookmarkStart w:id="126" w:name="_Toc30844"/>
      <w:bookmarkStart w:id="127" w:name="_Toc12953"/>
      <w:bookmarkStart w:id="128" w:name="_Toc2251"/>
      <w:bookmarkStart w:id="129" w:name="_Toc15610"/>
      <w:bookmarkStart w:id="130" w:name="_Toc20543"/>
      <w:r>
        <w:rPr>
          <w:rFonts w:hint="eastAsia" w:ascii="微软雅黑" w:hAnsi="微软雅黑" w:eastAsia="微软雅黑" w:cs="宋体"/>
          <w:b/>
          <w:szCs w:val="21"/>
        </w:rPr>
        <w:t>七、承诺</w:t>
      </w:r>
      <w:bookmarkEnd w:id="124"/>
      <w:bookmarkEnd w:id="125"/>
      <w:bookmarkEnd w:id="126"/>
      <w:bookmarkEnd w:id="127"/>
      <w:bookmarkEnd w:id="128"/>
      <w:bookmarkEnd w:id="129"/>
      <w:bookmarkEnd w:id="130"/>
    </w:p>
    <w:p w14:paraId="26D7BC30">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1.发包人承诺按照法律规定履行项目审批手续、筹集工程建设资金并按照合同约定的期限和方式支付合同价款。</w:t>
      </w:r>
    </w:p>
    <w:p w14:paraId="54C562FC">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2.承包人承诺按照法律规定及合同约定组织完成工程施工，确保工程质量和安全，不进行转包及违法分包，并在缺陷责任期及保修期内承担相应的工程维修责任。</w:t>
      </w:r>
    </w:p>
    <w:p w14:paraId="3E712BD8">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3.发包人和承包人通过招投标形式签订合同的，双方理解并承诺不再就同一工程另行签订与合同实质性内容相背离的协议。</w:t>
      </w:r>
    </w:p>
    <w:p w14:paraId="37FF4E9B">
      <w:pPr>
        <w:spacing w:line="360" w:lineRule="auto"/>
        <w:ind w:firstLine="420" w:firstLineChars="200"/>
        <w:outlineLvl w:val="0"/>
        <w:rPr>
          <w:rFonts w:ascii="微软雅黑" w:hAnsi="微软雅黑" w:eastAsia="微软雅黑" w:cs="宋体"/>
          <w:b/>
          <w:szCs w:val="21"/>
        </w:rPr>
      </w:pPr>
      <w:bookmarkStart w:id="131" w:name="_Toc7565"/>
      <w:bookmarkStart w:id="132" w:name="_Toc32523"/>
      <w:bookmarkStart w:id="133" w:name="_Toc17140"/>
      <w:bookmarkStart w:id="134" w:name="_Toc27555"/>
      <w:bookmarkStart w:id="135" w:name="_Toc29589"/>
      <w:bookmarkStart w:id="136" w:name="_Toc26517"/>
      <w:bookmarkStart w:id="137" w:name="_Toc1922"/>
      <w:r>
        <w:rPr>
          <w:rFonts w:hint="eastAsia" w:ascii="微软雅黑" w:hAnsi="微软雅黑" w:eastAsia="微软雅黑" w:cs="宋体"/>
          <w:b/>
          <w:szCs w:val="21"/>
        </w:rPr>
        <w:t>八、词语含义</w:t>
      </w:r>
      <w:bookmarkEnd w:id="131"/>
      <w:bookmarkEnd w:id="132"/>
      <w:bookmarkEnd w:id="133"/>
      <w:bookmarkEnd w:id="134"/>
      <w:bookmarkEnd w:id="135"/>
      <w:bookmarkEnd w:id="136"/>
      <w:bookmarkEnd w:id="137"/>
    </w:p>
    <w:p w14:paraId="01C6DD0B">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本协议书中词语含义与第二部分通用合同条款中赋予的含义相同。</w:t>
      </w:r>
    </w:p>
    <w:p w14:paraId="2293728C">
      <w:pPr>
        <w:spacing w:line="360" w:lineRule="auto"/>
        <w:ind w:firstLine="420" w:firstLineChars="200"/>
        <w:outlineLvl w:val="0"/>
        <w:rPr>
          <w:rFonts w:ascii="微软雅黑" w:hAnsi="微软雅黑" w:eastAsia="微软雅黑" w:cs="宋体"/>
          <w:b/>
          <w:szCs w:val="21"/>
        </w:rPr>
      </w:pPr>
      <w:bookmarkStart w:id="138" w:name="_Toc29939"/>
      <w:bookmarkStart w:id="139" w:name="_Toc5809"/>
      <w:bookmarkStart w:id="140" w:name="_Toc18430"/>
      <w:bookmarkStart w:id="141" w:name="_Toc8096"/>
      <w:bookmarkStart w:id="142" w:name="_Toc21817"/>
      <w:bookmarkStart w:id="143" w:name="_Toc8652"/>
      <w:bookmarkStart w:id="144" w:name="_Toc24951"/>
      <w:r>
        <w:rPr>
          <w:rFonts w:hint="eastAsia" w:ascii="微软雅黑" w:hAnsi="微软雅黑" w:eastAsia="微软雅黑" w:cs="宋体"/>
          <w:b/>
          <w:szCs w:val="21"/>
        </w:rPr>
        <w:t>九、签订时间</w:t>
      </w:r>
      <w:bookmarkEnd w:id="138"/>
      <w:bookmarkEnd w:id="139"/>
      <w:bookmarkEnd w:id="140"/>
      <w:bookmarkEnd w:id="141"/>
      <w:bookmarkEnd w:id="142"/>
      <w:bookmarkEnd w:id="143"/>
      <w:bookmarkEnd w:id="144"/>
    </w:p>
    <w:p w14:paraId="769F7B71">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本合同于年月日签订。</w:t>
      </w:r>
    </w:p>
    <w:p w14:paraId="08A6962F">
      <w:pPr>
        <w:spacing w:line="360" w:lineRule="auto"/>
        <w:ind w:firstLine="420" w:firstLineChars="200"/>
        <w:outlineLvl w:val="0"/>
        <w:rPr>
          <w:rFonts w:ascii="微软雅黑" w:hAnsi="微软雅黑" w:eastAsia="微软雅黑" w:cs="宋体"/>
          <w:b/>
          <w:szCs w:val="21"/>
        </w:rPr>
      </w:pPr>
      <w:bookmarkStart w:id="145" w:name="_Toc3194"/>
      <w:bookmarkStart w:id="146" w:name="_Toc15695"/>
      <w:bookmarkStart w:id="147" w:name="_Toc2356"/>
      <w:bookmarkStart w:id="148" w:name="_Toc17613"/>
      <w:bookmarkStart w:id="149" w:name="_Toc1309"/>
      <w:bookmarkStart w:id="150" w:name="_Toc28050"/>
      <w:bookmarkStart w:id="151" w:name="_Toc30528"/>
      <w:r>
        <w:rPr>
          <w:rFonts w:hint="eastAsia" w:ascii="微软雅黑" w:hAnsi="微软雅黑" w:eastAsia="微软雅黑" w:cs="宋体"/>
          <w:b/>
          <w:szCs w:val="21"/>
        </w:rPr>
        <w:t>十、签订地点</w:t>
      </w:r>
      <w:bookmarkEnd w:id="145"/>
      <w:bookmarkEnd w:id="146"/>
      <w:bookmarkEnd w:id="147"/>
      <w:bookmarkEnd w:id="148"/>
      <w:bookmarkEnd w:id="149"/>
      <w:bookmarkEnd w:id="150"/>
      <w:bookmarkEnd w:id="151"/>
    </w:p>
    <w:p w14:paraId="2A72C0DD">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本合同在签订。</w:t>
      </w:r>
    </w:p>
    <w:p w14:paraId="7B4C5625">
      <w:pPr>
        <w:spacing w:line="360" w:lineRule="auto"/>
        <w:ind w:firstLine="420" w:firstLineChars="200"/>
        <w:outlineLvl w:val="0"/>
        <w:rPr>
          <w:rFonts w:ascii="微软雅黑" w:hAnsi="微软雅黑" w:eastAsia="微软雅黑" w:cs="宋体"/>
          <w:b/>
          <w:szCs w:val="21"/>
        </w:rPr>
      </w:pPr>
      <w:bookmarkStart w:id="152" w:name="_Toc5476"/>
      <w:bookmarkStart w:id="153" w:name="_Toc13236"/>
      <w:bookmarkStart w:id="154" w:name="_Toc26046"/>
      <w:bookmarkStart w:id="155" w:name="_Toc21131"/>
      <w:bookmarkStart w:id="156" w:name="_Toc4843"/>
      <w:bookmarkStart w:id="157" w:name="_Toc24946"/>
      <w:bookmarkStart w:id="158" w:name="_Toc13227"/>
      <w:r>
        <w:rPr>
          <w:rFonts w:hint="eastAsia" w:ascii="微软雅黑" w:hAnsi="微软雅黑" w:eastAsia="微软雅黑" w:cs="宋体"/>
          <w:b/>
          <w:szCs w:val="21"/>
        </w:rPr>
        <w:t>十一、补充协议</w:t>
      </w:r>
      <w:bookmarkEnd w:id="152"/>
      <w:bookmarkEnd w:id="153"/>
      <w:bookmarkEnd w:id="154"/>
      <w:bookmarkEnd w:id="155"/>
      <w:bookmarkEnd w:id="156"/>
      <w:bookmarkEnd w:id="157"/>
      <w:bookmarkEnd w:id="158"/>
    </w:p>
    <w:p w14:paraId="18BB8997">
      <w:pPr>
        <w:spacing w:line="360" w:lineRule="auto"/>
        <w:ind w:firstLine="420" w:firstLineChars="200"/>
        <w:rPr>
          <w:rFonts w:ascii="微软雅黑" w:hAnsi="微软雅黑" w:eastAsia="微软雅黑" w:cs="宋体"/>
          <w:b/>
          <w:bCs/>
          <w:szCs w:val="21"/>
        </w:rPr>
      </w:pPr>
      <w:r>
        <w:rPr>
          <w:rFonts w:hint="eastAsia" w:ascii="微软雅黑" w:hAnsi="微软雅黑" w:eastAsia="微软雅黑" w:cs="宋体"/>
          <w:bCs/>
          <w:szCs w:val="21"/>
        </w:rPr>
        <w:t>合同未尽事宜，合同当事人另行签订补充协议，补充协议是合同的组成部分。</w:t>
      </w:r>
    </w:p>
    <w:p w14:paraId="6960E71F">
      <w:pPr>
        <w:spacing w:line="360" w:lineRule="auto"/>
        <w:ind w:firstLine="420" w:firstLineChars="200"/>
        <w:outlineLvl w:val="0"/>
        <w:rPr>
          <w:rFonts w:ascii="微软雅黑" w:hAnsi="微软雅黑" w:eastAsia="微软雅黑" w:cs="宋体"/>
          <w:b/>
          <w:szCs w:val="21"/>
        </w:rPr>
      </w:pPr>
      <w:bookmarkStart w:id="159" w:name="_Toc11959"/>
      <w:bookmarkStart w:id="160" w:name="_Toc5095"/>
      <w:bookmarkStart w:id="161" w:name="_Toc7454"/>
      <w:bookmarkStart w:id="162" w:name="_Toc27245"/>
      <w:bookmarkStart w:id="163" w:name="_Toc20022"/>
      <w:bookmarkStart w:id="164" w:name="_Toc14583"/>
      <w:bookmarkStart w:id="165" w:name="_Toc23151"/>
      <w:r>
        <w:rPr>
          <w:rFonts w:hint="eastAsia" w:ascii="微软雅黑" w:hAnsi="微软雅黑" w:eastAsia="微软雅黑" w:cs="宋体"/>
          <w:b/>
          <w:szCs w:val="21"/>
        </w:rPr>
        <w:t>十二、合同生效</w:t>
      </w:r>
      <w:bookmarkEnd w:id="159"/>
      <w:bookmarkEnd w:id="160"/>
      <w:bookmarkEnd w:id="161"/>
      <w:bookmarkEnd w:id="162"/>
      <w:bookmarkEnd w:id="163"/>
      <w:bookmarkEnd w:id="164"/>
      <w:bookmarkEnd w:id="165"/>
    </w:p>
    <w:p w14:paraId="5FE8121F">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本合同自生效。</w:t>
      </w:r>
    </w:p>
    <w:p w14:paraId="18BE72E5">
      <w:pPr>
        <w:spacing w:line="360" w:lineRule="auto"/>
        <w:ind w:firstLine="420" w:firstLineChars="200"/>
        <w:outlineLvl w:val="0"/>
        <w:rPr>
          <w:rFonts w:ascii="微软雅黑" w:hAnsi="微软雅黑" w:eastAsia="微软雅黑" w:cs="宋体"/>
          <w:b/>
          <w:szCs w:val="21"/>
        </w:rPr>
      </w:pPr>
      <w:bookmarkStart w:id="166" w:name="_Toc8973"/>
      <w:bookmarkStart w:id="167" w:name="_Toc14926"/>
      <w:bookmarkStart w:id="168" w:name="_Toc11440"/>
      <w:bookmarkStart w:id="169" w:name="_Toc24464"/>
      <w:bookmarkStart w:id="170" w:name="_Toc9006"/>
      <w:bookmarkStart w:id="171" w:name="_Toc32232"/>
      <w:bookmarkStart w:id="172" w:name="_Toc27338"/>
      <w:r>
        <w:rPr>
          <w:rFonts w:hint="eastAsia" w:ascii="微软雅黑" w:hAnsi="微软雅黑" w:eastAsia="微软雅黑" w:cs="宋体"/>
          <w:b/>
          <w:szCs w:val="21"/>
        </w:rPr>
        <w:t>十三、合同份数</w:t>
      </w:r>
      <w:bookmarkEnd w:id="166"/>
      <w:bookmarkEnd w:id="167"/>
      <w:bookmarkEnd w:id="168"/>
      <w:bookmarkEnd w:id="169"/>
      <w:bookmarkEnd w:id="170"/>
      <w:bookmarkEnd w:id="171"/>
      <w:bookmarkEnd w:id="172"/>
    </w:p>
    <w:p w14:paraId="535ACB89">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本合同一式份，均具有同等法律效力，发包人执份，承包人执份。</w:t>
      </w:r>
    </w:p>
    <w:p w14:paraId="2F89D6C6">
      <w:pPr>
        <w:spacing w:line="360" w:lineRule="auto"/>
        <w:rPr>
          <w:rFonts w:ascii="微软雅黑" w:hAnsi="微软雅黑" w:eastAsia="微软雅黑" w:cs="宋体"/>
          <w:bCs/>
          <w:szCs w:val="21"/>
        </w:rPr>
      </w:pPr>
    </w:p>
    <w:p w14:paraId="14B22188">
      <w:pPr>
        <w:spacing w:line="360" w:lineRule="auto"/>
        <w:rPr>
          <w:rFonts w:ascii="微软雅黑" w:hAnsi="微软雅黑" w:eastAsia="微软雅黑" w:cs="宋体"/>
          <w:bCs/>
          <w:szCs w:val="21"/>
        </w:rPr>
      </w:pPr>
      <w:r>
        <w:rPr>
          <w:rFonts w:hint="eastAsia" w:ascii="微软雅黑" w:hAnsi="微软雅黑" w:eastAsia="微软雅黑" w:cs="宋体"/>
          <w:bCs/>
          <w:szCs w:val="21"/>
        </w:rPr>
        <w:t>发包人：  (公章)             承包人：  (公章)</w:t>
      </w:r>
    </w:p>
    <w:p w14:paraId="2B84A007">
      <w:pPr>
        <w:spacing w:line="360" w:lineRule="auto"/>
        <w:rPr>
          <w:rFonts w:ascii="微软雅黑" w:hAnsi="微软雅黑" w:eastAsia="微软雅黑" w:cs="宋体"/>
          <w:bCs/>
          <w:szCs w:val="21"/>
          <w:u w:val="single"/>
        </w:rPr>
      </w:pPr>
    </w:p>
    <w:p w14:paraId="645E1756">
      <w:pPr>
        <w:spacing w:line="360" w:lineRule="auto"/>
        <w:rPr>
          <w:rFonts w:ascii="微软雅黑" w:hAnsi="微软雅黑" w:eastAsia="微软雅黑" w:cs="宋体"/>
          <w:bCs/>
          <w:szCs w:val="21"/>
        </w:rPr>
      </w:pPr>
      <w:r>
        <w:rPr>
          <w:rFonts w:hint="eastAsia" w:ascii="微软雅黑" w:hAnsi="微软雅黑" w:eastAsia="微软雅黑" w:cs="宋体"/>
          <w:bCs/>
          <w:szCs w:val="21"/>
        </w:rPr>
        <w:t>法定代表人或其委托代理人：  法定代表人或其委托代理人：</w:t>
      </w:r>
    </w:p>
    <w:p w14:paraId="11A7F05B">
      <w:pPr>
        <w:spacing w:line="360" w:lineRule="auto"/>
        <w:rPr>
          <w:rFonts w:ascii="微软雅黑" w:hAnsi="微软雅黑" w:eastAsia="微软雅黑" w:cs="宋体"/>
          <w:bCs/>
          <w:szCs w:val="21"/>
          <w:u w:val="single"/>
        </w:rPr>
      </w:pPr>
      <w:r>
        <w:rPr>
          <w:rFonts w:hint="eastAsia" w:ascii="微软雅黑" w:hAnsi="微软雅黑" w:eastAsia="微软雅黑" w:cs="宋体"/>
          <w:bCs/>
          <w:szCs w:val="21"/>
        </w:rPr>
        <w:t>（签字）                    （签字）</w:t>
      </w:r>
    </w:p>
    <w:p w14:paraId="2279192B">
      <w:pPr>
        <w:spacing w:line="360" w:lineRule="auto"/>
        <w:rPr>
          <w:rFonts w:ascii="微软雅黑" w:hAnsi="微软雅黑" w:eastAsia="微软雅黑" w:cs="宋体"/>
          <w:bCs/>
          <w:szCs w:val="21"/>
        </w:rPr>
      </w:pPr>
      <w:r>
        <w:rPr>
          <w:rFonts w:hint="eastAsia" w:ascii="微软雅黑" w:hAnsi="微软雅黑" w:eastAsia="微软雅黑" w:cs="宋体"/>
          <w:bCs/>
          <w:szCs w:val="21"/>
        </w:rPr>
        <w:t>组织机构代码：</w:t>
      </w:r>
      <w:r>
        <w:rPr>
          <w:rFonts w:hint="eastAsia" w:ascii="微软雅黑" w:hAnsi="微软雅黑" w:eastAsia="微软雅黑" w:cs="宋体"/>
          <w:bCs/>
          <w:szCs w:val="21"/>
          <w:u w:val="single"/>
        </w:rPr>
        <w:t xml:space="preserve">       </w:t>
      </w:r>
      <w:r>
        <w:rPr>
          <w:rFonts w:hint="eastAsia" w:ascii="微软雅黑" w:hAnsi="微软雅黑" w:eastAsia="微软雅黑" w:cs="宋体"/>
          <w:bCs/>
          <w:szCs w:val="21"/>
        </w:rPr>
        <w:t xml:space="preserve">  组织机构代码：</w:t>
      </w:r>
      <w:r>
        <w:rPr>
          <w:rFonts w:hint="eastAsia" w:ascii="微软雅黑" w:hAnsi="微软雅黑" w:eastAsia="微软雅黑" w:cs="宋体"/>
          <w:bCs/>
          <w:szCs w:val="21"/>
          <w:u w:val="single"/>
        </w:rPr>
        <w:t xml:space="preserve">          </w:t>
      </w:r>
    </w:p>
    <w:p w14:paraId="5651AE6C">
      <w:pPr>
        <w:spacing w:line="360" w:lineRule="auto"/>
        <w:rPr>
          <w:rFonts w:ascii="微软雅黑" w:hAnsi="微软雅黑" w:eastAsia="微软雅黑" w:cs="宋体"/>
          <w:bCs/>
          <w:szCs w:val="21"/>
        </w:rPr>
      </w:pPr>
      <w:r>
        <w:rPr>
          <w:rFonts w:hint="eastAsia" w:ascii="微软雅黑" w:hAnsi="微软雅黑" w:eastAsia="微软雅黑" w:cs="宋体"/>
          <w:bCs/>
          <w:szCs w:val="21"/>
        </w:rPr>
        <w:t>地  址：</w:t>
      </w:r>
      <w:r>
        <w:rPr>
          <w:rFonts w:hint="eastAsia" w:ascii="微软雅黑" w:hAnsi="微软雅黑" w:eastAsia="微软雅黑" w:cs="宋体"/>
          <w:bCs/>
          <w:szCs w:val="21"/>
          <w:u w:val="single"/>
        </w:rPr>
        <w:t xml:space="preserve">     </w:t>
      </w:r>
      <w:r>
        <w:rPr>
          <w:rFonts w:hint="eastAsia" w:ascii="微软雅黑" w:hAnsi="微软雅黑" w:eastAsia="微软雅黑" w:cs="宋体"/>
          <w:bCs/>
          <w:szCs w:val="21"/>
        </w:rPr>
        <w:t xml:space="preserve">  地  址：</w:t>
      </w:r>
      <w:r>
        <w:rPr>
          <w:rFonts w:hint="eastAsia" w:ascii="微软雅黑" w:hAnsi="微软雅黑" w:eastAsia="微软雅黑" w:cs="宋体"/>
          <w:bCs/>
          <w:szCs w:val="21"/>
          <w:u w:val="single"/>
        </w:rPr>
        <w:t xml:space="preserve">        </w:t>
      </w:r>
    </w:p>
    <w:p w14:paraId="0CDE563D">
      <w:pPr>
        <w:spacing w:line="360" w:lineRule="auto"/>
        <w:rPr>
          <w:rFonts w:ascii="微软雅黑" w:hAnsi="微软雅黑" w:eastAsia="微软雅黑" w:cs="宋体"/>
          <w:bCs/>
          <w:szCs w:val="21"/>
        </w:rPr>
      </w:pPr>
      <w:r>
        <w:rPr>
          <w:rFonts w:hint="eastAsia" w:ascii="微软雅黑" w:hAnsi="微软雅黑" w:eastAsia="微软雅黑" w:cs="宋体"/>
          <w:bCs/>
          <w:szCs w:val="21"/>
        </w:rPr>
        <w:t>邮政编码：</w:t>
      </w:r>
      <w:r>
        <w:rPr>
          <w:rFonts w:hint="eastAsia" w:ascii="微软雅黑" w:hAnsi="微软雅黑" w:eastAsia="微软雅黑" w:cs="宋体"/>
          <w:bCs/>
          <w:szCs w:val="21"/>
          <w:u w:val="single"/>
        </w:rPr>
        <w:t xml:space="preserve">      </w:t>
      </w:r>
      <w:r>
        <w:rPr>
          <w:rFonts w:hint="eastAsia" w:ascii="微软雅黑" w:hAnsi="微软雅黑" w:eastAsia="微软雅黑" w:cs="宋体"/>
          <w:bCs/>
          <w:szCs w:val="21"/>
        </w:rPr>
        <w:t xml:space="preserve">  邮政编码：</w:t>
      </w:r>
      <w:r>
        <w:rPr>
          <w:rFonts w:hint="eastAsia" w:ascii="微软雅黑" w:hAnsi="微软雅黑" w:eastAsia="微软雅黑" w:cs="宋体"/>
          <w:bCs/>
          <w:szCs w:val="21"/>
          <w:u w:val="single"/>
        </w:rPr>
        <w:t xml:space="preserve">   </w:t>
      </w:r>
    </w:p>
    <w:p w14:paraId="08B157AD">
      <w:pPr>
        <w:spacing w:line="360" w:lineRule="auto"/>
        <w:rPr>
          <w:rFonts w:ascii="微软雅黑" w:hAnsi="微软雅黑" w:eastAsia="微软雅黑" w:cs="宋体"/>
          <w:bCs/>
          <w:szCs w:val="21"/>
        </w:rPr>
      </w:pPr>
      <w:r>
        <w:rPr>
          <w:rFonts w:hint="eastAsia" w:ascii="微软雅黑" w:hAnsi="微软雅黑" w:eastAsia="微软雅黑" w:cs="宋体"/>
          <w:bCs/>
          <w:szCs w:val="21"/>
        </w:rPr>
        <w:t>法定代表人：</w:t>
      </w:r>
      <w:r>
        <w:rPr>
          <w:rFonts w:hint="eastAsia" w:ascii="微软雅黑" w:hAnsi="微软雅黑" w:eastAsia="微软雅黑" w:cs="宋体"/>
          <w:bCs/>
          <w:szCs w:val="21"/>
          <w:u w:val="single"/>
        </w:rPr>
        <w:t xml:space="preserve">           </w:t>
      </w:r>
      <w:r>
        <w:rPr>
          <w:rFonts w:hint="eastAsia" w:ascii="微软雅黑" w:hAnsi="微软雅黑" w:eastAsia="微软雅黑" w:cs="宋体"/>
          <w:bCs/>
          <w:szCs w:val="21"/>
        </w:rPr>
        <w:t xml:space="preserve">  法定代表人：</w:t>
      </w:r>
      <w:r>
        <w:rPr>
          <w:rFonts w:hint="eastAsia" w:ascii="微软雅黑" w:hAnsi="微软雅黑" w:eastAsia="微软雅黑" w:cs="宋体"/>
          <w:bCs/>
          <w:szCs w:val="21"/>
          <w:u w:val="single"/>
        </w:rPr>
        <w:t xml:space="preserve">             </w:t>
      </w:r>
    </w:p>
    <w:p w14:paraId="110E2A4C">
      <w:pPr>
        <w:spacing w:line="360" w:lineRule="auto"/>
        <w:rPr>
          <w:rFonts w:ascii="微软雅黑" w:hAnsi="微软雅黑" w:eastAsia="微软雅黑" w:cs="宋体"/>
          <w:bCs/>
          <w:szCs w:val="21"/>
        </w:rPr>
      </w:pPr>
      <w:r>
        <w:rPr>
          <w:rFonts w:hint="eastAsia" w:ascii="微软雅黑" w:hAnsi="微软雅黑" w:eastAsia="微软雅黑" w:cs="宋体"/>
          <w:bCs/>
          <w:szCs w:val="21"/>
        </w:rPr>
        <w:t>委托代理人：</w:t>
      </w:r>
      <w:r>
        <w:rPr>
          <w:rFonts w:hint="eastAsia" w:ascii="微软雅黑" w:hAnsi="微软雅黑" w:eastAsia="微软雅黑" w:cs="宋体"/>
          <w:bCs/>
          <w:szCs w:val="21"/>
          <w:u w:val="single"/>
        </w:rPr>
        <w:t xml:space="preserve">           </w:t>
      </w:r>
      <w:r>
        <w:rPr>
          <w:rFonts w:hint="eastAsia" w:ascii="微软雅黑" w:hAnsi="微软雅黑" w:eastAsia="微软雅黑" w:cs="宋体"/>
          <w:bCs/>
          <w:szCs w:val="21"/>
        </w:rPr>
        <w:t xml:space="preserve">  委托代理人：</w:t>
      </w:r>
      <w:r>
        <w:rPr>
          <w:rFonts w:hint="eastAsia" w:ascii="微软雅黑" w:hAnsi="微软雅黑" w:eastAsia="微软雅黑" w:cs="宋体"/>
          <w:bCs/>
          <w:szCs w:val="21"/>
          <w:u w:val="single"/>
        </w:rPr>
        <w:t xml:space="preserve">             </w:t>
      </w:r>
    </w:p>
    <w:p w14:paraId="71CDB2B4">
      <w:pPr>
        <w:spacing w:line="360" w:lineRule="auto"/>
        <w:rPr>
          <w:rFonts w:ascii="微软雅黑" w:hAnsi="微软雅黑" w:eastAsia="微软雅黑" w:cs="宋体"/>
          <w:bCs/>
          <w:szCs w:val="21"/>
        </w:rPr>
      </w:pPr>
      <w:r>
        <w:rPr>
          <w:rFonts w:hint="eastAsia" w:ascii="微软雅黑" w:hAnsi="微软雅黑" w:eastAsia="微软雅黑" w:cs="宋体"/>
          <w:bCs/>
          <w:szCs w:val="21"/>
        </w:rPr>
        <w:t>电  话：</w:t>
      </w:r>
      <w:r>
        <w:rPr>
          <w:rFonts w:hint="eastAsia" w:ascii="微软雅黑" w:hAnsi="微软雅黑" w:eastAsia="微软雅黑" w:cs="宋体"/>
          <w:bCs/>
          <w:szCs w:val="21"/>
          <w:u w:val="single"/>
        </w:rPr>
        <w:t xml:space="preserve">   </w:t>
      </w:r>
      <w:r>
        <w:rPr>
          <w:rFonts w:hint="eastAsia" w:ascii="微软雅黑" w:hAnsi="微软雅黑" w:eastAsia="微软雅黑" w:cs="宋体"/>
          <w:bCs/>
          <w:szCs w:val="21"/>
        </w:rPr>
        <w:t xml:space="preserve">  电  话：</w:t>
      </w:r>
      <w:r>
        <w:rPr>
          <w:rFonts w:hint="eastAsia" w:ascii="微软雅黑" w:hAnsi="微软雅黑" w:eastAsia="微软雅黑" w:cs="宋体"/>
          <w:bCs/>
          <w:szCs w:val="21"/>
          <w:u w:val="single"/>
        </w:rPr>
        <w:t xml:space="preserve">     </w:t>
      </w:r>
    </w:p>
    <w:p w14:paraId="1F525D32">
      <w:pPr>
        <w:spacing w:line="360" w:lineRule="auto"/>
        <w:rPr>
          <w:rFonts w:ascii="微软雅黑" w:hAnsi="微软雅黑" w:eastAsia="微软雅黑" w:cs="宋体"/>
          <w:bCs/>
          <w:szCs w:val="21"/>
        </w:rPr>
      </w:pPr>
      <w:r>
        <w:rPr>
          <w:rFonts w:hint="eastAsia" w:ascii="微软雅黑" w:hAnsi="微软雅黑" w:eastAsia="微软雅黑" w:cs="宋体"/>
          <w:bCs/>
          <w:szCs w:val="21"/>
        </w:rPr>
        <w:t>传  真：</w:t>
      </w:r>
      <w:r>
        <w:rPr>
          <w:rFonts w:hint="eastAsia" w:ascii="微软雅黑" w:hAnsi="微软雅黑" w:eastAsia="微软雅黑" w:cs="宋体"/>
          <w:bCs/>
          <w:szCs w:val="21"/>
          <w:u w:val="single"/>
        </w:rPr>
        <w:t xml:space="preserve">   </w:t>
      </w:r>
      <w:r>
        <w:rPr>
          <w:rFonts w:hint="eastAsia" w:ascii="微软雅黑" w:hAnsi="微软雅黑" w:eastAsia="微软雅黑" w:cs="宋体"/>
          <w:bCs/>
          <w:szCs w:val="21"/>
        </w:rPr>
        <w:t xml:space="preserve">  传  真：</w:t>
      </w:r>
      <w:r>
        <w:rPr>
          <w:rFonts w:hint="eastAsia" w:ascii="微软雅黑" w:hAnsi="微软雅黑" w:eastAsia="微软雅黑" w:cs="宋体"/>
          <w:bCs/>
          <w:szCs w:val="21"/>
          <w:u w:val="single"/>
        </w:rPr>
        <w:t xml:space="preserve">     </w:t>
      </w:r>
    </w:p>
    <w:p w14:paraId="01787F2C">
      <w:pPr>
        <w:spacing w:line="360" w:lineRule="auto"/>
        <w:rPr>
          <w:rFonts w:ascii="微软雅黑" w:hAnsi="微软雅黑" w:eastAsia="微软雅黑" w:cs="宋体"/>
          <w:bCs/>
          <w:szCs w:val="21"/>
        </w:rPr>
      </w:pPr>
      <w:r>
        <w:rPr>
          <w:rFonts w:hint="eastAsia" w:ascii="微软雅黑" w:hAnsi="微软雅黑" w:eastAsia="微软雅黑" w:cs="宋体"/>
          <w:bCs/>
          <w:szCs w:val="21"/>
        </w:rPr>
        <w:t>电子信箱：</w:t>
      </w:r>
      <w:r>
        <w:rPr>
          <w:rFonts w:hint="eastAsia" w:ascii="微软雅黑" w:hAnsi="微软雅黑" w:eastAsia="微软雅黑" w:cs="宋体"/>
          <w:bCs/>
          <w:szCs w:val="21"/>
          <w:u w:val="single"/>
        </w:rPr>
        <w:t xml:space="preserve">                  </w:t>
      </w:r>
      <w:r>
        <w:rPr>
          <w:rFonts w:hint="eastAsia" w:ascii="微软雅黑" w:hAnsi="微软雅黑" w:eastAsia="微软雅黑" w:cs="宋体"/>
          <w:bCs/>
          <w:szCs w:val="21"/>
        </w:rPr>
        <w:t xml:space="preserve">  电子信箱：</w:t>
      </w:r>
      <w:r>
        <w:rPr>
          <w:rFonts w:hint="eastAsia" w:ascii="微软雅黑" w:hAnsi="微软雅黑" w:eastAsia="微软雅黑" w:cs="宋体"/>
          <w:bCs/>
          <w:szCs w:val="21"/>
          <w:u w:val="single"/>
        </w:rPr>
        <w:t xml:space="preserve">   </w:t>
      </w:r>
    </w:p>
    <w:p w14:paraId="0A88B8D6">
      <w:pPr>
        <w:spacing w:line="360" w:lineRule="auto"/>
        <w:rPr>
          <w:rFonts w:ascii="微软雅黑" w:hAnsi="微软雅黑" w:eastAsia="微软雅黑" w:cs="宋体"/>
          <w:bCs/>
          <w:szCs w:val="21"/>
        </w:rPr>
      </w:pPr>
      <w:r>
        <w:rPr>
          <w:rFonts w:hint="eastAsia" w:ascii="微软雅黑" w:hAnsi="微软雅黑" w:eastAsia="微软雅黑" w:cs="宋体"/>
          <w:bCs/>
          <w:szCs w:val="21"/>
        </w:rPr>
        <w:t>开户银行：</w:t>
      </w:r>
      <w:r>
        <w:rPr>
          <w:rFonts w:hint="eastAsia" w:ascii="微软雅黑" w:hAnsi="微软雅黑" w:eastAsia="微软雅黑" w:cs="宋体"/>
          <w:bCs/>
          <w:szCs w:val="21"/>
          <w:u w:val="single"/>
        </w:rPr>
        <w:t xml:space="preserve">   </w:t>
      </w:r>
      <w:r>
        <w:rPr>
          <w:rFonts w:hint="eastAsia" w:ascii="微软雅黑" w:hAnsi="微软雅黑" w:eastAsia="微软雅黑" w:cs="宋体"/>
          <w:bCs/>
          <w:szCs w:val="21"/>
        </w:rPr>
        <w:t xml:space="preserve">  开户银行：</w:t>
      </w:r>
      <w:r>
        <w:rPr>
          <w:rFonts w:hint="eastAsia" w:ascii="微软雅黑" w:hAnsi="微软雅黑" w:eastAsia="微软雅黑" w:cs="宋体"/>
          <w:bCs/>
          <w:szCs w:val="21"/>
          <w:u w:val="single"/>
        </w:rPr>
        <w:t xml:space="preserve">   </w:t>
      </w:r>
    </w:p>
    <w:p w14:paraId="47E49387">
      <w:pPr>
        <w:spacing w:line="360" w:lineRule="auto"/>
        <w:rPr>
          <w:rFonts w:ascii="微软雅黑" w:hAnsi="微软雅黑" w:eastAsia="微软雅黑" w:cs="宋体"/>
          <w:bCs/>
          <w:szCs w:val="21"/>
          <w:u w:val="single"/>
        </w:rPr>
      </w:pPr>
      <w:r>
        <w:rPr>
          <w:rFonts w:hint="eastAsia" w:ascii="微软雅黑" w:hAnsi="微软雅黑" w:eastAsia="微软雅黑" w:cs="宋体"/>
          <w:bCs/>
          <w:szCs w:val="21"/>
        </w:rPr>
        <w:t>账  号：</w:t>
      </w:r>
      <w:r>
        <w:rPr>
          <w:rFonts w:hint="eastAsia" w:ascii="微软雅黑" w:hAnsi="微软雅黑" w:eastAsia="微软雅黑" w:cs="宋体"/>
          <w:bCs/>
          <w:szCs w:val="21"/>
          <w:u w:val="single"/>
        </w:rPr>
        <w:t xml:space="preserve">       </w:t>
      </w:r>
      <w:r>
        <w:rPr>
          <w:rFonts w:hint="eastAsia" w:ascii="微软雅黑" w:hAnsi="微软雅黑" w:eastAsia="微软雅黑" w:cs="宋体"/>
          <w:bCs/>
          <w:szCs w:val="21"/>
        </w:rPr>
        <w:t xml:space="preserve">   账  号：</w:t>
      </w:r>
      <w:r>
        <w:rPr>
          <w:rFonts w:hint="eastAsia" w:ascii="微软雅黑" w:hAnsi="微软雅黑" w:eastAsia="微软雅黑" w:cs="宋体"/>
          <w:bCs/>
          <w:szCs w:val="21"/>
          <w:u w:val="single"/>
        </w:rPr>
        <w:t xml:space="preserve">     </w:t>
      </w:r>
      <w:bookmarkStart w:id="173" w:name="_Toc351203494"/>
      <w:bookmarkEnd w:id="173"/>
    </w:p>
    <w:p w14:paraId="590F1E66">
      <w:pPr>
        <w:spacing w:after="120"/>
        <w:ind w:firstLine="210" w:firstLineChars="100"/>
        <w:rPr>
          <w:rFonts w:ascii="微软雅黑" w:hAnsi="微软雅黑" w:eastAsia="微软雅黑" w:cs="宋体"/>
          <w:bCs/>
          <w:szCs w:val="21"/>
          <w:u w:val="single"/>
        </w:rPr>
      </w:pPr>
    </w:p>
    <w:p w14:paraId="082DFB05">
      <w:pPr>
        <w:spacing w:after="120"/>
        <w:ind w:firstLine="210" w:firstLineChars="100"/>
        <w:rPr>
          <w:rFonts w:ascii="微软雅黑" w:hAnsi="微软雅黑" w:eastAsia="微软雅黑" w:cs="宋体"/>
          <w:bCs/>
          <w:szCs w:val="21"/>
          <w:u w:val="single"/>
        </w:rPr>
      </w:pPr>
    </w:p>
    <w:p w14:paraId="3AB66805">
      <w:pPr>
        <w:keepNext/>
        <w:keepLines/>
        <w:adjustRightInd w:val="0"/>
        <w:snapToGrid w:val="0"/>
        <w:spacing w:before="260" w:after="260" w:line="360" w:lineRule="auto"/>
        <w:jc w:val="center"/>
        <w:outlineLvl w:val="1"/>
        <w:rPr>
          <w:rFonts w:ascii="微软雅黑" w:hAnsi="微软雅黑" w:eastAsia="微软雅黑" w:cs="Times New Roman"/>
          <w:b/>
          <w:bCs/>
          <w:sz w:val="32"/>
          <w:szCs w:val="32"/>
        </w:rPr>
      </w:pPr>
      <w:bookmarkStart w:id="174" w:name="_Toc23070"/>
      <w:bookmarkStart w:id="175" w:name="_Toc2732"/>
      <w:r>
        <w:rPr>
          <w:rFonts w:hint="eastAsia" w:ascii="微软雅黑" w:hAnsi="微软雅黑" w:eastAsia="微软雅黑" w:cs="Times New Roman"/>
          <w:b/>
          <w:bCs/>
          <w:sz w:val="32"/>
          <w:szCs w:val="32"/>
        </w:rPr>
        <w:t>第二节 通用合同条款</w:t>
      </w:r>
      <w:bookmarkEnd w:id="174"/>
      <w:bookmarkEnd w:id="175"/>
      <w:bookmarkStart w:id="176" w:name="_Toc337558727"/>
      <w:bookmarkEnd w:id="176"/>
    </w:p>
    <w:p w14:paraId="4D3C7131">
      <w:pPr>
        <w:snapToGrid w:val="0"/>
        <w:spacing w:line="360" w:lineRule="auto"/>
        <w:ind w:firstLine="560" w:firstLineChars="200"/>
        <w:rPr>
          <w:rFonts w:ascii="微软雅黑" w:hAnsi="微软雅黑" w:eastAsia="微软雅黑" w:cs="宋体"/>
          <w:bCs/>
          <w:sz w:val="28"/>
          <w:szCs w:val="28"/>
        </w:rPr>
      </w:pPr>
    </w:p>
    <w:p w14:paraId="7A9E56FC">
      <w:pPr>
        <w:snapToGrid w:val="0"/>
        <w:spacing w:line="360" w:lineRule="auto"/>
        <w:ind w:firstLine="480" w:firstLineChars="200"/>
        <w:rPr>
          <w:rFonts w:ascii="微软雅黑" w:hAnsi="微软雅黑" w:eastAsia="微软雅黑" w:cs="宋体"/>
          <w:bCs/>
          <w:kern w:val="0"/>
          <w:sz w:val="30"/>
          <w:szCs w:val="30"/>
        </w:rPr>
      </w:pPr>
      <w:r>
        <w:rPr>
          <w:rFonts w:hint="eastAsia" w:ascii="微软雅黑" w:hAnsi="微软雅黑" w:eastAsia="微软雅黑" w:cs="宋体"/>
          <w:bCs/>
          <w:sz w:val="24"/>
          <w:szCs w:val="20"/>
        </w:rPr>
        <w:t>通用合同条款直接采用中华人民共和国住房和城乡建设部与国家工商行政管理总局联合制定的《建设工程施工合同》（GF-2017-0201）示范文本第二部分《通用合同条款》。</w:t>
      </w:r>
    </w:p>
    <w:p w14:paraId="6F7D7C1C">
      <w:pPr>
        <w:rPr>
          <w:rFonts w:ascii="微软雅黑" w:hAnsi="微软雅黑" w:eastAsia="微软雅黑" w:cs="Times New Roman"/>
          <w:szCs w:val="20"/>
        </w:rPr>
      </w:pPr>
      <w:bookmarkStart w:id="177" w:name="_Toc351203632"/>
      <w:bookmarkEnd w:id="177"/>
    </w:p>
    <w:p w14:paraId="5841E453">
      <w:pPr>
        <w:jc w:val="center"/>
        <w:rPr>
          <w:rFonts w:ascii="微软雅黑" w:hAnsi="微软雅黑" w:eastAsia="微软雅黑" w:cs="Times New Roman"/>
          <w:sz w:val="44"/>
          <w:szCs w:val="44"/>
        </w:rPr>
      </w:pPr>
      <w:bookmarkStart w:id="178" w:name="_Toc24447"/>
    </w:p>
    <w:p w14:paraId="5E2EC3A9">
      <w:pPr>
        <w:jc w:val="center"/>
        <w:rPr>
          <w:rFonts w:ascii="微软雅黑" w:hAnsi="微软雅黑" w:eastAsia="微软雅黑" w:cs="Times New Roman"/>
          <w:sz w:val="44"/>
          <w:szCs w:val="44"/>
        </w:rPr>
      </w:pPr>
    </w:p>
    <w:p w14:paraId="160F10F0">
      <w:pPr>
        <w:jc w:val="center"/>
        <w:rPr>
          <w:rFonts w:ascii="微软雅黑" w:hAnsi="微软雅黑" w:eastAsia="微软雅黑" w:cs="Times New Roman"/>
          <w:sz w:val="44"/>
          <w:szCs w:val="44"/>
        </w:rPr>
      </w:pPr>
    </w:p>
    <w:p w14:paraId="25D577D7">
      <w:pPr>
        <w:jc w:val="center"/>
        <w:rPr>
          <w:rFonts w:ascii="微软雅黑" w:hAnsi="微软雅黑" w:eastAsia="微软雅黑" w:cs="Times New Roman"/>
          <w:sz w:val="44"/>
          <w:szCs w:val="44"/>
        </w:rPr>
      </w:pPr>
    </w:p>
    <w:p w14:paraId="0756B55C">
      <w:pPr>
        <w:jc w:val="center"/>
        <w:rPr>
          <w:rFonts w:ascii="微软雅黑" w:hAnsi="微软雅黑" w:eastAsia="微软雅黑" w:cs="Times New Roman"/>
          <w:sz w:val="44"/>
          <w:szCs w:val="44"/>
        </w:rPr>
      </w:pPr>
    </w:p>
    <w:p w14:paraId="0DB30ADE">
      <w:pPr>
        <w:jc w:val="center"/>
        <w:rPr>
          <w:rFonts w:ascii="微软雅黑" w:hAnsi="微软雅黑" w:eastAsia="微软雅黑" w:cs="Times New Roman"/>
          <w:sz w:val="44"/>
          <w:szCs w:val="44"/>
        </w:rPr>
      </w:pPr>
    </w:p>
    <w:p w14:paraId="28B32611">
      <w:pPr>
        <w:jc w:val="center"/>
        <w:rPr>
          <w:rFonts w:ascii="微软雅黑" w:hAnsi="微软雅黑" w:eastAsia="微软雅黑" w:cs="Times New Roman"/>
          <w:sz w:val="44"/>
          <w:szCs w:val="44"/>
        </w:rPr>
      </w:pPr>
    </w:p>
    <w:p w14:paraId="3BD70176">
      <w:pPr>
        <w:jc w:val="center"/>
        <w:rPr>
          <w:rFonts w:ascii="微软雅黑" w:hAnsi="微软雅黑" w:eastAsia="微软雅黑" w:cs="Times New Roman"/>
          <w:sz w:val="44"/>
          <w:szCs w:val="44"/>
        </w:rPr>
      </w:pPr>
    </w:p>
    <w:p w14:paraId="7013496C">
      <w:pPr>
        <w:jc w:val="center"/>
        <w:rPr>
          <w:rFonts w:ascii="微软雅黑" w:hAnsi="微软雅黑" w:eastAsia="微软雅黑" w:cs="Times New Roman"/>
          <w:sz w:val="44"/>
          <w:szCs w:val="44"/>
        </w:rPr>
      </w:pPr>
    </w:p>
    <w:p w14:paraId="4403568F">
      <w:pPr>
        <w:jc w:val="center"/>
        <w:rPr>
          <w:rFonts w:ascii="微软雅黑" w:hAnsi="微软雅黑" w:eastAsia="微软雅黑" w:cs="Times New Roman"/>
          <w:sz w:val="44"/>
          <w:szCs w:val="44"/>
        </w:rPr>
      </w:pPr>
    </w:p>
    <w:p w14:paraId="6DE676A2">
      <w:pPr>
        <w:jc w:val="center"/>
        <w:rPr>
          <w:rFonts w:ascii="微软雅黑" w:hAnsi="微软雅黑" w:eastAsia="微软雅黑" w:cs="Times New Roman"/>
          <w:sz w:val="44"/>
          <w:szCs w:val="44"/>
        </w:rPr>
      </w:pPr>
    </w:p>
    <w:p w14:paraId="0D4D8A59">
      <w:pPr>
        <w:jc w:val="center"/>
        <w:rPr>
          <w:rFonts w:ascii="微软雅黑" w:hAnsi="微软雅黑" w:eastAsia="微软雅黑" w:cs="Times New Roman"/>
          <w:sz w:val="44"/>
          <w:szCs w:val="44"/>
        </w:rPr>
      </w:pPr>
    </w:p>
    <w:p w14:paraId="3582DF54">
      <w:pPr>
        <w:jc w:val="center"/>
        <w:rPr>
          <w:rFonts w:ascii="微软雅黑" w:hAnsi="微软雅黑" w:eastAsia="微软雅黑" w:cs="Times New Roman"/>
          <w:sz w:val="44"/>
          <w:szCs w:val="44"/>
        </w:rPr>
      </w:pPr>
    </w:p>
    <w:p w14:paraId="42978BF3">
      <w:pPr>
        <w:jc w:val="center"/>
        <w:rPr>
          <w:rFonts w:ascii="微软雅黑" w:hAnsi="微软雅黑" w:eastAsia="微软雅黑" w:cs="Times New Roman"/>
          <w:sz w:val="44"/>
          <w:szCs w:val="44"/>
        </w:rPr>
      </w:pPr>
    </w:p>
    <w:p w14:paraId="0E158BC7">
      <w:pPr>
        <w:jc w:val="center"/>
        <w:rPr>
          <w:rFonts w:ascii="微软雅黑" w:hAnsi="微软雅黑" w:eastAsia="微软雅黑" w:cs="Times New Roman"/>
          <w:sz w:val="44"/>
          <w:szCs w:val="44"/>
        </w:rPr>
      </w:pPr>
    </w:p>
    <w:p w14:paraId="2C9BDA85">
      <w:pPr>
        <w:jc w:val="center"/>
        <w:rPr>
          <w:rFonts w:ascii="微软雅黑" w:hAnsi="微软雅黑" w:eastAsia="微软雅黑" w:cs="Times New Roman"/>
          <w:sz w:val="44"/>
          <w:szCs w:val="44"/>
        </w:rPr>
      </w:pPr>
    </w:p>
    <w:p w14:paraId="2F0FEA74">
      <w:pPr>
        <w:keepNext/>
        <w:keepLines/>
        <w:adjustRightInd w:val="0"/>
        <w:snapToGrid w:val="0"/>
        <w:spacing w:before="260" w:after="260" w:line="360" w:lineRule="auto"/>
        <w:jc w:val="center"/>
        <w:outlineLvl w:val="1"/>
        <w:rPr>
          <w:rFonts w:ascii="微软雅黑" w:hAnsi="微软雅黑" w:eastAsia="微软雅黑" w:cs="Times New Roman"/>
          <w:b/>
          <w:bCs/>
          <w:sz w:val="32"/>
          <w:szCs w:val="32"/>
        </w:rPr>
      </w:pPr>
      <w:bookmarkStart w:id="179" w:name="_Toc16156"/>
      <w:r>
        <w:rPr>
          <w:rFonts w:hint="eastAsia" w:ascii="微软雅黑" w:hAnsi="微软雅黑" w:eastAsia="微软雅黑" w:cs="Times New Roman"/>
          <w:b/>
          <w:bCs/>
          <w:sz w:val="32"/>
          <w:szCs w:val="32"/>
        </w:rPr>
        <w:t>第三节 专用合同条款</w:t>
      </w:r>
      <w:bookmarkEnd w:id="178"/>
      <w:bookmarkEnd w:id="179"/>
    </w:p>
    <w:p w14:paraId="241F6C28">
      <w:pPr>
        <w:jc w:val="center"/>
        <w:rPr>
          <w:rFonts w:ascii="微软雅黑" w:hAnsi="微软雅黑" w:eastAsia="微软雅黑" w:cs="Times New Roman"/>
          <w:sz w:val="44"/>
          <w:szCs w:val="44"/>
        </w:rPr>
      </w:pPr>
    </w:p>
    <w:p w14:paraId="5134B11E">
      <w:pPr>
        <w:ind w:left="420"/>
        <w:jc w:val="center"/>
        <w:rPr>
          <w:rFonts w:ascii="微软雅黑" w:hAnsi="微软雅黑" w:eastAsia="微软雅黑" w:cs="Times New Roman"/>
          <w:sz w:val="24"/>
          <w:szCs w:val="20"/>
        </w:rPr>
      </w:pPr>
      <w:r>
        <w:rPr>
          <w:rFonts w:hint="eastAsia" w:ascii="微软雅黑" w:hAnsi="微软雅黑" w:eastAsia="微软雅黑" w:cs="Times New Roman"/>
          <w:sz w:val="24"/>
          <w:szCs w:val="20"/>
        </w:rPr>
        <w:t>[专用合同条款是对通用合同条款原则性约定的细化、完善、补充的条款。]</w:t>
      </w:r>
    </w:p>
    <w:p w14:paraId="2CC7603B">
      <w:pPr>
        <w:widowControl/>
        <w:spacing w:before="120" w:beforeAutospacing="1" w:after="120" w:afterAutospacing="1" w:line="360" w:lineRule="auto"/>
        <w:jc w:val="left"/>
        <w:outlineLvl w:val="3"/>
        <w:rPr>
          <w:rFonts w:ascii="微软雅黑" w:hAnsi="微软雅黑" w:eastAsia="微软雅黑" w:cs="宋体"/>
          <w:bCs/>
          <w:szCs w:val="21"/>
        </w:rPr>
      </w:pPr>
      <w:bookmarkStart w:id="180" w:name="_Toc161"/>
      <w:bookmarkStart w:id="181" w:name="_Toc31139"/>
      <w:bookmarkStart w:id="182" w:name="_Toc22276"/>
      <w:bookmarkStart w:id="183" w:name="_Toc21355"/>
      <w:bookmarkStart w:id="184" w:name="_Toc351203633"/>
      <w:bookmarkStart w:id="185" w:name="_Toc31424"/>
      <w:r>
        <w:rPr>
          <w:rFonts w:hint="eastAsia" w:ascii="微软雅黑" w:hAnsi="微软雅黑" w:eastAsia="微软雅黑" w:cs="宋体"/>
          <w:bCs/>
          <w:szCs w:val="21"/>
        </w:rPr>
        <w:t>1</w:t>
      </w:r>
      <w:bookmarkStart w:id="186" w:name="_Toc297048342"/>
      <w:bookmarkStart w:id="187" w:name="_Toc296503156"/>
      <w:bookmarkStart w:id="188" w:name="_Toc296944495"/>
      <w:bookmarkStart w:id="189" w:name="_Toc296347155"/>
      <w:bookmarkStart w:id="190" w:name="_Toc292559361"/>
      <w:bookmarkStart w:id="191" w:name="_Toc296891196"/>
      <w:bookmarkStart w:id="192" w:name="_Toc296890984"/>
      <w:bookmarkStart w:id="193" w:name="_Toc297120456"/>
      <w:bookmarkStart w:id="194" w:name="_Toc292559866"/>
      <w:bookmarkStart w:id="195" w:name="_Toc296346657"/>
      <w:r>
        <w:rPr>
          <w:rFonts w:hint="eastAsia" w:ascii="微软雅黑" w:hAnsi="微软雅黑" w:eastAsia="微软雅黑" w:cs="宋体"/>
          <w:bCs/>
          <w:szCs w:val="21"/>
        </w:rPr>
        <w:t>. 一般约定</w:t>
      </w:r>
      <w:bookmarkEnd w:id="180"/>
      <w:bookmarkEnd w:id="181"/>
      <w:bookmarkEnd w:id="182"/>
      <w:bookmarkEnd w:id="183"/>
      <w:bookmarkEnd w:id="184"/>
      <w:bookmarkEnd w:id="185"/>
    </w:p>
    <w:bookmarkEnd w:id="186"/>
    <w:bookmarkEnd w:id="187"/>
    <w:bookmarkEnd w:id="188"/>
    <w:bookmarkEnd w:id="189"/>
    <w:bookmarkEnd w:id="190"/>
    <w:bookmarkEnd w:id="191"/>
    <w:bookmarkEnd w:id="192"/>
    <w:bookmarkEnd w:id="193"/>
    <w:bookmarkEnd w:id="194"/>
    <w:bookmarkEnd w:id="195"/>
    <w:p w14:paraId="15C9EA6E">
      <w:pPr>
        <w:spacing w:after="120" w:line="360" w:lineRule="auto"/>
        <w:ind w:firstLine="420" w:firstLineChars="200"/>
        <w:outlineLvl w:val="0"/>
        <w:rPr>
          <w:rFonts w:ascii="微软雅黑" w:hAnsi="微软雅黑" w:eastAsia="微软雅黑" w:cs="宋体"/>
          <w:szCs w:val="21"/>
        </w:rPr>
      </w:pPr>
      <w:bookmarkStart w:id="196" w:name="_Toc5932"/>
      <w:bookmarkStart w:id="197" w:name="_Toc22729"/>
      <w:bookmarkStart w:id="198" w:name="_Toc11368"/>
      <w:bookmarkStart w:id="199" w:name="_Toc6788"/>
      <w:bookmarkStart w:id="200" w:name="_Toc6157"/>
      <w:bookmarkStart w:id="201" w:name="_Toc29545"/>
      <w:bookmarkStart w:id="202" w:name="_Toc32264"/>
      <w:r>
        <w:rPr>
          <w:rFonts w:hint="eastAsia" w:ascii="微软雅黑" w:hAnsi="微软雅黑" w:eastAsia="微软雅黑" w:cs="宋体"/>
          <w:szCs w:val="21"/>
        </w:rPr>
        <w:t>1.1 词语定义</w:t>
      </w:r>
      <w:bookmarkEnd w:id="196"/>
      <w:bookmarkEnd w:id="197"/>
      <w:bookmarkEnd w:id="198"/>
      <w:bookmarkEnd w:id="199"/>
      <w:bookmarkEnd w:id="200"/>
      <w:bookmarkEnd w:id="201"/>
      <w:bookmarkEnd w:id="202"/>
    </w:p>
    <w:p w14:paraId="4B1C0198">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1.1.1合同</w:t>
      </w:r>
    </w:p>
    <w:p w14:paraId="56A19F56">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1.1.1.10其他合同文件包括：</w:t>
      </w:r>
      <w:r>
        <w:rPr>
          <w:rFonts w:hint="eastAsia" w:ascii="微软雅黑" w:hAnsi="微软雅黑" w:eastAsia="微软雅黑" w:cs="宋体"/>
          <w:kern w:val="0"/>
          <w:szCs w:val="21"/>
          <w:u w:val="single"/>
        </w:rPr>
        <w:t>合同履行中，发包人承包人有关工程的洽商、变更等书面协议或文件视为本合同的组成部分。</w:t>
      </w:r>
    </w:p>
    <w:p w14:paraId="63397C59">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1.1.2 合同当事人及其他相关方</w:t>
      </w:r>
    </w:p>
    <w:p w14:paraId="4644BAA0">
      <w:pPr>
        <w:spacing w:line="360" w:lineRule="auto"/>
        <w:ind w:firstLine="420" w:firstLineChars="200"/>
        <w:rPr>
          <w:rFonts w:ascii="微软雅黑" w:hAnsi="微软雅黑" w:eastAsia="微软雅黑" w:cs="宋体"/>
          <w:szCs w:val="21"/>
          <w:u w:val="single"/>
        </w:rPr>
      </w:pPr>
      <w:r>
        <w:rPr>
          <w:rFonts w:hint="eastAsia" w:ascii="微软雅黑" w:hAnsi="微软雅黑" w:eastAsia="微软雅黑" w:cs="宋体"/>
          <w:szCs w:val="21"/>
        </w:rPr>
        <w:t>1.1.2.2：发包人：</w:t>
      </w:r>
      <w:r>
        <w:rPr>
          <w:rFonts w:hint="eastAsia" w:ascii="微软雅黑" w:hAnsi="微软雅黑" w:eastAsia="微软雅黑" w:cs="宋体"/>
          <w:szCs w:val="21"/>
          <w:u w:val="single"/>
        </w:rPr>
        <w:t>重庆市射击运动学校</w:t>
      </w:r>
    </w:p>
    <w:p w14:paraId="31860367">
      <w:pPr>
        <w:spacing w:line="360" w:lineRule="auto"/>
        <w:ind w:firstLine="420" w:firstLineChars="200"/>
        <w:rPr>
          <w:rFonts w:ascii="微软雅黑" w:hAnsi="微软雅黑" w:eastAsia="微软雅黑" w:cs="宋体"/>
          <w:szCs w:val="21"/>
          <w:u w:val="single"/>
        </w:rPr>
      </w:pPr>
      <w:r>
        <w:rPr>
          <w:rFonts w:hint="eastAsia" w:ascii="微软雅黑" w:hAnsi="微软雅黑" w:eastAsia="微软雅黑" w:cs="宋体"/>
          <w:szCs w:val="21"/>
        </w:rPr>
        <w:t>1.1.2.3：承包人：</w:t>
      </w:r>
      <w:r>
        <w:rPr>
          <w:rFonts w:hint="eastAsia" w:ascii="微软雅黑" w:hAnsi="微软雅黑" w:eastAsia="微软雅黑" w:cs="宋体"/>
          <w:szCs w:val="21"/>
          <w:u w:val="single"/>
        </w:rPr>
        <w:t xml:space="preserve">                 </w:t>
      </w:r>
    </w:p>
    <w:p w14:paraId="34F91031">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1.1.2.4监理人：</w:t>
      </w:r>
    </w:p>
    <w:p w14:paraId="17B5B993">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名    称：</w:t>
      </w:r>
      <w:r>
        <w:rPr>
          <w:rFonts w:hint="eastAsia" w:ascii="微软雅黑" w:hAnsi="微软雅黑" w:eastAsia="微软雅黑" w:cs="宋体"/>
          <w:szCs w:val="21"/>
          <w:u w:val="single"/>
        </w:rPr>
        <w:t xml:space="preserve">                </w:t>
      </w:r>
      <w:r>
        <w:rPr>
          <w:rFonts w:hint="eastAsia" w:ascii="微软雅黑" w:hAnsi="微软雅黑" w:eastAsia="微软雅黑" w:cs="宋体"/>
          <w:szCs w:val="21"/>
        </w:rPr>
        <w:t>；</w:t>
      </w:r>
    </w:p>
    <w:p w14:paraId="3814D0BA">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资质类别和等级：</w:t>
      </w:r>
      <w:r>
        <w:rPr>
          <w:rFonts w:hint="eastAsia" w:ascii="微软雅黑" w:hAnsi="微软雅黑" w:eastAsia="微软雅黑" w:cs="宋体"/>
          <w:szCs w:val="21"/>
          <w:u w:val="single"/>
        </w:rPr>
        <w:t>               </w:t>
      </w:r>
      <w:r>
        <w:rPr>
          <w:rFonts w:hint="eastAsia" w:ascii="微软雅黑" w:hAnsi="微软雅黑" w:eastAsia="微软雅黑" w:cs="宋体"/>
          <w:szCs w:val="21"/>
        </w:rPr>
        <w:t>；</w:t>
      </w:r>
    </w:p>
    <w:p w14:paraId="62265998">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联系电话：</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346C2D62">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电子信箱：</w:t>
      </w:r>
      <w:r>
        <w:rPr>
          <w:rFonts w:hint="eastAsia" w:ascii="微软雅黑" w:hAnsi="微软雅黑" w:eastAsia="微软雅黑" w:cs="宋体"/>
          <w:szCs w:val="21"/>
          <w:u w:val="single"/>
        </w:rPr>
        <w:t>                </w:t>
      </w:r>
      <w:r>
        <w:rPr>
          <w:rFonts w:hint="eastAsia" w:ascii="微软雅黑" w:hAnsi="微软雅黑" w:eastAsia="微软雅黑" w:cs="宋体"/>
          <w:szCs w:val="21"/>
        </w:rPr>
        <w:t>；</w:t>
      </w:r>
    </w:p>
    <w:p w14:paraId="443E6FF9">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通信地址：</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38D3239E">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1.1.2.5 设计人：</w:t>
      </w:r>
    </w:p>
    <w:p w14:paraId="6E516E23">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名    称：</w:t>
      </w:r>
      <w:r>
        <w:rPr>
          <w:rFonts w:hint="eastAsia" w:ascii="微软雅黑" w:hAnsi="微软雅黑" w:eastAsia="微软雅黑" w:cs="宋体"/>
          <w:szCs w:val="21"/>
          <w:u w:val="single"/>
        </w:rPr>
        <w:t xml:space="preserve">                 </w:t>
      </w:r>
      <w:r>
        <w:rPr>
          <w:rFonts w:hint="eastAsia" w:ascii="微软雅黑" w:hAnsi="微软雅黑" w:eastAsia="微软雅黑" w:cs="宋体"/>
          <w:szCs w:val="21"/>
        </w:rPr>
        <w:t>；</w:t>
      </w:r>
    </w:p>
    <w:p w14:paraId="407F0E8E">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资质类别和等级：</w:t>
      </w:r>
      <w:r>
        <w:rPr>
          <w:rFonts w:hint="eastAsia" w:ascii="微软雅黑" w:hAnsi="微软雅黑" w:eastAsia="微软雅黑" w:cs="宋体"/>
          <w:szCs w:val="21"/>
          <w:u w:val="single"/>
        </w:rPr>
        <w:t>               </w:t>
      </w:r>
      <w:r>
        <w:rPr>
          <w:rFonts w:hint="eastAsia" w:ascii="微软雅黑" w:hAnsi="微软雅黑" w:eastAsia="微软雅黑" w:cs="宋体"/>
          <w:szCs w:val="21"/>
        </w:rPr>
        <w:t>；</w:t>
      </w:r>
    </w:p>
    <w:p w14:paraId="1C8A643C">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联系电话：</w:t>
      </w:r>
      <w:r>
        <w:rPr>
          <w:rFonts w:hint="eastAsia" w:ascii="微软雅黑" w:hAnsi="微软雅黑" w:eastAsia="微软雅黑" w:cs="宋体"/>
          <w:szCs w:val="21"/>
          <w:u w:val="single"/>
        </w:rPr>
        <w:t>                 </w:t>
      </w:r>
      <w:r>
        <w:rPr>
          <w:rFonts w:hint="eastAsia" w:ascii="微软雅黑" w:hAnsi="微软雅黑" w:eastAsia="微软雅黑" w:cs="宋体"/>
          <w:szCs w:val="21"/>
        </w:rPr>
        <w:t>；</w:t>
      </w:r>
    </w:p>
    <w:p w14:paraId="201C11D8">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电子信箱：</w:t>
      </w:r>
      <w:r>
        <w:rPr>
          <w:rFonts w:hint="eastAsia" w:ascii="微软雅黑" w:hAnsi="微软雅黑" w:eastAsia="微软雅黑" w:cs="宋体"/>
          <w:szCs w:val="21"/>
          <w:u w:val="single"/>
        </w:rPr>
        <w:t xml:space="preserve">                    </w:t>
      </w:r>
      <w:r>
        <w:rPr>
          <w:rFonts w:hint="eastAsia" w:ascii="微软雅黑" w:hAnsi="微软雅黑" w:eastAsia="微软雅黑" w:cs="宋体"/>
          <w:szCs w:val="21"/>
        </w:rPr>
        <w:t>；</w:t>
      </w:r>
    </w:p>
    <w:p w14:paraId="16FB29D3">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通信地址：</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3355F642">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1.1.3 工程和设备</w:t>
      </w:r>
    </w:p>
    <w:p w14:paraId="27E2A9CF">
      <w:pPr>
        <w:spacing w:line="360" w:lineRule="auto"/>
        <w:rPr>
          <w:rFonts w:ascii="微软雅黑" w:hAnsi="微软雅黑" w:eastAsia="微软雅黑" w:cs="宋体"/>
          <w:szCs w:val="21"/>
        </w:rPr>
      </w:pPr>
      <w:r>
        <w:rPr>
          <w:rFonts w:hint="eastAsia" w:ascii="微软雅黑" w:hAnsi="微软雅黑" w:eastAsia="微软雅黑" w:cs="宋体"/>
          <w:szCs w:val="21"/>
        </w:rPr>
        <w:t>1.1.3.7 作为施工现场组成部分的其他场所包括：</w:t>
      </w:r>
      <w:r>
        <w:rPr>
          <w:rFonts w:hint="eastAsia" w:ascii="微软雅黑" w:hAnsi="微软雅黑" w:eastAsia="微软雅黑" w:cs="宋体"/>
          <w:szCs w:val="21"/>
          <w:u w:val="single"/>
        </w:rPr>
        <w:t xml:space="preserve"> 发包人指定范围，承包人自行安排施工临时设施，若承包人认为场地不满足施工需要，自行采取措施，费用自行承担</w:t>
      </w:r>
      <w:r>
        <w:rPr>
          <w:rFonts w:hint="eastAsia" w:ascii="微软雅黑" w:hAnsi="微软雅黑" w:eastAsia="微软雅黑" w:cs="宋体"/>
          <w:szCs w:val="21"/>
        </w:rPr>
        <w:t>。</w:t>
      </w:r>
    </w:p>
    <w:p w14:paraId="7CD75A5E">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1.1.3.9 永久占地包括：</w:t>
      </w:r>
      <w:r>
        <w:rPr>
          <w:rFonts w:hint="eastAsia" w:ascii="微软雅黑" w:hAnsi="微软雅黑" w:eastAsia="微软雅黑" w:cs="宋体"/>
          <w:szCs w:val="21"/>
          <w:u w:val="single"/>
        </w:rPr>
        <w:t xml:space="preserve"> 施工图约定建造并移交给发包人的工程 </w:t>
      </w:r>
      <w:r>
        <w:rPr>
          <w:rFonts w:hint="eastAsia" w:ascii="微软雅黑" w:hAnsi="微软雅黑" w:eastAsia="微软雅黑" w:cs="宋体"/>
          <w:kern w:val="0"/>
          <w:szCs w:val="21"/>
        </w:rPr>
        <w:t>。</w:t>
      </w:r>
    </w:p>
    <w:p w14:paraId="614162F1">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kern w:val="0"/>
          <w:szCs w:val="21"/>
        </w:rPr>
        <w:t>1.1.3.10 临时占地包括：</w:t>
      </w:r>
      <w:r>
        <w:rPr>
          <w:rFonts w:hint="eastAsia" w:ascii="微软雅黑" w:hAnsi="微软雅黑" w:eastAsia="微软雅黑" w:cs="宋体"/>
          <w:szCs w:val="21"/>
          <w:u w:val="single"/>
        </w:rPr>
        <w:t xml:space="preserve">  本合同涉及的所有用于施工的临时性工程</w:t>
      </w:r>
      <w:r>
        <w:rPr>
          <w:rFonts w:hint="eastAsia" w:ascii="微软雅黑" w:hAnsi="微软雅黑" w:eastAsia="微软雅黑" w:cs="宋体"/>
          <w:kern w:val="0"/>
          <w:szCs w:val="21"/>
        </w:rPr>
        <w:t>。</w:t>
      </w:r>
    </w:p>
    <w:p w14:paraId="36D61598">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 xml:space="preserve">1.3法律 </w:t>
      </w:r>
    </w:p>
    <w:p w14:paraId="14D3AC30">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适用于合同的其他规范性文件：</w:t>
      </w:r>
      <w:r>
        <w:rPr>
          <w:rFonts w:hint="eastAsia" w:ascii="微软雅黑" w:hAnsi="微软雅黑" w:eastAsia="微软雅黑" w:cs="宋体"/>
          <w:szCs w:val="21"/>
          <w:u w:val="single"/>
        </w:rPr>
        <w:t xml:space="preserve">相关法律法规 </w:t>
      </w:r>
      <w:r>
        <w:rPr>
          <w:rFonts w:hint="eastAsia" w:ascii="微软雅黑" w:hAnsi="微软雅黑" w:eastAsia="微软雅黑" w:cs="宋体"/>
          <w:szCs w:val="21"/>
        </w:rPr>
        <w:t>。</w:t>
      </w:r>
    </w:p>
    <w:p w14:paraId="5ABC568C">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1.4 标准和规范</w:t>
      </w:r>
    </w:p>
    <w:p w14:paraId="3DB437D2">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1.4.1适用于工程的标准规范包括：</w:t>
      </w:r>
      <w:r>
        <w:rPr>
          <w:rFonts w:hint="eastAsia" w:ascii="微软雅黑" w:hAnsi="微软雅黑" w:eastAsia="微软雅黑" w:cs="宋体"/>
          <w:szCs w:val="21"/>
          <w:u w:val="single"/>
        </w:rPr>
        <w:t>国家和地方现行有关法律、规范、规程及标准。</w:t>
      </w:r>
    </w:p>
    <w:p w14:paraId="113D4EFF">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1.4.2 发包人提供国外标准、规范的名称：</w:t>
      </w:r>
      <w:r>
        <w:rPr>
          <w:rFonts w:hint="eastAsia" w:ascii="微软雅黑" w:hAnsi="微软雅黑" w:eastAsia="微软雅黑" w:cs="宋体"/>
          <w:kern w:val="0"/>
          <w:szCs w:val="21"/>
          <w:u w:val="single"/>
        </w:rPr>
        <w:t xml:space="preserve">  无   </w:t>
      </w:r>
      <w:r>
        <w:rPr>
          <w:rFonts w:hint="eastAsia" w:ascii="微软雅黑" w:hAnsi="微软雅黑" w:eastAsia="微软雅黑" w:cs="宋体"/>
          <w:kern w:val="0"/>
          <w:szCs w:val="21"/>
        </w:rPr>
        <w:t>；</w:t>
      </w:r>
    </w:p>
    <w:p w14:paraId="2C85A4B4">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发包人提供国外标准、规范的份数：</w:t>
      </w:r>
      <w:r>
        <w:rPr>
          <w:rFonts w:hint="eastAsia" w:ascii="微软雅黑" w:hAnsi="微软雅黑" w:eastAsia="微软雅黑" w:cs="宋体"/>
          <w:kern w:val="0"/>
          <w:szCs w:val="21"/>
          <w:u w:val="single"/>
        </w:rPr>
        <w:t xml:space="preserve">   无  </w:t>
      </w:r>
      <w:r>
        <w:rPr>
          <w:rFonts w:hint="eastAsia" w:ascii="微软雅黑" w:hAnsi="微软雅黑" w:eastAsia="微软雅黑" w:cs="宋体"/>
          <w:kern w:val="0"/>
          <w:szCs w:val="21"/>
        </w:rPr>
        <w:t>；</w:t>
      </w:r>
    </w:p>
    <w:p w14:paraId="49D8AA7F">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kern w:val="0"/>
          <w:szCs w:val="21"/>
        </w:rPr>
        <w:t>发包人提供国外标准、规范的名称：</w:t>
      </w:r>
      <w:r>
        <w:rPr>
          <w:rFonts w:hint="eastAsia" w:ascii="微软雅黑" w:hAnsi="微软雅黑" w:eastAsia="微软雅黑" w:cs="宋体"/>
          <w:kern w:val="0"/>
          <w:szCs w:val="21"/>
          <w:u w:val="single"/>
        </w:rPr>
        <w:t xml:space="preserve">    无     </w:t>
      </w:r>
      <w:r>
        <w:rPr>
          <w:rFonts w:hint="eastAsia" w:ascii="微软雅黑" w:hAnsi="微软雅黑" w:eastAsia="微软雅黑" w:cs="宋体"/>
          <w:kern w:val="0"/>
          <w:szCs w:val="21"/>
        </w:rPr>
        <w:t>。</w:t>
      </w:r>
    </w:p>
    <w:p w14:paraId="50533AB1">
      <w:pPr>
        <w:spacing w:line="360" w:lineRule="auto"/>
        <w:ind w:left="596" w:leftChars="284"/>
        <w:rPr>
          <w:rFonts w:ascii="微软雅黑" w:hAnsi="微软雅黑" w:eastAsia="微软雅黑" w:cs="宋体"/>
          <w:szCs w:val="21"/>
        </w:rPr>
      </w:pPr>
      <w:r>
        <w:rPr>
          <w:rFonts w:hint="eastAsia" w:ascii="微软雅黑" w:hAnsi="微软雅黑" w:eastAsia="微软雅黑" w:cs="宋体"/>
          <w:szCs w:val="21"/>
        </w:rPr>
        <w:t>1.4.3发包人对工程的技术标准和功能要求的特殊要求：</w:t>
      </w:r>
      <w:r>
        <w:rPr>
          <w:rFonts w:hint="eastAsia" w:ascii="微软雅黑" w:hAnsi="微软雅黑" w:eastAsia="微软雅黑" w:cs="宋体"/>
          <w:szCs w:val="21"/>
          <w:u w:val="single"/>
        </w:rPr>
        <w:t xml:space="preserve">相关规范及标准   </w:t>
      </w:r>
      <w:r>
        <w:rPr>
          <w:rFonts w:hint="eastAsia" w:ascii="微软雅黑" w:hAnsi="微软雅黑" w:eastAsia="微软雅黑" w:cs="宋体"/>
          <w:szCs w:val="21"/>
        </w:rPr>
        <w:t>。</w:t>
      </w:r>
    </w:p>
    <w:p w14:paraId="4041A569">
      <w:pPr>
        <w:spacing w:after="120" w:line="360" w:lineRule="auto"/>
        <w:ind w:firstLine="420" w:firstLineChars="200"/>
        <w:outlineLvl w:val="0"/>
        <w:rPr>
          <w:rFonts w:ascii="微软雅黑" w:hAnsi="微软雅黑" w:eastAsia="微软雅黑" w:cs="宋体"/>
          <w:szCs w:val="21"/>
        </w:rPr>
      </w:pPr>
      <w:bookmarkStart w:id="203" w:name="_Toc10742"/>
      <w:bookmarkStart w:id="204" w:name="_Toc15458"/>
      <w:bookmarkStart w:id="205" w:name="_Toc14619"/>
      <w:bookmarkStart w:id="206" w:name="_Toc21161"/>
      <w:bookmarkStart w:id="207" w:name="_Toc30641"/>
      <w:bookmarkStart w:id="208" w:name="_Toc129"/>
      <w:bookmarkStart w:id="209" w:name="_Toc4727"/>
      <w:r>
        <w:rPr>
          <w:rFonts w:hint="eastAsia" w:ascii="微软雅黑" w:hAnsi="微软雅黑" w:eastAsia="微软雅黑" w:cs="宋体"/>
          <w:szCs w:val="21"/>
        </w:rPr>
        <w:t>1.5 合同文件的优先顺序</w:t>
      </w:r>
      <w:bookmarkEnd w:id="203"/>
      <w:bookmarkEnd w:id="204"/>
      <w:bookmarkEnd w:id="205"/>
      <w:bookmarkEnd w:id="206"/>
      <w:bookmarkEnd w:id="207"/>
      <w:bookmarkEnd w:id="208"/>
      <w:bookmarkEnd w:id="209"/>
    </w:p>
    <w:p w14:paraId="2FB6ED9F">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合同文件组成及优先顺序为：</w:t>
      </w:r>
    </w:p>
    <w:p w14:paraId="30E1DECE">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（1）合同协议书；</w:t>
      </w:r>
    </w:p>
    <w:p w14:paraId="171E7A9D">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（2）成交通知书；</w:t>
      </w:r>
    </w:p>
    <w:p w14:paraId="703A02FF">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（3）谈判文件及补遗；</w:t>
      </w:r>
    </w:p>
    <w:p w14:paraId="01C7D03C">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（4）响应文件</w:t>
      </w:r>
    </w:p>
    <w:p w14:paraId="72E10FC1">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（5）专用合同条款及其附件；</w:t>
      </w:r>
    </w:p>
    <w:p w14:paraId="2045CD92">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（6）通用合同条款；</w:t>
      </w:r>
    </w:p>
    <w:p w14:paraId="759A05DB">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（7）技术标准和要求；</w:t>
      </w:r>
    </w:p>
    <w:p w14:paraId="3397E3B9">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（8）图纸；</w:t>
      </w:r>
    </w:p>
    <w:p w14:paraId="67447BA2">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（9）已标价工程量清单；</w:t>
      </w:r>
    </w:p>
    <w:p w14:paraId="24E0E114">
      <w:pPr>
        <w:spacing w:line="360" w:lineRule="auto"/>
        <w:ind w:firstLine="420" w:firstLineChars="200"/>
        <w:outlineLvl w:val="0"/>
        <w:rPr>
          <w:rFonts w:ascii="微软雅黑" w:hAnsi="微软雅黑" w:eastAsia="微软雅黑" w:cs="宋体"/>
          <w:szCs w:val="21"/>
        </w:rPr>
      </w:pPr>
      <w:bookmarkStart w:id="210" w:name="_Toc15636"/>
      <w:bookmarkStart w:id="211" w:name="_Toc5821"/>
      <w:bookmarkStart w:id="212" w:name="_Toc26000"/>
      <w:bookmarkStart w:id="213" w:name="_Toc28541"/>
      <w:bookmarkStart w:id="214" w:name="_Toc29803"/>
      <w:bookmarkStart w:id="215" w:name="_Toc413"/>
      <w:bookmarkStart w:id="216" w:name="_Toc23405"/>
      <w:r>
        <w:rPr>
          <w:rFonts w:hint="eastAsia" w:ascii="微软雅黑" w:hAnsi="微软雅黑" w:eastAsia="微软雅黑" w:cs="宋体"/>
          <w:szCs w:val="21"/>
        </w:rPr>
        <w:t>(10) 其他合同文件。</w:t>
      </w:r>
      <w:bookmarkEnd w:id="210"/>
      <w:bookmarkEnd w:id="211"/>
      <w:bookmarkEnd w:id="212"/>
      <w:bookmarkEnd w:id="213"/>
      <w:bookmarkEnd w:id="214"/>
      <w:bookmarkEnd w:id="215"/>
      <w:bookmarkEnd w:id="216"/>
    </w:p>
    <w:p w14:paraId="7F856B16">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（11）在合同订立及履行过程中形成的与合同有关的文件均构成合同文件组成部分。</w:t>
      </w:r>
    </w:p>
    <w:p w14:paraId="2BD3189C">
      <w:pPr>
        <w:spacing w:after="120" w:line="360" w:lineRule="auto"/>
        <w:ind w:firstLine="420" w:firstLineChars="200"/>
        <w:outlineLvl w:val="0"/>
        <w:rPr>
          <w:rFonts w:ascii="微软雅黑" w:hAnsi="微软雅黑" w:eastAsia="微软雅黑" w:cs="宋体"/>
          <w:szCs w:val="21"/>
        </w:rPr>
      </w:pPr>
      <w:bookmarkStart w:id="217" w:name="_Toc32317"/>
      <w:bookmarkStart w:id="218" w:name="_Toc12450"/>
      <w:bookmarkStart w:id="219" w:name="_Toc889"/>
      <w:bookmarkStart w:id="220" w:name="_Toc18146"/>
      <w:bookmarkStart w:id="221" w:name="_Toc22203"/>
      <w:bookmarkStart w:id="222" w:name="_Toc24511"/>
      <w:r>
        <w:rPr>
          <w:rFonts w:hint="eastAsia" w:ascii="微软雅黑" w:hAnsi="微软雅黑" w:eastAsia="微软雅黑" w:cs="宋体"/>
          <w:szCs w:val="21"/>
        </w:rPr>
        <w:t>1.6 图纸和承包人文件</w:t>
      </w:r>
      <w:bookmarkEnd w:id="217"/>
      <w:bookmarkEnd w:id="218"/>
      <w:bookmarkEnd w:id="219"/>
      <w:bookmarkEnd w:id="220"/>
      <w:bookmarkEnd w:id="221"/>
      <w:bookmarkEnd w:id="222"/>
      <w:r>
        <w:rPr>
          <w:rFonts w:hint="eastAsia" w:ascii="微软雅黑" w:hAnsi="微软雅黑" w:eastAsia="微软雅黑" w:cs="宋体"/>
          <w:szCs w:val="21"/>
        </w:rPr>
        <w:tab/>
      </w:r>
    </w:p>
    <w:p w14:paraId="06B65E06">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1.6.1 图纸的提供</w:t>
      </w:r>
    </w:p>
    <w:p w14:paraId="40A1A152">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发包人向承包人提供图纸的期限：</w:t>
      </w:r>
      <w:r>
        <w:rPr>
          <w:rFonts w:hint="eastAsia" w:ascii="微软雅黑" w:hAnsi="微软雅黑" w:eastAsia="微软雅黑" w:cs="宋体"/>
          <w:szCs w:val="21"/>
          <w:u w:val="single"/>
        </w:rPr>
        <w:t></w:t>
      </w:r>
      <w:r>
        <w:rPr>
          <w:rFonts w:hint="eastAsia" w:ascii="微软雅黑" w:hAnsi="微软雅黑" w:eastAsia="微软雅黑" w:cs="宋体"/>
          <w:bCs/>
          <w:kern w:val="0"/>
          <w:szCs w:val="21"/>
          <w:u w:val="single"/>
        </w:rPr>
        <w:t>工程开工前3天提供</w:t>
      </w:r>
      <w:r>
        <w:rPr>
          <w:rFonts w:hint="eastAsia" w:ascii="微软雅黑" w:hAnsi="微软雅黑" w:eastAsia="微软雅黑" w:cs="宋体"/>
          <w:szCs w:val="21"/>
          <w:u w:val="single"/>
        </w:rPr>
        <w:t></w:t>
      </w:r>
      <w:r>
        <w:rPr>
          <w:rFonts w:hint="eastAsia" w:ascii="微软雅黑" w:hAnsi="微软雅黑" w:eastAsia="微软雅黑" w:cs="宋体"/>
          <w:szCs w:val="21"/>
        </w:rPr>
        <w:t>；</w:t>
      </w:r>
    </w:p>
    <w:p w14:paraId="61E04A07">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发包人向承包人提供图纸的数量：</w:t>
      </w:r>
      <w:r>
        <w:rPr>
          <w:rFonts w:hint="eastAsia" w:ascii="微软雅黑" w:hAnsi="微软雅黑" w:eastAsia="微软雅黑" w:cs="宋体"/>
          <w:szCs w:val="21"/>
          <w:u w:val="single"/>
        </w:rPr>
        <w:t></w:t>
      </w:r>
      <w:r>
        <w:rPr>
          <w:rFonts w:hint="eastAsia" w:ascii="微软雅黑" w:hAnsi="微软雅黑" w:eastAsia="微软雅黑" w:cs="宋体"/>
          <w:bCs/>
          <w:kern w:val="0"/>
          <w:szCs w:val="21"/>
          <w:u w:val="single"/>
        </w:rPr>
        <w:t>正式施工图4套</w:t>
      </w:r>
      <w:r>
        <w:rPr>
          <w:rFonts w:hint="eastAsia" w:ascii="微软雅黑" w:hAnsi="微软雅黑" w:eastAsia="微软雅黑" w:cs="宋体"/>
          <w:szCs w:val="21"/>
        </w:rPr>
        <w:t>；</w:t>
      </w:r>
    </w:p>
    <w:p w14:paraId="2872F141">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发包人向承包人提供图纸的内容：</w:t>
      </w:r>
      <w:r>
        <w:rPr>
          <w:rFonts w:hint="eastAsia" w:ascii="微软雅黑" w:hAnsi="微软雅黑" w:eastAsia="微软雅黑" w:cs="宋体"/>
          <w:szCs w:val="21"/>
          <w:u w:val="single"/>
        </w:rPr>
        <w:t></w:t>
      </w:r>
      <w:r>
        <w:rPr>
          <w:rFonts w:hint="eastAsia" w:ascii="微软雅黑" w:hAnsi="微软雅黑" w:eastAsia="微软雅黑" w:cs="宋体"/>
          <w:bCs/>
          <w:kern w:val="0"/>
          <w:szCs w:val="21"/>
          <w:u w:val="single"/>
        </w:rPr>
        <w:t>经过图审的纸质施工图 </w:t>
      </w:r>
      <w:r>
        <w:rPr>
          <w:rFonts w:hint="eastAsia" w:ascii="微软雅黑" w:hAnsi="微软雅黑" w:eastAsia="微软雅黑" w:cs="宋体"/>
          <w:szCs w:val="21"/>
          <w:u w:val="single"/>
        </w:rPr>
        <w:t></w:t>
      </w:r>
      <w:r>
        <w:rPr>
          <w:rFonts w:hint="eastAsia" w:ascii="微软雅黑" w:hAnsi="微软雅黑" w:eastAsia="微软雅黑" w:cs="宋体"/>
          <w:szCs w:val="21"/>
        </w:rPr>
        <w:t>。</w:t>
      </w:r>
    </w:p>
    <w:p w14:paraId="784C36EA">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1.6.4 承包人文件</w:t>
      </w:r>
    </w:p>
    <w:p w14:paraId="66B40ADA">
      <w:pPr>
        <w:spacing w:line="360" w:lineRule="auto"/>
        <w:ind w:left="596" w:leftChars="284"/>
        <w:jc w:val="left"/>
        <w:rPr>
          <w:rFonts w:ascii="微软雅黑" w:hAnsi="微软雅黑" w:eastAsia="微软雅黑" w:cs="宋体"/>
          <w:szCs w:val="21"/>
        </w:rPr>
      </w:pPr>
      <w:r>
        <w:rPr>
          <w:rFonts w:hint="eastAsia" w:ascii="微软雅黑" w:hAnsi="微软雅黑" w:eastAsia="微软雅黑" w:cs="宋体"/>
          <w:szCs w:val="21"/>
        </w:rPr>
        <w:t>需要由承包人提供的文件，包括：</w:t>
      </w:r>
      <w:r>
        <w:rPr>
          <w:rFonts w:hint="eastAsia" w:ascii="微软雅黑" w:hAnsi="微软雅黑" w:eastAsia="微软雅黑" w:cs="宋体"/>
          <w:szCs w:val="21"/>
          <w:u w:val="single"/>
        </w:rPr>
        <w:t></w:t>
      </w:r>
      <w:r>
        <w:rPr>
          <w:rFonts w:hint="eastAsia" w:ascii="微软雅黑" w:hAnsi="微软雅黑" w:eastAsia="微软雅黑" w:cs="宋体"/>
          <w:bCs/>
          <w:kern w:val="0"/>
          <w:szCs w:val="21"/>
          <w:u w:val="single"/>
        </w:rPr>
        <w:t>国家相关职能部门文件、现场会议纪要、技术资料（包括工程所需图集）、施工组织设计、专项施工方案、安全应急方案、当月实际完成合格工程量进度报表、次月进度计划、工程预算、结算、材料采购计划报表，以及合格的工程技术竣工资料等</w:t>
      </w:r>
      <w:r>
        <w:rPr>
          <w:rFonts w:hint="eastAsia" w:ascii="微软雅黑" w:hAnsi="微软雅黑" w:eastAsia="微软雅黑" w:cs="宋体"/>
          <w:szCs w:val="21"/>
        </w:rPr>
        <w:t>；</w:t>
      </w:r>
    </w:p>
    <w:p w14:paraId="553466E4">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承包人提供的文件的期限为：</w:t>
      </w:r>
      <w:r>
        <w:rPr>
          <w:rFonts w:hint="eastAsia" w:ascii="微软雅黑" w:hAnsi="微软雅黑" w:eastAsia="微软雅黑" w:cs="宋体"/>
          <w:szCs w:val="21"/>
          <w:u w:val="single"/>
        </w:rPr>
        <w:t></w:t>
      </w:r>
      <w:r>
        <w:rPr>
          <w:rFonts w:hint="eastAsia" w:ascii="微软雅黑" w:hAnsi="微软雅黑" w:eastAsia="微软雅黑" w:cs="宋体"/>
          <w:bCs/>
          <w:kern w:val="0"/>
          <w:szCs w:val="21"/>
          <w:u w:val="single"/>
        </w:rPr>
        <w:t>上述问题发生后7天内 </w:t>
      </w:r>
      <w:r>
        <w:rPr>
          <w:rFonts w:hint="eastAsia" w:ascii="微软雅黑" w:hAnsi="微软雅黑" w:eastAsia="微软雅黑" w:cs="宋体"/>
          <w:szCs w:val="21"/>
          <w:u w:val="single"/>
        </w:rPr>
        <w:t></w:t>
      </w:r>
      <w:r>
        <w:rPr>
          <w:rFonts w:hint="eastAsia" w:ascii="微软雅黑" w:hAnsi="微软雅黑" w:eastAsia="微软雅黑" w:cs="宋体"/>
          <w:szCs w:val="21"/>
        </w:rPr>
        <w:t>；</w:t>
      </w:r>
    </w:p>
    <w:p w14:paraId="01BEFABD">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承包人提供的文件的数量为：</w:t>
      </w:r>
      <w:r>
        <w:rPr>
          <w:rFonts w:hint="eastAsia" w:ascii="微软雅黑" w:hAnsi="微软雅黑" w:eastAsia="微软雅黑" w:cs="宋体"/>
          <w:szCs w:val="21"/>
          <w:u w:val="single"/>
        </w:rPr>
        <w:t></w:t>
      </w:r>
      <w:r>
        <w:rPr>
          <w:rFonts w:hint="eastAsia" w:ascii="微软雅黑" w:hAnsi="微软雅黑" w:eastAsia="微软雅黑" w:cs="宋体"/>
          <w:bCs/>
          <w:kern w:val="0"/>
          <w:szCs w:val="21"/>
          <w:u w:val="single"/>
        </w:rPr>
        <w:t>一式三份</w:t>
      </w:r>
      <w:r>
        <w:rPr>
          <w:rFonts w:hint="eastAsia" w:ascii="微软雅黑" w:hAnsi="微软雅黑" w:eastAsia="微软雅黑" w:cs="宋体"/>
          <w:szCs w:val="21"/>
          <w:u w:val="single"/>
        </w:rPr>
        <w:t>    </w:t>
      </w:r>
      <w:r>
        <w:rPr>
          <w:rFonts w:hint="eastAsia" w:ascii="微软雅黑" w:hAnsi="微软雅黑" w:eastAsia="微软雅黑" w:cs="宋体"/>
          <w:szCs w:val="21"/>
        </w:rPr>
        <w:t>；</w:t>
      </w:r>
    </w:p>
    <w:p w14:paraId="7A10E0B3">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承包人提供的文件的形式为：</w:t>
      </w:r>
      <w:r>
        <w:rPr>
          <w:rFonts w:hint="eastAsia" w:ascii="微软雅黑" w:hAnsi="微软雅黑" w:eastAsia="微软雅黑" w:cs="宋体"/>
          <w:szCs w:val="21"/>
          <w:u w:val="single"/>
        </w:rPr>
        <w:t></w:t>
      </w:r>
      <w:r>
        <w:rPr>
          <w:rFonts w:hint="eastAsia" w:ascii="微软雅黑" w:hAnsi="微软雅黑" w:eastAsia="微软雅黑" w:cs="宋体"/>
          <w:bCs/>
          <w:kern w:val="0"/>
          <w:szCs w:val="21"/>
          <w:u w:val="single"/>
        </w:rPr>
        <w:t>书面形式、加盖项目部公章 </w:t>
      </w:r>
      <w:r>
        <w:rPr>
          <w:rFonts w:hint="eastAsia" w:ascii="微软雅黑" w:hAnsi="微软雅黑" w:eastAsia="微软雅黑" w:cs="宋体"/>
          <w:szCs w:val="21"/>
          <w:u w:val="single"/>
        </w:rPr>
        <w:t></w:t>
      </w:r>
      <w:r>
        <w:rPr>
          <w:rFonts w:hint="eastAsia" w:ascii="微软雅黑" w:hAnsi="微软雅黑" w:eastAsia="微软雅黑" w:cs="宋体"/>
          <w:szCs w:val="21"/>
        </w:rPr>
        <w:t>；</w:t>
      </w:r>
    </w:p>
    <w:p w14:paraId="68202385">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发包人审批承包人文件的期限：</w:t>
      </w:r>
      <w:r>
        <w:rPr>
          <w:rFonts w:hint="eastAsia" w:ascii="微软雅黑" w:hAnsi="微软雅黑" w:eastAsia="微软雅黑" w:cs="宋体"/>
          <w:szCs w:val="21"/>
          <w:u w:val="single"/>
        </w:rPr>
        <w:t></w:t>
      </w:r>
      <w:r>
        <w:rPr>
          <w:rFonts w:hint="eastAsia" w:ascii="微软雅黑" w:hAnsi="微软雅黑" w:eastAsia="微软雅黑" w:cs="宋体"/>
          <w:bCs/>
          <w:kern w:val="0"/>
          <w:szCs w:val="21"/>
          <w:u w:val="single"/>
        </w:rPr>
        <w:t xml:space="preserve"> 执行通用条款</w:t>
      </w:r>
      <w:r>
        <w:rPr>
          <w:rFonts w:hint="eastAsia" w:ascii="微软雅黑" w:hAnsi="微软雅黑" w:eastAsia="微软雅黑" w:cs="宋体"/>
          <w:szCs w:val="21"/>
          <w:u w:val="single"/>
        </w:rPr>
        <w:t></w:t>
      </w:r>
      <w:r>
        <w:rPr>
          <w:rFonts w:hint="eastAsia" w:ascii="微软雅黑" w:hAnsi="微软雅黑" w:eastAsia="微软雅黑" w:cs="宋体"/>
          <w:szCs w:val="21"/>
        </w:rPr>
        <w:t>。</w:t>
      </w:r>
    </w:p>
    <w:p w14:paraId="50ABA538">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1.6.5 现场图纸准备</w:t>
      </w:r>
    </w:p>
    <w:p w14:paraId="4034F85C">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关于现场图纸准备的约定：</w:t>
      </w:r>
      <w:r>
        <w:rPr>
          <w:rFonts w:hint="eastAsia" w:ascii="微软雅黑" w:hAnsi="微软雅黑" w:eastAsia="微软雅黑" w:cs="宋体"/>
          <w:szCs w:val="21"/>
          <w:u w:val="single"/>
        </w:rPr>
        <w:t></w:t>
      </w:r>
      <w:r>
        <w:rPr>
          <w:rFonts w:hint="eastAsia" w:ascii="微软雅黑" w:hAnsi="微软雅黑" w:eastAsia="微软雅黑" w:cs="宋体"/>
          <w:bCs/>
          <w:kern w:val="0"/>
          <w:szCs w:val="21"/>
          <w:u w:val="single"/>
        </w:rPr>
        <w:t>按通用合同条款执行</w:t>
      </w:r>
      <w:r>
        <w:rPr>
          <w:rFonts w:hint="eastAsia" w:ascii="微软雅黑" w:hAnsi="微软雅黑" w:eastAsia="微软雅黑" w:cs="宋体"/>
          <w:szCs w:val="21"/>
          <w:u w:val="single"/>
        </w:rPr>
        <w:t></w:t>
      </w:r>
      <w:r>
        <w:rPr>
          <w:rFonts w:hint="eastAsia" w:ascii="微软雅黑" w:hAnsi="微软雅黑" w:eastAsia="微软雅黑" w:cs="宋体"/>
          <w:szCs w:val="21"/>
        </w:rPr>
        <w:t>。</w:t>
      </w:r>
    </w:p>
    <w:p w14:paraId="458D4571">
      <w:pPr>
        <w:spacing w:after="120" w:line="360" w:lineRule="auto"/>
        <w:ind w:firstLine="420" w:firstLineChars="200"/>
        <w:outlineLvl w:val="0"/>
        <w:rPr>
          <w:rFonts w:ascii="微软雅黑" w:hAnsi="微软雅黑" w:eastAsia="微软雅黑" w:cs="宋体"/>
          <w:szCs w:val="21"/>
        </w:rPr>
      </w:pPr>
      <w:bookmarkStart w:id="223" w:name="_Toc11015"/>
      <w:bookmarkStart w:id="224" w:name="_Toc18851"/>
      <w:bookmarkStart w:id="225" w:name="_Toc31988"/>
      <w:bookmarkStart w:id="226" w:name="_Toc1057"/>
      <w:bookmarkStart w:id="227" w:name="_Toc16141"/>
      <w:bookmarkStart w:id="228" w:name="_Toc9582"/>
      <w:bookmarkStart w:id="229" w:name="_Toc12700"/>
      <w:r>
        <w:rPr>
          <w:rFonts w:hint="eastAsia" w:ascii="微软雅黑" w:hAnsi="微软雅黑" w:eastAsia="微软雅黑" w:cs="宋体"/>
          <w:szCs w:val="21"/>
        </w:rPr>
        <w:t>1.7 联络</w:t>
      </w:r>
      <w:bookmarkEnd w:id="223"/>
      <w:bookmarkEnd w:id="224"/>
      <w:bookmarkEnd w:id="225"/>
      <w:bookmarkEnd w:id="226"/>
      <w:bookmarkEnd w:id="227"/>
      <w:bookmarkEnd w:id="228"/>
      <w:bookmarkEnd w:id="229"/>
    </w:p>
    <w:p w14:paraId="5FDBD179">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1.7.1发包人和承包人应当在</w:t>
      </w:r>
      <w:r>
        <w:rPr>
          <w:rFonts w:hint="eastAsia" w:ascii="微软雅黑" w:hAnsi="微软雅黑" w:eastAsia="微软雅黑" w:cs="宋体"/>
          <w:szCs w:val="21"/>
          <w:u w:val="single"/>
        </w:rPr>
        <w:t xml:space="preserve">7    </w:t>
      </w:r>
      <w:r>
        <w:rPr>
          <w:rFonts w:hint="eastAsia" w:ascii="微软雅黑" w:hAnsi="微软雅黑" w:eastAsia="微软雅黑" w:cs="宋体"/>
          <w:kern w:val="0"/>
          <w:szCs w:val="21"/>
        </w:rPr>
        <w:t>天内将与合同有关的通知、批准、证明、证书、指示、指令、要求、请求、同意、意见、确定和决定等书面函件送达对方当事人。</w:t>
      </w:r>
    </w:p>
    <w:p w14:paraId="4A93EFD2">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1.7.2 发包人接收文件的地点：</w:t>
      </w:r>
      <w:r>
        <w:rPr>
          <w:rFonts w:hint="eastAsia" w:ascii="微软雅黑" w:hAnsi="微软雅黑" w:eastAsia="微软雅黑" w:cs="宋体"/>
          <w:szCs w:val="21"/>
          <w:u w:val="single"/>
        </w:rPr>
        <w:t>      </w:t>
      </w:r>
      <w:r>
        <w:rPr>
          <w:rFonts w:hint="eastAsia" w:ascii="微软雅黑" w:hAnsi="微软雅黑" w:eastAsia="微软雅黑" w:cs="宋体"/>
          <w:kern w:val="0"/>
          <w:szCs w:val="21"/>
        </w:rPr>
        <w:t>；</w:t>
      </w:r>
    </w:p>
    <w:p w14:paraId="3CAF5E63">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发包人指定的接收人为：</w:t>
      </w:r>
      <w:r>
        <w:rPr>
          <w:rFonts w:hint="eastAsia" w:ascii="微软雅黑" w:hAnsi="微软雅黑" w:eastAsia="微软雅黑" w:cs="宋体"/>
          <w:szCs w:val="21"/>
          <w:u w:val="single"/>
        </w:rPr>
        <w:t>               </w:t>
      </w:r>
      <w:r>
        <w:rPr>
          <w:rFonts w:hint="eastAsia" w:ascii="微软雅黑" w:hAnsi="微软雅黑" w:eastAsia="微软雅黑" w:cs="宋体"/>
          <w:kern w:val="0"/>
          <w:szCs w:val="21"/>
        </w:rPr>
        <w:t>。</w:t>
      </w:r>
    </w:p>
    <w:p w14:paraId="3ED44FAB">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承包人接收文件的地点：</w:t>
      </w:r>
      <w:r>
        <w:rPr>
          <w:rFonts w:hint="eastAsia" w:ascii="微软雅黑" w:hAnsi="微软雅黑" w:eastAsia="微软雅黑" w:cs="宋体"/>
          <w:szCs w:val="21"/>
          <w:u w:val="single"/>
        </w:rPr>
        <w:t>             </w:t>
      </w:r>
      <w:r>
        <w:rPr>
          <w:rFonts w:hint="eastAsia" w:ascii="微软雅黑" w:hAnsi="微软雅黑" w:eastAsia="微软雅黑" w:cs="宋体"/>
          <w:kern w:val="0"/>
          <w:szCs w:val="21"/>
        </w:rPr>
        <w:t>；</w:t>
      </w:r>
    </w:p>
    <w:p w14:paraId="00B87B27">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承包人指定的接收人为：</w:t>
      </w:r>
      <w:r>
        <w:rPr>
          <w:rFonts w:hint="eastAsia" w:ascii="微软雅黑" w:hAnsi="微软雅黑" w:eastAsia="微软雅黑" w:cs="宋体"/>
          <w:szCs w:val="21"/>
          <w:u w:val="single"/>
        </w:rPr>
        <w:t>             </w:t>
      </w:r>
      <w:r>
        <w:rPr>
          <w:rFonts w:hint="eastAsia" w:ascii="微软雅黑" w:hAnsi="微软雅黑" w:eastAsia="微软雅黑" w:cs="宋体"/>
          <w:kern w:val="0"/>
          <w:szCs w:val="21"/>
        </w:rPr>
        <w:t>。</w:t>
      </w:r>
    </w:p>
    <w:p w14:paraId="4EA5DD04">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监理人接收文件的地点：</w:t>
      </w:r>
      <w:r>
        <w:rPr>
          <w:rFonts w:hint="eastAsia" w:ascii="微软雅黑" w:hAnsi="微软雅黑" w:eastAsia="微软雅黑" w:cs="宋体"/>
          <w:szCs w:val="21"/>
          <w:u w:val="single"/>
        </w:rPr>
        <w:t>            </w:t>
      </w:r>
      <w:r>
        <w:rPr>
          <w:rFonts w:hint="eastAsia" w:ascii="微软雅黑" w:hAnsi="微软雅黑" w:eastAsia="微软雅黑" w:cs="宋体"/>
          <w:kern w:val="0"/>
          <w:szCs w:val="21"/>
        </w:rPr>
        <w:t>；</w:t>
      </w:r>
    </w:p>
    <w:p w14:paraId="62E8C9F4">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监理人指定的接收人为：</w:t>
      </w:r>
      <w:r>
        <w:rPr>
          <w:rFonts w:hint="eastAsia" w:ascii="微软雅黑" w:hAnsi="微软雅黑" w:eastAsia="微软雅黑" w:cs="宋体"/>
          <w:szCs w:val="21"/>
          <w:u w:val="single"/>
        </w:rPr>
        <w:t>            </w:t>
      </w:r>
      <w:r>
        <w:rPr>
          <w:rFonts w:hint="eastAsia" w:ascii="微软雅黑" w:hAnsi="微软雅黑" w:eastAsia="微软雅黑" w:cs="宋体"/>
          <w:kern w:val="0"/>
          <w:szCs w:val="21"/>
        </w:rPr>
        <w:t>。</w:t>
      </w:r>
    </w:p>
    <w:p w14:paraId="74DBE090">
      <w:pPr>
        <w:spacing w:after="120" w:line="360" w:lineRule="auto"/>
        <w:ind w:firstLine="420" w:firstLineChars="200"/>
        <w:outlineLvl w:val="0"/>
        <w:rPr>
          <w:rFonts w:ascii="微软雅黑" w:hAnsi="微软雅黑" w:eastAsia="微软雅黑" w:cs="宋体"/>
          <w:szCs w:val="21"/>
        </w:rPr>
      </w:pPr>
      <w:bookmarkStart w:id="230" w:name="_Toc28886"/>
      <w:bookmarkStart w:id="231" w:name="_Toc3816"/>
      <w:bookmarkStart w:id="232" w:name="_Toc26717"/>
      <w:bookmarkStart w:id="233" w:name="_Toc17175"/>
      <w:bookmarkStart w:id="234" w:name="_Toc7182"/>
      <w:bookmarkStart w:id="235" w:name="_Toc27195"/>
      <w:bookmarkStart w:id="236" w:name="_Toc1460"/>
      <w:r>
        <w:rPr>
          <w:rFonts w:hint="eastAsia" w:ascii="微软雅黑" w:hAnsi="微软雅黑" w:eastAsia="微软雅黑" w:cs="宋体"/>
          <w:szCs w:val="21"/>
        </w:rPr>
        <w:t>1.10 交通运输</w:t>
      </w:r>
      <w:bookmarkEnd w:id="230"/>
      <w:bookmarkEnd w:id="231"/>
      <w:bookmarkEnd w:id="232"/>
      <w:bookmarkEnd w:id="233"/>
      <w:bookmarkEnd w:id="234"/>
      <w:bookmarkEnd w:id="235"/>
      <w:bookmarkEnd w:id="236"/>
    </w:p>
    <w:p w14:paraId="13B6C38B">
      <w:pPr>
        <w:spacing w:line="360" w:lineRule="auto"/>
        <w:ind w:firstLine="420" w:firstLineChars="200"/>
        <w:outlineLvl w:val="0"/>
        <w:rPr>
          <w:rFonts w:ascii="微软雅黑" w:hAnsi="微软雅黑" w:eastAsia="微软雅黑" w:cs="宋体"/>
          <w:szCs w:val="21"/>
        </w:rPr>
      </w:pPr>
      <w:bookmarkStart w:id="237" w:name="_Toc27365"/>
      <w:bookmarkStart w:id="238" w:name="_Toc5544"/>
      <w:bookmarkStart w:id="239" w:name="_Toc26826"/>
      <w:bookmarkStart w:id="240" w:name="_Toc16134"/>
      <w:bookmarkStart w:id="241" w:name="_Toc7171"/>
      <w:bookmarkStart w:id="242" w:name="_Toc8878"/>
      <w:bookmarkStart w:id="243" w:name="_Toc29877"/>
      <w:r>
        <w:rPr>
          <w:rFonts w:hint="eastAsia" w:ascii="微软雅黑" w:hAnsi="微软雅黑" w:eastAsia="微软雅黑" w:cs="宋体"/>
          <w:szCs w:val="21"/>
        </w:rPr>
        <w:t>1</w:t>
      </w:r>
      <w:bookmarkStart w:id="244" w:name="_Toc312677986"/>
      <w:bookmarkStart w:id="245" w:name="_Toc303539100"/>
      <w:bookmarkStart w:id="246" w:name="_Toc304295521"/>
      <w:bookmarkStart w:id="247" w:name="_Toc318581155"/>
      <w:bookmarkStart w:id="248" w:name="_Toc300934943"/>
      <w:r>
        <w:rPr>
          <w:rFonts w:hint="eastAsia" w:ascii="微软雅黑" w:hAnsi="微软雅黑" w:eastAsia="微软雅黑" w:cs="宋体"/>
          <w:szCs w:val="21"/>
        </w:rPr>
        <w:t>.10.1 出入现场的权利</w:t>
      </w:r>
      <w:bookmarkEnd w:id="237"/>
      <w:bookmarkEnd w:id="238"/>
      <w:bookmarkEnd w:id="239"/>
      <w:bookmarkEnd w:id="240"/>
      <w:bookmarkEnd w:id="241"/>
      <w:bookmarkEnd w:id="242"/>
      <w:bookmarkEnd w:id="243"/>
    </w:p>
    <w:p w14:paraId="2A6B17A8">
      <w:pPr>
        <w:spacing w:line="360" w:lineRule="auto"/>
        <w:rPr>
          <w:rFonts w:ascii="微软雅黑" w:hAnsi="微软雅黑" w:eastAsia="微软雅黑" w:cs="宋体"/>
          <w:szCs w:val="21"/>
        </w:rPr>
      </w:pPr>
      <w:r>
        <w:rPr>
          <w:rFonts w:hint="eastAsia" w:ascii="微软雅黑" w:hAnsi="微软雅黑" w:eastAsia="微软雅黑" w:cs="宋体"/>
          <w:szCs w:val="21"/>
        </w:rPr>
        <w:t>关于出入现场的权利的约定：</w:t>
      </w:r>
      <w:r>
        <w:rPr>
          <w:rFonts w:hint="eastAsia" w:ascii="微软雅黑" w:hAnsi="微软雅黑" w:eastAsia="微软雅黑" w:cs="宋体"/>
          <w:bCs/>
          <w:kern w:val="0"/>
          <w:szCs w:val="21"/>
          <w:u w:val="single"/>
        </w:rPr>
        <w:t>由承包人按发包人要求负责取得出入施工现场所需的批准手续和全部权利；承包人应在投标前自行踏勘现场，对进出施工现场的方式、手段、路线作出预估，并在报价时充分考虑完善进出现场条件所需的费用及对工期的影响，否则因此增加的费用和延误工期的责任由承包人承担。</w:t>
      </w:r>
    </w:p>
    <w:bookmarkEnd w:id="244"/>
    <w:bookmarkEnd w:id="245"/>
    <w:bookmarkEnd w:id="246"/>
    <w:bookmarkEnd w:id="247"/>
    <w:bookmarkEnd w:id="248"/>
    <w:p w14:paraId="1A87DF27">
      <w:pPr>
        <w:spacing w:line="360" w:lineRule="auto"/>
        <w:ind w:firstLine="420" w:firstLineChars="200"/>
        <w:jc w:val="left"/>
        <w:outlineLvl w:val="0"/>
        <w:rPr>
          <w:rFonts w:ascii="微软雅黑" w:hAnsi="微软雅黑" w:eastAsia="微软雅黑" w:cs="宋体"/>
          <w:szCs w:val="21"/>
        </w:rPr>
      </w:pPr>
      <w:bookmarkStart w:id="249" w:name="_Toc1058"/>
      <w:bookmarkStart w:id="250" w:name="_Toc12637"/>
      <w:bookmarkStart w:id="251" w:name="_Toc8483"/>
      <w:bookmarkStart w:id="252" w:name="_Toc28643"/>
      <w:bookmarkStart w:id="253" w:name="_Toc31186"/>
      <w:bookmarkStart w:id="254" w:name="_Toc22540"/>
      <w:bookmarkStart w:id="255" w:name="_Toc19629"/>
      <w:r>
        <w:rPr>
          <w:rFonts w:hint="eastAsia" w:ascii="微软雅黑" w:hAnsi="微软雅黑" w:eastAsia="微软雅黑" w:cs="宋体"/>
          <w:szCs w:val="21"/>
        </w:rPr>
        <w:t>1</w:t>
      </w:r>
      <w:bookmarkStart w:id="256" w:name="_Toc304295522"/>
      <w:bookmarkStart w:id="257" w:name="_Toc318581156"/>
      <w:bookmarkStart w:id="258" w:name="_Toc300934944"/>
      <w:bookmarkStart w:id="259" w:name="_Toc303539101"/>
      <w:bookmarkStart w:id="260" w:name="_Toc312677987"/>
      <w:r>
        <w:rPr>
          <w:rFonts w:hint="eastAsia" w:ascii="微软雅黑" w:hAnsi="微软雅黑" w:eastAsia="微软雅黑" w:cs="宋体"/>
          <w:szCs w:val="21"/>
        </w:rPr>
        <w:t>.10.3 场内交通</w:t>
      </w:r>
      <w:bookmarkEnd w:id="249"/>
      <w:bookmarkEnd w:id="250"/>
      <w:bookmarkEnd w:id="251"/>
      <w:bookmarkEnd w:id="252"/>
      <w:bookmarkEnd w:id="253"/>
      <w:bookmarkEnd w:id="254"/>
      <w:bookmarkEnd w:id="255"/>
    </w:p>
    <w:p w14:paraId="20A94292">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关于场外交通和场内交通的边界的约定：</w:t>
      </w:r>
      <w:r>
        <w:rPr>
          <w:rFonts w:hint="eastAsia" w:ascii="微软雅黑" w:hAnsi="微软雅黑" w:eastAsia="微软雅黑" w:cs="宋体"/>
          <w:bCs/>
          <w:kern w:val="0"/>
          <w:szCs w:val="21"/>
          <w:u w:val="single"/>
        </w:rPr>
        <w:t>按通用条款执行</w:t>
      </w:r>
      <w:r>
        <w:rPr>
          <w:rFonts w:hint="eastAsia" w:ascii="微软雅黑" w:hAnsi="微软雅黑" w:eastAsia="微软雅黑" w:cs="宋体"/>
          <w:szCs w:val="21"/>
        </w:rPr>
        <w:t>。</w:t>
      </w:r>
    </w:p>
    <w:p w14:paraId="3F04379C">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关于发包人向承包人免费提供满足工程施工需要的场内道路和交通设施的约定：</w:t>
      </w:r>
      <w:r>
        <w:rPr>
          <w:rFonts w:hint="eastAsia" w:ascii="微软雅黑" w:hAnsi="微软雅黑" w:eastAsia="微软雅黑" w:cs="宋体"/>
          <w:bCs/>
          <w:kern w:val="0"/>
          <w:szCs w:val="21"/>
          <w:u w:val="single"/>
        </w:rPr>
        <w:t>由承包人自行承担，费用已包含在投标报价内。</w:t>
      </w:r>
      <w:bookmarkEnd w:id="256"/>
      <w:bookmarkEnd w:id="257"/>
      <w:bookmarkEnd w:id="258"/>
      <w:bookmarkEnd w:id="259"/>
      <w:bookmarkEnd w:id="260"/>
      <w:bookmarkStart w:id="261" w:name="_Toc318581157"/>
    </w:p>
    <w:p w14:paraId="7DDA20F8">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1.10.4超大件和超重件的运输</w:t>
      </w:r>
    </w:p>
    <w:p w14:paraId="51D413F0">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运输超大件或超重件所需的道路和桥梁临时加固改造费用和其他有关费用由</w:t>
      </w:r>
      <w:r>
        <w:rPr>
          <w:rFonts w:hint="eastAsia" w:ascii="微软雅黑" w:hAnsi="微软雅黑" w:eastAsia="微软雅黑" w:cs="宋体"/>
          <w:szCs w:val="21"/>
          <w:u w:val="single"/>
        </w:rPr>
        <w:t xml:space="preserve"> 承包人 </w:t>
      </w:r>
      <w:r>
        <w:rPr>
          <w:rFonts w:hint="eastAsia" w:ascii="微软雅黑" w:hAnsi="微软雅黑" w:eastAsia="微软雅黑" w:cs="宋体"/>
          <w:szCs w:val="21"/>
        </w:rPr>
        <w:t>承担。</w:t>
      </w:r>
    </w:p>
    <w:bookmarkEnd w:id="261"/>
    <w:p w14:paraId="7FDD4C70">
      <w:pPr>
        <w:spacing w:after="120" w:line="360" w:lineRule="auto"/>
        <w:ind w:firstLine="420" w:firstLineChars="200"/>
        <w:outlineLvl w:val="0"/>
        <w:rPr>
          <w:rFonts w:ascii="微软雅黑" w:hAnsi="微软雅黑" w:eastAsia="微软雅黑" w:cs="宋体"/>
          <w:szCs w:val="21"/>
        </w:rPr>
      </w:pPr>
      <w:bookmarkStart w:id="262" w:name="_Toc4414"/>
      <w:bookmarkStart w:id="263" w:name="_Toc29643"/>
      <w:bookmarkStart w:id="264" w:name="_Toc6142"/>
      <w:bookmarkStart w:id="265" w:name="_Toc6828"/>
      <w:bookmarkStart w:id="266" w:name="_Toc23597"/>
      <w:bookmarkStart w:id="267" w:name="_Toc18475"/>
      <w:bookmarkStart w:id="268" w:name="_Toc25410"/>
      <w:r>
        <w:rPr>
          <w:rFonts w:hint="eastAsia" w:ascii="微软雅黑" w:hAnsi="微软雅黑" w:eastAsia="微软雅黑" w:cs="宋体"/>
          <w:szCs w:val="21"/>
        </w:rPr>
        <w:t>1.11 知识产权</w:t>
      </w:r>
      <w:bookmarkEnd w:id="262"/>
      <w:bookmarkEnd w:id="263"/>
      <w:bookmarkEnd w:id="264"/>
      <w:bookmarkEnd w:id="265"/>
      <w:bookmarkEnd w:id="266"/>
      <w:bookmarkEnd w:id="267"/>
      <w:bookmarkEnd w:id="268"/>
    </w:p>
    <w:p w14:paraId="3E81F005">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1.11.1关于发包人提供给承包人的图纸、发包人为实施工程自行编制或委托编制的技术规范以及反映发包人关于合同要求或其他类似性质的文件的著作权的归属：</w:t>
      </w:r>
      <w:r>
        <w:rPr>
          <w:rFonts w:hint="eastAsia" w:ascii="微软雅黑" w:hAnsi="微软雅黑" w:eastAsia="微软雅黑" w:cs="宋体"/>
          <w:szCs w:val="21"/>
          <w:u w:val="single"/>
        </w:rPr>
        <w:t></w:t>
      </w:r>
      <w:r>
        <w:rPr>
          <w:rFonts w:hint="eastAsia" w:ascii="微软雅黑" w:hAnsi="微软雅黑" w:eastAsia="微软雅黑" w:cs="宋体"/>
          <w:bCs/>
          <w:kern w:val="0"/>
          <w:szCs w:val="21"/>
          <w:u w:val="single"/>
        </w:rPr>
        <w:t>按通用条款执行</w:t>
      </w:r>
      <w:r>
        <w:rPr>
          <w:rFonts w:hint="eastAsia" w:ascii="微软雅黑" w:hAnsi="微软雅黑" w:eastAsia="微软雅黑" w:cs="宋体"/>
          <w:szCs w:val="21"/>
        </w:rPr>
        <w:t>。</w:t>
      </w:r>
    </w:p>
    <w:p w14:paraId="53C70985">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关于发包人提供的上述文件的使用限制的要求：</w:t>
      </w:r>
      <w:r>
        <w:rPr>
          <w:rFonts w:hint="eastAsia" w:ascii="微软雅黑" w:hAnsi="微软雅黑" w:eastAsia="微软雅黑" w:cs="宋体"/>
          <w:bCs/>
          <w:kern w:val="0"/>
          <w:szCs w:val="21"/>
          <w:u w:val="single"/>
        </w:rPr>
        <w:t>按通用条款执行</w:t>
      </w:r>
      <w:r>
        <w:rPr>
          <w:rFonts w:hint="eastAsia" w:ascii="微软雅黑" w:hAnsi="微软雅黑" w:eastAsia="微软雅黑" w:cs="宋体"/>
          <w:szCs w:val="21"/>
        </w:rPr>
        <w:t>。</w:t>
      </w:r>
    </w:p>
    <w:p w14:paraId="1FBB4241">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1.11.2 关于承包人为实施工程所编制文件的著作权的归属：</w:t>
      </w:r>
      <w:r>
        <w:rPr>
          <w:rFonts w:hint="eastAsia" w:ascii="微软雅黑" w:hAnsi="微软雅黑" w:eastAsia="微软雅黑" w:cs="宋体"/>
          <w:bCs/>
          <w:kern w:val="0"/>
          <w:szCs w:val="21"/>
          <w:u w:val="single"/>
        </w:rPr>
        <w:t>按通用条款执行</w:t>
      </w:r>
      <w:r>
        <w:rPr>
          <w:rFonts w:hint="eastAsia" w:ascii="微软雅黑" w:hAnsi="微软雅黑" w:eastAsia="微软雅黑" w:cs="宋体"/>
          <w:szCs w:val="21"/>
        </w:rPr>
        <w:t>。</w:t>
      </w:r>
    </w:p>
    <w:p w14:paraId="01172849">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关于承包人提供的上述文件的使用限制的要求：</w:t>
      </w:r>
      <w:r>
        <w:rPr>
          <w:rFonts w:hint="eastAsia" w:ascii="微软雅黑" w:hAnsi="微软雅黑" w:eastAsia="微软雅黑" w:cs="宋体"/>
          <w:bCs/>
          <w:kern w:val="0"/>
          <w:szCs w:val="21"/>
          <w:u w:val="single"/>
        </w:rPr>
        <w:t>按通用条款执行</w:t>
      </w:r>
      <w:r>
        <w:rPr>
          <w:rFonts w:hint="eastAsia" w:ascii="微软雅黑" w:hAnsi="微软雅黑" w:eastAsia="微软雅黑" w:cs="宋体"/>
          <w:szCs w:val="21"/>
        </w:rPr>
        <w:t>。</w:t>
      </w:r>
    </w:p>
    <w:p w14:paraId="5FFD7F07">
      <w:pPr>
        <w:spacing w:line="360" w:lineRule="auto"/>
        <w:ind w:firstLine="420" w:firstLineChars="200"/>
        <w:outlineLvl w:val="0"/>
        <w:rPr>
          <w:rFonts w:ascii="微软雅黑" w:hAnsi="微软雅黑" w:eastAsia="微软雅黑" w:cs="宋体"/>
          <w:kern w:val="0"/>
          <w:szCs w:val="21"/>
        </w:rPr>
      </w:pPr>
      <w:bookmarkStart w:id="269" w:name="_Toc30238"/>
      <w:bookmarkStart w:id="270" w:name="_Toc16358"/>
      <w:bookmarkStart w:id="271" w:name="_Toc20402"/>
      <w:bookmarkStart w:id="272" w:name="_Toc4300"/>
      <w:bookmarkStart w:id="273" w:name="_Toc6617"/>
      <w:bookmarkStart w:id="274" w:name="_Toc4766"/>
      <w:bookmarkStart w:id="275" w:name="_Toc19945"/>
      <w:r>
        <w:rPr>
          <w:rFonts w:hint="eastAsia" w:ascii="微软雅黑" w:hAnsi="微软雅黑" w:eastAsia="微软雅黑" w:cs="宋体"/>
          <w:szCs w:val="21"/>
        </w:rPr>
        <w:t>1.11.4 承包人在施工过程中所采用的专利、专有技术、技术秘密的使用费的承担方式：</w:t>
      </w:r>
      <w:r>
        <w:rPr>
          <w:rFonts w:hint="eastAsia" w:ascii="微软雅黑" w:hAnsi="微软雅黑" w:eastAsia="微软雅黑" w:cs="宋体"/>
          <w:bCs/>
          <w:kern w:val="0"/>
          <w:szCs w:val="21"/>
          <w:u w:val="single"/>
        </w:rPr>
        <w:t>按通用条款执行</w:t>
      </w:r>
      <w:r>
        <w:rPr>
          <w:rFonts w:hint="eastAsia" w:ascii="微软雅黑" w:hAnsi="微软雅黑" w:eastAsia="微软雅黑" w:cs="宋体"/>
          <w:kern w:val="0"/>
          <w:szCs w:val="21"/>
        </w:rPr>
        <w:t>。</w:t>
      </w:r>
      <w:bookmarkEnd w:id="269"/>
      <w:bookmarkEnd w:id="270"/>
      <w:bookmarkEnd w:id="271"/>
      <w:bookmarkEnd w:id="272"/>
      <w:bookmarkEnd w:id="273"/>
      <w:bookmarkEnd w:id="274"/>
      <w:bookmarkEnd w:id="275"/>
    </w:p>
    <w:p w14:paraId="69A3A0E6">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1.13工程量清单错误的修正</w:t>
      </w:r>
    </w:p>
    <w:p w14:paraId="494E36B2">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出现工程量清单错误时，是否调整合同价格：</w:t>
      </w:r>
      <w:r>
        <w:rPr>
          <w:rFonts w:hint="eastAsia" w:ascii="微软雅黑" w:hAnsi="微软雅黑" w:eastAsia="微软雅黑" w:cs="宋体"/>
          <w:szCs w:val="21"/>
          <w:u w:val="single"/>
        </w:rPr>
        <w:t xml:space="preserve"> 不调整  </w:t>
      </w:r>
      <w:r>
        <w:rPr>
          <w:rFonts w:hint="eastAsia" w:ascii="微软雅黑" w:hAnsi="微软雅黑" w:eastAsia="微软雅黑" w:cs="宋体"/>
          <w:kern w:val="0"/>
          <w:szCs w:val="21"/>
        </w:rPr>
        <w:t>。</w:t>
      </w:r>
    </w:p>
    <w:p w14:paraId="43D9CE28">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允许调整合同价格的工程量偏差范围：</w:t>
      </w:r>
      <w:r>
        <w:rPr>
          <w:rFonts w:hint="eastAsia" w:ascii="微软雅黑" w:hAnsi="微软雅黑" w:eastAsia="微软雅黑" w:cs="宋体"/>
          <w:szCs w:val="21"/>
          <w:u w:val="single"/>
        </w:rPr>
        <w:t xml:space="preserve">不调整  </w:t>
      </w:r>
      <w:r>
        <w:rPr>
          <w:rFonts w:hint="eastAsia" w:ascii="微软雅黑" w:hAnsi="微软雅黑" w:eastAsia="微软雅黑" w:cs="宋体"/>
          <w:kern w:val="0"/>
          <w:szCs w:val="21"/>
        </w:rPr>
        <w:t>。</w:t>
      </w:r>
    </w:p>
    <w:p w14:paraId="68AF7517">
      <w:pPr>
        <w:widowControl/>
        <w:spacing w:before="120" w:beforeAutospacing="1" w:after="120" w:afterAutospacing="1" w:line="360" w:lineRule="auto"/>
        <w:jc w:val="left"/>
        <w:outlineLvl w:val="3"/>
        <w:rPr>
          <w:rFonts w:ascii="微软雅黑" w:hAnsi="微软雅黑" w:eastAsia="微软雅黑" w:cs="宋体"/>
          <w:bCs/>
          <w:szCs w:val="21"/>
        </w:rPr>
      </w:pPr>
      <w:bookmarkStart w:id="276" w:name="_Toc25005"/>
      <w:bookmarkStart w:id="277" w:name="_Toc14732"/>
      <w:bookmarkStart w:id="278" w:name="_Toc12060"/>
      <w:bookmarkStart w:id="279" w:name="_Toc22337"/>
      <w:bookmarkStart w:id="280" w:name="_Toc351203634"/>
      <w:bookmarkStart w:id="281" w:name="_Toc13297"/>
      <w:r>
        <w:rPr>
          <w:rFonts w:hint="eastAsia" w:ascii="微软雅黑" w:hAnsi="微软雅黑" w:eastAsia="微软雅黑" w:cs="宋体"/>
          <w:bCs/>
          <w:szCs w:val="21"/>
        </w:rPr>
        <w:t>2</w:t>
      </w:r>
      <w:bookmarkStart w:id="282" w:name="_Toc296503157"/>
      <w:bookmarkStart w:id="283" w:name="_Toc296890985"/>
      <w:bookmarkStart w:id="284" w:name="_Toc296346658"/>
      <w:bookmarkStart w:id="285" w:name="_Toc296944496"/>
      <w:bookmarkStart w:id="286" w:name="_Toc292559362"/>
      <w:bookmarkStart w:id="287" w:name="_Toc297048343"/>
      <w:bookmarkStart w:id="288" w:name="_Toc296347156"/>
      <w:bookmarkStart w:id="289" w:name="_Toc296891197"/>
      <w:bookmarkStart w:id="290" w:name="_Toc292559867"/>
      <w:bookmarkStart w:id="291" w:name="_Toc297120457"/>
      <w:r>
        <w:rPr>
          <w:rFonts w:hint="eastAsia" w:ascii="微软雅黑" w:hAnsi="微软雅黑" w:eastAsia="微软雅黑" w:cs="宋体"/>
          <w:bCs/>
          <w:szCs w:val="21"/>
        </w:rPr>
        <w:t>. 发包人</w:t>
      </w:r>
      <w:bookmarkEnd w:id="276"/>
      <w:bookmarkEnd w:id="277"/>
      <w:bookmarkEnd w:id="278"/>
      <w:bookmarkEnd w:id="279"/>
      <w:bookmarkEnd w:id="280"/>
      <w:bookmarkEnd w:id="281"/>
    </w:p>
    <w:bookmarkEnd w:id="282"/>
    <w:bookmarkEnd w:id="283"/>
    <w:bookmarkEnd w:id="284"/>
    <w:bookmarkEnd w:id="285"/>
    <w:bookmarkEnd w:id="286"/>
    <w:bookmarkEnd w:id="287"/>
    <w:bookmarkEnd w:id="288"/>
    <w:bookmarkEnd w:id="289"/>
    <w:bookmarkEnd w:id="290"/>
    <w:bookmarkEnd w:id="291"/>
    <w:p w14:paraId="78ABC522">
      <w:pPr>
        <w:spacing w:after="120" w:line="360" w:lineRule="auto"/>
        <w:ind w:firstLine="420" w:firstLineChars="200"/>
        <w:outlineLvl w:val="0"/>
        <w:rPr>
          <w:rFonts w:ascii="微软雅黑" w:hAnsi="微软雅黑" w:eastAsia="微软雅黑" w:cs="宋体"/>
          <w:szCs w:val="21"/>
        </w:rPr>
      </w:pPr>
      <w:bookmarkStart w:id="292" w:name="_Toc28887"/>
      <w:bookmarkStart w:id="293" w:name="_Toc3665"/>
      <w:bookmarkStart w:id="294" w:name="_Toc20785"/>
      <w:bookmarkStart w:id="295" w:name="_Toc1957"/>
      <w:bookmarkStart w:id="296" w:name="_Toc19180"/>
      <w:bookmarkStart w:id="297" w:name="_Toc14960"/>
      <w:bookmarkStart w:id="298" w:name="_Toc29295"/>
      <w:r>
        <w:rPr>
          <w:rFonts w:hint="eastAsia" w:ascii="微软雅黑" w:hAnsi="微软雅黑" w:eastAsia="微软雅黑" w:cs="宋体"/>
          <w:szCs w:val="21"/>
        </w:rPr>
        <w:t>2.2 发包人代表</w:t>
      </w:r>
      <w:bookmarkEnd w:id="292"/>
      <w:bookmarkEnd w:id="293"/>
      <w:bookmarkEnd w:id="294"/>
      <w:bookmarkEnd w:id="295"/>
      <w:bookmarkEnd w:id="296"/>
      <w:bookmarkEnd w:id="297"/>
      <w:bookmarkEnd w:id="298"/>
    </w:p>
    <w:p w14:paraId="6BD73A5F">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发包人代表：</w:t>
      </w:r>
    </w:p>
    <w:p w14:paraId="576E4B63">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姓    名：</w:t>
      </w:r>
      <w:r>
        <w:rPr>
          <w:rFonts w:hint="eastAsia" w:ascii="微软雅黑" w:hAnsi="微软雅黑" w:eastAsia="微软雅黑" w:cs="宋体"/>
          <w:szCs w:val="21"/>
          <w:u w:val="single"/>
        </w:rPr>
        <w:t>     </w:t>
      </w:r>
      <w:r>
        <w:rPr>
          <w:rFonts w:hint="eastAsia" w:ascii="微软雅黑" w:hAnsi="微软雅黑" w:eastAsia="微软雅黑" w:cs="宋体"/>
          <w:szCs w:val="21"/>
        </w:rPr>
        <w:t>；</w:t>
      </w:r>
    </w:p>
    <w:p w14:paraId="4333FC97">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身份证号：</w:t>
      </w:r>
      <w:r>
        <w:rPr>
          <w:rFonts w:hint="eastAsia" w:ascii="微软雅黑" w:hAnsi="微软雅黑" w:eastAsia="微软雅黑" w:cs="宋体"/>
          <w:szCs w:val="21"/>
          <w:u w:val="single"/>
        </w:rPr>
        <w:t>      </w:t>
      </w:r>
      <w:r>
        <w:rPr>
          <w:rFonts w:hint="eastAsia" w:ascii="微软雅黑" w:hAnsi="微软雅黑" w:eastAsia="微软雅黑" w:cs="宋体"/>
          <w:szCs w:val="21"/>
        </w:rPr>
        <w:t>；</w:t>
      </w:r>
    </w:p>
    <w:p w14:paraId="161F8083">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职    务：</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0291AB3E">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联系电话：</w:t>
      </w:r>
      <w:r>
        <w:rPr>
          <w:rFonts w:hint="eastAsia" w:ascii="微软雅黑" w:hAnsi="微软雅黑" w:eastAsia="微软雅黑" w:cs="宋体"/>
          <w:szCs w:val="21"/>
          <w:u w:val="single"/>
        </w:rPr>
        <w:t>     </w:t>
      </w:r>
      <w:r>
        <w:rPr>
          <w:rFonts w:hint="eastAsia" w:ascii="微软雅黑" w:hAnsi="微软雅黑" w:eastAsia="微软雅黑" w:cs="宋体"/>
          <w:szCs w:val="21"/>
        </w:rPr>
        <w:t>；</w:t>
      </w:r>
    </w:p>
    <w:p w14:paraId="54A07A31">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电子信箱：</w:t>
      </w:r>
      <w:r>
        <w:rPr>
          <w:rFonts w:hint="eastAsia" w:ascii="微软雅黑" w:hAnsi="微软雅黑" w:eastAsia="微软雅黑" w:cs="宋体"/>
          <w:szCs w:val="21"/>
          <w:u w:val="single"/>
        </w:rPr>
        <w:t>     </w:t>
      </w:r>
      <w:r>
        <w:rPr>
          <w:rFonts w:hint="eastAsia" w:ascii="微软雅黑" w:hAnsi="微软雅黑" w:eastAsia="微软雅黑" w:cs="宋体"/>
          <w:szCs w:val="21"/>
        </w:rPr>
        <w:t>；</w:t>
      </w:r>
    </w:p>
    <w:p w14:paraId="4A0CDAA3">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通信地址：</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442BD669">
      <w:pPr>
        <w:spacing w:line="360" w:lineRule="auto"/>
        <w:ind w:firstLine="420" w:firstLineChars="200"/>
        <w:rPr>
          <w:rFonts w:ascii="微软雅黑" w:hAnsi="微软雅黑" w:eastAsia="微软雅黑" w:cs="宋体"/>
          <w:b/>
          <w:szCs w:val="21"/>
        </w:rPr>
      </w:pPr>
      <w:r>
        <w:rPr>
          <w:rFonts w:hint="eastAsia" w:ascii="微软雅黑" w:hAnsi="微软雅黑" w:eastAsia="微软雅黑" w:cs="宋体"/>
          <w:szCs w:val="21"/>
        </w:rPr>
        <w:t>发包人对发包人代表的授权范围如下：</w:t>
      </w:r>
      <w:r>
        <w:rPr>
          <w:rFonts w:hint="eastAsia" w:ascii="微软雅黑" w:hAnsi="微软雅黑" w:eastAsia="微软雅黑" w:cs="宋体"/>
          <w:szCs w:val="21"/>
          <w:u w:val="single"/>
        </w:rPr>
        <w:t xml:space="preserve">代表发包人协调、管理施工现场的质量、进度、安全 </w:t>
      </w:r>
      <w:r>
        <w:rPr>
          <w:rFonts w:hint="eastAsia" w:ascii="微软雅黑" w:hAnsi="微软雅黑" w:eastAsia="微软雅黑" w:cs="宋体"/>
          <w:szCs w:val="21"/>
        </w:rPr>
        <w:t>。</w:t>
      </w:r>
    </w:p>
    <w:p w14:paraId="7643CB6C">
      <w:pPr>
        <w:spacing w:after="120" w:line="360" w:lineRule="auto"/>
        <w:ind w:firstLine="420" w:firstLineChars="200"/>
        <w:outlineLvl w:val="0"/>
        <w:rPr>
          <w:rFonts w:ascii="微软雅黑" w:hAnsi="微软雅黑" w:eastAsia="微软雅黑" w:cs="宋体"/>
          <w:szCs w:val="21"/>
        </w:rPr>
      </w:pPr>
      <w:bookmarkStart w:id="299" w:name="_Toc22894"/>
      <w:bookmarkStart w:id="300" w:name="_Toc11382"/>
      <w:bookmarkStart w:id="301" w:name="_Toc8992"/>
      <w:bookmarkStart w:id="302" w:name="_Toc11987"/>
      <w:bookmarkStart w:id="303" w:name="_Toc7245"/>
      <w:bookmarkStart w:id="304" w:name="_Toc7415"/>
      <w:bookmarkStart w:id="305" w:name="_Toc5687"/>
      <w:r>
        <w:rPr>
          <w:rFonts w:hint="eastAsia" w:ascii="微软雅黑" w:hAnsi="微软雅黑" w:eastAsia="微软雅黑" w:cs="宋体"/>
          <w:szCs w:val="21"/>
        </w:rPr>
        <w:t>2.4 施工现场、施工条件和基础资料的提供</w:t>
      </w:r>
      <w:bookmarkEnd w:id="299"/>
      <w:bookmarkEnd w:id="300"/>
      <w:bookmarkEnd w:id="301"/>
      <w:bookmarkEnd w:id="302"/>
      <w:bookmarkEnd w:id="303"/>
      <w:bookmarkEnd w:id="304"/>
      <w:bookmarkEnd w:id="305"/>
    </w:p>
    <w:p w14:paraId="04989C41">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2.4.1 提供施工现场</w:t>
      </w:r>
    </w:p>
    <w:p w14:paraId="30A1F950">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关于发包人移交施工现场的期限要求：</w:t>
      </w:r>
      <w:r>
        <w:rPr>
          <w:rFonts w:hint="eastAsia" w:ascii="微软雅黑" w:hAnsi="微软雅黑" w:eastAsia="微软雅黑" w:cs="宋体"/>
          <w:szCs w:val="21"/>
          <w:u w:val="single"/>
        </w:rPr>
        <w:t xml:space="preserve">施工场地由发包人开工7天前提供，临时设施场地由承包人人自行解决，费用纳入投标报价中 </w:t>
      </w:r>
      <w:r>
        <w:rPr>
          <w:rFonts w:hint="eastAsia" w:ascii="微软雅黑" w:hAnsi="微软雅黑" w:eastAsia="微软雅黑" w:cs="宋体"/>
          <w:szCs w:val="21"/>
        </w:rPr>
        <w:t>。</w:t>
      </w:r>
    </w:p>
    <w:p w14:paraId="5CA4B77F">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2.4.2 提供施工条件</w:t>
      </w:r>
    </w:p>
    <w:p w14:paraId="41D0EA3E">
      <w:pPr>
        <w:spacing w:line="360" w:lineRule="auto"/>
        <w:ind w:firstLine="420" w:firstLineChars="200"/>
        <w:rPr>
          <w:rFonts w:ascii="微软雅黑" w:hAnsi="微软雅黑" w:eastAsia="微软雅黑" w:cs="宋体"/>
          <w:szCs w:val="21"/>
          <w:u w:val="single"/>
        </w:rPr>
      </w:pPr>
      <w:r>
        <w:rPr>
          <w:rFonts w:hint="eastAsia" w:ascii="微软雅黑" w:hAnsi="微软雅黑" w:eastAsia="微软雅黑" w:cs="宋体"/>
          <w:szCs w:val="21"/>
        </w:rPr>
        <w:t>关于发包人应负责提供施工所需要的条件，包括：</w:t>
      </w:r>
      <w:r>
        <w:rPr>
          <w:rFonts w:hint="eastAsia" w:ascii="微软雅黑" w:hAnsi="微软雅黑" w:eastAsia="微软雅黑" w:cs="宋体"/>
          <w:szCs w:val="21"/>
          <w:u w:val="single"/>
        </w:rPr>
        <w:t xml:space="preserve"> 已具备 </w:t>
      </w:r>
      <w:r>
        <w:rPr>
          <w:rFonts w:hint="eastAsia" w:ascii="微软雅黑" w:hAnsi="微软雅黑" w:eastAsia="微软雅黑" w:cs="宋体"/>
          <w:szCs w:val="21"/>
        </w:rPr>
        <w:t>。</w:t>
      </w:r>
    </w:p>
    <w:p w14:paraId="5E5299D0">
      <w:pPr>
        <w:spacing w:after="120" w:line="360" w:lineRule="auto"/>
        <w:ind w:firstLine="420" w:firstLineChars="200"/>
        <w:outlineLvl w:val="0"/>
        <w:rPr>
          <w:rFonts w:ascii="微软雅黑" w:hAnsi="微软雅黑" w:eastAsia="微软雅黑" w:cs="宋体"/>
          <w:szCs w:val="21"/>
        </w:rPr>
      </w:pPr>
      <w:bookmarkStart w:id="306" w:name="_Toc6534"/>
      <w:bookmarkStart w:id="307" w:name="_Toc24038"/>
      <w:bookmarkStart w:id="308" w:name="_Toc796"/>
      <w:bookmarkStart w:id="309" w:name="_Toc11633"/>
      <w:bookmarkStart w:id="310" w:name="_Toc933"/>
      <w:bookmarkStart w:id="311" w:name="_Toc8135"/>
      <w:bookmarkStart w:id="312" w:name="_Toc14984"/>
      <w:r>
        <w:rPr>
          <w:rFonts w:hint="eastAsia" w:ascii="微软雅黑" w:hAnsi="微软雅黑" w:eastAsia="微软雅黑" w:cs="宋体"/>
          <w:szCs w:val="21"/>
        </w:rPr>
        <w:t>2.5 资金来源证明及支付担保</w:t>
      </w:r>
      <w:bookmarkEnd w:id="306"/>
      <w:bookmarkEnd w:id="307"/>
      <w:bookmarkEnd w:id="308"/>
      <w:bookmarkEnd w:id="309"/>
      <w:bookmarkEnd w:id="310"/>
      <w:bookmarkEnd w:id="311"/>
      <w:bookmarkEnd w:id="312"/>
    </w:p>
    <w:p w14:paraId="59B153D9">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发包人提供资金来源证明的期限要求：</w:t>
      </w:r>
      <w:r>
        <w:rPr>
          <w:rFonts w:hint="eastAsia" w:ascii="微软雅黑" w:hAnsi="微软雅黑" w:eastAsia="微软雅黑" w:cs="宋体"/>
          <w:szCs w:val="21"/>
          <w:u w:val="single"/>
        </w:rPr>
        <w:t xml:space="preserve">不提供     </w:t>
      </w:r>
      <w:r>
        <w:rPr>
          <w:rFonts w:hint="eastAsia" w:ascii="微软雅黑" w:hAnsi="微软雅黑" w:eastAsia="微软雅黑" w:cs="宋体"/>
          <w:szCs w:val="21"/>
        </w:rPr>
        <w:t>。</w:t>
      </w:r>
    </w:p>
    <w:p w14:paraId="6486BE9B">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发包人是否提供支付担保：</w:t>
      </w:r>
      <w:r>
        <w:rPr>
          <w:rFonts w:hint="eastAsia" w:ascii="微软雅黑" w:hAnsi="微软雅黑" w:eastAsia="微软雅黑" w:cs="宋体"/>
          <w:szCs w:val="21"/>
          <w:u w:val="single"/>
        </w:rPr>
        <w:t xml:space="preserve"> 不提供      </w:t>
      </w:r>
      <w:r>
        <w:rPr>
          <w:rFonts w:hint="eastAsia" w:ascii="微软雅黑" w:hAnsi="微软雅黑" w:eastAsia="微软雅黑" w:cs="宋体"/>
          <w:szCs w:val="21"/>
        </w:rPr>
        <w:t>。</w:t>
      </w:r>
    </w:p>
    <w:p w14:paraId="4201B7AB">
      <w:pPr>
        <w:spacing w:line="360" w:lineRule="auto"/>
        <w:ind w:firstLine="420" w:firstLineChars="200"/>
        <w:rPr>
          <w:rFonts w:ascii="微软雅黑" w:hAnsi="微软雅黑" w:eastAsia="微软雅黑" w:cs="宋体"/>
          <w:szCs w:val="21"/>
          <w:u w:val="single"/>
        </w:rPr>
      </w:pPr>
      <w:r>
        <w:rPr>
          <w:rFonts w:hint="eastAsia" w:ascii="微软雅黑" w:hAnsi="微软雅黑" w:eastAsia="微软雅黑" w:cs="宋体"/>
          <w:szCs w:val="21"/>
        </w:rPr>
        <w:t>发包人提供支付担保的形式：</w:t>
      </w:r>
      <w:r>
        <w:rPr>
          <w:rFonts w:hint="eastAsia" w:ascii="微软雅黑" w:hAnsi="微软雅黑" w:eastAsia="微软雅黑" w:cs="宋体"/>
          <w:szCs w:val="21"/>
          <w:u w:val="single"/>
        </w:rPr>
        <w:t>    不提供      </w:t>
      </w:r>
      <w:r>
        <w:rPr>
          <w:rFonts w:hint="eastAsia" w:ascii="微软雅黑" w:hAnsi="微软雅黑" w:eastAsia="微软雅黑" w:cs="宋体"/>
          <w:szCs w:val="21"/>
        </w:rPr>
        <w:t>。</w:t>
      </w:r>
    </w:p>
    <w:p w14:paraId="188405B8">
      <w:pPr>
        <w:widowControl/>
        <w:spacing w:before="120" w:beforeAutospacing="1" w:after="120" w:afterAutospacing="1" w:line="360" w:lineRule="auto"/>
        <w:jc w:val="left"/>
        <w:outlineLvl w:val="3"/>
        <w:rPr>
          <w:rFonts w:ascii="微软雅黑" w:hAnsi="微软雅黑" w:eastAsia="微软雅黑" w:cs="宋体"/>
          <w:bCs/>
          <w:szCs w:val="21"/>
        </w:rPr>
      </w:pPr>
      <w:bookmarkStart w:id="313" w:name="_Toc6318"/>
      <w:bookmarkStart w:id="314" w:name="_Toc25186"/>
      <w:bookmarkStart w:id="315" w:name="_Toc18138"/>
      <w:bookmarkStart w:id="316" w:name="_Toc6350"/>
      <w:bookmarkStart w:id="317" w:name="_Toc29027"/>
      <w:bookmarkStart w:id="318" w:name="_Toc351203635"/>
      <w:r>
        <w:rPr>
          <w:rFonts w:hint="eastAsia" w:ascii="微软雅黑" w:hAnsi="微软雅黑" w:eastAsia="微软雅黑" w:cs="宋体"/>
          <w:bCs/>
          <w:szCs w:val="21"/>
        </w:rPr>
        <w:t>3</w:t>
      </w:r>
      <w:bookmarkStart w:id="319" w:name="_Toc296891198"/>
      <w:bookmarkStart w:id="320" w:name="_Toc296346659"/>
      <w:bookmarkStart w:id="321" w:name="_Toc296890986"/>
      <w:bookmarkStart w:id="322" w:name="_Toc296503158"/>
      <w:bookmarkStart w:id="323" w:name="_Toc292559868"/>
      <w:bookmarkStart w:id="324" w:name="_Toc297120458"/>
      <w:bookmarkStart w:id="325" w:name="_Toc296944497"/>
      <w:bookmarkStart w:id="326" w:name="_Toc297048344"/>
      <w:bookmarkStart w:id="327" w:name="_Toc292559363"/>
      <w:bookmarkStart w:id="328" w:name="_Toc296347157"/>
      <w:r>
        <w:rPr>
          <w:rFonts w:hint="eastAsia" w:ascii="微软雅黑" w:hAnsi="微软雅黑" w:eastAsia="微软雅黑" w:cs="宋体"/>
          <w:bCs/>
          <w:szCs w:val="21"/>
        </w:rPr>
        <w:t>. 承包人</w:t>
      </w:r>
      <w:bookmarkEnd w:id="313"/>
      <w:bookmarkEnd w:id="314"/>
      <w:bookmarkEnd w:id="315"/>
      <w:bookmarkEnd w:id="316"/>
      <w:bookmarkEnd w:id="317"/>
      <w:bookmarkEnd w:id="318"/>
    </w:p>
    <w:bookmarkEnd w:id="319"/>
    <w:bookmarkEnd w:id="320"/>
    <w:bookmarkEnd w:id="321"/>
    <w:bookmarkEnd w:id="322"/>
    <w:bookmarkEnd w:id="323"/>
    <w:bookmarkEnd w:id="324"/>
    <w:bookmarkEnd w:id="325"/>
    <w:bookmarkEnd w:id="326"/>
    <w:bookmarkEnd w:id="327"/>
    <w:bookmarkEnd w:id="328"/>
    <w:p w14:paraId="2CBD7F2A">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3.1 承包人的一般义务</w:t>
      </w:r>
    </w:p>
    <w:p w14:paraId="1FA1E811">
      <w:pPr>
        <w:spacing w:line="360" w:lineRule="auto"/>
        <w:jc w:val="left"/>
        <w:rPr>
          <w:rFonts w:ascii="微软雅黑" w:hAnsi="微软雅黑" w:eastAsia="微软雅黑" w:cs="宋体"/>
          <w:szCs w:val="21"/>
        </w:rPr>
      </w:pPr>
      <w:r>
        <w:rPr>
          <w:rFonts w:hint="eastAsia" w:ascii="微软雅黑" w:hAnsi="微软雅黑" w:eastAsia="微软雅黑" w:cs="宋体"/>
          <w:kern w:val="0"/>
          <w:szCs w:val="21"/>
        </w:rPr>
        <w:t>（9）</w:t>
      </w:r>
      <w:r>
        <w:rPr>
          <w:rFonts w:hint="eastAsia" w:ascii="微软雅黑" w:hAnsi="微软雅黑" w:eastAsia="微软雅黑" w:cs="宋体"/>
          <w:szCs w:val="21"/>
        </w:rPr>
        <w:t>承包人提交的竣工资料的内容：</w:t>
      </w:r>
      <w:r>
        <w:rPr>
          <w:rFonts w:hint="eastAsia" w:ascii="微软雅黑" w:hAnsi="微软雅黑" w:eastAsia="微软雅黑" w:cs="宋体"/>
          <w:szCs w:val="21"/>
          <w:u w:val="single"/>
        </w:rPr>
        <w:t xml:space="preserve">  按国家有关规定执行  </w:t>
      </w:r>
      <w:r>
        <w:rPr>
          <w:rFonts w:hint="eastAsia" w:ascii="微软雅黑" w:hAnsi="微软雅黑" w:eastAsia="微软雅黑" w:cs="宋体"/>
          <w:szCs w:val="21"/>
        </w:rPr>
        <w:t>。</w:t>
      </w:r>
    </w:p>
    <w:p w14:paraId="65AB0142">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承包人需要提交的竣工资料套数：</w:t>
      </w:r>
      <w:r>
        <w:rPr>
          <w:rFonts w:hint="eastAsia" w:ascii="微软雅黑" w:hAnsi="微软雅黑" w:eastAsia="微软雅黑" w:cs="宋体"/>
          <w:szCs w:val="21"/>
          <w:u w:val="single"/>
        </w:rPr>
        <w:t xml:space="preserve">    一式四份，电子文档一套   </w:t>
      </w:r>
      <w:r>
        <w:rPr>
          <w:rFonts w:hint="eastAsia" w:ascii="微软雅黑" w:hAnsi="微软雅黑" w:eastAsia="微软雅黑" w:cs="宋体"/>
          <w:szCs w:val="21"/>
        </w:rPr>
        <w:t>。</w:t>
      </w:r>
    </w:p>
    <w:p w14:paraId="3B9AFD96">
      <w:pPr>
        <w:spacing w:line="360" w:lineRule="auto"/>
        <w:ind w:left="638" w:leftChars="304"/>
        <w:jc w:val="left"/>
        <w:rPr>
          <w:rFonts w:ascii="微软雅黑" w:hAnsi="微软雅黑" w:eastAsia="微软雅黑" w:cs="宋体"/>
          <w:szCs w:val="21"/>
        </w:rPr>
      </w:pPr>
      <w:r>
        <w:rPr>
          <w:rFonts w:hint="eastAsia" w:ascii="微软雅黑" w:hAnsi="微软雅黑" w:eastAsia="微软雅黑" w:cs="宋体"/>
          <w:szCs w:val="21"/>
        </w:rPr>
        <w:t>承包人提交的竣工资料的费用承担：</w:t>
      </w:r>
      <w:r>
        <w:rPr>
          <w:rFonts w:hint="eastAsia" w:ascii="微软雅黑" w:hAnsi="微软雅黑" w:eastAsia="微软雅黑" w:cs="宋体"/>
          <w:szCs w:val="21"/>
          <w:u w:val="single"/>
        </w:rPr>
        <w:t xml:space="preserve"> 由承包人自行承担，费用已包含在投标报价内   </w:t>
      </w:r>
      <w:r>
        <w:rPr>
          <w:rFonts w:hint="eastAsia" w:ascii="微软雅黑" w:hAnsi="微软雅黑" w:eastAsia="微软雅黑" w:cs="宋体"/>
          <w:szCs w:val="21"/>
        </w:rPr>
        <w:t>。</w:t>
      </w:r>
    </w:p>
    <w:p w14:paraId="71CEC807">
      <w:pPr>
        <w:spacing w:line="360" w:lineRule="auto"/>
        <w:ind w:left="638" w:leftChars="304"/>
        <w:jc w:val="left"/>
        <w:rPr>
          <w:rFonts w:ascii="微软雅黑" w:hAnsi="微软雅黑" w:eastAsia="微软雅黑" w:cs="宋体"/>
          <w:szCs w:val="21"/>
        </w:rPr>
      </w:pPr>
      <w:r>
        <w:rPr>
          <w:rFonts w:hint="eastAsia" w:ascii="微软雅黑" w:hAnsi="微软雅黑" w:eastAsia="微软雅黑" w:cs="宋体"/>
          <w:szCs w:val="21"/>
        </w:rPr>
        <w:t>承包人提交的竣工资料移交时间：</w:t>
      </w:r>
      <w:r>
        <w:rPr>
          <w:rFonts w:hint="eastAsia" w:ascii="微软雅黑" w:hAnsi="微软雅黑" w:eastAsia="微软雅黑" w:cs="宋体"/>
          <w:szCs w:val="21"/>
          <w:u w:val="single"/>
        </w:rPr>
        <w:t xml:space="preserve">  工程竣工验收合格后30天内 </w:t>
      </w:r>
      <w:r>
        <w:rPr>
          <w:rFonts w:hint="eastAsia" w:ascii="微软雅黑" w:hAnsi="微软雅黑" w:eastAsia="微软雅黑" w:cs="宋体"/>
          <w:szCs w:val="21"/>
        </w:rPr>
        <w:t>。</w:t>
      </w:r>
    </w:p>
    <w:p w14:paraId="30EA479E">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承包人提交的竣工资料形式要求：</w:t>
      </w:r>
      <w:r>
        <w:rPr>
          <w:rFonts w:hint="eastAsia" w:ascii="微软雅黑" w:hAnsi="微软雅黑" w:eastAsia="微软雅黑" w:cs="宋体"/>
          <w:szCs w:val="21"/>
          <w:u w:val="single"/>
        </w:rPr>
        <w:t xml:space="preserve">   纸质文件和电子文件   </w:t>
      </w:r>
      <w:r>
        <w:rPr>
          <w:rFonts w:hint="eastAsia" w:ascii="微软雅黑" w:hAnsi="微软雅黑" w:eastAsia="微软雅黑" w:cs="宋体"/>
          <w:szCs w:val="21"/>
        </w:rPr>
        <w:t>。</w:t>
      </w:r>
    </w:p>
    <w:p w14:paraId="53C96BF0">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kern w:val="0"/>
          <w:szCs w:val="21"/>
        </w:rPr>
        <w:t>（10）承包人应履行的其他义务：</w:t>
      </w:r>
      <w:r>
        <w:rPr>
          <w:rFonts w:hint="eastAsia" w:ascii="微软雅黑" w:hAnsi="微软雅黑" w:eastAsia="微软雅黑" w:cs="宋体"/>
          <w:szCs w:val="21"/>
          <w:u w:val="single"/>
        </w:rPr>
        <w:t xml:space="preserve">凡发包人要求增加的与本工程相关的工作，承包人应无条件接受并及时组织实施，工程费用按合同约定结算办法办理 </w:t>
      </w:r>
      <w:r>
        <w:rPr>
          <w:rFonts w:hint="eastAsia" w:ascii="微软雅黑" w:hAnsi="微软雅黑" w:eastAsia="微软雅黑" w:cs="宋体"/>
          <w:szCs w:val="21"/>
        </w:rPr>
        <w:t>。</w:t>
      </w:r>
    </w:p>
    <w:p w14:paraId="023A8DA3">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3.2 项目经理</w:t>
      </w:r>
    </w:p>
    <w:p w14:paraId="25883314">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kern w:val="0"/>
          <w:szCs w:val="21"/>
        </w:rPr>
        <w:t xml:space="preserve">3.2.1 </w:t>
      </w:r>
      <w:r>
        <w:rPr>
          <w:rFonts w:hint="eastAsia" w:ascii="微软雅黑" w:hAnsi="微软雅黑" w:eastAsia="微软雅黑" w:cs="宋体"/>
          <w:szCs w:val="21"/>
        </w:rPr>
        <w:t>项目经理：</w:t>
      </w:r>
    </w:p>
    <w:p w14:paraId="60382D87">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姓    名：</w:t>
      </w:r>
      <w:r>
        <w:rPr>
          <w:rFonts w:hint="eastAsia" w:ascii="微软雅黑" w:hAnsi="微软雅黑" w:eastAsia="微软雅黑" w:cs="宋体"/>
          <w:szCs w:val="21"/>
          <w:u w:val="single"/>
        </w:rPr>
        <w:t>         </w:t>
      </w:r>
      <w:r>
        <w:rPr>
          <w:rFonts w:hint="eastAsia" w:ascii="微软雅黑" w:hAnsi="微软雅黑" w:eastAsia="微软雅黑" w:cs="宋体"/>
          <w:szCs w:val="21"/>
        </w:rPr>
        <w:t>；</w:t>
      </w:r>
    </w:p>
    <w:p w14:paraId="0E062270">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身份证号：</w:t>
      </w:r>
      <w:r>
        <w:rPr>
          <w:rFonts w:hint="eastAsia" w:ascii="微软雅黑" w:hAnsi="微软雅黑" w:eastAsia="微软雅黑" w:cs="宋体"/>
          <w:szCs w:val="21"/>
          <w:u w:val="single"/>
        </w:rPr>
        <w:t>         </w:t>
      </w:r>
      <w:r>
        <w:rPr>
          <w:rFonts w:hint="eastAsia" w:ascii="微软雅黑" w:hAnsi="微软雅黑" w:eastAsia="微软雅黑" w:cs="宋体"/>
          <w:szCs w:val="21"/>
        </w:rPr>
        <w:t>；</w:t>
      </w:r>
    </w:p>
    <w:p w14:paraId="063199A6">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建造师执业资格等级：</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344B56A6">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建造师注册证书号：</w:t>
      </w:r>
      <w:r>
        <w:rPr>
          <w:rFonts w:hint="eastAsia" w:ascii="微软雅黑" w:hAnsi="微软雅黑" w:eastAsia="微软雅黑" w:cs="宋体"/>
          <w:szCs w:val="21"/>
          <w:u w:val="single"/>
        </w:rPr>
        <w:t> </w:t>
      </w:r>
      <w:r>
        <w:rPr>
          <w:rFonts w:hint="eastAsia" w:ascii="微软雅黑" w:hAnsi="微软雅黑" w:eastAsia="微软雅黑" w:cs="宋体"/>
          <w:szCs w:val="21"/>
        </w:rPr>
        <w:t>；</w:t>
      </w:r>
    </w:p>
    <w:p w14:paraId="2F911540">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建造师执业印章号：</w:t>
      </w:r>
      <w:r>
        <w:rPr>
          <w:rFonts w:hint="eastAsia" w:ascii="微软雅黑" w:hAnsi="微软雅黑" w:eastAsia="微软雅黑" w:cs="宋体"/>
          <w:szCs w:val="21"/>
          <w:u w:val="single"/>
        </w:rPr>
        <w:t> </w:t>
      </w:r>
      <w:r>
        <w:rPr>
          <w:rFonts w:hint="eastAsia" w:ascii="微软雅黑" w:hAnsi="微软雅黑" w:eastAsia="微软雅黑" w:cs="宋体"/>
          <w:szCs w:val="21"/>
        </w:rPr>
        <w:t>；</w:t>
      </w:r>
    </w:p>
    <w:p w14:paraId="618AF808">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安全生产考核合格证书号：</w:t>
      </w:r>
      <w:r>
        <w:rPr>
          <w:rFonts w:hint="eastAsia" w:ascii="微软雅黑" w:hAnsi="微软雅黑" w:eastAsia="微软雅黑" w:cs="宋体"/>
          <w:szCs w:val="21"/>
          <w:u w:val="single"/>
        </w:rPr>
        <w:t> </w:t>
      </w:r>
      <w:r>
        <w:rPr>
          <w:rFonts w:hint="eastAsia" w:ascii="微软雅黑" w:hAnsi="微软雅黑" w:eastAsia="微软雅黑" w:cs="宋体"/>
          <w:szCs w:val="21"/>
        </w:rPr>
        <w:t>；</w:t>
      </w:r>
    </w:p>
    <w:p w14:paraId="4BBB0DBD">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联系电话：</w:t>
      </w:r>
      <w:r>
        <w:rPr>
          <w:rFonts w:hint="eastAsia" w:ascii="微软雅黑" w:hAnsi="微软雅黑" w:eastAsia="微软雅黑" w:cs="宋体"/>
          <w:szCs w:val="21"/>
          <w:u w:val="single"/>
        </w:rPr>
        <w:t>         </w:t>
      </w:r>
      <w:r>
        <w:rPr>
          <w:rFonts w:hint="eastAsia" w:ascii="微软雅黑" w:hAnsi="微软雅黑" w:eastAsia="微软雅黑" w:cs="宋体"/>
          <w:szCs w:val="21"/>
        </w:rPr>
        <w:t>；</w:t>
      </w:r>
    </w:p>
    <w:p w14:paraId="5AEB5BAA">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电子信箱：</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4D2D1454">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通信地址：</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0C43ACD1">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承包人对项目经理的授权范围如下：</w:t>
      </w:r>
      <w:r>
        <w:rPr>
          <w:rFonts w:hint="eastAsia" w:ascii="微软雅黑" w:hAnsi="微软雅黑" w:eastAsia="微软雅黑" w:cs="宋体"/>
          <w:szCs w:val="21"/>
          <w:u w:val="single"/>
        </w:rPr>
        <w:t></w:t>
      </w:r>
      <w:r>
        <w:rPr>
          <w:rFonts w:hint="eastAsia" w:ascii="微软雅黑" w:hAnsi="微软雅黑" w:eastAsia="微软雅黑" w:cs="宋体"/>
          <w:bCs/>
          <w:szCs w:val="21"/>
          <w:u w:val="single"/>
        </w:rPr>
        <w:t>严格按设计图纸、现行国家施工规范及验收规范进行施工，以保证工程质量、进度；与发包人代表进行沟通、协调</w:t>
      </w:r>
      <w:r>
        <w:rPr>
          <w:rFonts w:hint="eastAsia" w:ascii="微软雅黑" w:hAnsi="微软雅黑" w:eastAsia="微软雅黑" w:cs="宋体"/>
          <w:szCs w:val="21"/>
        </w:rPr>
        <w:t>。</w:t>
      </w:r>
    </w:p>
    <w:p w14:paraId="2D0E40CE">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关于项目经理每月在施工现场的时间要求：</w:t>
      </w:r>
      <w:r>
        <w:rPr>
          <w:rFonts w:hint="eastAsia" w:ascii="微软雅黑" w:hAnsi="微软雅黑" w:eastAsia="微软雅黑" w:cs="宋体"/>
          <w:bCs/>
          <w:szCs w:val="21"/>
          <w:u w:val="single"/>
        </w:rPr>
        <w:t>项目经理每月必须到场22天 。</w:t>
      </w:r>
    </w:p>
    <w:p w14:paraId="21345712">
      <w:pPr>
        <w:spacing w:line="360" w:lineRule="auto"/>
        <w:ind w:left="449" w:leftChars="214" w:firstLine="210" w:firstLineChars="100"/>
        <w:rPr>
          <w:rFonts w:ascii="微软雅黑" w:hAnsi="微软雅黑" w:eastAsia="微软雅黑" w:cs="宋体"/>
          <w:kern w:val="0"/>
          <w:szCs w:val="21"/>
        </w:rPr>
      </w:pPr>
      <w:r>
        <w:rPr>
          <w:rFonts w:hint="eastAsia" w:ascii="微软雅黑" w:hAnsi="微软雅黑" w:eastAsia="微软雅黑" w:cs="宋体"/>
          <w:kern w:val="0"/>
          <w:szCs w:val="21"/>
        </w:rPr>
        <w:t>承包人未提交劳动合同，以及没有为项目经理缴纳社会保险证明的违约责任：</w:t>
      </w:r>
      <w:r>
        <w:rPr>
          <w:rFonts w:hint="eastAsia" w:ascii="微软雅黑" w:hAnsi="微软雅黑" w:eastAsia="微软雅黑" w:cs="宋体"/>
          <w:bCs/>
          <w:szCs w:val="21"/>
          <w:u w:val="single"/>
        </w:rPr>
        <w:t>由承包人承担相应的法律责任及职能部门处罚责任；发包人将收取承包人违约金5万元，并有权要求承包人更换项目经理。</w:t>
      </w:r>
    </w:p>
    <w:p w14:paraId="00755E9D">
      <w:pPr>
        <w:spacing w:line="360" w:lineRule="auto"/>
        <w:ind w:firstLine="420" w:firstLineChars="200"/>
        <w:rPr>
          <w:rFonts w:ascii="微软雅黑" w:hAnsi="微软雅黑" w:eastAsia="微软雅黑" w:cs="宋体"/>
          <w:szCs w:val="21"/>
          <w:u w:val="single"/>
        </w:rPr>
      </w:pPr>
      <w:r>
        <w:rPr>
          <w:rFonts w:hint="eastAsia" w:ascii="微软雅黑" w:hAnsi="微软雅黑" w:eastAsia="微软雅黑" w:cs="宋体"/>
          <w:kern w:val="0"/>
          <w:szCs w:val="21"/>
        </w:rPr>
        <w:t>项目经理未经批准，擅自离开施工现场的违约责任：</w:t>
      </w:r>
      <w:r>
        <w:rPr>
          <w:rFonts w:hint="eastAsia" w:ascii="微软雅黑" w:hAnsi="微软雅黑" w:eastAsia="微软雅黑" w:cs="宋体"/>
          <w:bCs/>
          <w:szCs w:val="21"/>
          <w:u w:val="single"/>
        </w:rPr>
        <w:t xml:space="preserve"> 经发包人或有关主管部门连续二次或累计三次书面通报后，发包人单方面终止合同，并令承包人无条件退场，对已实施工程不给予任何费用。</w:t>
      </w:r>
    </w:p>
    <w:p w14:paraId="02B4B8A3">
      <w:pPr>
        <w:spacing w:line="360" w:lineRule="auto"/>
        <w:rPr>
          <w:rFonts w:ascii="微软雅黑" w:hAnsi="微软雅黑" w:eastAsia="微软雅黑" w:cs="宋体"/>
          <w:szCs w:val="21"/>
        </w:rPr>
      </w:pPr>
      <w:r>
        <w:rPr>
          <w:rFonts w:hint="eastAsia" w:ascii="微软雅黑" w:hAnsi="微软雅黑" w:eastAsia="微软雅黑" w:cs="宋体"/>
          <w:szCs w:val="21"/>
        </w:rPr>
        <w:t>3.2.3 承包人擅自更换项目经理的违约责任：</w:t>
      </w:r>
      <w:r>
        <w:rPr>
          <w:rFonts w:hint="eastAsia" w:ascii="微软雅黑" w:hAnsi="微软雅黑" w:eastAsia="微软雅黑" w:cs="宋体"/>
          <w:bCs/>
          <w:szCs w:val="21"/>
          <w:u w:val="single"/>
        </w:rPr>
        <w:t>由发包人单方面终止合同，没收履约保证金，并令承包人无条件退场，对已实施工程不给予任何费用</w:t>
      </w:r>
      <w:r>
        <w:rPr>
          <w:rFonts w:hint="eastAsia" w:ascii="微软雅黑" w:hAnsi="微软雅黑" w:eastAsia="微软雅黑" w:cs="宋体"/>
          <w:szCs w:val="21"/>
        </w:rPr>
        <w:t>。</w:t>
      </w:r>
    </w:p>
    <w:p w14:paraId="2D735DF0">
      <w:pPr>
        <w:spacing w:line="360" w:lineRule="auto"/>
        <w:outlineLvl w:val="0"/>
        <w:rPr>
          <w:rFonts w:ascii="微软雅黑" w:hAnsi="微软雅黑" w:eastAsia="微软雅黑" w:cs="宋体"/>
          <w:szCs w:val="21"/>
        </w:rPr>
      </w:pPr>
      <w:bookmarkStart w:id="329" w:name="_Toc11097"/>
      <w:bookmarkStart w:id="330" w:name="_Toc28952"/>
      <w:bookmarkStart w:id="331" w:name="_Toc3754"/>
      <w:bookmarkStart w:id="332" w:name="_Toc24469"/>
      <w:bookmarkStart w:id="333" w:name="_Toc11880"/>
      <w:bookmarkStart w:id="334" w:name="_Toc27700"/>
      <w:bookmarkStart w:id="335" w:name="_Toc29087"/>
      <w:r>
        <w:rPr>
          <w:rFonts w:hint="eastAsia" w:ascii="微软雅黑" w:hAnsi="微软雅黑" w:eastAsia="微软雅黑" w:cs="宋体"/>
          <w:szCs w:val="21"/>
        </w:rPr>
        <w:t>3.2.4 承包人无正当理由拒绝更换项目经理的违约责任：</w:t>
      </w:r>
      <w:r>
        <w:rPr>
          <w:rFonts w:hint="eastAsia" w:ascii="微软雅黑" w:hAnsi="微软雅黑" w:eastAsia="微软雅黑" w:cs="宋体"/>
          <w:bCs/>
          <w:szCs w:val="21"/>
          <w:u w:val="single"/>
        </w:rPr>
        <w:t>由发包人单方面终止合同，并令承包人无条件退场，对已实施工程不给予任何费用</w:t>
      </w:r>
      <w:r>
        <w:rPr>
          <w:rFonts w:hint="eastAsia" w:ascii="微软雅黑" w:hAnsi="微软雅黑" w:eastAsia="微软雅黑" w:cs="宋体"/>
          <w:szCs w:val="21"/>
        </w:rPr>
        <w:t>。</w:t>
      </w:r>
      <w:bookmarkEnd w:id="329"/>
      <w:bookmarkEnd w:id="330"/>
      <w:bookmarkEnd w:id="331"/>
      <w:bookmarkEnd w:id="332"/>
      <w:bookmarkEnd w:id="333"/>
      <w:bookmarkEnd w:id="334"/>
      <w:bookmarkEnd w:id="335"/>
    </w:p>
    <w:p w14:paraId="14647B0F">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3.3 承包人人员</w:t>
      </w:r>
    </w:p>
    <w:p w14:paraId="367EEAC9">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3.3.1 承包人提交项目管理机构及施工现场管理人员安排报告的期限：</w:t>
      </w:r>
      <w:r>
        <w:rPr>
          <w:rFonts w:hint="eastAsia" w:ascii="微软雅黑" w:hAnsi="微软雅黑" w:eastAsia="微软雅黑" w:cs="宋体"/>
          <w:bCs/>
          <w:szCs w:val="21"/>
          <w:u w:val="single"/>
        </w:rPr>
        <w:t xml:space="preserve"> 开工前5日内 </w:t>
      </w:r>
      <w:r>
        <w:rPr>
          <w:rFonts w:hint="eastAsia" w:ascii="微软雅黑" w:hAnsi="微软雅黑" w:eastAsia="微软雅黑" w:cs="宋体"/>
          <w:szCs w:val="21"/>
        </w:rPr>
        <w:t>。</w:t>
      </w:r>
    </w:p>
    <w:p w14:paraId="0A2939FE">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3.3.3 承包人无正当理由拒绝撤换主要施工管理人员的违约责任：</w:t>
      </w:r>
      <w:r>
        <w:rPr>
          <w:rFonts w:hint="eastAsia" w:ascii="微软雅黑" w:hAnsi="微软雅黑" w:eastAsia="微软雅黑" w:cs="宋体"/>
          <w:bCs/>
          <w:szCs w:val="21"/>
          <w:u w:val="single"/>
        </w:rPr>
        <w:t xml:space="preserve">每人每次向发包人支付1万元违约金，由承包人承担上述违约给发包人造成的一切损失 </w:t>
      </w:r>
      <w:r>
        <w:rPr>
          <w:rFonts w:hint="eastAsia" w:ascii="微软雅黑" w:hAnsi="微软雅黑" w:eastAsia="微软雅黑" w:cs="宋体"/>
          <w:szCs w:val="21"/>
        </w:rPr>
        <w:t>。</w:t>
      </w:r>
    </w:p>
    <w:p w14:paraId="23AEFC5A">
      <w:pPr>
        <w:spacing w:line="360" w:lineRule="auto"/>
        <w:ind w:firstLine="420" w:firstLineChars="200"/>
        <w:rPr>
          <w:rFonts w:ascii="微软雅黑" w:hAnsi="微软雅黑" w:eastAsia="微软雅黑" w:cs="宋体"/>
          <w:szCs w:val="21"/>
          <w:u w:val="single"/>
        </w:rPr>
      </w:pPr>
      <w:r>
        <w:rPr>
          <w:rFonts w:hint="eastAsia" w:ascii="微软雅黑" w:hAnsi="微软雅黑" w:eastAsia="微软雅黑" w:cs="宋体"/>
          <w:szCs w:val="21"/>
        </w:rPr>
        <w:t>3.3.4 承包人主要施工管理人员离开施工现场的批准要求：</w:t>
      </w:r>
      <w:r>
        <w:rPr>
          <w:rFonts w:hint="eastAsia" w:ascii="微软雅黑" w:hAnsi="微软雅黑" w:eastAsia="微软雅黑" w:cs="宋体"/>
          <w:szCs w:val="21"/>
          <w:u w:val="single"/>
        </w:rPr>
        <w:t xml:space="preserve">按通用条款执行  </w:t>
      </w:r>
      <w:r>
        <w:rPr>
          <w:rFonts w:hint="eastAsia" w:ascii="微软雅黑" w:hAnsi="微软雅黑" w:eastAsia="微软雅黑" w:cs="宋体"/>
          <w:szCs w:val="21"/>
        </w:rPr>
        <w:t>。</w:t>
      </w:r>
    </w:p>
    <w:p w14:paraId="445B8876">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3.3.5承包人擅自更换主要施工管理人员的违约责任：</w:t>
      </w:r>
      <w:r>
        <w:rPr>
          <w:rFonts w:hint="eastAsia" w:ascii="微软雅黑" w:hAnsi="微软雅黑" w:eastAsia="微软雅黑" w:cs="宋体"/>
          <w:bCs/>
          <w:szCs w:val="21"/>
          <w:u w:val="single"/>
        </w:rPr>
        <w:t>由发包人单方面终止合同，没收履约保证金，并令承包人无条件退场，对已实施工程不给予任何费用</w:t>
      </w:r>
      <w:r>
        <w:rPr>
          <w:rFonts w:hint="eastAsia" w:ascii="微软雅黑" w:hAnsi="微软雅黑" w:eastAsia="微软雅黑" w:cs="宋体"/>
          <w:szCs w:val="21"/>
        </w:rPr>
        <w:t>。</w:t>
      </w:r>
    </w:p>
    <w:p w14:paraId="758196CF">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承包人主要施工管理人员擅自离开施工现场的违约责任：</w:t>
      </w:r>
      <w:r>
        <w:rPr>
          <w:rFonts w:hint="eastAsia" w:ascii="微软雅黑" w:hAnsi="微软雅黑" w:eastAsia="微软雅黑" w:cs="宋体"/>
          <w:bCs/>
          <w:szCs w:val="21"/>
          <w:u w:val="single"/>
        </w:rPr>
        <w:t>每人每次向发包人支付1万元违约金，由承包人承担上述违约给发包人造成的一切损失。</w:t>
      </w:r>
    </w:p>
    <w:p w14:paraId="19570ADF">
      <w:pPr>
        <w:spacing w:line="360" w:lineRule="auto"/>
        <w:rPr>
          <w:rFonts w:ascii="微软雅黑" w:hAnsi="微软雅黑" w:eastAsia="微软雅黑" w:cs="宋体"/>
          <w:b/>
          <w:bCs/>
          <w:szCs w:val="21"/>
        </w:rPr>
      </w:pPr>
      <w:r>
        <w:rPr>
          <w:rFonts w:hint="eastAsia" w:ascii="微软雅黑" w:hAnsi="微软雅黑" w:eastAsia="微软雅黑" w:cs="宋体"/>
          <w:b/>
          <w:bCs/>
          <w:szCs w:val="21"/>
        </w:rPr>
        <w:t>承包人在响应文件中承诺的项目经理、技术人员及预算人员必须到位。未经发包人同意,承包人不得擅自变更，开工或施工过程中若有擅自变更，发包人有权终止合同，没收履约保证金，并追究由此给发包人带来的一切损失的责任。承包人如需要更换项目经理，应至少提前7天以书面形式通知发包人，并征得发包人同意后任继续行使合同文件约定的前任的职权，履行前任的义务。经发包人要求或同意更换项目经理的，每更换一人次，承包人仍应向发包人支付违约金5万元。</w:t>
      </w:r>
    </w:p>
    <w:p w14:paraId="784877F9">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w:t>
      </w:r>
      <w:bookmarkStart w:id="336" w:name="_Toc296890987"/>
      <w:bookmarkStart w:id="337" w:name="_Toc296346660"/>
      <w:bookmarkStart w:id="338" w:name="_Toc297123492"/>
      <w:bookmarkStart w:id="339" w:name="_Toc304295523"/>
      <w:bookmarkStart w:id="340" w:name="_Toc300934945"/>
      <w:bookmarkStart w:id="341" w:name="_Toc303539102"/>
      <w:bookmarkStart w:id="342" w:name="_Toc312677988"/>
      <w:bookmarkStart w:id="343" w:name="_Toc296944498"/>
      <w:bookmarkStart w:id="344" w:name="_Toc297120459"/>
      <w:bookmarkStart w:id="345" w:name="_Toc296891199"/>
      <w:bookmarkStart w:id="346" w:name="_Toc292559869"/>
      <w:bookmarkStart w:id="347" w:name="_Toc296503159"/>
      <w:bookmarkStart w:id="348" w:name="_Toc297048345"/>
      <w:bookmarkStart w:id="349" w:name="_Toc292559364"/>
      <w:bookmarkStart w:id="350" w:name="_Toc296347158"/>
      <w:bookmarkStart w:id="351" w:name="_Toc297216151"/>
      <w:r>
        <w:rPr>
          <w:rFonts w:hint="eastAsia" w:ascii="微软雅黑" w:hAnsi="微软雅黑" w:eastAsia="微软雅黑" w:cs="宋体"/>
          <w:szCs w:val="21"/>
        </w:rPr>
        <w:t>.5 分包</w:t>
      </w:r>
    </w:p>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p w14:paraId="73C428CD">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w:t>
      </w:r>
      <w:bookmarkStart w:id="352" w:name="_Toc292559365"/>
      <w:bookmarkStart w:id="353" w:name="_Toc296503160"/>
      <w:bookmarkStart w:id="354" w:name="_Toc304295524"/>
      <w:bookmarkStart w:id="355" w:name="_Toc296891200"/>
      <w:bookmarkStart w:id="356" w:name="_Toc297048346"/>
      <w:bookmarkStart w:id="357" w:name="_Toc296346661"/>
      <w:bookmarkStart w:id="358" w:name="_Toc296347159"/>
      <w:bookmarkStart w:id="359" w:name="_Toc303539103"/>
      <w:bookmarkStart w:id="360" w:name="_Toc297123493"/>
      <w:bookmarkStart w:id="361" w:name="_Toc297216152"/>
      <w:bookmarkStart w:id="362" w:name="_Toc296890988"/>
      <w:bookmarkStart w:id="363" w:name="_Toc297120460"/>
      <w:bookmarkStart w:id="364" w:name="_Toc292559870"/>
      <w:bookmarkStart w:id="365" w:name="_Toc300934946"/>
      <w:bookmarkStart w:id="366" w:name="_Toc296944499"/>
      <w:bookmarkStart w:id="367" w:name="_Toc312677989"/>
      <w:bookmarkStart w:id="368" w:name="_Toc318581158"/>
      <w:r>
        <w:rPr>
          <w:rFonts w:hint="eastAsia" w:ascii="微软雅黑" w:hAnsi="微软雅黑" w:eastAsia="微软雅黑" w:cs="宋体"/>
          <w:szCs w:val="21"/>
        </w:rPr>
        <w:t>.5.1 分包的一般约定</w:t>
      </w:r>
    </w:p>
    <w:p w14:paraId="5BF5DA74">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禁止分包的工程包括：</w:t>
      </w:r>
      <w:r>
        <w:rPr>
          <w:rFonts w:hint="eastAsia" w:ascii="微软雅黑" w:hAnsi="微软雅黑" w:eastAsia="微软雅黑" w:cs="宋体"/>
          <w:bCs/>
          <w:szCs w:val="21"/>
          <w:u w:val="single"/>
        </w:rPr>
        <w:t xml:space="preserve">本工程不得分包   </w:t>
      </w:r>
      <w:r>
        <w:rPr>
          <w:rFonts w:hint="eastAsia" w:ascii="微软雅黑" w:hAnsi="微软雅黑" w:eastAsia="微软雅黑" w:cs="宋体"/>
          <w:szCs w:val="21"/>
        </w:rPr>
        <w:t>。</w:t>
      </w:r>
    </w:p>
    <w:p w14:paraId="4E7812F9">
      <w:pPr>
        <w:spacing w:line="360" w:lineRule="auto"/>
        <w:jc w:val="left"/>
        <w:rPr>
          <w:rFonts w:ascii="微软雅黑" w:hAnsi="微软雅黑" w:eastAsia="微软雅黑" w:cs="宋体"/>
          <w:szCs w:val="21"/>
          <w:u w:val="single"/>
        </w:rPr>
      </w:pPr>
      <w:r>
        <w:rPr>
          <w:rFonts w:hint="eastAsia" w:ascii="微软雅黑" w:hAnsi="微软雅黑" w:eastAsia="微软雅黑" w:cs="宋体"/>
          <w:szCs w:val="21"/>
        </w:rPr>
        <w:t>主体结构、关键性工作的范围：</w:t>
      </w:r>
      <w:r>
        <w:rPr>
          <w:rFonts w:hint="eastAsia" w:ascii="微软雅黑" w:hAnsi="微软雅黑" w:eastAsia="微软雅黑" w:cs="宋体"/>
          <w:szCs w:val="21"/>
          <w:u w:val="single"/>
        </w:rPr>
        <w:t></w:t>
      </w:r>
      <w:r>
        <w:rPr>
          <w:rFonts w:hint="eastAsia" w:ascii="微软雅黑" w:hAnsi="微软雅黑" w:eastAsia="微软雅黑" w:cs="宋体"/>
          <w:bCs/>
          <w:szCs w:val="21"/>
          <w:u w:val="single"/>
        </w:rPr>
        <w:t xml:space="preserve">本工程不得分包   </w:t>
      </w:r>
      <w:r>
        <w:rPr>
          <w:rFonts w:hint="eastAsia" w:ascii="微软雅黑" w:hAnsi="微软雅黑" w:eastAsia="微软雅黑" w:cs="宋体"/>
          <w:szCs w:val="21"/>
        </w:rPr>
        <w:t>。</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Start w:id="369" w:name="_Toc297123494"/>
      <w:bookmarkStart w:id="370" w:name="_Toc297120461"/>
      <w:bookmarkStart w:id="371" w:name="_Toc296503161"/>
      <w:bookmarkStart w:id="372" w:name="_Toc300934947"/>
      <w:bookmarkStart w:id="373" w:name="_Toc297216153"/>
      <w:bookmarkStart w:id="374" w:name="_Toc296944500"/>
      <w:bookmarkStart w:id="375" w:name="_Toc297048347"/>
      <w:bookmarkStart w:id="376" w:name="_Toc296890989"/>
      <w:bookmarkStart w:id="377" w:name="_Toc296347160"/>
      <w:bookmarkStart w:id="378" w:name="_Toc296346662"/>
      <w:bookmarkStart w:id="379" w:name="_Toc296891201"/>
      <w:bookmarkStart w:id="380" w:name="_Toc304295525"/>
      <w:bookmarkStart w:id="381" w:name="_Toc303539104"/>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14:paraId="1DB34939">
      <w:pPr>
        <w:spacing w:line="360" w:lineRule="auto"/>
        <w:rPr>
          <w:rFonts w:ascii="微软雅黑" w:hAnsi="微软雅黑" w:eastAsia="微软雅黑" w:cs="宋体"/>
          <w:szCs w:val="21"/>
        </w:rPr>
      </w:pPr>
      <w:r>
        <w:rPr>
          <w:rFonts w:hint="eastAsia" w:ascii="微软雅黑" w:hAnsi="微软雅黑" w:eastAsia="微软雅黑" w:cs="宋体"/>
          <w:szCs w:val="21"/>
        </w:rPr>
        <w:t xml:space="preserve">    3</w:t>
      </w:r>
      <w:bookmarkStart w:id="382" w:name="_Toc312677990"/>
      <w:bookmarkStart w:id="383" w:name="_Toc318581159"/>
      <w:r>
        <w:rPr>
          <w:rFonts w:hint="eastAsia" w:ascii="微软雅黑" w:hAnsi="微软雅黑" w:eastAsia="微软雅黑" w:cs="宋体"/>
          <w:szCs w:val="21"/>
        </w:rPr>
        <w:t>.5.2分包的确定</w:t>
      </w:r>
    </w:p>
    <w:p w14:paraId="5F531735">
      <w:pPr>
        <w:spacing w:line="360" w:lineRule="auto"/>
        <w:ind w:firstLine="420" w:firstLineChars="200"/>
        <w:rPr>
          <w:rFonts w:ascii="微软雅黑" w:hAnsi="微软雅黑" w:eastAsia="微软雅黑" w:cs="宋体"/>
          <w:szCs w:val="21"/>
          <w:u w:val="single"/>
        </w:rPr>
      </w:pPr>
      <w:r>
        <w:rPr>
          <w:rFonts w:hint="eastAsia" w:ascii="微软雅黑" w:hAnsi="微软雅黑" w:eastAsia="微软雅黑" w:cs="宋体"/>
          <w:szCs w:val="21"/>
        </w:rPr>
        <w:t>允许分包的专业工程包括：</w:t>
      </w:r>
      <w:r>
        <w:rPr>
          <w:rFonts w:hint="eastAsia" w:ascii="微软雅黑" w:hAnsi="微软雅黑" w:eastAsia="微软雅黑" w:cs="宋体"/>
          <w:szCs w:val="21"/>
          <w:u w:val="single"/>
        </w:rPr>
        <w:t xml:space="preserve"> </w:t>
      </w:r>
      <w:r>
        <w:rPr>
          <w:rFonts w:hint="eastAsia" w:ascii="微软雅黑" w:hAnsi="微软雅黑" w:eastAsia="微软雅黑" w:cs="宋体"/>
          <w:bCs/>
          <w:szCs w:val="21"/>
          <w:u w:val="single"/>
        </w:rPr>
        <w:t xml:space="preserve">本工程不得分包   </w:t>
      </w:r>
      <w:r>
        <w:rPr>
          <w:rFonts w:hint="eastAsia" w:ascii="微软雅黑" w:hAnsi="微软雅黑" w:eastAsia="微软雅黑" w:cs="宋体"/>
          <w:szCs w:val="21"/>
        </w:rPr>
        <w:t>。</w:t>
      </w:r>
    </w:p>
    <w:p w14:paraId="03BA7D0E">
      <w:pPr>
        <w:spacing w:line="360" w:lineRule="auto"/>
        <w:rPr>
          <w:rFonts w:ascii="微软雅黑" w:hAnsi="微软雅黑" w:eastAsia="微软雅黑" w:cs="宋体"/>
          <w:szCs w:val="21"/>
        </w:rPr>
      </w:pPr>
      <w:r>
        <w:rPr>
          <w:rFonts w:hint="eastAsia" w:ascii="微软雅黑" w:hAnsi="微软雅黑" w:eastAsia="微软雅黑" w:cs="宋体"/>
          <w:szCs w:val="21"/>
        </w:rPr>
        <w:t>其他关于分包的约定：</w:t>
      </w:r>
      <w:r>
        <w:rPr>
          <w:rFonts w:hint="eastAsia" w:ascii="微软雅黑" w:hAnsi="微软雅黑" w:eastAsia="微软雅黑" w:cs="宋体"/>
          <w:bCs/>
          <w:szCs w:val="21"/>
          <w:u w:val="single"/>
        </w:rPr>
        <w:t xml:space="preserve">本工程不得分包   </w:t>
      </w:r>
      <w:r>
        <w:rPr>
          <w:rFonts w:hint="eastAsia" w:ascii="微软雅黑" w:hAnsi="微软雅黑" w:eastAsia="微软雅黑" w:cs="宋体"/>
          <w:szCs w:val="21"/>
        </w:rPr>
        <w:t>。</w:t>
      </w:r>
    </w:p>
    <w:p w14:paraId="4215F44B">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3.5.4 分包合同价款</w:t>
      </w:r>
    </w:p>
    <w:p w14:paraId="773CC5BF">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关于分包合同价款支付的约定：</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bookmarkEnd w:id="382"/>
    <w:bookmarkEnd w:id="383"/>
    <w:p w14:paraId="075D0471">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3.6 工程照管与成品、半成品保护</w:t>
      </w:r>
    </w:p>
    <w:p w14:paraId="3706B312">
      <w:pPr>
        <w:spacing w:before="120" w:after="120" w:line="360" w:lineRule="auto"/>
        <w:ind w:firstLine="420" w:firstLineChars="200"/>
        <w:rPr>
          <w:rFonts w:ascii="微软雅黑" w:hAnsi="微软雅黑" w:eastAsia="微软雅黑" w:cs="宋体"/>
          <w:kern w:val="0"/>
          <w:szCs w:val="21"/>
          <w:u w:val="single"/>
        </w:rPr>
      </w:pPr>
      <w:r>
        <w:rPr>
          <w:rFonts w:hint="eastAsia" w:ascii="微软雅黑" w:hAnsi="微软雅黑" w:eastAsia="微软雅黑" w:cs="宋体"/>
          <w:kern w:val="0"/>
          <w:szCs w:val="21"/>
        </w:rPr>
        <w:t>承包人负责照管工程及工程相关的材料、工程设备的起始时间：</w:t>
      </w:r>
      <w:r>
        <w:rPr>
          <w:rFonts w:hint="eastAsia" w:ascii="微软雅黑" w:hAnsi="微软雅黑" w:eastAsia="微软雅黑" w:cs="宋体"/>
          <w:kern w:val="0"/>
          <w:szCs w:val="21"/>
          <w:u w:val="single"/>
        </w:rPr>
        <w:t xml:space="preserve"> 按通用条款执行 </w:t>
      </w:r>
      <w:r>
        <w:rPr>
          <w:rFonts w:hint="eastAsia" w:ascii="微软雅黑" w:hAnsi="微软雅黑" w:eastAsia="微软雅黑" w:cs="宋体"/>
          <w:kern w:val="0"/>
          <w:szCs w:val="21"/>
        </w:rPr>
        <w:t>。</w:t>
      </w:r>
    </w:p>
    <w:p w14:paraId="621DAC7D">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3.7 履约担保</w:t>
      </w:r>
    </w:p>
    <w:p w14:paraId="7E5CFC7B">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承包人是否提供履约担保：</w:t>
      </w:r>
      <w:r>
        <w:rPr>
          <w:rFonts w:hint="eastAsia" w:ascii="微软雅黑" w:hAnsi="微软雅黑" w:eastAsia="微软雅黑" w:cs="宋体"/>
          <w:szCs w:val="21"/>
          <w:u w:val="single"/>
        </w:rPr>
        <w:t>否</w:t>
      </w:r>
      <w:r>
        <w:rPr>
          <w:rFonts w:hint="eastAsia" w:ascii="微软雅黑" w:hAnsi="微软雅黑" w:eastAsia="微软雅黑" w:cs="宋体"/>
          <w:szCs w:val="21"/>
        </w:rPr>
        <w:t>。</w:t>
      </w:r>
    </w:p>
    <w:p w14:paraId="29A44990">
      <w:pPr>
        <w:widowControl/>
        <w:spacing w:before="120" w:beforeAutospacing="1" w:after="120" w:afterAutospacing="1" w:line="360" w:lineRule="auto"/>
        <w:jc w:val="left"/>
        <w:outlineLvl w:val="3"/>
        <w:rPr>
          <w:rFonts w:ascii="微软雅黑" w:hAnsi="微软雅黑" w:eastAsia="微软雅黑" w:cs="宋体"/>
          <w:bCs/>
          <w:szCs w:val="21"/>
        </w:rPr>
      </w:pPr>
      <w:bookmarkStart w:id="384" w:name="_Toc22899"/>
      <w:bookmarkStart w:id="385" w:name="_Toc15010"/>
      <w:bookmarkStart w:id="386" w:name="_Toc22058"/>
      <w:bookmarkStart w:id="387" w:name="_Toc351203636"/>
      <w:bookmarkStart w:id="388" w:name="_Toc5587"/>
      <w:bookmarkStart w:id="389" w:name="_Toc26473"/>
      <w:r>
        <w:rPr>
          <w:rFonts w:hint="eastAsia" w:ascii="微软雅黑" w:hAnsi="微软雅黑" w:eastAsia="微软雅黑" w:cs="宋体"/>
          <w:bCs/>
          <w:szCs w:val="21"/>
        </w:rPr>
        <w:t>4</w:t>
      </w:r>
      <w:bookmarkStart w:id="390" w:name="_Toc296503162"/>
      <w:bookmarkStart w:id="391" w:name="_Toc267251413"/>
      <w:bookmarkStart w:id="392" w:name="_Toc296944501"/>
      <w:bookmarkStart w:id="393" w:name="_Toc292559871"/>
      <w:bookmarkStart w:id="394" w:name="_Toc296891202"/>
      <w:bookmarkStart w:id="395" w:name="_Toc296347161"/>
      <w:bookmarkStart w:id="396" w:name="_Toc297120462"/>
      <w:bookmarkStart w:id="397" w:name="_Toc292559366"/>
      <w:bookmarkStart w:id="398" w:name="_Toc296890990"/>
      <w:bookmarkStart w:id="399" w:name="_Toc296346663"/>
      <w:bookmarkStart w:id="400" w:name="_Toc297048348"/>
      <w:r>
        <w:rPr>
          <w:rFonts w:hint="eastAsia" w:ascii="微软雅黑" w:hAnsi="微软雅黑" w:eastAsia="微软雅黑" w:cs="宋体"/>
          <w:bCs/>
          <w:szCs w:val="21"/>
        </w:rPr>
        <w:t>. 监</w:t>
      </w:r>
      <w:bookmarkEnd w:id="390"/>
      <w:bookmarkEnd w:id="391"/>
      <w:bookmarkEnd w:id="392"/>
      <w:bookmarkEnd w:id="393"/>
      <w:bookmarkEnd w:id="394"/>
      <w:bookmarkEnd w:id="395"/>
      <w:bookmarkEnd w:id="396"/>
      <w:bookmarkEnd w:id="397"/>
      <w:bookmarkEnd w:id="398"/>
      <w:bookmarkEnd w:id="399"/>
      <w:bookmarkEnd w:id="400"/>
      <w:r>
        <w:rPr>
          <w:rFonts w:hint="eastAsia" w:ascii="微软雅黑" w:hAnsi="微软雅黑" w:eastAsia="微软雅黑" w:cs="宋体"/>
          <w:bCs/>
          <w:szCs w:val="21"/>
        </w:rPr>
        <w:t>理人</w:t>
      </w:r>
      <w:bookmarkEnd w:id="384"/>
      <w:bookmarkEnd w:id="385"/>
      <w:bookmarkEnd w:id="386"/>
      <w:bookmarkEnd w:id="387"/>
      <w:bookmarkEnd w:id="388"/>
      <w:bookmarkEnd w:id="389"/>
    </w:p>
    <w:p w14:paraId="191C2CDF">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4.1监理人的一般规定</w:t>
      </w:r>
    </w:p>
    <w:p w14:paraId="6D37E6E2">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关于监理人的监理内容：</w:t>
      </w:r>
      <w:r>
        <w:rPr>
          <w:rFonts w:hint="eastAsia" w:ascii="微软雅黑" w:hAnsi="微软雅黑" w:eastAsia="微软雅黑" w:cs="宋体"/>
          <w:szCs w:val="21"/>
          <w:u w:val="single"/>
        </w:rPr>
        <w:t xml:space="preserve"> 依据现行法律法规和强制性规定，对工程建设过程中的施工质量、工程进度、投资控制、安全文明施工等依法实施监理，监督实施验收工作；对工程款的支付进行监督、审核  。</w:t>
      </w:r>
    </w:p>
    <w:p w14:paraId="6E62D673">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关于监理人的监理权限：</w:t>
      </w:r>
      <w:r>
        <w:rPr>
          <w:rFonts w:hint="eastAsia" w:ascii="微软雅黑" w:hAnsi="微软雅黑" w:eastAsia="微软雅黑" w:cs="宋体"/>
          <w:szCs w:val="21"/>
          <w:u w:val="single"/>
        </w:rPr>
        <w:t xml:space="preserve">  须经发包人事先批准行使的权力：开工、停工、复工令的签发需经发包人同意；工程计量与支付、工程设计变更、工程价款调整、工程签证以及施工组织设计和专项施工方案中涉及影响造价的内容均需发包人同意和批准后有效。其它按照发包人同监理单位签订的监理合同执行。对本工程项目的施工质量、进度、投资、安全文明施工、合同及信息管理等实施全过程监理和控制。对隐蔽工程、设备、材料及施工质量进行验收和工程量签证，对施工环境进行协调   </w:t>
      </w:r>
      <w:r>
        <w:rPr>
          <w:rFonts w:hint="eastAsia" w:ascii="微软雅黑" w:hAnsi="微软雅黑" w:eastAsia="微软雅黑" w:cs="宋体"/>
          <w:szCs w:val="21"/>
        </w:rPr>
        <w:t xml:space="preserve">。 </w:t>
      </w:r>
    </w:p>
    <w:p w14:paraId="3421A6F2">
      <w:pPr>
        <w:spacing w:line="360" w:lineRule="auto"/>
        <w:rPr>
          <w:rFonts w:ascii="微软雅黑" w:hAnsi="微软雅黑" w:eastAsia="微软雅黑" w:cs="宋体"/>
          <w:szCs w:val="21"/>
        </w:rPr>
      </w:pPr>
      <w:r>
        <w:rPr>
          <w:rFonts w:hint="eastAsia" w:ascii="微软雅黑" w:hAnsi="微软雅黑" w:eastAsia="微软雅黑" w:cs="宋体"/>
          <w:szCs w:val="21"/>
        </w:rPr>
        <w:t>关于监理人在施工现场的办公场所、生活场所的提供和费用承担的约定：</w:t>
      </w:r>
      <w:r>
        <w:rPr>
          <w:rFonts w:hint="eastAsia" w:ascii="微软雅黑" w:hAnsi="微软雅黑" w:eastAsia="微软雅黑" w:cs="宋体"/>
          <w:szCs w:val="21"/>
          <w:u w:val="single"/>
        </w:rPr>
        <w:t xml:space="preserve"> 由承包人承担  </w:t>
      </w:r>
      <w:r>
        <w:rPr>
          <w:rFonts w:hint="eastAsia" w:ascii="微软雅黑" w:hAnsi="微软雅黑" w:eastAsia="微软雅黑" w:cs="宋体"/>
          <w:szCs w:val="21"/>
        </w:rPr>
        <w:t>。</w:t>
      </w:r>
    </w:p>
    <w:p w14:paraId="63B8525F">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4.2 监理人员</w:t>
      </w:r>
    </w:p>
    <w:p w14:paraId="6AF9E6E1">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总监理工程师：</w:t>
      </w:r>
    </w:p>
    <w:p w14:paraId="59B522BE">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姓    名：</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1BA48CF1">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职    务：</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49D64F5D">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监理工程师执业资格证书号：</w:t>
      </w:r>
      <w:r>
        <w:rPr>
          <w:rFonts w:hint="eastAsia" w:ascii="微软雅黑" w:hAnsi="微软雅黑" w:eastAsia="微软雅黑" w:cs="宋体"/>
          <w:szCs w:val="21"/>
          <w:u w:val="single"/>
        </w:rPr>
        <w:t> </w:t>
      </w:r>
      <w:r>
        <w:rPr>
          <w:rFonts w:hint="eastAsia" w:ascii="微软雅黑" w:hAnsi="微软雅黑" w:eastAsia="微软雅黑" w:cs="宋体"/>
          <w:szCs w:val="21"/>
        </w:rPr>
        <w:t>；</w:t>
      </w:r>
    </w:p>
    <w:p w14:paraId="1A73726A">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联系电话：</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4A67E75C">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电子信箱：</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246CE4B2">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通信地址：</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32290E3A">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关于监理人的其他约定：</w:t>
      </w:r>
      <w:r>
        <w:rPr>
          <w:rFonts w:hint="eastAsia" w:ascii="微软雅黑" w:hAnsi="微软雅黑" w:eastAsia="微软雅黑" w:cs="宋体"/>
          <w:szCs w:val="21"/>
          <w:u w:val="single"/>
        </w:rPr>
        <w:t>   </w:t>
      </w:r>
      <w:r>
        <w:rPr>
          <w:rFonts w:hint="eastAsia" w:ascii="微软雅黑" w:hAnsi="微软雅黑" w:eastAsia="微软雅黑" w:cs="宋体"/>
          <w:szCs w:val="21"/>
        </w:rPr>
        <w:t>。</w:t>
      </w:r>
    </w:p>
    <w:p w14:paraId="482C79A5">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4.4 商定或确定</w:t>
      </w:r>
    </w:p>
    <w:p w14:paraId="30425097">
      <w:pPr>
        <w:spacing w:line="360" w:lineRule="auto"/>
        <w:ind w:firstLine="420" w:firstLineChars="200"/>
        <w:rPr>
          <w:rFonts w:ascii="微软雅黑" w:hAnsi="微软雅黑" w:eastAsia="微软雅黑" w:cs="宋体"/>
          <w:szCs w:val="21"/>
        </w:rPr>
      </w:pPr>
      <w:bookmarkStart w:id="401" w:name="_Toc267251418"/>
      <w:r>
        <w:rPr>
          <w:rFonts w:hint="eastAsia" w:ascii="微软雅黑" w:hAnsi="微软雅黑" w:eastAsia="微软雅黑" w:cs="宋体"/>
          <w:szCs w:val="21"/>
        </w:rPr>
        <w:t>在发包人和承包人不能通过协商达成一致意见时，发包人授权监理人对以下事项进行确定：</w:t>
      </w:r>
    </w:p>
    <w:p w14:paraId="03639B26">
      <w:pPr>
        <w:numPr>
          <w:ilvl w:val="0"/>
          <w:numId w:val="6"/>
        </w:numPr>
        <w:autoSpaceDE w:val="0"/>
        <w:autoSpaceDN w:val="0"/>
        <w:adjustRightInd w:val="0"/>
        <w:spacing w:line="360" w:lineRule="auto"/>
        <w:ind w:firstLine="420" w:firstLineChars="200"/>
        <w:jc w:val="left"/>
        <w:rPr>
          <w:rFonts w:ascii="微软雅黑" w:hAnsi="微软雅黑" w:eastAsia="微软雅黑" w:cs="宋体"/>
          <w:kern w:val="0"/>
          <w:szCs w:val="21"/>
          <w:u w:val="single"/>
        </w:rPr>
      </w:pPr>
      <w:r>
        <w:rPr>
          <w:rFonts w:hint="eastAsia" w:ascii="微软雅黑" w:hAnsi="微软雅黑" w:eastAsia="微软雅黑" w:cs="宋体"/>
          <w:szCs w:val="21"/>
          <w:u w:val="single"/>
        </w:rPr>
        <w:t xml:space="preserve">     ；</w:t>
      </w:r>
    </w:p>
    <w:p w14:paraId="26C46FA7">
      <w:pPr>
        <w:numPr>
          <w:ilvl w:val="0"/>
          <w:numId w:val="6"/>
        </w:numPr>
        <w:autoSpaceDE w:val="0"/>
        <w:autoSpaceDN w:val="0"/>
        <w:adjustRightInd w:val="0"/>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szCs w:val="21"/>
          <w:u w:val="single"/>
        </w:rPr>
        <w:t xml:space="preserve">      ；</w:t>
      </w:r>
    </w:p>
    <w:p w14:paraId="39AA72F8">
      <w:pPr>
        <w:numPr>
          <w:ilvl w:val="0"/>
          <w:numId w:val="6"/>
        </w:numPr>
        <w:autoSpaceDE w:val="0"/>
        <w:autoSpaceDN w:val="0"/>
        <w:adjustRightInd w:val="0"/>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szCs w:val="21"/>
          <w:u w:val="single"/>
        </w:rPr>
        <w:t xml:space="preserve">       。</w:t>
      </w:r>
    </w:p>
    <w:p w14:paraId="10B2F906">
      <w:pPr>
        <w:widowControl/>
        <w:spacing w:before="120" w:beforeAutospacing="1" w:after="120" w:afterAutospacing="1" w:line="360" w:lineRule="auto"/>
        <w:jc w:val="left"/>
        <w:outlineLvl w:val="3"/>
        <w:rPr>
          <w:rFonts w:ascii="微软雅黑" w:hAnsi="微软雅黑" w:eastAsia="微软雅黑" w:cs="宋体"/>
          <w:bCs/>
          <w:szCs w:val="21"/>
        </w:rPr>
      </w:pPr>
      <w:bookmarkStart w:id="402" w:name="_Toc30812"/>
      <w:bookmarkStart w:id="403" w:name="_Toc17082"/>
      <w:bookmarkStart w:id="404" w:name="_Toc9591"/>
      <w:bookmarkStart w:id="405" w:name="_Toc3197"/>
      <w:bookmarkStart w:id="406" w:name="_Toc5253"/>
      <w:bookmarkStart w:id="407" w:name="_Toc351203637"/>
      <w:r>
        <w:rPr>
          <w:rFonts w:hint="eastAsia" w:ascii="微软雅黑" w:hAnsi="微软雅黑" w:eastAsia="微软雅黑" w:cs="宋体"/>
          <w:bCs/>
          <w:szCs w:val="21"/>
        </w:rPr>
        <w:t>5</w:t>
      </w:r>
      <w:bookmarkEnd w:id="401"/>
      <w:bookmarkStart w:id="408" w:name="_Toc292559367"/>
      <w:bookmarkStart w:id="409" w:name="_Toc296346664"/>
      <w:bookmarkStart w:id="410" w:name="_Toc292559872"/>
      <w:bookmarkStart w:id="411" w:name="_Toc297120463"/>
      <w:bookmarkStart w:id="412" w:name="_Toc296503163"/>
      <w:bookmarkStart w:id="413" w:name="_Toc296347162"/>
      <w:bookmarkStart w:id="414" w:name="_Toc297048349"/>
      <w:bookmarkStart w:id="415" w:name="_Toc296891203"/>
      <w:bookmarkStart w:id="416" w:name="_Toc296890991"/>
      <w:bookmarkStart w:id="417" w:name="_Toc296944502"/>
      <w:r>
        <w:rPr>
          <w:rFonts w:hint="eastAsia" w:ascii="微软雅黑" w:hAnsi="微软雅黑" w:eastAsia="微软雅黑" w:cs="宋体"/>
          <w:bCs/>
          <w:szCs w:val="21"/>
        </w:rPr>
        <w:t>. 工程质量</w:t>
      </w:r>
      <w:bookmarkEnd w:id="402"/>
      <w:bookmarkEnd w:id="403"/>
      <w:bookmarkEnd w:id="404"/>
      <w:bookmarkEnd w:id="405"/>
      <w:bookmarkEnd w:id="406"/>
      <w:bookmarkEnd w:id="407"/>
    </w:p>
    <w:p w14:paraId="0607BC58">
      <w:pPr>
        <w:spacing w:after="120" w:line="360" w:lineRule="auto"/>
        <w:ind w:firstLine="420" w:firstLineChars="200"/>
        <w:outlineLvl w:val="0"/>
        <w:rPr>
          <w:rFonts w:ascii="微软雅黑" w:hAnsi="微软雅黑" w:eastAsia="微软雅黑" w:cs="宋体"/>
          <w:szCs w:val="21"/>
        </w:rPr>
      </w:pPr>
      <w:bookmarkStart w:id="418" w:name="_Toc12818"/>
      <w:bookmarkStart w:id="419" w:name="_Toc20535"/>
      <w:bookmarkStart w:id="420" w:name="_Toc28768"/>
      <w:bookmarkStart w:id="421" w:name="_Toc6975"/>
      <w:bookmarkStart w:id="422" w:name="_Toc21887"/>
      <w:bookmarkStart w:id="423" w:name="_Toc31651"/>
      <w:bookmarkStart w:id="424" w:name="_Toc27675"/>
      <w:r>
        <w:rPr>
          <w:rFonts w:hint="eastAsia" w:ascii="微软雅黑" w:hAnsi="微软雅黑" w:eastAsia="微软雅黑" w:cs="宋体"/>
          <w:szCs w:val="21"/>
        </w:rPr>
        <w:t>5.1 质量要求</w:t>
      </w:r>
      <w:bookmarkEnd w:id="418"/>
      <w:bookmarkEnd w:id="419"/>
      <w:bookmarkEnd w:id="420"/>
      <w:bookmarkEnd w:id="421"/>
      <w:bookmarkEnd w:id="422"/>
      <w:bookmarkEnd w:id="423"/>
      <w:bookmarkEnd w:id="424"/>
    </w:p>
    <w:p w14:paraId="329EE6FF">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5</w:t>
      </w:r>
      <w:bookmarkStart w:id="425" w:name="_Toc304295527"/>
      <w:bookmarkStart w:id="426" w:name="_Toc303539106"/>
      <w:bookmarkStart w:id="427" w:name="_Toc300934949"/>
      <w:bookmarkStart w:id="428" w:name="_Toc297216155"/>
      <w:bookmarkStart w:id="429" w:name="_Toc312677997"/>
      <w:bookmarkStart w:id="430" w:name="_Toc297123496"/>
      <w:bookmarkStart w:id="431" w:name="_Toc318581164"/>
      <w:r>
        <w:rPr>
          <w:rFonts w:hint="eastAsia" w:ascii="微软雅黑" w:hAnsi="微软雅黑" w:eastAsia="微软雅黑" w:cs="宋体"/>
          <w:szCs w:val="21"/>
        </w:rPr>
        <w:t>.1.1 特殊质量标准和要求：</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p>
    <w:p w14:paraId="345927D9">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关于工程奖项的约定：</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p>
    <w:p w14:paraId="5ED06B92">
      <w:pPr>
        <w:spacing w:after="120" w:line="360" w:lineRule="auto"/>
        <w:ind w:firstLine="420" w:firstLineChars="200"/>
        <w:outlineLvl w:val="0"/>
        <w:rPr>
          <w:rFonts w:ascii="微软雅黑" w:hAnsi="微软雅黑" w:eastAsia="微软雅黑" w:cs="宋体"/>
          <w:szCs w:val="21"/>
        </w:rPr>
      </w:pPr>
      <w:bookmarkStart w:id="432" w:name="_Toc38"/>
      <w:bookmarkStart w:id="433" w:name="_Toc11655"/>
      <w:bookmarkStart w:id="434" w:name="_Toc22266"/>
      <w:bookmarkStart w:id="435" w:name="_Toc25425"/>
      <w:bookmarkStart w:id="436" w:name="_Toc29212"/>
      <w:bookmarkStart w:id="437" w:name="_Toc2838"/>
      <w:bookmarkStart w:id="438" w:name="_Toc23091"/>
      <w:r>
        <w:rPr>
          <w:rFonts w:hint="eastAsia" w:ascii="微软雅黑" w:hAnsi="微软雅黑" w:eastAsia="微软雅黑" w:cs="宋体"/>
          <w:szCs w:val="21"/>
        </w:rPr>
        <w:t>5.3 隐蔽工程检查</w:t>
      </w:r>
      <w:bookmarkEnd w:id="432"/>
      <w:bookmarkEnd w:id="433"/>
      <w:bookmarkEnd w:id="434"/>
      <w:bookmarkEnd w:id="435"/>
      <w:bookmarkEnd w:id="436"/>
      <w:bookmarkEnd w:id="437"/>
      <w:bookmarkEnd w:id="438"/>
    </w:p>
    <w:p w14:paraId="236C75B1">
      <w:pPr>
        <w:spacing w:line="360" w:lineRule="auto"/>
        <w:jc w:val="left"/>
        <w:rPr>
          <w:rFonts w:ascii="微软雅黑" w:hAnsi="微软雅黑" w:eastAsia="微软雅黑" w:cs="宋体"/>
          <w:szCs w:val="21"/>
        </w:rPr>
      </w:pPr>
      <w:r>
        <w:rPr>
          <w:rFonts w:hint="eastAsia" w:ascii="微软雅黑" w:hAnsi="微软雅黑" w:eastAsia="微软雅黑" w:cs="宋体"/>
          <w:szCs w:val="21"/>
        </w:rPr>
        <w:t>5.3.2承包人提前通知监理人隐蔽工程检查的期限的约定：</w:t>
      </w:r>
      <w:r>
        <w:rPr>
          <w:rFonts w:hint="eastAsia" w:ascii="微软雅黑" w:hAnsi="微软雅黑" w:eastAsia="微软雅黑" w:cs="宋体"/>
          <w:szCs w:val="21"/>
          <w:u w:val="single"/>
        </w:rPr>
        <w:t xml:space="preserve"> 执行通用条款 </w:t>
      </w:r>
      <w:r>
        <w:rPr>
          <w:rFonts w:hint="eastAsia" w:ascii="微软雅黑" w:hAnsi="微软雅黑" w:eastAsia="微软雅黑" w:cs="宋体"/>
          <w:szCs w:val="21"/>
        </w:rPr>
        <w:t>。</w:t>
      </w:r>
    </w:p>
    <w:p w14:paraId="552A1A85">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监理人不能按时进行检查时，应提前</w:t>
      </w:r>
      <w:r>
        <w:rPr>
          <w:rFonts w:hint="eastAsia" w:ascii="微软雅黑" w:hAnsi="微软雅黑" w:eastAsia="微软雅黑" w:cs="宋体"/>
          <w:szCs w:val="21"/>
          <w:u w:val="single"/>
        </w:rPr>
        <w:t xml:space="preserve">   24    </w:t>
      </w:r>
      <w:r>
        <w:rPr>
          <w:rFonts w:hint="eastAsia" w:ascii="微软雅黑" w:hAnsi="微软雅黑" w:eastAsia="微软雅黑" w:cs="宋体"/>
          <w:szCs w:val="21"/>
        </w:rPr>
        <w:t>小时提交书面延期要求。</w:t>
      </w:r>
    </w:p>
    <w:p w14:paraId="5B2F6B43">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关于延期最长不得超过：</w:t>
      </w:r>
      <w:r>
        <w:rPr>
          <w:rFonts w:hint="eastAsia" w:ascii="微软雅黑" w:hAnsi="微软雅黑" w:eastAsia="微软雅黑" w:cs="宋体"/>
          <w:szCs w:val="21"/>
          <w:u w:val="single"/>
        </w:rPr>
        <w:t xml:space="preserve">     48    </w:t>
      </w:r>
      <w:r>
        <w:rPr>
          <w:rFonts w:hint="eastAsia" w:ascii="微软雅黑" w:hAnsi="微软雅黑" w:eastAsia="微软雅黑" w:cs="宋体"/>
          <w:szCs w:val="21"/>
        </w:rPr>
        <w:t>小时。</w:t>
      </w:r>
    </w:p>
    <w:p w14:paraId="6A2D8CEE">
      <w:pPr>
        <w:widowControl/>
        <w:spacing w:before="120" w:beforeAutospacing="1" w:after="120" w:afterAutospacing="1" w:line="360" w:lineRule="auto"/>
        <w:jc w:val="left"/>
        <w:outlineLvl w:val="3"/>
        <w:rPr>
          <w:rFonts w:ascii="微软雅黑" w:hAnsi="微软雅黑" w:eastAsia="微软雅黑" w:cs="宋体"/>
          <w:bCs/>
          <w:szCs w:val="21"/>
        </w:rPr>
      </w:pPr>
      <w:bookmarkStart w:id="439" w:name="_Toc14515"/>
      <w:bookmarkStart w:id="440" w:name="_Toc20301"/>
      <w:bookmarkStart w:id="441" w:name="_Toc351203638"/>
      <w:bookmarkStart w:id="442" w:name="_Toc5134"/>
      <w:bookmarkStart w:id="443" w:name="_Toc5556"/>
      <w:bookmarkStart w:id="444" w:name="_Toc19584"/>
      <w:r>
        <w:rPr>
          <w:rFonts w:hint="eastAsia" w:ascii="微软雅黑" w:hAnsi="微软雅黑" w:eastAsia="微软雅黑" w:cs="宋体"/>
          <w:bCs/>
          <w:szCs w:val="21"/>
        </w:rPr>
        <w:t>6. 安全文明施工与环境保护</w:t>
      </w:r>
      <w:bookmarkEnd w:id="439"/>
      <w:bookmarkEnd w:id="440"/>
      <w:bookmarkEnd w:id="441"/>
      <w:bookmarkEnd w:id="442"/>
      <w:bookmarkEnd w:id="443"/>
      <w:bookmarkEnd w:id="444"/>
    </w:p>
    <w:p w14:paraId="471E2891">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6.1安全文明施工</w:t>
      </w:r>
    </w:p>
    <w:p w14:paraId="5FFA7433">
      <w:pPr>
        <w:spacing w:line="360" w:lineRule="auto"/>
        <w:jc w:val="left"/>
        <w:rPr>
          <w:rFonts w:ascii="微软雅黑" w:hAnsi="微软雅黑" w:eastAsia="微软雅黑" w:cs="宋体"/>
          <w:szCs w:val="21"/>
        </w:rPr>
      </w:pPr>
      <w:r>
        <w:rPr>
          <w:rFonts w:hint="eastAsia" w:ascii="微软雅黑" w:hAnsi="微软雅黑" w:eastAsia="微软雅黑" w:cs="宋体"/>
          <w:szCs w:val="21"/>
        </w:rPr>
        <w:t>6.1.1 项目安全生产的达标目标及相应事项的约定：</w:t>
      </w:r>
      <w:r>
        <w:rPr>
          <w:rFonts w:hint="eastAsia" w:ascii="微软雅黑" w:hAnsi="微软雅黑" w:eastAsia="微软雅黑" w:cs="宋体"/>
          <w:szCs w:val="21"/>
          <w:u w:val="single"/>
        </w:rPr>
        <w:t xml:space="preserve"> 按《建筑法》、《安全生产法》、《建设工程安全生产条例》、《建筑施工安全监察标准》（JGJ59-2011）、《关于转发财政部、安全监管总局《企业安全生产费用提取和使用管理办法》的通知》（建质【2012】32号）、《重庆市建设工程安全文明施工计取及使用管理规定》（渝建发【2014】25号）、《现场施工安全保证体系》、《环境健康与安全法规》等现行法律法规，以及经发包人认可的安全文明施工措施实施方案执行，并制定本工程实施中的安全施工应急救援预案，同时签订安全生产协议 </w:t>
      </w:r>
      <w:r>
        <w:rPr>
          <w:rFonts w:hint="eastAsia" w:ascii="微软雅黑" w:hAnsi="微软雅黑" w:eastAsia="微软雅黑" w:cs="宋体"/>
          <w:szCs w:val="21"/>
        </w:rPr>
        <w:t>。</w:t>
      </w:r>
    </w:p>
    <w:p w14:paraId="39B58395">
      <w:pPr>
        <w:spacing w:line="360" w:lineRule="auto"/>
        <w:jc w:val="left"/>
        <w:rPr>
          <w:rFonts w:ascii="微软雅黑" w:hAnsi="微软雅黑" w:eastAsia="微软雅黑" w:cs="宋体"/>
          <w:szCs w:val="21"/>
        </w:rPr>
      </w:pPr>
      <w:r>
        <w:rPr>
          <w:rFonts w:hint="eastAsia" w:ascii="微软雅黑" w:hAnsi="微软雅黑" w:eastAsia="微软雅黑" w:cs="宋体"/>
          <w:szCs w:val="21"/>
        </w:rPr>
        <w:t>6.1.4 关于治安保卫的特别约定：</w:t>
      </w:r>
      <w:r>
        <w:rPr>
          <w:rFonts w:hint="eastAsia" w:ascii="微软雅黑" w:hAnsi="微软雅黑" w:eastAsia="微软雅黑" w:cs="宋体"/>
          <w:szCs w:val="21"/>
          <w:u w:val="single"/>
        </w:rPr>
        <w:t xml:space="preserve">  执行通用条款   </w:t>
      </w:r>
      <w:r>
        <w:rPr>
          <w:rFonts w:hint="eastAsia" w:ascii="微软雅黑" w:hAnsi="微软雅黑" w:eastAsia="微软雅黑" w:cs="宋体"/>
          <w:szCs w:val="21"/>
        </w:rPr>
        <w:t>。</w:t>
      </w:r>
    </w:p>
    <w:p w14:paraId="5C57A010">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关于编制施工场地治安管理计划的约定：</w:t>
      </w:r>
      <w:r>
        <w:rPr>
          <w:rFonts w:hint="eastAsia" w:ascii="微软雅黑" w:hAnsi="微软雅黑" w:eastAsia="微软雅黑" w:cs="宋体"/>
          <w:szCs w:val="21"/>
          <w:u w:val="single"/>
        </w:rPr>
        <w:t xml:space="preserve">  执行通用条款  </w:t>
      </w:r>
      <w:r>
        <w:rPr>
          <w:rFonts w:hint="eastAsia" w:ascii="微软雅黑" w:hAnsi="微软雅黑" w:eastAsia="微软雅黑" w:cs="宋体"/>
          <w:szCs w:val="21"/>
        </w:rPr>
        <w:t>。</w:t>
      </w:r>
    </w:p>
    <w:p w14:paraId="0F3DBDCB">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6.1.5 文明施工</w:t>
      </w:r>
    </w:p>
    <w:p w14:paraId="77705B73">
      <w:pPr>
        <w:spacing w:line="360" w:lineRule="auto"/>
        <w:jc w:val="left"/>
        <w:rPr>
          <w:rFonts w:ascii="微软雅黑" w:hAnsi="微软雅黑" w:eastAsia="微软雅黑" w:cs="宋体"/>
          <w:szCs w:val="21"/>
        </w:rPr>
      </w:pPr>
      <w:r>
        <w:rPr>
          <w:rFonts w:hint="eastAsia" w:ascii="微软雅黑" w:hAnsi="微软雅黑" w:eastAsia="微软雅黑" w:cs="宋体"/>
          <w:szCs w:val="21"/>
        </w:rPr>
        <w:t>合同当事人对文明施工的要求：</w:t>
      </w:r>
      <w:r>
        <w:rPr>
          <w:rFonts w:hint="eastAsia" w:ascii="微软雅黑" w:hAnsi="微软雅黑" w:eastAsia="微软雅黑" w:cs="宋体"/>
          <w:szCs w:val="21"/>
          <w:u w:val="single"/>
        </w:rPr>
        <w:t xml:space="preserve"> 承包人在工程施工期间，应当采取措施保持施工现场平整，临时设施搭设规范，物料堆放整齐有序。按《重庆市主城区尘污染防治办法》（市政府令第272号）、《重庆市房屋建筑和市政基础设施施工现场文明施工标准》（渝建发【2008】169号）、《重庆市建设工程安全文明施工计取及使用管理规定》（渝建发【2014】25号）等相关现行法律法规以及经发包人认可的安全文明施工措施实施方案执行</w:t>
      </w:r>
      <w:r>
        <w:rPr>
          <w:rFonts w:hint="eastAsia" w:ascii="微软雅黑" w:hAnsi="微软雅黑" w:eastAsia="微软雅黑" w:cs="宋体"/>
          <w:szCs w:val="21"/>
        </w:rPr>
        <w:t>。</w:t>
      </w:r>
    </w:p>
    <w:p w14:paraId="59F439F1">
      <w:pPr>
        <w:spacing w:line="360" w:lineRule="auto"/>
        <w:jc w:val="left"/>
        <w:rPr>
          <w:rFonts w:ascii="微软雅黑" w:hAnsi="微软雅黑" w:eastAsia="微软雅黑" w:cs="宋体"/>
          <w:szCs w:val="21"/>
        </w:rPr>
      </w:pPr>
      <w:r>
        <w:rPr>
          <w:rFonts w:hint="eastAsia" w:ascii="微软雅黑" w:hAnsi="微软雅黑" w:eastAsia="微软雅黑" w:cs="宋体"/>
          <w:szCs w:val="21"/>
        </w:rPr>
        <w:t>6.1.6 关于安全文明施工费支付比例和支付期限的约定：</w:t>
      </w:r>
      <w:r>
        <w:rPr>
          <w:rFonts w:hint="eastAsia" w:ascii="微软雅黑" w:hAnsi="微软雅黑" w:eastAsia="微软雅黑" w:cs="宋体"/>
          <w:szCs w:val="21"/>
          <w:u w:val="single"/>
        </w:rPr>
        <w:t xml:space="preserve"> 执行《重庆市建设工程安全文明施工费计取及使用管理规定》（渝建发〔2014〕25号） </w:t>
      </w:r>
      <w:r>
        <w:rPr>
          <w:rFonts w:hint="eastAsia" w:ascii="微软雅黑" w:hAnsi="微软雅黑" w:eastAsia="微软雅黑" w:cs="宋体"/>
          <w:szCs w:val="21"/>
        </w:rPr>
        <w:t>。</w:t>
      </w:r>
    </w:p>
    <w:bookmarkEnd w:id="425"/>
    <w:bookmarkEnd w:id="426"/>
    <w:bookmarkEnd w:id="427"/>
    <w:bookmarkEnd w:id="428"/>
    <w:bookmarkEnd w:id="429"/>
    <w:bookmarkEnd w:id="430"/>
    <w:bookmarkEnd w:id="431"/>
    <w:p w14:paraId="08C41594">
      <w:pPr>
        <w:widowControl/>
        <w:spacing w:before="120" w:beforeAutospacing="1" w:after="120" w:afterAutospacing="1" w:line="360" w:lineRule="auto"/>
        <w:jc w:val="left"/>
        <w:outlineLvl w:val="3"/>
        <w:rPr>
          <w:rFonts w:ascii="微软雅黑" w:hAnsi="微软雅黑" w:eastAsia="微软雅黑" w:cs="宋体"/>
          <w:bCs/>
          <w:szCs w:val="21"/>
        </w:rPr>
      </w:pPr>
      <w:bookmarkStart w:id="445" w:name="_Toc6947"/>
      <w:bookmarkStart w:id="446" w:name="_Toc351203639"/>
      <w:bookmarkStart w:id="447" w:name="_Toc18158"/>
      <w:bookmarkStart w:id="448" w:name="_Toc32756"/>
      <w:bookmarkStart w:id="449" w:name="_Toc20636"/>
      <w:bookmarkStart w:id="450" w:name="_Toc17957"/>
      <w:r>
        <w:rPr>
          <w:rFonts w:hint="eastAsia" w:ascii="微软雅黑" w:hAnsi="微软雅黑" w:eastAsia="微软雅黑" w:cs="宋体"/>
          <w:bCs/>
          <w:szCs w:val="21"/>
        </w:rPr>
        <w:t>7. 工期和进度</w:t>
      </w:r>
      <w:bookmarkEnd w:id="445"/>
      <w:bookmarkEnd w:id="446"/>
      <w:bookmarkEnd w:id="447"/>
      <w:bookmarkEnd w:id="448"/>
      <w:bookmarkEnd w:id="449"/>
      <w:bookmarkEnd w:id="450"/>
    </w:p>
    <w:p w14:paraId="0F840204">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7.1 施工组织设计</w:t>
      </w:r>
    </w:p>
    <w:p w14:paraId="68668437">
      <w:pPr>
        <w:autoSpaceDE w:val="0"/>
        <w:autoSpaceDN w:val="0"/>
        <w:adjustRightInd w:val="0"/>
        <w:spacing w:line="360" w:lineRule="auto"/>
        <w:jc w:val="left"/>
        <w:rPr>
          <w:rFonts w:ascii="微软雅黑" w:hAnsi="微软雅黑" w:eastAsia="微软雅黑" w:cs="宋体"/>
          <w:kern w:val="0"/>
          <w:szCs w:val="21"/>
        </w:rPr>
      </w:pPr>
      <w:r>
        <w:rPr>
          <w:rFonts w:hint="eastAsia" w:ascii="微软雅黑" w:hAnsi="微软雅黑" w:eastAsia="微软雅黑" w:cs="宋体"/>
          <w:szCs w:val="21"/>
        </w:rPr>
        <w:t>7.1.1 合</w:t>
      </w:r>
      <w:r>
        <w:rPr>
          <w:rFonts w:hint="eastAsia" w:ascii="微软雅黑" w:hAnsi="微软雅黑" w:eastAsia="微软雅黑" w:cs="宋体"/>
          <w:kern w:val="0"/>
          <w:szCs w:val="21"/>
        </w:rPr>
        <w:t>同当事人约定的施工组织设计应包括的其他内容：</w:t>
      </w:r>
      <w:r>
        <w:rPr>
          <w:rFonts w:hint="eastAsia" w:ascii="微软雅黑" w:hAnsi="微软雅黑" w:eastAsia="微软雅黑" w:cs="宋体"/>
          <w:szCs w:val="21"/>
          <w:u w:val="single"/>
        </w:rPr>
        <w:t xml:space="preserve"> 施工组织设计、专项施工方案、安全应急方案等  。</w:t>
      </w:r>
    </w:p>
    <w:p w14:paraId="0B31AA67">
      <w:pPr>
        <w:autoSpaceDE w:val="0"/>
        <w:autoSpaceDN w:val="0"/>
        <w:adjustRightInd w:val="0"/>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szCs w:val="21"/>
        </w:rPr>
        <w:t xml:space="preserve">7.1.2 </w:t>
      </w:r>
      <w:r>
        <w:rPr>
          <w:rFonts w:hint="eastAsia" w:ascii="微软雅黑" w:hAnsi="微软雅黑" w:eastAsia="微软雅黑" w:cs="宋体"/>
          <w:kern w:val="0"/>
          <w:szCs w:val="21"/>
        </w:rPr>
        <w:t>施工组织设计的提交和修改</w:t>
      </w:r>
    </w:p>
    <w:p w14:paraId="60E81064">
      <w:pPr>
        <w:autoSpaceDE w:val="0"/>
        <w:autoSpaceDN w:val="0"/>
        <w:adjustRightInd w:val="0"/>
        <w:spacing w:line="360" w:lineRule="auto"/>
        <w:jc w:val="left"/>
        <w:rPr>
          <w:rFonts w:ascii="微软雅黑" w:hAnsi="微软雅黑" w:eastAsia="微软雅黑" w:cs="宋体"/>
          <w:szCs w:val="21"/>
        </w:rPr>
      </w:pPr>
      <w:r>
        <w:rPr>
          <w:rFonts w:hint="eastAsia" w:ascii="微软雅黑" w:hAnsi="微软雅黑" w:eastAsia="微软雅黑" w:cs="宋体"/>
          <w:kern w:val="0"/>
          <w:szCs w:val="21"/>
        </w:rPr>
        <w:t>承包人提交详细施工组织设计的期限的约定：</w:t>
      </w:r>
      <w:r>
        <w:rPr>
          <w:rFonts w:hint="eastAsia" w:ascii="微软雅黑" w:hAnsi="微软雅黑" w:eastAsia="微软雅黑" w:cs="宋体"/>
          <w:szCs w:val="21"/>
          <w:u w:val="single"/>
        </w:rPr>
        <w:t xml:space="preserve"> 图纸会审交底后5个工作日内  </w:t>
      </w:r>
      <w:r>
        <w:rPr>
          <w:rFonts w:hint="eastAsia" w:ascii="微软雅黑" w:hAnsi="微软雅黑" w:eastAsia="微软雅黑" w:cs="宋体"/>
          <w:szCs w:val="21"/>
        </w:rPr>
        <w:t>。</w:t>
      </w:r>
    </w:p>
    <w:p w14:paraId="69B2ACD9">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发包人和监理人在收到详细的施工组织设计后确认或提出修改意见的期限：</w:t>
      </w:r>
      <w:r>
        <w:rPr>
          <w:rFonts w:hint="eastAsia" w:ascii="微软雅黑" w:hAnsi="微软雅黑" w:eastAsia="微软雅黑" w:cs="宋体"/>
          <w:szCs w:val="21"/>
          <w:u w:val="single"/>
        </w:rPr>
        <w:t xml:space="preserve"> 10天内 。</w:t>
      </w:r>
    </w:p>
    <w:p w14:paraId="26C3D8A4">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7</w:t>
      </w:r>
      <w:bookmarkStart w:id="451" w:name="_Toc300934966"/>
      <w:bookmarkStart w:id="452" w:name="_Toc303539123"/>
      <w:bookmarkStart w:id="453" w:name="_Toc297216173"/>
      <w:bookmarkStart w:id="454" w:name="_Toc304295541"/>
      <w:bookmarkStart w:id="455" w:name="_Toc312677479"/>
      <w:bookmarkStart w:id="456" w:name="_Toc297123514"/>
      <w:bookmarkStart w:id="457" w:name="_Toc312678005"/>
      <w:r>
        <w:rPr>
          <w:rFonts w:hint="eastAsia" w:ascii="微软雅黑" w:hAnsi="微软雅黑" w:eastAsia="微软雅黑" w:cs="宋体"/>
          <w:szCs w:val="21"/>
        </w:rPr>
        <w:t>.2 施工进度计划</w:t>
      </w:r>
    </w:p>
    <w:p w14:paraId="0A64C67F">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7.2.2 施工进度计划的修订</w:t>
      </w:r>
    </w:p>
    <w:p w14:paraId="13E02499">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发包人和监理人在收到修订的施工进度计划后确认或提出修改意见的期限：</w:t>
      </w:r>
      <w:r>
        <w:rPr>
          <w:rFonts w:hint="eastAsia" w:ascii="微软雅黑" w:hAnsi="微软雅黑" w:eastAsia="微软雅黑" w:cs="宋体"/>
          <w:szCs w:val="21"/>
          <w:u w:val="single"/>
        </w:rPr>
        <w:t xml:space="preserve">     7天之内 </w:t>
      </w:r>
      <w:r>
        <w:rPr>
          <w:rFonts w:hint="eastAsia" w:ascii="微软雅黑" w:hAnsi="微软雅黑" w:eastAsia="微软雅黑" w:cs="宋体"/>
          <w:szCs w:val="21"/>
        </w:rPr>
        <w:t>。</w:t>
      </w:r>
    </w:p>
    <w:p w14:paraId="2C90C4DE">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7.3 开工</w:t>
      </w:r>
    </w:p>
    <w:p w14:paraId="55F4A7AC">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7.3.1 开工准备</w:t>
      </w:r>
    </w:p>
    <w:p w14:paraId="0B8EE636">
      <w:pPr>
        <w:spacing w:line="360" w:lineRule="auto"/>
        <w:ind w:firstLine="630" w:firstLineChars="300"/>
        <w:jc w:val="left"/>
        <w:rPr>
          <w:rFonts w:ascii="微软雅黑" w:hAnsi="微软雅黑" w:eastAsia="微软雅黑" w:cs="宋体"/>
          <w:szCs w:val="21"/>
          <w:u w:val="single"/>
        </w:rPr>
      </w:pPr>
      <w:r>
        <w:rPr>
          <w:rFonts w:hint="eastAsia" w:ascii="微软雅黑" w:hAnsi="微软雅黑" w:eastAsia="微软雅黑" w:cs="宋体"/>
          <w:szCs w:val="21"/>
        </w:rPr>
        <w:t>关于承包人提交</w:t>
      </w:r>
      <w:r>
        <w:rPr>
          <w:rFonts w:hint="eastAsia" w:ascii="微软雅黑" w:hAnsi="微软雅黑" w:eastAsia="微软雅黑" w:cs="宋体"/>
          <w:kern w:val="0"/>
          <w:szCs w:val="21"/>
        </w:rPr>
        <w:t>工程开工报审表的期限：</w:t>
      </w:r>
      <w:r>
        <w:rPr>
          <w:rFonts w:hint="eastAsia" w:ascii="微软雅黑" w:hAnsi="微软雅黑" w:eastAsia="微软雅黑" w:cs="宋体"/>
          <w:szCs w:val="21"/>
          <w:u w:val="single"/>
        </w:rPr>
        <w:t xml:space="preserve">   按通用条款执行   </w:t>
      </w:r>
      <w:r>
        <w:rPr>
          <w:rFonts w:hint="eastAsia" w:ascii="微软雅黑" w:hAnsi="微软雅黑" w:eastAsia="微软雅黑" w:cs="宋体"/>
          <w:szCs w:val="21"/>
        </w:rPr>
        <w:t>。</w:t>
      </w:r>
    </w:p>
    <w:p w14:paraId="7B437541">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关于发包人应完成的其他开工准备工作及期限：</w:t>
      </w:r>
      <w:r>
        <w:rPr>
          <w:rFonts w:hint="eastAsia" w:ascii="微软雅黑" w:hAnsi="微软雅黑" w:eastAsia="微软雅黑" w:cs="宋体"/>
          <w:szCs w:val="21"/>
          <w:u w:val="single"/>
        </w:rPr>
        <w:t xml:space="preserve">   按通用条款执行    </w:t>
      </w:r>
      <w:r>
        <w:rPr>
          <w:rFonts w:hint="eastAsia" w:ascii="微软雅黑" w:hAnsi="微软雅黑" w:eastAsia="微软雅黑" w:cs="宋体"/>
          <w:szCs w:val="21"/>
        </w:rPr>
        <w:t>。</w:t>
      </w:r>
    </w:p>
    <w:p w14:paraId="059C2693">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关于承包人应完成的其他开工准备工作及期限：</w:t>
      </w:r>
      <w:r>
        <w:rPr>
          <w:rFonts w:hint="eastAsia" w:ascii="微软雅黑" w:hAnsi="微软雅黑" w:eastAsia="微软雅黑" w:cs="宋体"/>
          <w:szCs w:val="21"/>
          <w:u w:val="single"/>
        </w:rPr>
        <w:t xml:space="preserve">  按通用条款执行   </w:t>
      </w:r>
      <w:r>
        <w:rPr>
          <w:rFonts w:hint="eastAsia" w:ascii="微软雅黑" w:hAnsi="微软雅黑" w:eastAsia="微软雅黑" w:cs="宋体"/>
          <w:szCs w:val="21"/>
        </w:rPr>
        <w:t>。</w:t>
      </w:r>
    </w:p>
    <w:p w14:paraId="4CB67619">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7.3.2开工通知</w:t>
      </w:r>
    </w:p>
    <w:p w14:paraId="2221186F">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因发包人原因造成监理人未能在计划开工日期之日起天内发出开工通知的，承包人有权提出价格调整要求，或者解除合同。</w:t>
      </w:r>
    </w:p>
    <w:bookmarkEnd w:id="451"/>
    <w:bookmarkEnd w:id="452"/>
    <w:bookmarkEnd w:id="453"/>
    <w:bookmarkEnd w:id="454"/>
    <w:bookmarkEnd w:id="455"/>
    <w:bookmarkEnd w:id="456"/>
    <w:bookmarkEnd w:id="457"/>
    <w:p w14:paraId="607DFE89">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7.4 测量放线</w:t>
      </w:r>
    </w:p>
    <w:p w14:paraId="7906BB48">
      <w:pPr>
        <w:spacing w:line="360" w:lineRule="auto"/>
        <w:ind w:firstLine="420" w:firstLineChars="200"/>
        <w:jc w:val="left"/>
        <w:rPr>
          <w:rFonts w:ascii="微软雅黑" w:hAnsi="微软雅黑" w:eastAsia="微软雅黑" w:cs="宋体"/>
          <w:szCs w:val="21"/>
          <w:u w:val="single"/>
        </w:rPr>
      </w:pPr>
      <w:r>
        <w:rPr>
          <w:rFonts w:hint="eastAsia" w:ascii="微软雅黑" w:hAnsi="微软雅黑" w:eastAsia="微软雅黑" w:cs="宋体"/>
          <w:szCs w:val="21"/>
        </w:rPr>
        <w:t>7.4.1发包人通过监理人向承包人提供测量基准点、基准线和水准点及其书面资料的期限：</w:t>
      </w:r>
      <w:r>
        <w:rPr>
          <w:rFonts w:hint="eastAsia" w:ascii="微软雅黑" w:hAnsi="微软雅黑" w:eastAsia="微软雅黑" w:cs="宋体"/>
          <w:szCs w:val="21"/>
          <w:u w:val="single"/>
        </w:rPr>
        <w:t xml:space="preserve">    开工前3日内    </w:t>
      </w:r>
      <w:r>
        <w:rPr>
          <w:rFonts w:hint="eastAsia" w:ascii="微软雅黑" w:hAnsi="微软雅黑" w:eastAsia="微软雅黑" w:cs="宋体"/>
          <w:szCs w:val="21"/>
        </w:rPr>
        <w:t>。</w:t>
      </w:r>
    </w:p>
    <w:p w14:paraId="1AE61DBE">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7</w:t>
      </w:r>
      <w:bookmarkStart w:id="458" w:name="_Toc300934968"/>
      <w:bookmarkStart w:id="459" w:name="_Toc312677484"/>
      <w:bookmarkStart w:id="460" w:name="_Toc297216175"/>
      <w:bookmarkStart w:id="461" w:name="_Toc312678010"/>
      <w:bookmarkStart w:id="462" w:name="_Toc304295546"/>
      <w:bookmarkStart w:id="463" w:name="_Toc297123516"/>
      <w:bookmarkStart w:id="464" w:name="_Toc303539125"/>
      <w:r>
        <w:rPr>
          <w:rFonts w:hint="eastAsia" w:ascii="微软雅黑" w:hAnsi="微软雅黑" w:eastAsia="微软雅黑" w:cs="宋体"/>
          <w:szCs w:val="21"/>
        </w:rPr>
        <w:t>.5 工期延误</w:t>
      </w:r>
    </w:p>
    <w:bookmarkEnd w:id="458"/>
    <w:bookmarkEnd w:id="459"/>
    <w:bookmarkEnd w:id="460"/>
    <w:bookmarkEnd w:id="461"/>
    <w:bookmarkEnd w:id="462"/>
    <w:bookmarkEnd w:id="463"/>
    <w:bookmarkEnd w:id="464"/>
    <w:p w14:paraId="09834219">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7.5.1 因发包人原因导致工期延误</w:t>
      </w:r>
    </w:p>
    <w:p w14:paraId="694E2D47">
      <w:pPr>
        <w:spacing w:line="360" w:lineRule="auto"/>
        <w:jc w:val="left"/>
        <w:rPr>
          <w:rFonts w:ascii="微软雅黑" w:hAnsi="微软雅黑" w:eastAsia="微软雅黑" w:cs="宋体"/>
          <w:szCs w:val="21"/>
        </w:rPr>
      </w:pPr>
      <w:r>
        <w:rPr>
          <w:rFonts w:hint="eastAsia" w:ascii="微软雅黑" w:hAnsi="微软雅黑" w:eastAsia="微软雅黑" w:cs="宋体"/>
          <w:szCs w:val="21"/>
        </w:rPr>
        <w:t>（7）因发包人原因导致工期延误的其他情形：</w:t>
      </w:r>
      <w:r>
        <w:rPr>
          <w:rFonts w:hint="eastAsia" w:ascii="微软雅黑" w:hAnsi="微软雅黑" w:eastAsia="微软雅黑" w:cs="宋体"/>
          <w:szCs w:val="21"/>
          <w:u w:val="single"/>
        </w:rPr>
        <w:t xml:space="preserve">  因发包人原因不能按时开工或停工，发包人不负责赔偿承包人延期开工或停工损失费，但工期可顺延 </w:t>
      </w:r>
      <w:r>
        <w:rPr>
          <w:rFonts w:hint="eastAsia" w:ascii="微软雅黑" w:hAnsi="微软雅黑" w:eastAsia="微软雅黑" w:cs="宋体"/>
          <w:szCs w:val="21"/>
        </w:rPr>
        <w:t>。</w:t>
      </w:r>
    </w:p>
    <w:p w14:paraId="2702E801">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7</w:t>
      </w:r>
      <w:bookmarkStart w:id="465" w:name="_Toc312678012"/>
      <w:bookmarkStart w:id="466" w:name="_Toc318581169"/>
      <w:bookmarkStart w:id="467" w:name="_Toc312677486"/>
      <w:bookmarkStart w:id="468" w:name="_Toc297216177"/>
      <w:bookmarkStart w:id="469" w:name="_Toc304295548"/>
      <w:bookmarkStart w:id="470" w:name="_Toc300934970"/>
      <w:bookmarkStart w:id="471" w:name="_Toc303539127"/>
      <w:bookmarkStart w:id="472" w:name="_Toc297123518"/>
      <w:r>
        <w:rPr>
          <w:rFonts w:hint="eastAsia" w:ascii="微软雅黑" w:hAnsi="微软雅黑" w:eastAsia="微软雅黑" w:cs="宋体"/>
          <w:szCs w:val="21"/>
        </w:rPr>
        <w:t>.5.2 因承包人原因导致工期延误</w:t>
      </w:r>
    </w:p>
    <w:bookmarkEnd w:id="465"/>
    <w:bookmarkEnd w:id="466"/>
    <w:bookmarkEnd w:id="467"/>
    <w:p w14:paraId="42ADE620">
      <w:pPr>
        <w:spacing w:line="360" w:lineRule="auto"/>
        <w:ind w:firstLine="420" w:firstLineChars="200"/>
        <w:jc w:val="left"/>
        <w:rPr>
          <w:rFonts w:ascii="微软雅黑" w:hAnsi="微软雅黑" w:eastAsia="微软雅黑" w:cs="宋体"/>
          <w:szCs w:val="21"/>
          <w:u w:val="single"/>
        </w:rPr>
      </w:pPr>
      <w:r>
        <w:rPr>
          <w:rFonts w:hint="eastAsia" w:ascii="微软雅黑" w:hAnsi="微软雅黑" w:eastAsia="微软雅黑" w:cs="宋体"/>
          <w:szCs w:val="21"/>
        </w:rPr>
        <w:t>因</w:t>
      </w:r>
      <w:bookmarkStart w:id="473" w:name="_Toc312677487"/>
      <w:bookmarkStart w:id="474" w:name="_Toc312678013"/>
      <w:bookmarkStart w:id="475" w:name="_Toc318581170"/>
      <w:r>
        <w:rPr>
          <w:rFonts w:hint="eastAsia" w:ascii="微软雅黑" w:hAnsi="微软雅黑" w:eastAsia="微软雅黑" w:cs="宋体"/>
          <w:szCs w:val="21"/>
        </w:rPr>
        <w:t>承包人原因造成工期延误，逾期竣工违约金的计算方法为：</w:t>
      </w:r>
    </w:p>
    <w:p w14:paraId="28720F1F">
      <w:pPr>
        <w:spacing w:line="360" w:lineRule="auto"/>
        <w:jc w:val="left"/>
        <w:rPr>
          <w:rFonts w:ascii="微软雅黑" w:hAnsi="微软雅黑" w:eastAsia="微软雅黑" w:cs="宋体"/>
          <w:szCs w:val="21"/>
          <w:u w:val="single"/>
        </w:rPr>
      </w:pPr>
      <w:r>
        <w:rPr>
          <w:rFonts w:hint="eastAsia" w:ascii="微软雅黑" w:hAnsi="微软雅黑" w:eastAsia="微软雅黑" w:cs="宋体"/>
          <w:szCs w:val="21"/>
          <w:u w:val="single"/>
        </w:rPr>
        <w:t xml:space="preserve"> 逾期交工违约金按人民币 5000 元/天计算，时间自预定的交工日期起到交工证书中写明的实际交工日期止（扣除已批准的延长工期），按天计算。发包人可以从应付或到期应付给承包人的任何款项中或采用其他方法扣除此违约金。</w:t>
      </w:r>
      <w:bookmarkEnd w:id="468"/>
      <w:bookmarkEnd w:id="469"/>
      <w:bookmarkEnd w:id="470"/>
      <w:bookmarkEnd w:id="471"/>
      <w:bookmarkEnd w:id="472"/>
      <w:bookmarkEnd w:id="473"/>
      <w:bookmarkEnd w:id="474"/>
    </w:p>
    <w:bookmarkEnd w:id="475"/>
    <w:p w14:paraId="0DFBBE3B">
      <w:pPr>
        <w:spacing w:line="360" w:lineRule="auto"/>
        <w:jc w:val="left"/>
        <w:rPr>
          <w:rFonts w:ascii="微软雅黑" w:hAnsi="微软雅黑" w:eastAsia="微软雅黑" w:cs="宋体"/>
          <w:szCs w:val="21"/>
        </w:rPr>
      </w:pPr>
      <w:r>
        <w:rPr>
          <w:rFonts w:hint="eastAsia" w:ascii="微软雅黑" w:hAnsi="微软雅黑" w:eastAsia="微软雅黑" w:cs="宋体"/>
          <w:szCs w:val="21"/>
        </w:rPr>
        <w:t>因承包人原因造成工期延误，逾</w:t>
      </w:r>
      <w:bookmarkStart w:id="476" w:name="_Toc312678014"/>
      <w:bookmarkStart w:id="477" w:name="_Toc318581171"/>
      <w:r>
        <w:rPr>
          <w:rFonts w:hint="eastAsia" w:ascii="微软雅黑" w:hAnsi="微软雅黑" w:eastAsia="微软雅黑" w:cs="宋体"/>
          <w:szCs w:val="21"/>
        </w:rPr>
        <w:t>期竣工违约金的上限：</w:t>
      </w:r>
      <w:r>
        <w:rPr>
          <w:rFonts w:hint="eastAsia" w:ascii="微软雅黑" w:hAnsi="微软雅黑" w:eastAsia="微软雅黑" w:cs="宋体"/>
          <w:szCs w:val="21"/>
          <w:u w:val="single"/>
        </w:rPr>
        <w:t>逾期交工违约金累计金额最高不超过签约合同价的10%</w:t>
      </w:r>
      <w:r>
        <w:rPr>
          <w:rFonts w:hint="eastAsia" w:ascii="微软雅黑" w:hAnsi="微软雅黑" w:eastAsia="微软雅黑" w:cs="宋体"/>
          <w:szCs w:val="21"/>
        </w:rPr>
        <w:t>。</w:t>
      </w:r>
    </w:p>
    <w:bookmarkEnd w:id="476"/>
    <w:bookmarkEnd w:id="477"/>
    <w:p w14:paraId="5B9745EC">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7</w:t>
      </w:r>
      <w:bookmarkStart w:id="478" w:name="_Toc304295549"/>
      <w:bookmarkStart w:id="479" w:name="_Toc297216178"/>
      <w:bookmarkStart w:id="480" w:name="_Toc312678015"/>
      <w:bookmarkStart w:id="481" w:name="_Toc297123519"/>
      <w:bookmarkStart w:id="482" w:name="_Toc303539128"/>
      <w:bookmarkStart w:id="483" w:name="_Toc300934971"/>
      <w:r>
        <w:rPr>
          <w:rFonts w:hint="eastAsia" w:ascii="微软雅黑" w:hAnsi="微软雅黑" w:eastAsia="微软雅黑" w:cs="宋体"/>
          <w:szCs w:val="21"/>
        </w:rPr>
        <w:t>.6 不</w:t>
      </w:r>
      <w:bookmarkEnd w:id="478"/>
      <w:bookmarkEnd w:id="479"/>
      <w:bookmarkEnd w:id="480"/>
      <w:bookmarkEnd w:id="481"/>
      <w:bookmarkEnd w:id="482"/>
      <w:bookmarkEnd w:id="483"/>
      <w:r>
        <w:rPr>
          <w:rFonts w:hint="eastAsia" w:ascii="微软雅黑" w:hAnsi="微软雅黑" w:eastAsia="微软雅黑" w:cs="宋体"/>
          <w:szCs w:val="21"/>
        </w:rPr>
        <w:t>利物质条件</w:t>
      </w:r>
    </w:p>
    <w:p w14:paraId="079801E3">
      <w:pPr>
        <w:spacing w:line="360" w:lineRule="auto"/>
        <w:jc w:val="left"/>
        <w:rPr>
          <w:rFonts w:ascii="微软雅黑" w:hAnsi="微软雅黑" w:eastAsia="微软雅黑" w:cs="宋体"/>
          <w:szCs w:val="21"/>
        </w:rPr>
      </w:pPr>
      <w:bookmarkStart w:id="484" w:name="_Toc318581172"/>
      <w:bookmarkStart w:id="485" w:name="_Toc304295550"/>
      <w:bookmarkStart w:id="486" w:name="_Toc300934972"/>
      <w:bookmarkStart w:id="487" w:name="_Toc297123520"/>
      <w:bookmarkStart w:id="488" w:name="_Toc312678016"/>
      <w:bookmarkStart w:id="489" w:name="_Toc303539129"/>
      <w:bookmarkStart w:id="490" w:name="_Toc297216179"/>
      <w:r>
        <w:rPr>
          <w:rFonts w:hint="eastAsia" w:ascii="微软雅黑" w:hAnsi="微软雅黑" w:eastAsia="微软雅黑" w:cs="宋体"/>
          <w:szCs w:val="21"/>
        </w:rPr>
        <w:t>不利物质条件的其他情形和有关约定：</w:t>
      </w:r>
      <w:r>
        <w:rPr>
          <w:rFonts w:hint="eastAsia" w:ascii="微软雅黑" w:hAnsi="微软雅黑" w:eastAsia="微软雅黑" w:cs="宋体"/>
          <w:szCs w:val="21"/>
          <w:u w:val="single"/>
        </w:rPr>
        <w:t xml:space="preserve"> 按通用条款执行 </w:t>
      </w:r>
      <w:r>
        <w:rPr>
          <w:rFonts w:hint="eastAsia" w:ascii="微软雅黑" w:hAnsi="微软雅黑" w:eastAsia="微软雅黑" w:cs="宋体"/>
          <w:szCs w:val="21"/>
        </w:rPr>
        <w:t>。</w:t>
      </w:r>
    </w:p>
    <w:bookmarkEnd w:id="484"/>
    <w:bookmarkEnd w:id="485"/>
    <w:bookmarkEnd w:id="486"/>
    <w:bookmarkEnd w:id="487"/>
    <w:bookmarkEnd w:id="488"/>
    <w:bookmarkEnd w:id="489"/>
    <w:bookmarkEnd w:id="490"/>
    <w:p w14:paraId="38DEA4BA">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7</w:t>
      </w:r>
      <w:bookmarkStart w:id="491" w:name="_Toc300934973"/>
      <w:bookmarkStart w:id="492" w:name="_Toc297216180"/>
      <w:bookmarkStart w:id="493" w:name="_Toc303539130"/>
      <w:bookmarkStart w:id="494" w:name="_Toc297123521"/>
      <w:bookmarkStart w:id="495" w:name="_Toc304295551"/>
      <w:bookmarkStart w:id="496" w:name="_Toc312678017"/>
      <w:r>
        <w:rPr>
          <w:rFonts w:hint="eastAsia" w:ascii="微软雅黑" w:hAnsi="微软雅黑" w:eastAsia="微软雅黑" w:cs="宋体"/>
          <w:szCs w:val="21"/>
        </w:rPr>
        <w:t>.7异常恶劣的气候条件</w:t>
      </w:r>
    </w:p>
    <w:bookmarkEnd w:id="491"/>
    <w:bookmarkEnd w:id="492"/>
    <w:bookmarkEnd w:id="493"/>
    <w:bookmarkEnd w:id="494"/>
    <w:bookmarkEnd w:id="495"/>
    <w:bookmarkEnd w:id="496"/>
    <w:p w14:paraId="6359DBF9">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发包人和承包人同意以下情形视为异常恶劣的气候条件：</w:t>
      </w:r>
    </w:p>
    <w:p w14:paraId="7FFED4FA">
      <w:pPr>
        <w:spacing w:line="360" w:lineRule="auto"/>
        <w:ind w:firstLine="420" w:firstLineChars="200"/>
        <w:jc w:val="left"/>
        <w:rPr>
          <w:rFonts w:ascii="微软雅黑" w:hAnsi="微软雅黑" w:eastAsia="微软雅黑" w:cs="宋体"/>
          <w:szCs w:val="21"/>
          <w:u w:val="single"/>
        </w:rPr>
      </w:pPr>
      <w:r>
        <w:rPr>
          <w:rFonts w:hint="eastAsia" w:ascii="微软雅黑" w:hAnsi="微软雅黑" w:eastAsia="微软雅黑" w:cs="宋体"/>
          <w:szCs w:val="21"/>
        </w:rPr>
        <w:t>（1）</w:t>
      </w:r>
      <w:r>
        <w:rPr>
          <w:rFonts w:hint="eastAsia" w:ascii="微软雅黑" w:hAnsi="微软雅黑" w:eastAsia="微软雅黑" w:cs="宋体"/>
          <w:szCs w:val="21"/>
          <w:u w:val="single"/>
        </w:rPr>
        <w:t xml:space="preserve">   由于出现龙卷风、暴雨、冰雹等异常恶劣气候的条件导致工期延误的，承包人有权要求发包人延长工期；</w:t>
      </w:r>
    </w:p>
    <w:p w14:paraId="60029873">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（2</w:t>
      </w:r>
      <w:r>
        <w:rPr>
          <w:rFonts w:hint="eastAsia" w:ascii="微软雅黑" w:hAnsi="微软雅黑" w:eastAsia="微软雅黑" w:cs="宋体"/>
          <w:szCs w:val="21"/>
          <w:u w:val="single"/>
        </w:rPr>
        <w:t>）     ；</w:t>
      </w:r>
    </w:p>
    <w:p w14:paraId="0F7C1E87">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（3）</w:t>
      </w:r>
      <w:r>
        <w:rPr>
          <w:rFonts w:hint="eastAsia" w:ascii="微软雅黑" w:hAnsi="微软雅黑" w:eastAsia="微软雅黑" w:cs="宋体"/>
          <w:szCs w:val="21"/>
          <w:u w:val="single"/>
        </w:rPr>
        <w:t xml:space="preserve">       。</w:t>
      </w:r>
    </w:p>
    <w:p w14:paraId="0CB22D60">
      <w:pPr>
        <w:spacing w:after="120" w:line="360" w:lineRule="auto"/>
        <w:ind w:firstLine="420" w:firstLineChars="200"/>
        <w:outlineLvl w:val="0"/>
        <w:rPr>
          <w:rFonts w:ascii="微软雅黑" w:hAnsi="微软雅黑" w:eastAsia="微软雅黑" w:cs="宋体"/>
          <w:szCs w:val="21"/>
        </w:rPr>
      </w:pPr>
      <w:bookmarkStart w:id="497" w:name="_Toc7025"/>
      <w:bookmarkStart w:id="498" w:name="_Toc20203"/>
      <w:bookmarkStart w:id="499" w:name="_Toc18632"/>
      <w:bookmarkStart w:id="500" w:name="_Toc5068"/>
      <w:bookmarkStart w:id="501" w:name="_Toc12854"/>
      <w:bookmarkStart w:id="502" w:name="_Toc1652"/>
      <w:bookmarkStart w:id="503" w:name="_Toc14399"/>
      <w:r>
        <w:rPr>
          <w:rFonts w:hint="eastAsia" w:ascii="微软雅黑" w:hAnsi="微软雅黑" w:eastAsia="微软雅黑" w:cs="宋体"/>
          <w:szCs w:val="21"/>
        </w:rPr>
        <w:t>7.9 提前竣工的奖励</w:t>
      </w:r>
      <w:bookmarkEnd w:id="497"/>
      <w:bookmarkEnd w:id="498"/>
      <w:bookmarkEnd w:id="499"/>
      <w:bookmarkEnd w:id="500"/>
      <w:bookmarkEnd w:id="501"/>
      <w:bookmarkEnd w:id="502"/>
      <w:bookmarkEnd w:id="503"/>
    </w:p>
    <w:p w14:paraId="689A1A9F">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7.9.2提前竣工的奖励：</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p>
    <w:p w14:paraId="45003B90">
      <w:pPr>
        <w:widowControl/>
        <w:spacing w:before="120" w:beforeAutospacing="1" w:after="120" w:afterAutospacing="1" w:line="360" w:lineRule="auto"/>
        <w:jc w:val="left"/>
        <w:outlineLvl w:val="3"/>
        <w:rPr>
          <w:rFonts w:ascii="微软雅黑" w:hAnsi="微软雅黑" w:eastAsia="微软雅黑" w:cs="宋体"/>
          <w:bCs/>
          <w:szCs w:val="21"/>
        </w:rPr>
      </w:pPr>
      <w:bookmarkStart w:id="504" w:name="_Toc11122"/>
      <w:bookmarkStart w:id="505" w:name="_Toc7163"/>
      <w:bookmarkStart w:id="506" w:name="_Toc27376"/>
      <w:bookmarkStart w:id="507" w:name="_Toc351203640"/>
      <w:bookmarkStart w:id="508" w:name="_Toc5020"/>
      <w:bookmarkStart w:id="509" w:name="_Toc30090"/>
      <w:r>
        <w:rPr>
          <w:rFonts w:hint="eastAsia" w:ascii="微软雅黑" w:hAnsi="微软雅黑" w:eastAsia="微软雅黑" w:cs="宋体"/>
          <w:bCs/>
          <w:szCs w:val="21"/>
        </w:rPr>
        <w:t>8. 材料与设备</w:t>
      </w:r>
      <w:bookmarkEnd w:id="504"/>
      <w:bookmarkEnd w:id="505"/>
      <w:bookmarkEnd w:id="506"/>
      <w:bookmarkEnd w:id="507"/>
      <w:bookmarkEnd w:id="508"/>
      <w:bookmarkEnd w:id="509"/>
    </w:p>
    <w:bookmarkEnd w:id="408"/>
    <w:bookmarkEnd w:id="409"/>
    <w:bookmarkEnd w:id="410"/>
    <w:bookmarkEnd w:id="411"/>
    <w:bookmarkEnd w:id="412"/>
    <w:bookmarkEnd w:id="413"/>
    <w:bookmarkEnd w:id="414"/>
    <w:bookmarkEnd w:id="415"/>
    <w:bookmarkEnd w:id="416"/>
    <w:bookmarkEnd w:id="417"/>
    <w:p w14:paraId="54318AAD">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8</w:t>
      </w:r>
      <w:bookmarkStart w:id="510" w:name="_Toc304295556"/>
      <w:bookmarkStart w:id="511" w:name="_Toc292559372"/>
      <w:bookmarkStart w:id="512" w:name="_Toc297216186"/>
      <w:bookmarkStart w:id="513" w:name="_Toc296891207"/>
      <w:bookmarkStart w:id="514" w:name="_Toc280868654"/>
      <w:bookmarkStart w:id="515" w:name="_Toc297048353"/>
      <w:bookmarkStart w:id="516" w:name="_Toc296346668"/>
      <w:bookmarkStart w:id="517" w:name="_Toc297123527"/>
      <w:bookmarkStart w:id="518" w:name="_Toc312678019"/>
      <w:bookmarkStart w:id="519" w:name="_Toc303539136"/>
      <w:bookmarkStart w:id="520" w:name="_Toc296347166"/>
      <w:bookmarkStart w:id="521" w:name="_Toc300934979"/>
      <w:bookmarkStart w:id="522" w:name="_Toc312677493"/>
      <w:bookmarkStart w:id="523" w:name="_Toc296503167"/>
      <w:bookmarkStart w:id="524" w:name="_Toc296944506"/>
      <w:bookmarkStart w:id="525" w:name="_Toc296890995"/>
      <w:bookmarkStart w:id="526" w:name="_Toc292559877"/>
      <w:bookmarkStart w:id="527" w:name="_Toc297120467"/>
      <w:bookmarkStart w:id="528" w:name="_Toc280868656"/>
      <w:bookmarkStart w:id="529" w:name="_Toc280868655"/>
      <w:bookmarkStart w:id="530" w:name="_Toc267251424"/>
      <w:r>
        <w:rPr>
          <w:rFonts w:hint="eastAsia" w:ascii="微软雅黑" w:hAnsi="微软雅黑" w:eastAsia="微软雅黑" w:cs="宋体"/>
          <w:szCs w:val="21"/>
        </w:rPr>
        <w:t>.4材料与工程设备的保管与使用</w:t>
      </w:r>
    </w:p>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14:paraId="55120C32">
      <w:pPr>
        <w:spacing w:line="360" w:lineRule="auto"/>
        <w:jc w:val="left"/>
        <w:rPr>
          <w:rFonts w:ascii="微软雅黑" w:hAnsi="微软雅黑" w:eastAsia="微软雅黑" w:cs="宋体"/>
          <w:szCs w:val="21"/>
        </w:rPr>
      </w:pPr>
      <w:r>
        <w:rPr>
          <w:rFonts w:hint="eastAsia" w:ascii="微软雅黑" w:hAnsi="微软雅黑" w:eastAsia="微软雅黑" w:cs="宋体"/>
          <w:szCs w:val="21"/>
        </w:rPr>
        <w:t>8</w:t>
      </w:r>
      <w:bookmarkStart w:id="531" w:name="_Toc292559373"/>
      <w:bookmarkStart w:id="532" w:name="_Toc292559878"/>
      <w:bookmarkStart w:id="533" w:name="_Toc297120468"/>
      <w:bookmarkStart w:id="534" w:name="_Toc297123528"/>
      <w:bookmarkStart w:id="535" w:name="_Toc296890996"/>
      <w:bookmarkStart w:id="536" w:name="_Toc318581173"/>
      <w:bookmarkStart w:id="537" w:name="_Toc312677494"/>
      <w:bookmarkStart w:id="538" w:name="_Toc296347167"/>
      <w:bookmarkStart w:id="539" w:name="_Toc296503168"/>
      <w:bookmarkStart w:id="540" w:name="_Toc312678020"/>
      <w:bookmarkStart w:id="541" w:name="_Toc296891208"/>
      <w:bookmarkStart w:id="542" w:name="_Toc296944507"/>
      <w:bookmarkStart w:id="543" w:name="_Toc303539137"/>
      <w:bookmarkStart w:id="544" w:name="_Toc304295557"/>
      <w:bookmarkStart w:id="545" w:name="_Toc297048354"/>
      <w:bookmarkStart w:id="546" w:name="_Toc300934980"/>
      <w:bookmarkStart w:id="547" w:name="_Toc296346669"/>
      <w:bookmarkStart w:id="548" w:name="_Toc297216187"/>
      <w:r>
        <w:rPr>
          <w:rFonts w:hint="eastAsia" w:ascii="微软雅黑" w:hAnsi="微软雅黑" w:eastAsia="微软雅黑" w:cs="宋体"/>
          <w:szCs w:val="21"/>
        </w:rPr>
        <w:t>.4.1发包人供应的材料设备的保管费用的承担：</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bookmarkEnd w:id="531"/>
      <w:bookmarkEnd w:id="532"/>
    </w:p>
    <w:p w14:paraId="0A9B6E16">
      <w:pPr>
        <w:spacing w:after="120" w:line="360" w:lineRule="auto"/>
        <w:ind w:firstLine="420" w:firstLineChars="200"/>
        <w:outlineLvl w:val="0"/>
        <w:rPr>
          <w:rFonts w:ascii="微软雅黑" w:hAnsi="微软雅黑" w:eastAsia="微软雅黑" w:cs="宋体"/>
          <w:szCs w:val="21"/>
        </w:rPr>
      </w:pPr>
      <w:bookmarkStart w:id="549" w:name="_Toc19558"/>
      <w:bookmarkStart w:id="550" w:name="_Toc15596"/>
      <w:bookmarkStart w:id="551" w:name="_Toc18981"/>
      <w:bookmarkStart w:id="552" w:name="_Toc18929"/>
      <w:bookmarkStart w:id="553" w:name="_Toc29230"/>
      <w:bookmarkStart w:id="554" w:name="_Toc31994"/>
      <w:bookmarkStart w:id="555" w:name="_Toc741"/>
      <w:r>
        <w:rPr>
          <w:rFonts w:hint="eastAsia" w:ascii="微软雅黑" w:hAnsi="微软雅黑" w:eastAsia="微软雅黑" w:cs="宋体"/>
          <w:szCs w:val="21"/>
        </w:rPr>
        <w:t>8.6 样品</w:t>
      </w:r>
      <w:bookmarkEnd w:id="549"/>
      <w:bookmarkEnd w:id="550"/>
      <w:bookmarkEnd w:id="551"/>
      <w:bookmarkEnd w:id="552"/>
      <w:bookmarkEnd w:id="553"/>
      <w:bookmarkEnd w:id="554"/>
      <w:bookmarkEnd w:id="555"/>
    </w:p>
    <w:p w14:paraId="41CE80E8">
      <w:pPr>
        <w:autoSpaceDE w:val="0"/>
        <w:autoSpaceDN w:val="0"/>
        <w:adjustRightInd w:val="0"/>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8.6.1</w:t>
      </w:r>
      <w:r>
        <w:rPr>
          <w:rFonts w:hint="eastAsia" w:ascii="微软雅黑" w:hAnsi="微软雅黑" w:eastAsia="微软雅黑" w:cs="宋体"/>
          <w:kern w:val="0"/>
          <w:szCs w:val="21"/>
        </w:rPr>
        <w:tab/>
      </w:r>
      <w:r>
        <w:rPr>
          <w:rFonts w:hint="eastAsia" w:ascii="微软雅黑" w:hAnsi="微软雅黑" w:eastAsia="微软雅黑" w:cs="宋体"/>
          <w:kern w:val="0"/>
          <w:szCs w:val="21"/>
        </w:rPr>
        <w:t>样品的报送与封存</w:t>
      </w:r>
    </w:p>
    <w:p w14:paraId="098FC93D">
      <w:pPr>
        <w:autoSpaceDE w:val="0"/>
        <w:autoSpaceDN w:val="0"/>
        <w:adjustRightInd w:val="0"/>
        <w:spacing w:line="360" w:lineRule="auto"/>
        <w:ind w:firstLine="420" w:firstLineChars="200"/>
        <w:jc w:val="left"/>
        <w:rPr>
          <w:rFonts w:ascii="微软雅黑" w:hAnsi="微软雅黑" w:eastAsia="微软雅黑" w:cs="宋体"/>
          <w:szCs w:val="21"/>
          <w:u w:val="single"/>
        </w:rPr>
      </w:pPr>
      <w:r>
        <w:rPr>
          <w:rFonts w:hint="eastAsia" w:ascii="微软雅黑" w:hAnsi="微软雅黑" w:eastAsia="微软雅黑" w:cs="宋体"/>
          <w:kern w:val="0"/>
          <w:szCs w:val="21"/>
        </w:rPr>
        <w:t>需要承包人报送样品的材料或工程设备，样品的种类、名称、规格、数量要求：</w:t>
      </w:r>
    </w:p>
    <w:p w14:paraId="3F030CE0">
      <w:pPr>
        <w:autoSpaceDE w:val="0"/>
        <w:autoSpaceDN w:val="0"/>
        <w:adjustRightInd w:val="0"/>
        <w:spacing w:line="360" w:lineRule="auto"/>
        <w:jc w:val="left"/>
        <w:rPr>
          <w:rFonts w:ascii="微软雅黑" w:hAnsi="微软雅黑" w:eastAsia="微软雅黑" w:cs="宋体"/>
          <w:szCs w:val="21"/>
        </w:rPr>
      </w:pPr>
      <w:r>
        <w:rPr>
          <w:rFonts w:hint="eastAsia" w:ascii="微软雅黑" w:hAnsi="微软雅黑" w:eastAsia="微软雅黑" w:cs="宋体"/>
          <w:szCs w:val="21"/>
          <w:u w:val="single"/>
        </w:rPr>
        <w:t xml:space="preserve">按管理部门要求和发包人需求确定   </w:t>
      </w:r>
      <w:r>
        <w:rPr>
          <w:rFonts w:hint="eastAsia" w:ascii="微软雅黑" w:hAnsi="微软雅黑" w:eastAsia="微软雅黑" w:cs="宋体"/>
          <w:szCs w:val="21"/>
        </w:rPr>
        <w:t>。</w:t>
      </w:r>
    </w:p>
    <w:p w14:paraId="0CCEC27D">
      <w:pPr>
        <w:spacing w:after="120" w:line="360" w:lineRule="auto"/>
        <w:ind w:firstLine="420" w:firstLineChars="200"/>
        <w:outlineLvl w:val="0"/>
        <w:rPr>
          <w:rFonts w:ascii="微软雅黑" w:hAnsi="微软雅黑" w:eastAsia="微软雅黑" w:cs="宋体"/>
          <w:szCs w:val="21"/>
        </w:rPr>
      </w:pPr>
      <w:bookmarkStart w:id="556" w:name="_Toc30451"/>
      <w:bookmarkStart w:id="557" w:name="_Toc11101"/>
      <w:bookmarkStart w:id="558" w:name="_Toc4003"/>
      <w:bookmarkStart w:id="559" w:name="_Toc24457"/>
      <w:bookmarkStart w:id="560" w:name="_Toc29129"/>
      <w:bookmarkStart w:id="561" w:name="_Toc24942"/>
      <w:bookmarkStart w:id="562" w:name="_Toc16850"/>
      <w:r>
        <w:rPr>
          <w:rFonts w:hint="eastAsia" w:ascii="微软雅黑" w:hAnsi="微软雅黑" w:eastAsia="微软雅黑" w:cs="宋体"/>
          <w:szCs w:val="21"/>
        </w:rPr>
        <w:t>8.8 施工设备和临时设施</w:t>
      </w:r>
      <w:bookmarkEnd w:id="556"/>
      <w:bookmarkEnd w:id="557"/>
      <w:bookmarkEnd w:id="558"/>
      <w:bookmarkEnd w:id="559"/>
      <w:bookmarkEnd w:id="560"/>
      <w:bookmarkEnd w:id="561"/>
      <w:bookmarkEnd w:id="562"/>
    </w:p>
    <w:p w14:paraId="73B6056E">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8.8.1 承包人提供的施工设备和临时设施</w:t>
      </w:r>
    </w:p>
    <w:p w14:paraId="6F739FF9">
      <w:pPr>
        <w:autoSpaceDE w:val="0"/>
        <w:autoSpaceDN w:val="0"/>
        <w:adjustRightInd w:val="0"/>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关于修建临时设施费用承担的约定：</w:t>
      </w:r>
      <w:r>
        <w:rPr>
          <w:rFonts w:hint="eastAsia" w:ascii="微软雅黑" w:hAnsi="微软雅黑" w:eastAsia="微软雅黑" w:cs="宋体"/>
          <w:szCs w:val="21"/>
          <w:u w:val="single"/>
        </w:rPr>
        <w:t xml:space="preserve">  由承包人承担 ，已包含在投标报价内  </w:t>
      </w:r>
      <w:r>
        <w:rPr>
          <w:rFonts w:hint="eastAsia" w:ascii="微软雅黑" w:hAnsi="微软雅黑" w:eastAsia="微软雅黑" w:cs="宋体"/>
          <w:szCs w:val="21"/>
        </w:rPr>
        <w:t>。</w:t>
      </w:r>
    </w:p>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14:paraId="50DA4379">
      <w:pPr>
        <w:widowControl/>
        <w:spacing w:before="120" w:beforeAutospacing="1" w:after="120" w:afterAutospacing="1" w:line="360" w:lineRule="auto"/>
        <w:jc w:val="left"/>
        <w:outlineLvl w:val="3"/>
        <w:rPr>
          <w:rFonts w:ascii="微软雅黑" w:hAnsi="微软雅黑" w:eastAsia="微软雅黑" w:cs="宋体"/>
          <w:bCs/>
          <w:szCs w:val="21"/>
        </w:rPr>
      </w:pPr>
      <w:bookmarkStart w:id="563" w:name="_Toc25150"/>
      <w:bookmarkStart w:id="564" w:name="_Toc22395"/>
      <w:bookmarkStart w:id="565" w:name="_Toc9107"/>
      <w:bookmarkStart w:id="566" w:name="_Toc6424"/>
      <w:bookmarkStart w:id="567" w:name="_Toc1895"/>
      <w:bookmarkStart w:id="568" w:name="_Toc351203641"/>
      <w:r>
        <w:rPr>
          <w:rFonts w:hint="eastAsia" w:ascii="微软雅黑" w:hAnsi="微软雅黑" w:eastAsia="微软雅黑" w:cs="宋体"/>
          <w:bCs/>
          <w:szCs w:val="21"/>
        </w:rPr>
        <w:t>9</w:t>
      </w:r>
      <w:bookmarkEnd w:id="528"/>
      <w:bookmarkEnd w:id="529"/>
      <w:bookmarkEnd w:id="530"/>
      <w:bookmarkStart w:id="569" w:name="_Toc300934982"/>
      <w:bookmarkStart w:id="570" w:name="_Toc304295559"/>
      <w:bookmarkStart w:id="571" w:name="_Toc312678021"/>
      <w:bookmarkStart w:id="572" w:name="_Toc303539139"/>
      <w:bookmarkStart w:id="573" w:name="_Toc312677495"/>
      <w:bookmarkStart w:id="574" w:name="_Toc297123533"/>
      <w:bookmarkStart w:id="575" w:name="_Toc297216192"/>
      <w:bookmarkStart w:id="576" w:name="_Toc292559883"/>
      <w:bookmarkStart w:id="577" w:name="_Toc296347172"/>
      <w:bookmarkStart w:id="578" w:name="_Toc296944512"/>
      <w:bookmarkStart w:id="579" w:name="_Toc292559378"/>
      <w:bookmarkStart w:id="580" w:name="_Toc296503173"/>
      <w:bookmarkStart w:id="581" w:name="_Toc296891213"/>
      <w:bookmarkStart w:id="582" w:name="_Toc267251428"/>
      <w:bookmarkStart w:id="583" w:name="_Toc297048359"/>
      <w:bookmarkStart w:id="584" w:name="_Toc296346674"/>
      <w:bookmarkStart w:id="585" w:name="_Toc297120473"/>
      <w:bookmarkStart w:id="586" w:name="_Toc296891001"/>
      <w:bookmarkStart w:id="587" w:name="_Toc267251427"/>
      <w:r>
        <w:rPr>
          <w:rFonts w:hint="eastAsia" w:ascii="微软雅黑" w:hAnsi="微软雅黑" w:eastAsia="微软雅黑" w:cs="宋体"/>
          <w:bCs/>
          <w:szCs w:val="21"/>
        </w:rPr>
        <w:t>. 试验与检验</w:t>
      </w:r>
      <w:bookmarkEnd w:id="563"/>
      <w:bookmarkEnd w:id="564"/>
      <w:bookmarkEnd w:id="565"/>
      <w:bookmarkEnd w:id="566"/>
      <w:bookmarkEnd w:id="567"/>
      <w:bookmarkEnd w:id="568"/>
    </w:p>
    <w:bookmarkEnd w:id="569"/>
    <w:bookmarkEnd w:id="570"/>
    <w:bookmarkEnd w:id="571"/>
    <w:bookmarkEnd w:id="572"/>
    <w:bookmarkEnd w:id="573"/>
    <w:bookmarkEnd w:id="574"/>
    <w:bookmarkEnd w:id="575"/>
    <w:p w14:paraId="65E6DDF3">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9</w:t>
      </w:r>
      <w:bookmarkStart w:id="588" w:name="_Toc312678022"/>
      <w:bookmarkStart w:id="589" w:name="_Toc300934983"/>
      <w:bookmarkStart w:id="590" w:name="_Toc304295560"/>
      <w:bookmarkStart w:id="591" w:name="_Toc303539140"/>
      <w:bookmarkStart w:id="592" w:name="_Toc312677496"/>
      <w:bookmarkStart w:id="593" w:name="_Toc297216193"/>
      <w:bookmarkStart w:id="594" w:name="_Toc297123534"/>
      <w:r>
        <w:rPr>
          <w:rFonts w:hint="eastAsia" w:ascii="微软雅黑" w:hAnsi="微软雅黑" w:eastAsia="微软雅黑" w:cs="宋体"/>
          <w:szCs w:val="21"/>
        </w:rPr>
        <w:t>.1试验设备与试验人员</w:t>
      </w:r>
    </w:p>
    <w:bookmarkEnd w:id="588"/>
    <w:bookmarkEnd w:id="589"/>
    <w:bookmarkEnd w:id="590"/>
    <w:bookmarkEnd w:id="591"/>
    <w:bookmarkEnd w:id="592"/>
    <w:bookmarkEnd w:id="593"/>
    <w:bookmarkEnd w:id="594"/>
    <w:p w14:paraId="542FCC07">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9</w:t>
      </w:r>
      <w:bookmarkStart w:id="595" w:name="_Toc303539141"/>
      <w:bookmarkStart w:id="596" w:name="_Toc297216194"/>
      <w:bookmarkStart w:id="597" w:name="_Toc300934984"/>
      <w:bookmarkStart w:id="598" w:name="_Toc304295561"/>
      <w:bookmarkStart w:id="599" w:name="_Toc312677497"/>
      <w:bookmarkStart w:id="600" w:name="_Toc297123535"/>
      <w:bookmarkStart w:id="601" w:name="_Toc312678023"/>
      <w:bookmarkStart w:id="602" w:name="_Toc318581174"/>
      <w:r>
        <w:rPr>
          <w:rFonts w:hint="eastAsia" w:ascii="微软雅黑" w:hAnsi="微软雅黑" w:eastAsia="微软雅黑" w:cs="宋体"/>
          <w:szCs w:val="21"/>
        </w:rPr>
        <w:t>.1.2 试验设备</w:t>
      </w:r>
    </w:p>
    <w:p w14:paraId="7F5BA0F6">
      <w:pPr>
        <w:spacing w:line="360" w:lineRule="auto"/>
        <w:jc w:val="left"/>
        <w:rPr>
          <w:rFonts w:ascii="微软雅黑" w:hAnsi="微软雅黑" w:eastAsia="微软雅黑" w:cs="宋体"/>
          <w:szCs w:val="21"/>
        </w:rPr>
      </w:pPr>
      <w:r>
        <w:rPr>
          <w:rFonts w:hint="eastAsia" w:ascii="微软雅黑" w:hAnsi="微软雅黑" w:eastAsia="微软雅黑" w:cs="宋体"/>
          <w:szCs w:val="21"/>
        </w:rPr>
        <w:t>施工现场需要配置的试验场所：</w:t>
      </w:r>
      <w:bookmarkEnd w:id="595"/>
      <w:bookmarkEnd w:id="596"/>
      <w:bookmarkEnd w:id="597"/>
      <w:bookmarkEnd w:id="598"/>
      <w:bookmarkEnd w:id="599"/>
      <w:bookmarkEnd w:id="600"/>
      <w:bookmarkEnd w:id="601"/>
      <w:bookmarkStart w:id="603" w:name="_Toc312677498"/>
      <w:bookmarkStart w:id="604" w:name="_Toc312678024"/>
      <w:bookmarkStart w:id="605" w:name="_Toc304295562"/>
      <w:bookmarkStart w:id="606" w:name="_Toc297216195"/>
      <w:bookmarkStart w:id="607" w:name="_Toc303539142"/>
      <w:bookmarkStart w:id="608" w:name="_Toc297123536"/>
      <w:bookmarkStart w:id="609" w:name="_Toc300934985"/>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 xml:space="preserve">。 </w:t>
      </w:r>
    </w:p>
    <w:p w14:paraId="73D14058">
      <w:pPr>
        <w:spacing w:line="360" w:lineRule="auto"/>
        <w:jc w:val="left"/>
        <w:rPr>
          <w:rFonts w:ascii="微软雅黑" w:hAnsi="微软雅黑" w:eastAsia="微软雅黑" w:cs="宋体"/>
          <w:szCs w:val="21"/>
        </w:rPr>
      </w:pPr>
      <w:r>
        <w:rPr>
          <w:rFonts w:hint="eastAsia" w:ascii="微软雅黑" w:hAnsi="微软雅黑" w:eastAsia="微软雅黑" w:cs="宋体"/>
          <w:szCs w:val="21"/>
        </w:rPr>
        <w:t>施工现场需要配备的试验设备：</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p w14:paraId="4B4D06DF">
      <w:pPr>
        <w:spacing w:line="360" w:lineRule="auto"/>
        <w:jc w:val="left"/>
        <w:rPr>
          <w:rFonts w:ascii="微软雅黑" w:hAnsi="微软雅黑" w:eastAsia="微软雅黑" w:cs="宋体"/>
          <w:szCs w:val="21"/>
        </w:rPr>
      </w:pPr>
      <w:r>
        <w:rPr>
          <w:rFonts w:hint="eastAsia" w:ascii="微软雅黑" w:hAnsi="微软雅黑" w:eastAsia="微软雅黑" w:cs="宋体"/>
          <w:szCs w:val="21"/>
        </w:rPr>
        <w:t>施工现场需要具备的其他试验条件：</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p w14:paraId="2078EC14">
      <w:pPr>
        <w:spacing w:after="120" w:line="360" w:lineRule="auto"/>
        <w:ind w:firstLine="420" w:firstLineChars="200"/>
        <w:outlineLvl w:val="0"/>
        <w:rPr>
          <w:rFonts w:ascii="微软雅黑" w:hAnsi="微软雅黑" w:eastAsia="微软雅黑" w:cs="宋体"/>
          <w:szCs w:val="21"/>
        </w:rPr>
      </w:pPr>
      <w:bookmarkStart w:id="610" w:name="_Toc7925"/>
      <w:bookmarkStart w:id="611" w:name="_Toc199"/>
      <w:bookmarkStart w:id="612" w:name="_Toc12960"/>
      <w:bookmarkStart w:id="613" w:name="_Toc4345"/>
      <w:bookmarkStart w:id="614" w:name="_Toc14472"/>
      <w:bookmarkStart w:id="615" w:name="_Toc29391"/>
      <w:bookmarkStart w:id="616" w:name="_Toc11047"/>
      <w:r>
        <w:rPr>
          <w:rFonts w:hint="eastAsia" w:ascii="微软雅黑" w:hAnsi="微软雅黑" w:eastAsia="微软雅黑" w:cs="宋体"/>
          <w:szCs w:val="21"/>
        </w:rPr>
        <w:t>9.4 现场工艺试验</w:t>
      </w:r>
      <w:bookmarkEnd w:id="610"/>
      <w:bookmarkEnd w:id="611"/>
      <w:bookmarkEnd w:id="612"/>
      <w:bookmarkEnd w:id="613"/>
      <w:bookmarkEnd w:id="614"/>
      <w:bookmarkEnd w:id="615"/>
      <w:bookmarkEnd w:id="616"/>
    </w:p>
    <w:p w14:paraId="10CA2E8A">
      <w:pPr>
        <w:spacing w:line="360" w:lineRule="auto"/>
        <w:jc w:val="left"/>
        <w:rPr>
          <w:rFonts w:ascii="微软雅黑" w:hAnsi="微软雅黑" w:eastAsia="微软雅黑" w:cs="宋体"/>
          <w:szCs w:val="21"/>
        </w:rPr>
      </w:pPr>
      <w:r>
        <w:rPr>
          <w:rFonts w:hint="eastAsia" w:ascii="微软雅黑" w:hAnsi="微软雅黑" w:eastAsia="微软雅黑" w:cs="宋体"/>
          <w:szCs w:val="21"/>
        </w:rPr>
        <w:t>现场工艺试验的有关约定：</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bookmarkEnd w:id="602"/>
    <w:bookmarkEnd w:id="603"/>
    <w:bookmarkEnd w:id="604"/>
    <w:bookmarkEnd w:id="605"/>
    <w:bookmarkEnd w:id="606"/>
    <w:bookmarkEnd w:id="607"/>
    <w:bookmarkEnd w:id="608"/>
    <w:bookmarkEnd w:id="609"/>
    <w:p w14:paraId="2C84445B">
      <w:pPr>
        <w:widowControl/>
        <w:spacing w:before="120" w:beforeAutospacing="1" w:after="120" w:afterAutospacing="1" w:line="360" w:lineRule="auto"/>
        <w:jc w:val="left"/>
        <w:outlineLvl w:val="3"/>
        <w:rPr>
          <w:rFonts w:ascii="微软雅黑" w:hAnsi="微软雅黑" w:eastAsia="微软雅黑" w:cs="宋体"/>
          <w:bCs/>
          <w:szCs w:val="21"/>
        </w:rPr>
      </w:pPr>
      <w:bookmarkStart w:id="617" w:name="_Toc12442"/>
      <w:bookmarkStart w:id="618" w:name="_Toc25576"/>
      <w:bookmarkStart w:id="619" w:name="_Toc3918"/>
      <w:bookmarkStart w:id="620" w:name="_Toc351203642"/>
      <w:bookmarkStart w:id="621" w:name="_Toc24941"/>
      <w:bookmarkStart w:id="622" w:name="_Toc2916"/>
      <w:r>
        <w:rPr>
          <w:rFonts w:hint="eastAsia" w:ascii="微软雅黑" w:hAnsi="微软雅黑" w:eastAsia="微软雅黑" w:cs="宋体"/>
          <w:bCs/>
          <w:szCs w:val="21"/>
        </w:rPr>
        <w:t>1</w:t>
      </w:r>
      <w:bookmarkEnd w:id="576"/>
      <w:bookmarkEnd w:id="577"/>
      <w:bookmarkEnd w:id="578"/>
      <w:bookmarkEnd w:id="579"/>
      <w:bookmarkEnd w:id="580"/>
      <w:bookmarkEnd w:id="581"/>
      <w:bookmarkEnd w:id="582"/>
      <w:bookmarkEnd w:id="583"/>
      <w:bookmarkEnd w:id="584"/>
      <w:bookmarkEnd w:id="585"/>
      <w:bookmarkEnd w:id="586"/>
      <w:bookmarkEnd w:id="587"/>
      <w:bookmarkStart w:id="623" w:name="_Toc296891233"/>
      <w:bookmarkStart w:id="624" w:name="_Toc296944532"/>
      <w:bookmarkStart w:id="625" w:name="_Toc300934989"/>
      <w:bookmarkStart w:id="626" w:name="_Toc297123540"/>
      <w:bookmarkStart w:id="627" w:name="_Toc297120493"/>
      <w:bookmarkStart w:id="628" w:name="_Toc297216199"/>
      <w:bookmarkStart w:id="629" w:name="_Toc292559903"/>
      <w:bookmarkStart w:id="630" w:name="_Toc296891021"/>
      <w:bookmarkStart w:id="631" w:name="_Toc303539146"/>
      <w:bookmarkStart w:id="632" w:name="_Toc297048379"/>
      <w:bookmarkStart w:id="633" w:name="_Toc296347192"/>
      <w:bookmarkStart w:id="634" w:name="_Toc292559398"/>
      <w:bookmarkStart w:id="635" w:name="_Toc296503193"/>
      <w:bookmarkStart w:id="636" w:name="_Toc304295566"/>
      <w:bookmarkStart w:id="637" w:name="_Toc296346694"/>
      <w:bookmarkStart w:id="638" w:name="_Toc312677499"/>
      <w:bookmarkStart w:id="639" w:name="_Toc312678025"/>
      <w:bookmarkStart w:id="640" w:name="_Toc267251440"/>
      <w:bookmarkStart w:id="641" w:name="_Toc267251441"/>
      <w:bookmarkStart w:id="642" w:name="_Toc267251437"/>
      <w:bookmarkStart w:id="643" w:name="_Toc267251439"/>
      <w:bookmarkStart w:id="644" w:name="_Toc267251435"/>
      <w:bookmarkStart w:id="645" w:name="_Toc267251433"/>
      <w:bookmarkStart w:id="646" w:name="_Toc267251442"/>
      <w:r>
        <w:rPr>
          <w:rFonts w:hint="eastAsia" w:ascii="微软雅黑" w:hAnsi="微软雅黑" w:eastAsia="微软雅黑" w:cs="宋体"/>
          <w:bCs/>
          <w:szCs w:val="21"/>
        </w:rPr>
        <w:t>0. 变更</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bookmarkEnd w:id="638"/>
    <w:bookmarkEnd w:id="639"/>
    <w:p w14:paraId="3B04F3A9">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w:t>
      </w:r>
      <w:bookmarkStart w:id="647" w:name="_Toc297048380"/>
      <w:bookmarkStart w:id="648" w:name="_Toc312678026"/>
      <w:bookmarkStart w:id="649" w:name="_Toc304295567"/>
      <w:bookmarkStart w:id="650" w:name="_Toc297216200"/>
      <w:bookmarkStart w:id="651" w:name="_Toc312677500"/>
      <w:bookmarkStart w:id="652" w:name="_Toc296944533"/>
      <w:bookmarkStart w:id="653" w:name="_Toc292559904"/>
      <w:bookmarkStart w:id="654" w:name="_Toc296891022"/>
      <w:bookmarkStart w:id="655" w:name="_Toc296346695"/>
      <w:bookmarkStart w:id="656" w:name="_Toc300934990"/>
      <w:bookmarkStart w:id="657" w:name="_Toc297120494"/>
      <w:bookmarkStart w:id="658" w:name="_Toc296891234"/>
      <w:bookmarkStart w:id="659" w:name="_Toc296503194"/>
      <w:bookmarkStart w:id="660" w:name="_Toc297123541"/>
      <w:bookmarkStart w:id="661" w:name="_Toc292559399"/>
      <w:bookmarkStart w:id="662" w:name="_Toc303539147"/>
      <w:bookmarkStart w:id="663" w:name="_Toc296347193"/>
      <w:r>
        <w:rPr>
          <w:rFonts w:hint="eastAsia" w:ascii="微软雅黑" w:hAnsi="微软雅黑" w:eastAsia="微软雅黑" w:cs="宋体"/>
          <w:szCs w:val="21"/>
        </w:rPr>
        <w:t>0.1变更的范围</w:t>
      </w:r>
    </w:p>
    <w:p w14:paraId="680A1589">
      <w:pPr>
        <w:snapToGrid w:val="0"/>
        <w:spacing w:line="360" w:lineRule="auto"/>
        <w:ind w:firstLine="420" w:firstLineChars="200"/>
        <w:rPr>
          <w:rFonts w:ascii="微软雅黑" w:hAnsi="微软雅黑" w:eastAsia="微软雅黑" w:cs="宋体"/>
          <w:bCs/>
          <w:szCs w:val="21"/>
          <w:u w:val="single"/>
        </w:rPr>
      </w:pPr>
      <w:r>
        <w:rPr>
          <w:rFonts w:hint="eastAsia" w:ascii="微软雅黑" w:hAnsi="微软雅黑" w:eastAsia="微软雅黑" w:cs="宋体"/>
          <w:szCs w:val="21"/>
        </w:rPr>
        <w:t>关于变更的范围的约定：</w:t>
      </w:r>
      <w:r>
        <w:rPr>
          <w:rFonts w:hint="eastAsia" w:ascii="微软雅黑" w:hAnsi="微软雅黑" w:eastAsia="微软雅黑" w:cs="宋体"/>
          <w:bCs/>
          <w:szCs w:val="21"/>
          <w:u w:val="single"/>
        </w:rPr>
        <w:t>设计变更、施工变更及招标范围外的增项均属工程变更。工程变更必须按程序先审批后实施。所有工程变更必须征得发包人的同意签认后，才可以实施。承包人不得直接向设计单位提出设计变更，确需进行设计变更的，由承包人向监理工程师和发包人提出，经监理工程师和发包人同意后，由发包人向设计单位提出进行设计变更。</w:t>
      </w:r>
    </w:p>
    <w:p w14:paraId="77C3A5A3">
      <w:pPr>
        <w:snapToGrid w:val="0"/>
        <w:spacing w:line="360" w:lineRule="auto"/>
        <w:ind w:firstLine="420" w:firstLineChars="200"/>
        <w:rPr>
          <w:rFonts w:ascii="微软雅黑" w:hAnsi="微软雅黑" w:eastAsia="微软雅黑" w:cs="宋体"/>
          <w:szCs w:val="21"/>
        </w:rPr>
      </w:pPr>
      <w:r>
        <w:rPr>
          <w:rFonts w:hint="eastAsia" w:ascii="微软雅黑" w:hAnsi="微软雅黑" w:eastAsia="微软雅黑" w:cs="宋体"/>
          <w:bCs/>
          <w:szCs w:val="21"/>
          <w:u w:val="single"/>
        </w:rPr>
        <w:t>施工中发生工程变更，承包人按照经发包人认可的变更设计文件及现场签证单，进行变更施工</w:t>
      </w:r>
      <w:r>
        <w:rPr>
          <w:rFonts w:hint="eastAsia" w:ascii="微软雅黑" w:hAnsi="微软雅黑" w:eastAsia="微软雅黑" w:cs="宋体"/>
          <w:szCs w:val="21"/>
        </w:rPr>
        <w:t>。</w:t>
      </w:r>
    </w:p>
    <w:p w14:paraId="79C457D8">
      <w:pPr>
        <w:spacing w:after="120" w:line="360" w:lineRule="auto"/>
        <w:ind w:firstLine="420" w:firstLineChars="200"/>
        <w:outlineLvl w:val="0"/>
        <w:rPr>
          <w:rFonts w:ascii="微软雅黑" w:hAnsi="微软雅黑" w:eastAsia="微软雅黑" w:cs="宋体"/>
          <w:szCs w:val="21"/>
        </w:rPr>
      </w:pPr>
      <w:bookmarkStart w:id="664" w:name="_Toc21039"/>
      <w:bookmarkStart w:id="665" w:name="_Toc21835"/>
      <w:bookmarkStart w:id="666" w:name="_Toc18874"/>
      <w:bookmarkStart w:id="667" w:name="_Toc13026"/>
      <w:bookmarkStart w:id="668" w:name="_Toc3733"/>
      <w:bookmarkStart w:id="669" w:name="_Toc27215"/>
      <w:bookmarkStart w:id="670" w:name="_Toc9263"/>
      <w:r>
        <w:rPr>
          <w:rFonts w:hint="eastAsia" w:ascii="微软雅黑" w:hAnsi="微软雅黑" w:eastAsia="微软雅黑" w:cs="宋体"/>
          <w:szCs w:val="21"/>
        </w:rPr>
        <w:t>10.4 变更估价</w:t>
      </w:r>
      <w:bookmarkEnd w:id="664"/>
      <w:bookmarkEnd w:id="665"/>
      <w:bookmarkEnd w:id="666"/>
      <w:bookmarkEnd w:id="667"/>
      <w:bookmarkEnd w:id="668"/>
      <w:bookmarkEnd w:id="669"/>
      <w:bookmarkEnd w:id="670"/>
    </w:p>
    <w:p w14:paraId="69D6EAE1">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10.4.1 变更估价原则</w:t>
      </w:r>
    </w:p>
    <w:p w14:paraId="2F8F88EE">
      <w:pPr>
        <w:spacing w:line="360" w:lineRule="auto"/>
        <w:ind w:firstLine="420" w:firstLineChars="200"/>
        <w:jc w:val="left"/>
        <w:rPr>
          <w:rFonts w:ascii="微软雅黑" w:hAnsi="微软雅黑" w:eastAsia="微软雅黑" w:cs="宋体"/>
          <w:bCs/>
          <w:kern w:val="0"/>
          <w:szCs w:val="21"/>
        </w:rPr>
      </w:pPr>
      <w:r>
        <w:rPr>
          <w:rFonts w:ascii="微软雅黑" w:hAnsi="微软雅黑" w:eastAsia="微软雅黑" w:cs="宋体"/>
          <w:szCs w:val="21"/>
        </w:rPr>
        <w:t xml:space="preserve">关于变更估价的约定:  </w:t>
      </w:r>
      <w:r>
        <w:rPr>
          <w:rFonts w:ascii="微软雅黑" w:hAnsi="微软雅黑" w:eastAsia="微软雅黑" w:cs="宋体"/>
          <w:bCs/>
          <w:kern w:val="0"/>
          <w:szCs w:val="21"/>
        </w:rPr>
        <w:t>施工过程中发生工程变更（须经发包人认可的变更），以发包人、监理工程师按照《建设工程工程量清单计价规范》共同认可的尺寸、断面计算，并按以下办法计价：</w:t>
      </w:r>
    </w:p>
    <w:p w14:paraId="3B3829D2">
      <w:pPr>
        <w:spacing w:after="120"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①工程内容与已标价工程量清单中有相同的子项或类似子项，则按投标时的相同子项或类似子项的综合单价执行（类似子项及其综合单价由采购人审定）；</w:t>
      </w:r>
    </w:p>
    <w:p w14:paraId="308F2C8A">
      <w:pPr>
        <w:spacing w:after="120"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②工程内容如有与已标价工程量清单不同的子项（既无相同子项，又无类似子项），按重庆市2018年系列计价定额、2018年《重庆市建设工程费用定额》、《重庆市城乡建设委员会关于建筑业营业税改征增值税调整建设工程计价依据的通知》（渝建发[2016]35号）、《重庆市城乡建设委员会关于适用增值税新税率调整建设工程计价依据的通知》（渝建〔2018〕195号）及相关配套文件计算后，再按承包人报价浮动率【承包人报价浮动率=（1-中标价/投标总报价最高限价）×100%】进行下浮后结算【其中：人工工日单价参照2019年第7期《重庆工程造价信息》公布的主城区的不含税价格执行；材料单价按施工有效期内的《重庆工程造价信息》公布的不含税材料信息价的算术平均值计算（《重庆工程造价信息》公布了主城区的材料价格的，按主城区的不含税材料价格算术平均值计算），《重庆工程造价信息》中没有的材料结合铜梁区市场行情认质核价；下浮基数不含安全文明施工费、认质核价的材料费、规费、税金】；</w:t>
      </w:r>
    </w:p>
    <w:p w14:paraId="0BE30BF6">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Start w:id="671" w:name="_Toc296503197"/>
      <w:bookmarkStart w:id="672" w:name="_Toc296891237"/>
      <w:bookmarkStart w:id="673" w:name="_Toc297048383"/>
      <w:bookmarkStart w:id="674" w:name="_Toc297216203"/>
      <w:bookmarkStart w:id="675" w:name="_Toc296346698"/>
      <w:bookmarkStart w:id="676" w:name="_Toc292559402"/>
      <w:bookmarkStart w:id="677" w:name="_Toc297120497"/>
      <w:bookmarkStart w:id="678" w:name="_Toc296347196"/>
      <w:bookmarkStart w:id="679" w:name="_Toc303539150"/>
      <w:bookmarkStart w:id="680" w:name="_Toc300934993"/>
      <w:bookmarkStart w:id="681" w:name="_Toc296944536"/>
      <w:bookmarkStart w:id="682" w:name="_Toc292559907"/>
      <w:bookmarkStart w:id="683" w:name="_Toc296891025"/>
      <w:bookmarkStart w:id="684" w:name="_Toc297123544"/>
      <w:bookmarkStart w:id="685" w:name="_Toc304295570"/>
      <w:bookmarkStart w:id="686" w:name="_Toc312678029"/>
      <w:bookmarkStart w:id="687" w:name="_Toc312677503"/>
      <w:r>
        <w:rPr>
          <w:rFonts w:hint="eastAsia" w:ascii="微软雅黑" w:hAnsi="微软雅黑" w:eastAsia="微软雅黑" w:cs="宋体"/>
          <w:szCs w:val="21"/>
        </w:rPr>
        <w:t>0.5承</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Start w:id="688" w:name="_Toc296891031"/>
      <w:bookmarkStart w:id="689" w:name="_Toc297123545"/>
      <w:bookmarkStart w:id="690" w:name="_Toc296891243"/>
      <w:bookmarkStart w:id="691" w:name="_Toc297048389"/>
      <w:bookmarkStart w:id="692" w:name="_Toc292559408"/>
      <w:bookmarkStart w:id="693" w:name="_Toc297120503"/>
      <w:bookmarkStart w:id="694" w:name="_Toc297216204"/>
      <w:bookmarkStart w:id="695" w:name="_Toc296944542"/>
      <w:bookmarkStart w:id="696" w:name="_Toc300934994"/>
      <w:bookmarkStart w:id="697" w:name="_Toc296346704"/>
      <w:bookmarkStart w:id="698" w:name="_Toc303539151"/>
      <w:bookmarkStart w:id="699" w:name="_Toc292559913"/>
      <w:bookmarkStart w:id="700" w:name="_Toc296347202"/>
      <w:bookmarkStart w:id="701" w:name="_Toc296503203"/>
      <w:r>
        <w:rPr>
          <w:rFonts w:hint="eastAsia" w:ascii="微软雅黑" w:hAnsi="微软雅黑" w:eastAsia="微软雅黑" w:cs="宋体"/>
          <w:szCs w:val="21"/>
        </w:rPr>
        <w:t>包人的合理化建议</w:t>
      </w:r>
    </w:p>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14:paraId="1D8500A7">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监理人审查承包人合理化建议的期限：</w:t>
      </w:r>
      <w:r>
        <w:rPr>
          <w:rFonts w:hint="eastAsia" w:ascii="微软雅黑" w:hAnsi="微软雅黑" w:eastAsia="微软雅黑" w:cs="宋体"/>
          <w:szCs w:val="21"/>
          <w:u w:val="single"/>
        </w:rPr>
        <w:t xml:space="preserve">   按通用条款执行    </w:t>
      </w:r>
      <w:r>
        <w:rPr>
          <w:rFonts w:hint="eastAsia" w:ascii="微软雅黑" w:hAnsi="微软雅黑" w:eastAsia="微软雅黑" w:cs="宋体"/>
          <w:szCs w:val="21"/>
        </w:rPr>
        <w:t>。</w:t>
      </w:r>
    </w:p>
    <w:p w14:paraId="6A977A46">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发包人审批承包人合理化建议的期限：</w:t>
      </w:r>
      <w:r>
        <w:rPr>
          <w:rFonts w:hint="eastAsia" w:ascii="微软雅黑" w:hAnsi="微软雅黑" w:eastAsia="微软雅黑" w:cs="宋体"/>
          <w:szCs w:val="21"/>
          <w:u w:val="single"/>
        </w:rPr>
        <w:t xml:space="preserve">    按通用条款执行  </w:t>
      </w:r>
      <w:r>
        <w:rPr>
          <w:rFonts w:hint="eastAsia" w:ascii="微软雅黑" w:hAnsi="微软雅黑" w:eastAsia="微软雅黑" w:cs="宋体"/>
          <w:szCs w:val="21"/>
        </w:rPr>
        <w:t>。</w:t>
      </w:r>
    </w:p>
    <w:p w14:paraId="5E08194D">
      <w:pPr>
        <w:spacing w:line="360" w:lineRule="auto"/>
        <w:jc w:val="left"/>
        <w:rPr>
          <w:rFonts w:ascii="微软雅黑" w:hAnsi="微软雅黑" w:eastAsia="微软雅黑" w:cs="宋体"/>
          <w:szCs w:val="21"/>
          <w:u w:val="single"/>
        </w:rPr>
      </w:pPr>
      <w:r>
        <w:rPr>
          <w:rFonts w:hint="eastAsia" w:ascii="微软雅黑" w:hAnsi="微软雅黑" w:eastAsia="微软雅黑" w:cs="宋体"/>
          <w:szCs w:val="21"/>
        </w:rPr>
        <w:t>承</w:t>
      </w:r>
      <w:bookmarkStart w:id="702" w:name="_Toc292559409"/>
      <w:bookmarkStart w:id="703" w:name="_Toc296347203"/>
      <w:bookmarkStart w:id="704" w:name="_Toc312678030"/>
      <w:bookmarkStart w:id="705" w:name="_Toc303539152"/>
      <w:bookmarkStart w:id="706" w:name="_Toc312677504"/>
      <w:bookmarkStart w:id="707" w:name="_Toc296891032"/>
      <w:bookmarkStart w:id="708" w:name="_Toc297120504"/>
      <w:bookmarkStart w:id="709" w:name="_Toc297123546"/>
      <w:bookmarkStart w:id="710" w:name="_Toc292559914"/>
      <w:bookmarkStart w:id="711" w:name="_Toc304295571"/>
      <w:bookmarkStart w:id="712" w:name="_Toc318581175"/>
      <w:bookmarkStart w:id="713" w:name="_Toc296891244"/>
      <w:bookmarkStart w:id="714" w:name="_Toc296346705"/>
      <w:bookmarkStart w:id="715" w:name="_Toc297048390"/>
      <w:bookmarkStart w:id="716" w:name="_Toc296503204"/>
      <w:bookmarkStart w:id="717" w:name="_Toc300934995"/>
      <w:bookmarkStart w:id="718" w:name="_Toc297216205"/>
      <w:bookmarkStart w:id="719" w:name="_Toc296944543"/>
      <w:r>
        <w:rPr>
          <w:rFonts w:hint="eastAsia" w:ascii="微软雅黑" w:hAnsi="微软雅黑" w:eastAsia="微软雅黑" w:cs="宋体"/>
          <w:szCs w:val="21"/>
        </w:rPr>
        <w:t>包人提出的合理化建议降低了合同价格或者提高了工程经济效益的奖励的方法和金额为：</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p>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14:paraId="1FCB22BC">
      <w:pPr>
        <w:spacing w:after="120" w:line="360" w:lineRule="auto"/>
        <w:ind w:firstLine="420" w:firstLineChars="200"/>
        <w:outlineLvl w:val="0"/>
        <w:rPr>
          <w:rFonts w:ascii="微软雅黑" w:hAnsi="微软雅黑" w:eastAsia="微软雅黑" w:cs="宋体"/>
          <w:szCs w:val="21"/>
        </w:rPr>
      </w:pPr>
      <w:bookmarkStart w:id="720" w:name="_Toc19559"/>
      <w:bookmarkStart w:id="721" w:name="_Toc2962"/>
      <w:bookmarkStart w:id="722" w:name="_Toc23701"/>
      <w:bookmarkStart w:id="723" w:name="_Toc15880"/>
      <w:bookmarkStart w:id="724" w:name="_Toc24830"/>
      <w:bookmarkStart w:id="725" w:name="_Toc22865"/>
      <w:bookmarkStart w:id="726" w:name="_Toc26527"/>
      <w:r>
        <w:rPr>
          <w:rFonts w:hint="eastAsia" w:ascii="微软雅黑" w:hAnsi="微软雅黑" w:eastAsia="微软雅黑" w:cs="宋体"/>
          <w:szCs w:val="21"/>
        </w:rPr>
        <w:t>1</w:t>
      </w:r>
      <w:bookmarkStart w:id="727" w:name="_Toc292559909"/>
      <w:bookmarkStart w:id="728" w:name="_Toc296944538"/>
      <w:bookmarkStart w:id="729" w:name="_Toc296346700"/>
      <w:bookmarkStart w:id="730" w:name="_Toc296503199"/>
      <w:bookmarkStart w:id="731" w:name="_Toc297123548"/>
      <w:bookmarkStart w:id="732" w:name="_Toc296891239"/>
      <w:bookmarkStart w:id="733" w:name="_Toc304295574"/>
      <w:bookmarkStart w:id="734" w:name="_Toc292559404"/>
      <w:bookmarkStart w:id="735" w:name="_Toc297216207"/>
      <w:bookmarkStart w:id="736" w:name="_Toc300934997"/>
      <w:bookmarkStart w:id="737" w:name="_Toc312678033"/>
      <w:bookmarkStart w:id="738" w:name="_Toc312677507"/>
      <w:bookmarkStart w:id="739" w:name="_Toc296347198"/>
      <w:bookmarkStart w:id="740" w:name="_Toc297048385"/>
      <w:bookmarkStart w:id="741" w:name="_Toc303539154"/>
      <w:bookmarkStart w:id="742" w:name="_Toc296891027"/>
      <w:bookmarkStart w:id="743" w:name="_Toc297120499"/>
      <w:r>
        <w:rPr>
          <w:rFonts w:hint="eastAsia" w:ascii="微软雅黑" w:hAnsi="微软雅黑" w:eastAsia="微软雅黑" w:cs="宋体"/>
          <w:szCs w:val="21"/>
        </w:rPr>
        <w:t>0.7 暂估价</w:t>
      </w:r>
      <w:bookmarkEnd w:id="720"/>
      <w:bookmarkEnd w:id="721"/>
      <w:bookmarkEnd w:id="722"/>
      <w:bookmarkEnd w:id="723"/>
      <w:bookmarkEnd w:id="724"/>
      <w:bookmarkEnd w:id="725"/>
      <w:bookmarkEnd w:id="726"/>
    </w:p>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14:paraId="6DD9A3BB">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kern w:val="0"/>
          <w:szCs w:val="21"/>
        </w:rPr>
        <w:t>暂</w:t>
      </w:r>
      <w:bookmarkStart w:id="744" w:name="_Toc312678034"/>
      <w:bookmarkStart w:id="745" w:name="_Toc312677508"/>
      <w:bookmarkStart w:id="746" w:name="_Toc318581176"/>
      <w:r>
        <w:rPr>
          <w:rFonts w:hint="eastAsia" w:ascii="微软雅黑" w:hAnsi="微软雅黑" w:eastAsia="微软雅黑" w:cs="宋体"/>
          <w:kern w:val="0"/>
          <w:szCs w:val="21"/>
        </w:rPr>
        <w:t>估价材料和工程设备的明细详见附件11：《</w:t>
      </w:r>
      <w:r>
        <w:rPr>
          <w:rFonts w:hint="eastAsia" w:ascii="微软雅黑" w:hAnsi="微软雅黑" w:eastAsia="微软雅黑" w:cs="宋体"/>
          <w:szCs w:val="21"/>
        </w:rPr>
        <w:t>暂估价一览表》</w:t>
      </w:r>
      <w:r>
        <w:rPr>
          <w:rFonts w:hint="eastAsia" w:ascii="微软雅黑" w:hAnsi="微软雅黑" w:eastAsia="微软雅黑" w:cs="宋体"/>
          <w:kern w:val="0"/>
          <w:szCs w:val="21"/>
        </w:rPr>
        <w:t>。</w:t>
      </w:r>
    </w:p>
    <w:bookmarkEnd w:id="744"/>
    <w:bookmarkEnd w:id="745"/>
    <w:bookmarkEnd w:id="746"/>
    <w:p w14:paraId="5C728B9C">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w:t>
      </w:r>
      <w:bookmarkStart w:id="747" w:name="_Toc318581177"/>
      <w:bookmarkStart w:id="748" w:name="_Toc312677509"/>
      <w:bookmarkStart w:id="749" w:name="_Toc312678035"/>
      <w:r>
        <w:rPr>
          <w:rFonts w:hint="eastAsia" w:ascii="微软雅黑" w:hAnsi="微软雅黑" w:eastAsia="微软雅黑" w:cs="宋体"/>
          <w:szCs w:val="21"/>
        </w:rPr>
        <w:t>0.7.1 依法必须招标的暂估价项目</w:t>
      </w:r>
    </w:p>
    <w:bookmarkEnd w:id="747"/>
    <w:bookmarkEnd w:id="748"/>
    <w:bookmarkEnd w:id="749"/>
    <w:p w14:paraId="7543C354">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对于依法必须招标的暂估价项目的确认和批准采取第</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种方式确定。</w:t>
      </w:r>
    </w:p>
    <w:p w14:paraId="02C16F57">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10.7.2 不属于依法必须招标的暂估价项目</w:t>
      </w:r>
    </w:p>
    <w:p w14:paraId="1DA10A1D">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对于不属于依法必须招标的暂估价项目的确认和批准采取第</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 xml:space="preserve"> 种方式确定。</w:t>
      </w:r>
    </w:p>
    <w:p w14:paraId="0C1161D7">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szCs w:val="21"/>
        </w:rPr>
        <w:t>第3种方式：</w:t>
      </w:r>
      <w:r>
        <w:rPr>
          <w:rFonts w:hint="eastAsia" w:ascii="微软雅黑" w:hAnsi="微软雅黑" w:eastAsia="微软雅黑" w:cs="宋体"/>
          <w:kern w:val="0"/>
          <w:szCs w:val="21"/>
        </w:rPr>
        <w:t>承包人直接实施的暂估价项目</w:t>
      </w:r>
    </w:p>
    <w:p w14:paraId="1BF92D5B">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承包人直接实施的暂估价项目的约定：</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p>
    <w:p w14:paraId="3786743B">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10.8 暂列金额</w:t>
      </w:r>
    </w:p>
    <w:p w14:paraId="4DB289C5">
      <w:pPr>
        <w:autoSpaceDE w:val="0"/>
        <w:autoSpaceDN w:val="0"/>
        <w:adjustRightInd w:val="0"/>
        <w:spacing w:line="360" w:lineRule="auto"/>
        <w:jc w:val="left"/>
        <w:rPr>
          <w:rFonts w:ascii="微软雅黑" w:hAnsi="微软雅黑" w:eastAsia="微软雅黑" w:cs="宋体"/>
          <w:kern w:val="0"/>
          <w:szCs w:val="21"/>
        </w:rPr>
      </w:pPr>
      <w:r>
        <w:rPr>
          <w:rFonts w:hint="eastAsia" w:ascii="微软雅黑" w:hAnsi="微软雅黑" w:eastAsia="微软雅黑" w:cs="宋体"/>
          <w:kern w:val="0"/>
          <w:szCs w:val="21"/>
        </w:rPr>
        <w:t>合同当事人关于暂列金额使用的约定：</w:t>
      </w:r>
      <w:r>
        <w:rPr>
          <w:rFonts w:hint="eastAsia" w:ascii="微软雅黑" w:hAnsi="微软雅黑" w:eastAsia="微软雅黑" w:cs="宋体"/>
          <w:szCs w:val="21"/>
          <w:u w:val="single"/>
        </w:rPr>
        <w:t xml:space="preserve">  由发包人、承包人、监理人共同确定，未得到发包人同意而由监理人发出的使用指令，承包人不得接受    </w:t>
      </w:r>
      <w:r>
        <w:rPr>
          <w:rFonts w:hint="eastAsia" w:ascii="微软雅黑" w:hAnsi="微软雅黑" w:eastAsia="微软雅黑" w:cs="宋体"/>
          <w:kern w:val="0"/>
          <w:szCs w:val="21"/>
        </w:rPr>
        <w:t>。</w:t>
      </w:r>
    </w:p>
    <w:p w14:paraId="07B681A0">
      <w:pPr>
        <w:widowControl/>
        <w:spacing w:before="120" w:beforeAutospacing="1" w:after="120" w:afterAutospacing="1" w:line="360" w:lineRule="auto"/>
        <w:jc w:val="left"/>
        <w:outlineLvl w:val="3"/>
        <w:rPr>
          <w:rFonts w:ascii="微软雅黑" w:hAnsi="微软雅黑" w:eastAsia="微软雅黑" w:cs="宋体"/>
          <w:bCs/>
          <w:szCs w:val="21"/>
        </w:rPr>
      </w:pPr>
      <w:bookmarkStart w:id="750" w:name="_Toc21394"/>
      <w:bookmarkStart w:id="751" w:name="_Toc27373"/>
      <w:bookmarkStart w:id="752" w:name="_Toc4994"/>
      <w:bookmarkStart w:id="753" w:name="_Toc15813"/>
      <w:bookmarkStart w:id="754" w:name="_Toc29426"/>
      <w:bookmarkStart w:id="755" w:name="_Toc351203643"/>
      <w:r>
        <w:rPr>
          <w:rFonts w:hint="eastAsia" w:ascii="微软雅黑" w:hAnsi="微软雅黑" w:eastAsia="微软雅黑" w:cs="宋体"/>
          <w:bCs/>
          <w:szCs w:val="21"/>
        </w:rPr>
        <w:t>11. 价格调整</w:t>
      </w:r>
      <w:bookmarkEnd w:id="750"/>
      <w:bookmarkEnd w:id="751"/>
      <w:bookmarkEnd w:id="752"/>
      <w:bookmarkEnd w:id="753"/>
      <w:bookmarkEnd w:id="754"/>
      <w:bookmarkEnd w:id="755"/>
    </w:p>
    <w:p w14:paraId="71A735CF">
      <w:pPr>
        <w:spacing w:after="120" w:line="360" w:lineRule="auto"/>
        <w:ind w:firstLine="420" w:firstLineChars="200"/>
        <w:rPr>
          <w:rFonts w:ascii="微软雅黑" w:hAnsi="微软雅黑" w:eastAsia="微软雅黑" w:cs="宋体"/>
          <w:szCs w:val="21"/>
        </w:rPr>
      </w:pPr>
      <w:bookmarkStart w:id="756" w:name="_Toc296891029"/>
      <w:bookmarkStart w:id="757" w:name="_Toc303539157"/>
      <w:bookmarkStart w:id="758" w:name="_Toc296891241"/>
      <w:bookmarkStart w:id="759" w:name="_Toc312678039"/>
      <w:bookmarkStart w:id="760" w:name="_Toc296944540"/>
      <w:bookmarkStart w:id="761" w:name="_Toc296347200"/>
      <w:bookmarkStart w:id="762" w:name="_Toc304295577"/>
      <w:bookmarkStart w:id="763" w:name="_Toc296346702"/>
      <w:bookmarkStart w:id="764" w:name="_Toc300935000"/>
      <w:bookmarkStart w:id="765" w:name="_Toc292559406"/>
      <w:bookmarkStart w:id="766" w:name="_Toc297216209"/>
      <w:bookmarkStart w:id="767" w:name="_Toc297048387"/>
      <w:bookmarkStart w:id="768" w:name="_Toc297123550"/>
      <w:bookmarkStart w:id="769" w:name="_Toc292559911"/>
      <w:bookmarkStart w:id="770" w:name="_Toc296503201"/>
      <w:bookmarkStart w:id="771" w:name="_Toc297120501"/>
      <w:r>
        <w:rPr>
          <w:rFonts w:hint="eastAsia" w:ascii="微软雅黑" w:hAnsi="微软雅黑" w:eastAsia="微软雅黑" w:cs="宋体"/>
          <w:szCs w:val="21"/>
        </w:rPr>
        <w:t>11.1 市场价格波动引起的调整</w:t>
      </w:r>
    </w:p>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14:paraId="01C5134C">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kern w:val="0"/>
          <w:szCs w:val="21"/>
        </w:rPr>
        <w:t>市场价格波动是否调整合同价格的约定：</w:t>
      </w:r>
      <w:r>
        <w:rPr>
          <w:rFonts w:hint="eastAsia" w:ascii="微软雅黑" w:hAnsi="微软雅黑" w:eastAsia="微软雅黑" w:cs="宋体"/>
          <w:szCs w:val="21"/>
          <w:u w:val="single"/>
        </w:rPr>
        <w:t xml:space="preserve">   不调整    </w:t>
      </w:r>
      <w:r>
        <w:rPr>
          <w:rFonts w:hint="eastAsia" w:ascii="微软雅黑" w:hAnsi="微软雅黑" w:eastAsia="微软雅黑" w:cs="宋体"/>
          <w:szCs w:val="21"/>
        </w:rPr>
        <w:t>。</w:t>
      </w:r>
    </w:p>
    <w:p w14:paraId="2FC1A5B4">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因市场价格波动调整合同价格，采用以下第</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种方式对合同价格进行调整：</w:t>
      </w:r>
    </w:p>
    <w:p w14:paraId="65B7A3C8">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第1种方式：采用价格指数进行价格调整。</w:t>
      </w:r>
    </w:p>
    <w:p w14:paraId="54AE7718">
      <w:pPr>
        <w:spacing w:line="360" w:lineRule="auto"/>
        <w:ind w:firstLine="420" w:firstLineChars="200"/>
        <w:jc w:val="left"/>
        <w:rPr>
          <w:rFonts w:ascii="微软雅黑" w:hAnsi="微软雅黑" w:eastAsia="微软雅黑" w:cs="宋体"/>
          <w:szCs w:val="21"/>
          <w:u w:val="single"/>
        </w:rPr>
      </w:pPr>
      <w:r>
        <w:rPr>
          <w:rFonts w:hint="eastAsia" w:ascii="微软雅黑" w:hAnsi="微软雅黑" w:eastAsia="微软雅黑" w:cs="宋体"/>
          <w:szCs w:val="21"/>
        </w:rPr>
        <w:t>关于各可调因子、定值和变值权重，以及基本价格指数及其来源的约定：</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 xml:space="preserve">；  </w:t>
      </w:r>
    </w:p>
    <w:p w14:paraId="64343372">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第2种方式：采用造价信息进行价格调整。</w:t>
      </w:r>
    </w:p>
    <w:p w14:paraId="191A1A9E">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（2）关于基准价格的约定：</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p w14:paraId="3AEFF7CF">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专用合同条款①承包人在已标价工程量清单或预算书中载明的材料单价低于基准价格的：专用合同条款合同履行期间材料单价涨幅以基准价格为基础超过</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%时，或材料单价跌幅以已标价工程量清单或预算书中载明材料单价为基础超过</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%时，其超过部分据实调整。</w:t>
      </w:r>
    </w:p>
    <w:p w14:paraId="3089BED1">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②承包人在已标价工程量清单或预算书中载明的材料单价高于基准价格的：专用合同条款合同履行期间材料单价跌幅以基准价格为基础超过</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%时，材料单价涨幅以已标价工程量清单或预算书中载明材料单价为基础超过</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%时，其超过部分据实调整。</w:t>
      </w:r>
    </w:p>
    <w:p w14:paraId="0AD9D3B1">
      <w:pPr>
        <w:spacing w:line="360" w:lineRule="auto"/>
        <w:ind w:firstLine="645"/>
        <w:jc w:val="left"/>
        <w:rPr>
          <w:rFonts w:ascii="微软雅黑" w:hAnsi="微软雅黑" w:eastAsia="微软雅黑" w:cs="宋体"/>
          <w:szCs w:val="21"/>
        </w:rPr>
      </w:pPr>
      <w:r>
        <w:rPr>
          <w:rFonts w:hint="eastAsia" w:ascii="微软雅黑" w:hAnsi="微软雅黑" w:eastAsia="微软雅黑" w:cs="宋体"/>
          <w:szCs w:val="21"/>
        </w:rPr>
        <w:t>③承包人在已标价工程量清单或预算书中载明的材料单价等于基准单价的：专用合同条款合同履行期间材料单价涨跌幅以基准单价为基础超过±</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%时，其超过部分据实调整。</w:t>
      </w:r>
    </w:p>
    <w:p w14:paraId="731398EA">
      <w:pPr>
        <w:spacing w:line="360" w:lineRule="auto"/>
        <w:jc w:val="left"/>
        <w:rPr>
          <w:rFonts w:ascii="微软雅黑" w:hAnsi="微软雅黑" w:eastAsia="微软雅黑" w:cs="宋体"/>
          <w:szCs w:val="21"/>
        </w:rPr>
      </w:pPr>
      <w:r>
        <w:rPr>
          <w:rFonts w:hint="eastAsia" w:ascii="微软雅黑" w:hAnsi="微软雅黑" w:eastAsia="微软雅黑" w:cs="宋体"/>
          <w:szCs w:val="21"/>
        </w:rPr>
        <w:t>第3种方式：其他价格调整方式：</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bookmarkEnd w:id="640"/>
    <w:bookmarkEnd w:id="641"/>
    <w:bookmarkEnd w:id="642"/>
    <w:bookmarkEnd w:id="643"/>
    <w:bookmarkEnd w:id="644"/>
    <w:bookmarkEnd w:id="645"/>
    <w:p w14:paraId="707F03DD">
      <w:pPr>
        <w:widowControl/>
        <w:spacing w:before="120" w:beforeAutospacing="1" w:after="120" w:afterAutospacing="1" w:line="360" w:lineRule="auto"/>
        <w:jc w:val="left"/>
        <w:outlineLvl w:val="3"/>
        <w:rPr>
          <w:rFonts w:ascii="微软雅黑" w:hAnsi="微软雅黑" w:eastAsia="微软雅黑" w:cs="宋体"/>
          <w:bCs/>
          <w:szCs w:val="21"/>
        </w:rPr>
      </w:pPr>
      <w:bookmarkStart w:id="772" w:name="_Toc296891033"/>
      <w:bookmarkStart w:id="773" w:name="_Toc297048391"/>
      <w:bookmarkStart w:id="774" w:name="_Toc296944544"/>
      <w:bookmarkStart w:id="775" w:name="_Toc296503205"/>
      <w:bookmarkStart w:id="776" w:name="_Toc292559410"/>
      <w:bookmarkStart w:id="777" w:name="_Toc296347204"/>
      <w:bookmarkStart w:id="778" w:name="_Toc292559915"/>
      <w:bookmarkStart w:id="779" w:name="_Toc297120505"/>
      <w:bookmarkStart w:id="780" w:name="_Toc296891245"/>
      <w:bookmarkStart w:id="781" w:name="_Toc296346706"/>
      <w:bookmarkStart w:id="782" w:name="_Toc30706"/>
      <w:bookmarkStart w:id="783" w:name="_Toc22733"/>
      <w:bookmarkStart w:id="784" w:name="_Toc351203644"/>
      <w:bookmarkStart w:id="785" w:name="_Toc21120"/>
      <w:bookmarkStart w:id="786" w:name="_Toc1314"/>
      <w:bookmarkStart w:id="787" w:name="_Toc30828"/>
      <w:bookmarkStart w:id="788" w:name="_Toc297123552"/>
      <w:bookmarkStart w:id="789" w:name="_Toc312678040"/>
      <w:bookmarkStart w:id="790" w:name="_Toc300935002"/>
      <w:bookmarkStart w:id="791" w:name="_Toc297216211"/>
      <w:bookmarkStart w:id="792" w:name="_Toc303539159"/>
      <w:bookmarkStart w:id="793" w:name="_Toc304295579"/>
      <w:r>
        <w:rPr>
          <w:rFonts w:hint="eastAsia" w:ascii="微软雅黑" w:hAnsi="微软雅黑" w:eastAsia="微软雅黑" w:cs="宋体"/>
          <w:bCs/>
          <w:szCs w:val="21"/>
        </w:rPr>
        <w:t xml:space="preserve">12. </w:t>
      </w:r>
      <w:bookmarkEnd w:id="772"/>
      <w:bookmarkEnd w:id="773"/>
      <w:bookmarkEnd w:id="774"/>
      <w:bookmarkEnd w:id="775"/>
      <w:bookmarkEnd w:id="776"/>
      <w:bookmarkEnd w:id="777"/>
      <w:bookmarkEnd w:id="778"/>
      <w:bookmarkEnd w:id="779"/>
      <w:bookmarkEnd w:id="780"/>
      <w:bookmarkEnd w:id="781"/>
      <w:r>
        <w:rPr>
          <w:rFonts w:hint="eastAsia" w:ascii="微软雅黑" w:hAnsi="微软雅黑" w:eastAsia="微软雅黑" w:cs="宋体"/>
          <w:bCs/>
          <w:szCs w:val="21"/>
        </w:rPr>
        <w:t>合同价格、计量与支付</w:t>
      </w:r>
      <w:bookmarkEnd w:id="782"/>
      <w:bookmarkEnd w:id="783"/>
      <w:bookmarkEnd w:id="784"/>
      <w:bookmarkEnd w:id="785"/>
      <w:bookmarkEnd w:id="786"/>
      <w:bookmarkEnd w:id="787"/>
    </w:p>
    <w:bookmarkEnd w:id="788"/>
    <w:bookmarkEnd w:id="789"/>
    <w:bookmarkEnd w:id="790"/>
    <w:bookmarkEnd w:id="791"/>
    <w:bookmarkEnd w:id="792"/>
    <w:bookmarkEnd w:id="793"/>
    <w:p w14:paraId="76C52491">
      <w:pPr>
        <w:spacing w:after="120" w:line="360" w:lineRule="auto"/>
        <w:ind w:firstLine="420" w:firstLineChars="200"/>
        <w:rPr>
          <w:rFonts w:ascii="微软雅黑" w:hAnsi="微软雅黑" w:eastAsia="微软雅黑" w:cs="宋体"/>
          <w:szCs w:val="21"/>
        </w:rPr>
      </w:pPr>
      <w:bookmarkStart w:id="794" w:name="_Toc292559916"/>
      <w:bookmarkStart w:id="795" w:name="_Toc267251461"/>
      <w:bookmarkStart w:id="796" w:name="_Toc292559411"/>
      <w:bookmarkStart w:id="797" w:name="_Toc296503206"/>
      <w:bookmarkStart w:id="798" w:name="_Toc296891246"/>
      <w:bookmarkStart w:id="799" w:name="_Toc296346707"/>
      <w:bookmarkStart w:id="800" w:name="_Toc297120506"/>
      <w:bookmarkStart w:id="801" w:name="_Toc297048392"/>
      <w:bookmarkStart w:id="802" w:name="_Toc296347205"/>
      <w:bookmarkStart w:id="803" w:name="_Toc296944545"/>
      <w:bookmarkStart w:id="804" w:name="_Toc296891034"/>
      <w:bookmarkStart w:id="805" w:name="_Toc297123553"/>
      <w:bookmarkStart w:id="806" w:name="_Toc297216212"/>
      <w:bookmarkStart w:id="807" w:name="_Toc300935003"/>
      <w:bookmarkStart w:id="808" w:name="_Toc312678041"/>
      <w:bookmarkStart w:id="809" w:name="_Toc303539160"/>
      <w:bookmarkStart w:id="810" w:name="_Toc304295580"/>
      <w:r>
        <w:rPr>
          <w:rFonts w:hint="eastAsia" w:ascii="微软雅黑" w:hAnsi="微软雅黑" w:eastAsia="微软雅黑" w:cs="宋体"/>
          <w:szCs w:val="21"/>
        </w:rPr>
        <w:t>12.1 合</w:t>
      </w:r>
      <w:bookmarkEnd w:id="794"/>
      <w:bookmarkEnd w:id="795"/>
      <w:bookmarkEnd w:id="796"/>
      <w:r>
        <w:rPr>
          <w:rFonts w:hint="eastAsia" w:ascii="微软雅黑" w:hAnsi="微软雅黑" w:eastAsia="微软雅黑" w:cs="宋体"/>
          <w:szCs w:val="21"/>
        </w:rPr>
        <w:t>同价</w:t>
      </w:r>
      <w:bookmarkEnd w:id="797"/>
      <w:bookmarkEnd w:id="798"/>
      <w:bookmarkEnd w:id="799"/>
      <w:bookmarkEnd w:id="800"/>
      <w:bookmarkEnd w:id="801"/>
      <w:bookmarkEnd w:id="802"/>
      <w:bookmarkEnd w:id="803"/>
      <w:bookmarkEnd w:id="804"/>
      <w:r>
        <w:rPr>
          <w:rFonts w:hint="eastAsia" w:ascii="微软雅黑" w:hAnsi="微软雅黑" w:eastAsia="微软雅黑" w:cs="宋体"/>
          <w:szCs w:val="21"/>
        </w:rPr>
        <w:t>格形式</w:t>
      </w:r>
    </w:p>
    <w:bookmarkEnd w:id="805"/>
    <w:bookmarkEnd w:id="806"/>
    <w:bookmarkEnd w:id="807"/>
    <w:bookmarkEnd w:id="808"/>
    <w:bookmarkEnd w:id="809"/>
    <w:bookmarkEnd w:id="810"/>
    <w:p w14:paraId="784B6274">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1、单价合同。</w:t>
      </w:r>
    </w:p>
    <w:p w14:paraId="0EB3AB38">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综合单价包含的风险范围：</w:t>
      </w:r>
      <w:r>
        <w:rPr>
          <w:rFonts w:hint="eastAsia" w:ascii="微软雅黑" w:hAnsi="微软雅黑" w:eastAsia="微软雅黑" w:cs="宋体"/>
          <w:szCs w:val="21"/>
          <w:u w:val="single"/>
        </w:rPr>
        <w:t xml:space="preserve">   按竞争性谈判文件执行   </w:t>
      </w:r>
      <w:r>
        <w:rPr>
          <w:rFonts w:hint="eastAsia" w:ascii="微软雅黑" w:hAnsi="微软雅黑" w:eastAsia="微软雅黑" w:cs="宋体"/>
          <w:szCs w:val="21"/>
        </w:rPr>
        <w:t>。</w:t>
      </w:r>
    </w:p>
    <w:p w14:paraId="728CFF3D">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风险费用的计算方法：</w:t>
      </w:r>
      <w:r>
        <w:rPr>
          <w:rFonts w:hint="eastAsia" w:ascii="微软雅黑" w:hAnsi="微软雅黑" w:eastAsia="微软雅黑" w:cs="宋体"/>
          <w:szCs w:val="21"/>
          <w:u w:val="single"/>
        </w:rPr>
        <w:t xml:space="preserve">     按竞争性谈判文件执行    </w:t>
      </w:r>
      <w:r>
        <w:rPr>
          <w:rFonts w:hint="eastAsia" w:ascii="微软雅黑" w:hAnsi="微软雅黑" w:eastAsia="微软雅黑" w:cs="宋体"/>
          <w:szCs w:val="21"/>
        </w:rPr>
        <w:t>。</w:t>
      </w:r>
    </w:p>
    <w:p w14:paraId="5D76AC20">
      <w:pPr>
        <w:spacing w:line="360" w:lineRule="auto"/>
        <w:jc w:val="left"/>
        <w:rPr>
          <w:rFonts w:ascii="微软雅黑" w:hAnsi="微软雅黑" w:eastAsia="微软雅黑" w:cs="宋体"/>
          <w:szCs w:val="21"/>
        </w:rPr>
      </w:pPr>
      <w:r>
        <w:rPr>
          <w:rFonts w:hint="eastAsia" w:ascii="微软雅黑" w:hAnsi="微软雅黑" w:eastAsia="微软雅黑" w:cs="宋体"/>
          <w:szCs w:val="21"/>
        </w:rPr>
        <w:t>风险范围以外合同价格的调整方法：</w:t>
      </w:r>
      <w:r>
        <w:rPr>
          <w:rFonts w:hint="eastAsia" w:ascii="微软雅黑" w:hAnsi="微软雅黑" w:eastAsia="微软雅黑" w:cs="宋体"/>
          <w:szCs w:val="21"/>
          <w:u w:val="single"/>
        </w:rPr>
        <w:t xml:space="preserve">   不调整  </w:t>
      </w:r>
      <w:r>
        <w:rPr>
          <w:rFonts w:hint="eastAsia" w:ascii="微软雅黑" w:hAnsi="微软雅黑" w:eastAsia="微软雅黑" w:cs="宋体"/>
          <w:szCs w:val="21"/>
        </w:rPr>
        <w:t>。</w:t>
      </w:r>
    </w:p>
    <w:p w14:paraId="6CB60A32">
      <w:pPr>
        <w:spacing w:after="120" w:line="360" w:lineRule="auto"/>
        <w:ind w:firstLine="420" w:firstLineChars="200"/>
        <w:rPr>
          <w:rFonts w:ascii="微软雅黑" w:hAnsi="微软雅黑" w:eastAsia="微软雅黑" w:cs="宋体"/>
          <w:szCs w:val="21"/>
        </w:rPr>
      </w:pPr>
      <w:bookmarkStart w:id="811" w:name="_Toc304295581"/>
      <w:bookmarkStart w:id="812" w:name="_Toc300935004"/>
      <w:bookmarkStart w:id="813" w:name="_Toc297123554"/>
      <w:bookmarkStart w:id="814" w:name="_Toc297216213"/>
      <w:bookmarkStart w:id="815" w:name="_Toc312678042"/>
      <w:bookmarkStart w:id="816" w:name="_Toc303539161"/>
      <w:bookmarkStart w:id="817" w:name="_Toc297048393"/>
      <w:bookmarkStart w:id="818" w:name="_Toc296346708"/>
      <w:bookmarkStart w:id="819" w:name="_Toc292559412"/>
      <w:bookmarkStart w:id="820" w:name="_Toc296891247"/>
      <w:bookmarkStart w:id="821" w:name="_Toc296891035"/>
      <w:bookmarkStart w:id="822" w:name="_Toc292559917"/>
      <w:bookmarkStart w:id="823" w:name="_Toc296503207"/>
      <w:bookmarkStart w:id="824" w:name="_Toc297120507"/>
      <w:bookmarkStart w:id="825" w:name="_Toc296944546"/>
      <w:bookmarkStart w:id="826" w:name="_Toc296347206"/>
      <w:r>
        <w:rPr>
          <w:rFonts w:hint="eastAsia" w:ascii="微软雅黑" w:hAnsi="微软雅黑" w:eastAsia="微软雅黑" w:cs="宋体"/>
          <w:szCs w:val="21"/>
        </w:rPr>
        <w:t>12.2 预付款</w:t>
      </w:r>
    </w:p>
    <w:bookmarkEnd w:id="811"/>
    <w:bookmarkEnd w:id="812"/>
    <w:bookmarkEnd w:id="813"/>
    <w:bookmarkEnd w:id="814"/>
    <w:bookmarkEnd w:id="815"/>
    <w:bookmarkEnd w:id="816"/>
    <w:p w14:paraId="43BBFCE0">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12.2.1 预付款的支付</w:t>
      </w:r>
    </w:p>
    <w:p w14:paraId="08F75812">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预付款支付比例或金额：</w:t>
      </w:r>
      <w:r>
        <w:rPr>
          <w:rFonts w:hint="eastAsia" w:ascii="微软雅黑" w:hAnsi="微软雅黑" w:eastAsia="微软雅黑" w:cs="宋体"/>
          <w:szCs w:val="21"/>
          <w:u w:val="single"/>
        </w:rPr>
        <w:t>/</w:t>
      </w:r>
      <w:r>
        <w:rPr>
          <w:rFonts w:hint="eastAsia" w:ascii="微软雅黑" w:hAnsi="微软雅黑" w:eastAsia="微软雅黑" w:cs="宋体"/>
          <w:szCs w:val="21"/>
        </w:rPr>
        <w:t>。</w:t>
      </w:r>
    </w:p>
    <w:p w14:paraId="2351FDA6">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预付款支付期限：</w:t>
      </w:r>
      <w:r>
        <w:rPr>
          <w:rFonts w:hint="eastAsia" w:ascii="微软雅黑" w:hAnsi="微软雅黑" w:eastAsia="微软雅黑" w:cs="宋体"/>
          <w:szCs w:val="21"/>
          <w:u w:val="single"/>
        </w:rPr>
        <w:t>/</w:t>
      </w:r>
      <w:r>
        <w:rPr>
          <w:rFonts w:hint="eastAsia" w:ascii="微软雅黑" w:hAnsi="微软雅黑" w:eastAsia="微软雅黑" w:cs="宋体"/>
          <w:szCs w:val="21"/>
        </w:rPr>
        <w:t>。</w:t>
      </w:r>
    </w:p>
    <w:p w14:paraId="55362BEE">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预付款扣回的方式：</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p w14:paraId="6CFC1570">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12.2.2 预付款担保</w:t>
      </w:r>
    </w:p>
    <w:p w14:paraId="2D38DA09">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承包人提交预付款担保的期限：</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p w14:paraId="6E90DBA8">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预付款担保的形式为：</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bookmarkEnd w:id="817"/>
    <w:bookmarkEnd w:id="818"/>
    <w:bookmarkEnd w:id="819"/>
    <w:bookmarkEnd w:id="820"/>
    <w:bookmarkEnd w:id="821"/>
    <w:bookmarkEnd w:id="822"/>
    <w:bookmarkEnd w:id="823"/>
    <w:bookmarkEnd w:id="824"/>
    <w:bookmarkEnd w:id="825"/>
    <w:bookmarkEnd w:id="826"/>
    <w:p w14:paraId="2F8D32A2">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12.3 计量</w:t>
      </w:r>
    </w:p>
    <w:p w14:paraId="3E006E30">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12.3.1 计量原则</w:t>
      </w:r>
    </w:p>
    <w:p w14:paraId="6FF57B84">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工程量计算规则：</w:t>
      </w:r>
      <w:r>
        <w:rPr>
          <w:rFonts w:hint="eastAsia" w:ascii="微软雅黑" w:hAnsi="微软雅黑" w:eastAsia="微软雅黑" w:cs="宋体"/>
          <w:szCs w:val="21"/>
          <w:u w:val="single"/>
        </w:rPr>
        <w:t xml:space="preserve">    以施工图纸为依据，并经甲、乙双方和监理等单位共同现场收方测量签字认可的工程量作为本工程的最终结算工程量    </w:t>
      </w:r>
      <w:r>
        <w:rPr>
          <w:rFonts w:hint="eastAsia" w:ascii="微软雅黑" w:hAnsi="微软雅黑" w:eastAsia="微软雅黑" w:cs="宋体"/>
          <w:szCs w:val="21"/>
        </w:rPr>
        <w:t>。</w:t>
      </w:r>
    </w:p>
    <w:p w14:paraId="731B8F9A">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12.3.2 计量周期</w:t>
      </w:r>
    </w:p>
    <w:p w14:paraId="1D990BA9">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关于计量周期的约定：。</w:t>
      </w:r>
    </w:p>
    <w:p w14:paraId="2E84A1E5">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12.3.3 单价合同的计量</w:t>
      </w:r>
    </w:p>
    <w:p w14:paraId="6D77B3C6">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关于单价合同计量的约定：</w:t>
      </w:r>
      <w:r>
        <w:rPr>
          <w:rFonts w:hint="eastAsia" w:ascii="微软雅黑" w:hAnsi="微软雅黑" w:eastAsia="微软雅黑" w:cs="宋体"/>
          <w:szCs w:val="21"/>
          <w:u w:val="single"/>
        </w:rPr>
        <w:t xml:space="preserve">   施工图纸和招标工程量清单范围以外的设计变更部分必须经甲、乙双方和监理等单位共同现场收方测量签字认可，作为本工程的结算依据     </w:t>
      </w:r>
      <w:r>
        <w:rPr>
          <w:rFonts w:hint="eastAsia" w:ascii="微软雅黑" w:hAnsi="微软雅黑" w:eastAsia="微软雅黑" w:cs="宋体"/>
          <w:szCs w:val="21"/>
        </w:rPr>
        <w:t>。</w:t>
      </w:r>
    </w:p>
    <w:p w14:paraId="50502422">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12.3.4 总价合同的计量</w:t>
      </w:r>
    </w:p>
    <w:p w14:paraId="428F042F">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关于总价合同计量的约定：</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p w14:paraId="39A70FDB">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12.3.5总价合同采用支付分解表计量支付的，是否适用第</w:t>
      </w:r>
      <w:r>
        <w:rPr>
          <w:rFonts w:hint="eastAsia" w:ascii="微软雅黑" w:hAnsi="微软雅黑" w:eastAsia="微软雅黑" w:cs="宋体"/>
          <w:kern w:val="0"/>
          <w:szCs w:val="21"/>
        </w:rPr>
        <w:t xml:space="preserve">12.3.4 </w:t>
      </w:r>
      <w:r>
        <w:rPr>
          <w:rFonts w:hint="eastAsia" w:ascii="微软雅黑" w:hAnsi="微软雅黑" w:eastAsia="微软雅黑" w:cs="宋体"/>
          <w:szCs w:val="21"/>
        </w:rPr>
        <w:t>项</w:t>
      </w:r>
      <w:r>
        <w:rPr>
          <w:rFonts w:hint="eastAsia" w:ascii="微软雅黑" w:hAnsi="微软雅黑" w:eastAsia="微软雅黑" w:cs="宋体"/>
          <w:kern w:val="0"/>
          <w:szCs w:val="21"/>
        </w:rPr>
        <w:t>〔总价合同的计量〕</w:t>
      </w:r>
      <w:r>
        <w:rPr>
          <w:rFonts w:hint="eastAsia" w:ascii="微软雅黑" w:hAnsi="微软雅黑" w:eastAsia="微软雅黑" w:cs="宋体"/>
          <w:szCs w:val="21"/>
        </w:rPr>
        <w:t>约定进行计量：</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p w14:paraId="00ECAD02">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12.3.6 其他价格形式合同的计量</w:t>
      </w:r>
    </w:p>
    <w:p w14:paraId="40F4E8FD">
      <w:pPr>
        <w:spacing w:line="360" w:lineRule="auto"/>
        <w:jc w:val="left"/>
        <w:rPr>
          <w:rFonts w:ascii="微软雅黑" w:hAnsi="微软雅黑" w:eastAsia="微软雅黑" w:cs="宋体"/>
          <w:szCs w:val="21"/>
        </w:rPr>
      </w:pPr>
      <w:r>
        <w:rPr>
          <w:rFonts w:hint="eastAsia" w:ascii="微软雅黑" w:hAnsi="微软雅黑" w:eastAsia="微软雅黑" w:cs="宋体"/>
          <w:szCs w:val="21"/>
        </w:rPr>
        <w:t>其他价格形式的计量方式和程序：</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p w14:paraId="719AEF2A">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12.4 工程进度款支付</w:t>
      </w:r>
    </w:p>
    <w:p w14:paraId="5921D807">
      <w:pPr>
        <w:spacing w:line="360" w:lineRule="auto"/>
        <w:ind w:firstLine="420" w:firstLineChars="200"/>
        <w:jc w:val="left"/>
        <w:rPr>
          <w:rFonts w:ascii="微软雅黑" w:hAnsi="微软雅黑" w:eastAsia="微软雅黑" w:cs="宋体"/>
          <w:szCs w:val="21"/>
        </w:rPr>
      </w:pPr>
      <w:bookmarkStart w:id="827" w:name="_Toc296346712"/>
      <w:bookmarkStart w:id="828" w:name="_Toc303539163"/>
      <w:bookmarkStart w:id="829" w:name="_Toc297216215"/>
      <w:bookmarkStart w:id="830" w:name="_Toc297048397"/>
      <w:bookmarkStart w:id="831" w:name="_Toc296503211"/>
      <w:bookmarkStart w:id="832" w:name="_Toc292559921"/>
      <w:bookmarkStart w:id="833" w:name="_Toc300935006"/>
      <w:bookmarkStart w:id="834" w:name="_Toc296891039"/>
      <w:bookmarkStart w:id="835" w:name="_Toc296944550"/>
      <w:bookmarkStart w:id="836" w:name="_Toc296891251"/>
      <w:bookmarkStart w:id="837" w:name="_Toc292559416"/>
      <w:bookmarkStart w:id="838" w:name="_Toc297123556"/>
      <w:bookmarkStart w:id="839" w:name="_Toc296347210"/>
      <w:bookmarkStart w:id="840" w:name="_Toc297120511"/>
      <w:r>
        <w:rPr>
          <w:rFonts w:hint="eastAsia" w:ascii="微软雅黑" w:hAnsi="微软雅黑" w:eastAsia="微软雅黑" w:cs="宋体"/>
          <w:szCs w:val="21"/>
        </w:rPr>
        <w:t>12.4.1 付款周期</w:t>
      </w:r>
    </w:p>
    <w:p w14:paraId="1316FC0D">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关于付款周期的约定：</w:t>
      </w:r>
    </w:p>
    <w:p w14:paraId="45EB42B1">
      <w:pPr>
        <w:spacing w:line="360" w:lineRule="auto"/>
        <w:ind w:firstLine="420" w:firstLineChars="200"/>
        <w:rPr>
          <w:rFonts w:ascii="微软雅黑" w:hAnsi="微软雅黑" w:eastAsia="微软雅黑" w:cs="Times New Roman"/>
          <w:szCs w:val="20"/>
        </w:rPr>
      </w:pPr>
      <w:r>
        <w:rPr>
          <w:rFonts w:hint="eastAsia" w:ascii="微软雅黑" w:hAnsi="微软雅黑" w:eastAsia="微软雅黑" w:cs="宋体"/>
          <w:bCs/>
          <w:szCs w:val="21"/>
        </w:rPr>
        <w:t>本工程无预付款，工程完工验收合格后支付合同价的60%，经审计结束后，支付至审定金额的97%，余下金额作为质保金，缺陷责任期2年满后一次性付清质保金（不计息）。</w:t>
      </w:r>
    </w:p>
    <w:p w14:paraId="7424F520">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12.4.2 进度付款申请单的编制</w:t>
      </w:r>
    </w:p>
    <w:p w14:paraId="14BD34CD">
      <w:pPr>
        <w:spacing w:line="360" w:lineRule="auto"/>
        <w:jc w:val="left"/>
        <w:rPr>
          <w:rFonts w:ascii="微软雅黑" w:hAnsi="微软雅黑" w:eastAsia="微软雅黑" w:cs="宋体"/>
          <w:szCs w:val="21"/>
        </w:rPr>
      </w:pPr>
      <w:r>
        <w:rPr>
          <w:rFonts w:hint="eastAsia" w:ascii="微软雅黑" w:hAnsi="微软雅黑" w:eastAsia="微软雅黑" w:cs="宋体"/>
          <w:szCs w:val="21"/>
        </w:rPr>
        <w:t>关于进度付款申请单编制的约定：</w:t>
      </w:r>
      <w:r>
        <w:rPr>
          <w:rFonts w:hint="eastAsia" w:ascii="微软雅黑" w:hAnsi="微软雅黑" w:eastAsia="微软雅黑" w:cs="宋体"/>
          <w:szCs w:val="21"/>
          <w:u w:val="single"/>
        </w:rPr>
        <w:t xml:space="preserve">   按照发包人要求进行编制    </w:t>
      </w:r>
      <w:r>
        <w:rPr>
          <w:rFonts w:hint="eastAsia" w:ascii="微软雅黑" w:hAnsi="微软雅黑" w:eastAsia="微软雅黑" w:cs="宋体"/>
          <w:szCs w:val="21"/>
        </w:rPr>
        <w:t>。</w:t>
      </w:r>
    </w:p>
    <w:p w14:paraId="02151324">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r>
        <w:rPr>
          <w:rFonts w:hint="eastAsia" w:ascii="微软雅黑" w:hAnsi="微软雅黑" w:eastAsia="微软雅黑" w:cs="宋体"/>
          <w:szCs w:val="21"/>
        </w:rPr>
        <w:t>2.4.3 进度付款申请单的提交</w:t>
      </w:r>
    </w:p>
    <w:p w14:paraId="5BA371B6">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（1）单价合同进度付款申请单提交的约定：</w:t>
      </w:r>
      <w:r>
        <w:rPr>
          <w:rFonts w:hint="eastAsia" w:ascii="微软雅黑" w:hAnsi="微软雅黑" w:eastAsia="微软雅黑" w:cs="宋体"/>
          <w:szCs w:val="21"/>
          <w:u w:val="single"/>
        </w:rPr>
        <w:t xml:space="preserve">  按照发包人要求进行编制  </w:t>
      </w:r>
      <w:r>
        <w:rPr>
          <w:rFonts w:hint="eastAsia" w:ascii="微软雅黑" w:hAnsi="微软雅黑" w:eastAsia="微软雅黑" w:cs="宋体"/>
          <w:szCs w:val="21"/>
        </w:rPr>
        <w:t>。</w:t>
      </w:r>
    </w:p>
    <w:p w14:paraId="1ECAE591">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（2）总价合同进度付款申请单提交的约定：</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p w14:paraId="7EF5F519">
      <w:pPr>
        <w:spacing w:line="360" w:lineRule="auto"/>
        <w:jc w:val="left"/>
        <w:rPr>
          <w:rFonts w:ascii="微软雅黑" w:hAnsi="微软雅黑" w:eastAsia="微软雅黑" w:cs="宋体"/>
          <w:szCs w:val="21"/>
        </w:rPr>
      </w:pPr>
      <w:r>
        <w:rPr>
          <w:rFonts w:hint="eastAsia" w:ascii="微软雅黑" w:hAnsi="微软雅黑" w:eastAsia="微软雅黑" w:cs="宋体"/>
          <w:szCs w:val="21"/>
        </w:rPr>
        <w:t>（3）其他价格形式合同进度付款申请单提交的约定：</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p w14:paraId="1D0C0E07">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12.4.4 进度款审核和支付</w:t>
      </w:r>
    </w:p>
    <w:p w14:paraId="20ACBD1A">
      <w:pPr>
        <w:spacing w:line="360" w:lineRule="auto"/>
        <w:ind w:firstLine="420" w:firstLineChars="200"/>
        <w:jc w:val="left"/>
        <w:rPr>
          <w:rFonts w:ascii="微软雅黑" w:hAnsi="微软雅黑" w:eastAsia="微软雅黑" w:cs="宋体"/>
          <w:szCs w:val="21"/>
          <w:u w:val="single"/>
        </w:rPr>
      </w:pPr>
      <w:r>
        <w:rPr>
          <w:rFonts w:hint="eastAsia" w:ascii="微软雅黑" w:hAnsi="微软雅黑" w:eastAsia="微软雅黑" w:cs="宋体"/>
          <w:szCs w:val="21"/>
        </w:rPr>
        <w:t>（1）监理人审查并报送发包人的期限：</w:t>
      </w:r>
      <w:r>
        <w:rPr>
          <w:rFonts w:hint="eastAsia" w:ascii="微软雅黑" w:hAnsi="微软雅黑" w:eastAsia="微软雅黑" w:cs="宋体"/>
          <w:szCs w:val="21"/>
          <w:u w:val="single"/>
        </w:rPr>
        <w:t xml:space="preserve">    7日内    </w:t>
      </w:r>
      <w:r>
        <w:rPr>
          <w:rFonts w:hint="eastAsia" w:ascii="微软雅黑" w:hAnsi="微软雅黑" w:eastAsia="微软雅黑" w:cs="宋体"/>
          <w:szCs w:val="21"/>
        </w:rPr>
        <w:t>。</w:t>
      </w:r>
    </w:p>
    <w:p w14:paraId="1A972922">
      <w:pPr>
        <w:spacing w:line="360" w:lineRule="auto"/>
        <w:ind w:firstLine="630" w:firstLineChars="300"/>
        <w:jc w:val="left"/>
        <w:rPr>
          <w:rFonts w:ascii="微软雅黑" w:hAnsi="微软雅黑" w:eastAsia="微软雅黑" w:cs="宋体"/>
          <w:szCs w:val="21"/>
        </w:rPr>
      </w:pPr>
      <w:r>
        <w:rPr>
          <w:rFonts w:hint="eastAsia" w:ascii="微软雅黑" w:hAnsi="微软雅黑" w:eastAsia="微软雅黑" w:cs="宋体"/>
          <w:szCs w:val="21"/>
        </w:rPr>
        <w:t>发包人完成审批并签发进度款支付证书的期限：</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p>
    <w:p w14:paraId="29C28B13">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（2）发包人支付进度款的期限：</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p>
    <w:p w14:paraId="5A8616A2">
      <w:pPr>
        <w:spacing w:line="360" w:lineRule="auto"/>
        <w:ind w:firstLine="630" w:firstLineChars="300"/>
        <w:jc w:val="left"/>
        <w:rPr>
          <w:rFonts w:ascii="微软雅黑" w:hAnsi="微软雅黑" w:eastAsia="微软雅黑" w:cs="宋体"/>
          <w:szCs w:val="21"/>
        </w:rPr>
      </w:pPr>
      <w:r>
        <w:rPr>
          <w:rFonts w:hint="eastAsia" w:ascii="微软雅黑" w:hAnsi="微软雅黑" w:eastAsia="微软雅黑" w:cs="宋体"/>
          <w:szCs w:val="21"/>
        </w:rPr>
        <w:t>发包人逾期支付进度款的违约金的计算方式：</w:t>
      </w:r>
      <w:r>
        <w:rPr>
          <w:rFonts w:hint="eastAsia" w:ascii="微软雅黑" w:hAnsi="微软雅黑" w:eastAsia="微软雅黑" w:cs="宋体"/>
          <w:szCs w:val="21"/>
          <w:u w:val="single"/>
        </w:rPr>
        <w:t xml:space="preserve">   不执行      </w:t>
      </w:r>
      <w:r>
        <w:rPr>
          <w:rFonts w:hint="eastAsia" w:ascii="微软雅黑" w:hAnsi="微软雅黑" w:eastAsia="微软雅黑" w:cs="宋体"/>
          <w:szCs w:val="21"/>
        </w:rPr>
        <w:t>。</w:t>
      </w:r>
    </w:p>
    <w:p w14:paraId="709B987D">
      <w:pPr>
        <w:spacing w:line="360" w:lineRule="auto"/>
        <w:ind w:firstLine="525" w:firstLineChars="250"/>
        <w:jc w:val="left"/>
        <w:rPr>
          <w:rFonts w:ascii="微软雅黑" w:hAnsi="微软雅黑" w:eastAsia="微软雅黑" w:cs="宋体"/>
          <w:szCs w:val="21"/>
        </w:rPr>
      </w:pPr>
      <w:r>
        <w:rPr>
          <w:rFonts w:hint="eastAsia" w:ascii="微软雅黑" w:hAnsi="微软雅黑" w:eastAsia="微软雅黑" w:cs="宋体"/>
          <w:szCs w:val="21"/>
        </w:rPr>
        <w:t>12.4.6 支付分解表的编制</w:t>
      </w:r>
    </w:p>
    <w:p w14:paraId="538BEEB6">
      <w:pPr>
        <w:spacing w:line="360" w:lineRule="auto"/>
        <w:jc w:val="left"/>
        <w:rPr>
          <w:rFonts w:ascii="微软雅黑" w:hAnsi="微软雅黑" w:eastAsia="微软雅黑" w:cs="宋体"/>
          <w:szCs w:val="21"/>
        </w:rPr>
      </w:pPr>
      <w:r>
        <w:rPr>
          <w:rFonts w:hint="eastAsia" w:ascii="微软雅黑" w:hAnsi="微软雅黑" w:eastAsia="微软雅黑" w:cs="宋体"/>
          <w:szCs w:val="21"/>
        </w:rPr>
        <w:t>2、总价合同支付分解表的编制与审批：</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p w14:paraId="47CFA624">
      <w:pPr>
        <w:spacing w:line="360" w:lineRule="auto"/>
        <w:jc w:val="left"/>
        <w:rPr>
          <w:rFonts w:ascii="微软雅黑" w:hAnsi="微软雅黑" w:eastAsia="微软雅黑" w:cs="宋体"/>
          <w:szCs w:val="21"/>
        </w:rPr>
      </w:pPr>
      <w:r>
        <w:rPr>
          <w:rFonts w:hint="eastAsia" w:ascii="微软雅黑" w:hAnsi="微软雅黑" w:eastAsia="微软雅黑" w:cs="宋体"/>
          <w:szCs w:val="21"/>
        </w:rPr>
        <w:t>3、单价合同的总价项目支付分解表的编制与审批：</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w:t>
      </w:r>
    </w:p>
    <w:bookmarkEnd w:id="646"/>
    <w:p w14:paraId="4321E5C1">
      <w:pPr>
        <w:widowControl/>
        <w:spacing w:before="120" w:beforeAutospacing="1" w:after="120" w:afterAutospacing="1" w:line="360" w:lineRule="auto"/>
        <w:jc w:val="left"/>
        <w:outlineLvl w:val="3"/>
        <w:rPr>
          <w:rFonts w:ascii="微软雅黑" w:hAnsi="微软雅黑" w:eastAsia="微软雅黑" w:cs="宋体"/>
          <w:bCs/>
          <w:szCs w:val="21"/>
        </w:rPr>
      </w:pPr>
      <w:bookmarkStart w:id="841" w:name="_Toc27903"/>
      <w:bookmarkStart w:id="842" w:name="_Toc32667"/>
      <w:bookmarkStart w:id="843" w:name="_Toc351203645"/>
      <w:bookmarkStart w:id="844" w:name="_Toc4771"/>
      <w:bookmarkStart w:id="845" w:name="_Toc28145"/>
      <w:bookmarkStart w:id="846" w:name="_Toc11377"/>
      <w:bookmarkStart w:id="847" w:name="_Toc296347218"/>
      <w:bookmarkStart w:id="848" w:name="_Toc312678053"/>
      <w:bookmarkStart w:id="849" w:name="_Toc296346720"/>
      <w:bookmarkStart w:id="850" w:name="_Toc296944558"/>
      <w:bookmarkStart w:id="851" w:name="_Toc303539172"/>
      <w:bookmarkStart w:id="852" w:name="_Toc297120519"/>
      <w:bookmarkStart w:id="853" w:name="_Toc296891259"/>
      <w:bookmarkStart w:id="854" w:name="_Toc297123564"/>
      <w:bookmarkStart w:id="855" w:name="_Toc296891047"/>
      <w:bookmarkStart w:id="856" w:name="_Toc304295593"/>
      <w:bookmarkStart w:id="857" w:name="_Toc292559424"/>
      <w:bookmarkStart w:id="858" w:name="_Toc297048405"/>
      <w:bookmarkStart w:id="859" w:name="_Toc300935015"/>
      <w:bookmarkStart w:id="860" w:name="_Toc297216223"/>
      <w:bookmarkStart w:id="861" w:name="_Toc296503219"/>
      <w:bookmarkStart w:id="862" w:name="_Toc292559929"/>
      <w:r>
        <w:rPr>
          <w:rFonts w:hint="eastAsia" w:ascii="微软雅黑" w:hAnsi="微软雅黑" w:eastAsia="微软雅黑" w:cs="宋体"/>
          <w:bCs/>
          <w:szCs w:val="21"/>
        </w:rPr>
        <w:t>13. 验收和工程试车</w:t>
      </w:r>
      <w:bookmarkEnd w:id="841"/>
      <w:bookmarkEnd w:id="842"/>
      <w:bookmarkEnd w:id="843"/>
      <w:bookmarkEnd w:id="844"/>
      <w:bookmarkEnd w:id="845"/>
      <w:bookmarkEnd w:id="846"/>
    </w:p>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14:paraId="0D297635">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13.1 分部分项工程验收</w:t>
      </w:r>
    </w:p>
    <w:p w14:paraId="09D4D48F">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13.1.2监理人不能按时进行验收时，应提前</w:t>
      </w:r>
      <w:r>
        <w:rPr>
          <w:rFonts w:hint="eastAsia" w:ascii="微软雅黑" w:hAnsi="微软雅黑" w:eastAsia="微软雅黑" w:cs="宋体"/>
          <w:szCs w:val="21"/>
          <w:u w:val="single"/>
        </w:rPr>
        <w:t xml:space="preserve">    24   </w:t>
      </w:r>
      <w:r>
        <w:rPr>
          <w:rFonts w:hint="eastAsia" w:ascii="微软雅黑" w:hAnsi="微软雅黑" w:eastAsia="微软雅黑" w:cs="宋体"/>
          <w:szCs w:val="21"/>
        </w:rPr>
        <w:t>小时提交书面延期要求。</w:t>
      </w:r>
    </w:p>
    <w:p w14:paraId="240F319F">
      <w:pPr>
        <w:spacing w:line="360" w:lineRule="auto"/>
        <w:ind w:firstLine="420" w:firstLineChars="200"/>
        <w:jc w:val="left"/>
        <w:rPr>
          <w:rFonts w:ascii="微软雅黑" w:hAnsi="微软雅黑" w:eastAsia="微软雅黑" w:cs="宋体"/>
          <w:b/>
          <w:szCs w:val="21"/>
        </w:rPr>
      </w:pPr>
      <w:r>
        <w:rPr>
          <w:rFonts w:hint="eastAsia" w:ascii="微软雅黑" w:hAnsi="微软雅黑" w:eastAsia="微软雅黑" w:cs="宋体"/>
          <w:szCs w:val="21"/>
        </w:rPr>
        <w:t>关于延期最长不得超过：</w:t>
      </w:r>
      <w:r>
        <w:rPr>
          <w:rFonts w:hint="eastAsia" w:ascii="微软雅黑" w:hAnsi="微软雅黑" w:eastAsia="微软雅黑" w:cs="宋体"/>
          <w:szCs w:val="21"/>
          <w:u w:val="single"/>
        </w:rPr>
        <w:t xml:space="preserve">     48    </w:t>
      </w:r>
      <w:r>
        <w:rPr>
          <w:rFonts w:hint="eastAsia" w:ascii="微软雅黑" w:hAnsi="微软雅黑" w:eastAsia="微软雅黑" w:cs="宋体"/>
          <w:szCs w:val="21"/>
        </w:rPr>
        <w:t>小时。</w:t>
      </w:r>
    </w:p>
    <w:p w14:paraId="5509BEED">
      <w:pPr>
        <w:spacing w:after="120" w:line="360" w:lineRule="auto"/>
        <w:ind w:firstLine="420" w:firstLineChars="200"/>
        <w:rPr>
          <w:rFonts w:ascii="微软雅黑" w:hAnsi="微软雅黑" w:eastAsia="微软雅黑" w:cs="宋体"/>
          <w:szCs w:val="21"/>
        </w:rPr>
      </w:pPr>
      <w:bookmarkStart w:id="863" w:name="_Toc297123565"/>
      <w:bookmarkStart w:id="864" w:name="_Toc297216224"/>
      <w:bookmarkStart w:id="865" w:name="_Toc304295596"/>
      <w:bookmarkStart w:id="866" w:name="_Toc292559933"/>
      <w:bookmarkStart w:id="867" w:name="_Toc300935016"/>
      <w:bookmarkStart w:id="868" w:name="_Toc303539173"/>
      <w:bookmarkStart w:id="869" w:name="_Toc312678056"/>
      <w:bookmarkStart w:id="870" w:name="_Toc292559428"/>
      <w:bookmarkStart w:id="871" w:name="_Toc296346724"/>
      <w:bookmarkStart w:id="872" w:name="_Toc296347222"/>
      <w:bookmarkStart w:id="873" w:name="_Toc297120523"/>
      <w:bookmarkStart w:id="874" w:name="_Toc296944562"/>
      <w:bookmarkStart w:id="875" w:name="_Toc296891263"/>
      <w:bookmarkStart w:id="876" w:name="_Toc296503223"/>
      <w:bookmarkStart w:id="877" w:name="_Toc296891051"/>
      <w:bookmarkStart w:id="878" w:name="_Toc297048409"/>
      <w:bookmarkStart w:id="879" w:name="_Toc267251476"/>
      <w:bookmarkStart w:id="880" w:name="_Toc267251472"/>
      <w:bookmarkStart w:id="881" w:name="_Toc267251471"/>
      <w:bookmarkStart w:id="882" w:name="_Toc267251474"/>
      <w:bookmarkStart w:id="883" w:name="_Toc267251470"/>
      <w:bookmarkStart w:id="884" w:name="_Toc267251473"/>
      <w:bookmarkStart w:id="885" w:name="_Toc267251475"/>
      <w:r>
        <w:rPr>
          <w:rFonts w:hint="eastAsia" w:ascii="微软雅黑" w:hAnsi="微软雅黑" w:eastAsia="微软雅黑" w:cs="宋体"/>
          <w:szCs w:val="21"/>
        </w:rPr>
        <w:t>13.2 竣工验收</w:t>
      </w:r>
    </w:p>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14:paraId="7BA928A6">
      <w:pPr>
        <w:spacing w:line="360" w:lineRule="auto"/>
        <w:ind w:firstLine="420" w:firstLineChars="200"/>
        <w:jc w:val="left"/>
        <w:rPr>
          <w:rFonts w:ascii="微软雅黑" w:hAnsi="微软雅黑" w:eastAsia="微软雅黑" w:cs="宋体"/>
          <w:szCs w:val="21"/>
        </w:rPr>
      </w:pPr>
      <w:bookmarkStart w:id="886" w:name="_Toc280868704"/>
      <w:bookmarkStart w:id="887" w:name="_Toc280868705"/>
      <w:bookmarkStart w:id="888" w:name="_Toc280868706"/>
      <w:bookmarkStart w:id="889" w:name="_Toc280868707"/>
      <w:bookmarkStart w:id="890" w:name="_Toc280868708"/>
      <w:bookmarkStart w:id="891" w:name="_Toc280868709"/>
      <w:r>
        <w:rPr>
          <w:rFonts w:hint="eastAsia" w:ascii="微软雅黑" w:hAnsi="微软雅黑" w:eastAsia="微软雅黑" w:cs="宋体"/>
          <w:szCs w:val="21"/>
        </w:rPr>
        <w:t>13.2.2竣工验收程序</w:t>
      </w:r>
    </w:p>
    <w:bookmarkEnd w:id="886"/>
    <w:p w14:paraId="096B22C6">
      <w:pPr>
        <w:spacing w:line="360" w:lineRule="auto"/>
        <w:ind w:left="4288" w:leftChars="342" w:hanging="3570" w:hangingChars="1700"/>
        <w:jc w:val="left"/>
        <w:rPr>
          <w:rFonts w:ascii="微软雅黑" w:hAnsi="微软雅黑" w:eastAsia="微软雅黑" w:cs="宋体"/>
          <w:szCs w:val="21"/>
        </w:rPr>
      </w:pPr>
      <w:r>
        <w:rPr>
          <w:rFonts w:hint="eastAsia" w:ascii="微软雅黑" w:hAnsi="微软雅黑" w:eastAsia="微软雅黑" w:cs="宋体"/>
          <w:kern w:val="0"/>
          <w:szCs w:val="21"/>
        </w:rPr>
        <w:t>关于竣工验收程序的约定：</w:t>
      </w:r>
      <w:r>
        <w:rPr>
          <w:rFonts w:hint="eastAsia" w:ascii="微软雅黑" w:hAnsi="微软雅黑" w:eastAsia="微软雅黑" w:cs="宋体"/>
          <w:szCs w:val="21"/>
          <w:u w:val="single"/>
        </w:rPr>
        <w:t xml:space="preserve">    执行通用条款  </w:t>
      </w:r>
      <w:r>
        <w:rPr>
          <w:rFonts w:hint="eastAsia" w:ascii="微软雅黑" w:hAnsi="微软雅黑" w:eastAsia="微软雅黑" w:cs="宋体"/>
          <w:szCs w:val="21"/>
        </w:rPr>
        <w:t>。</w:t>
      </w:r>
    </w:p>
    <w:p w14:paraId="62FE5DD2">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kern w:val="0"/>
          <w:szCs w:val="21"/>
        </w:rPr>
        <w:t>发包人不按照本项约定组织竣工验收、颁发工程接收证书的违约金的计算方法：</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p>
    <w:p w14:paraId="5E26FCAA">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13.2.2.1竣工验收申请报告</w:t>
      </w:r>
    </w:p>
    <w:p w14:paraId="64776FD2">
      <w:pPr>
        <w:spacing w:line="360" w:lineRule="auto"/>
        <w:ind w:firstLine="435"/>
        <w:rPr>
          <w:rFonts w:ascii="微软雅黑" w:hAnsi="微软雅黑" w:eastAsia="微软雅黑" w:cs="宋体"/>
          <w:bCs/>
          <w:szCs w:val="21"/>
          <w:u w:val="single"/>
        </w:rPr>
      </w:pPr>
      <w:r>
        <w:rPr>
          <w:rFonts w:hint="eastAsia" w:ascii="微软雅黑" w:hAnsi="微软雅黑" w:eastAsia="微软雅黑" w:cs="宋体"/>
          <w:bCs/>
          <w:kern w:val="0"/>
          <w:szCs w:val="21"/>
        </w:rPr>
        <w:t>承包人提供竣工图的约定：施工范围内的竣工图（含变更部分）5套，竣工资料2套，（竣工资料包含文字资料、全套竣工图）。</w:t>
      </w:r>
    </w:p>
    <w:p w14:paraId="3776A034">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13.2.2.2 验收</w:t>
      </w:r>
    </w:p>
    <w:p w14:paraId="0027DCB3">
      <w:pPr>
        <w:spacing w:line="360" w:lineRule="auto"/>
        <w:ind w:firstLine="480"/>
        <w:rPr>
          <w:rFonts w:ascii="微软雅黑" w:hAnsi="微软雅黑" w:eastAsia="微软雅黑" w:cs="宋体"/>
          <w:bCs/>
          <w:kern w:val="0"/>
          <w:szCs w:val="21"/>
        </w:rPr>
      </w:pPr>
      <w:r>
        <w:rPr>
          <w:rFonts w:hint="eastAsia" w:ascii="微软雅黑" w:hAnsi="微软雅黑" w:eastAsia="微软雅黑" w:cs="宋体"/>
          <w:snapToGrid w:val="0"/>
          <w:szCs w:val="21"/>
        </w:rPr>
        <w:t>13.2.2.2.1</w:t>
      </w:r>
      <w:r>
        <w:rPr>
          <w:rFonts w:hint="eastAsia" w:ascii="微软雅黑" w:hAnsi="微软雅黑" w:eastAsia="微软雅黑" w:cs="宋体"/>
          <w:bCs/>
          <w:szCs w:val="21"/>
        </w:rPr>
        <w:t xml:space="preserve">  实际竣工日期：</w:t>
      </w:r>
      <w:r>
        <w:rPr>
          <w:rFonts w:hint="eastAsia" w:ascii="微软雅黑" w:hAnsi="微软雅黑" w:eastAsia="微软雅黑" w:cs="宋体"/>
          <w:bCs/>
          <w:kern w:val="0"/>
          <w:szCs w:val="21"/>
        </w:rPr>
        <w:t>经验收合格工程的实际竣工日期，以提交竣工验收申请报告的日期为准，并在工程接收证书中写明。</w:t>
      </w:r>
    </w:p>
    <w:p w14:paraId="023CA061">
      <w:pPr>
        <w:keepNext/>
        <w:keepLines/>
        <w:adjustRightInd w:val="0"/>
        <w:snapToGrid w:val="0"/>
        <w:spacing w:line="360" w:lineRule="auto"/>
        <w:ind w:firstLine="420" w:firstLineChars="200"/>
        <w:jc w:val="center"/>
        <w:outlineLvl w:val="2"/>
        <w:rPr>
          <w:rFonts w:ascii="微软雅黑" w:hAnsi="微软雅黑" w:eastAsia="微软雅黑" w:cs="宋体"/>
          <w:b/>
          <w:bCs/>
          <w:szCs w:val="21"/>
        </w:rPr>
      </w:pPr>
      <w:bookmarkStart w:id="892" w:name="_Toc30299"/>
      <w:bookmarkStart w:id="893" w:name="_Toc3668"/>
      <w:bookmarkStart w:id="894" w:name="_Toc18546"/>
      <w:bookmarkStart w:id="895" w:name="_Toc13932"/>
      <w:bookmarkStart w:id="896" w:name="_Toc27578"/>
      <w:bookmarkStart w:id="897" w:name="_Toc25052"/>
      <w:r>
        <w:rPr>
          <w:rFonts w:hint="eastAsia" w:ascii="微软雅黑" w:hAnsi="微软雅黑" w:eastAsia="微软雅黑" w:cs="宋体"/>
          <w:snapToGrid w:val="0"/>
          <w:szCs w:val="21"/>
        </w:rPr>
        <w:t>13.2.2.2 .2最终验收</w:t>
      </w:r>
      <w:r>
        <w:rPr>
          <w:rFonts w:hint="eastAsia" w:ascii="微软雅黑" w:hAnsi="微软雅黑" w:eastAsia="微软雅黑" w:cs="宋体"/>
          <w:szCs w:val="21"/>
        </w:rPr>
        <w:t>：</w:t>
      </w:r>
      <w:r>
        <w:rPr>
          <w:rFonts w:hint="eastAsia" w:ascii="微软雅黑" w:hAnsi="微软雅黑" w:eastAsia="微软雅黑" w:cs="宋体"/>
          <w:bCs/>
          <w:szCs w:val="21"/>
        </w:rPr>
        <w:t>在项目竣工验收后1个月内通过江津供电局的验收，如未按时通过江津供电局验收，业主单位将不予办理项目结算（或其他方式）。</w:t>
      </w:r>
      <w:bookmarkEnd w:id="892"/>
      <w:bookmarkEnd w:id="893"/>
      <w:bookmarkEnd w:id="894"/>
      <w:bookmarkEnd w:id="895"/>
      <w:bookmarkEnd w:id="896"/>
      <w:bookmarkEnd w:id="897"/>
    </w:p>
    <w:bookmarkEnd w:id="887"/>
    <w:p w14:paraId="56FA1425">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napToGrid w:val="0"/>
          <w:szCs w:val="21"/>
        </w:rPr>
        <w:t>13.2.5移交</w:t>
      </w:r>
      <w:r>
        <w:rPr>
          <w:rFonts w:hint="eastAsia" w:ascii="微软雅黑" w:hAnsi="微软雅黑" w:eastAsia="微软雅黑" w:cs="宋体"/>
          <w:szCs w:val="21"/>
        </w:rPr>
        <w:t>、接收全部与部分工程</w:t>
      </w:r>
    </w:p>
    <w:bookmarkEnd w:id="888"/>
    <w:p w14:paraId="69CDCEBB">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承包人向发包人移交工程的期限：</w:t>
      </w:r>
      <w:r>
        <w:rPr>
          <w:rFonts w:hint="eastAsia" w:ascii="微软雅黑" w:hAnsi="微软雅黑" w:eastAsia="微软雅黑" w:cs="宋体"/>
          <w:szCs w:val="21"/>
          <w:u w:val="single"/>
        </w:rPr>
        <w:t xml:space="preserve">    执行通用条款     </w:t>
      </w:r>
      <w:r>
        <w:rPr>
          <w:rFonts w:hint="eastAsia" w:ascii="微软雅黑" w:hAnsi="微软雅黑" w:eastAsia="微软雅黑" w:cs="宋体"/>
          <w:szCs w:val="21"/>
        </w:rPr>
        <w:t>。</w:t>
      </w:r>
    </w:p>
    <w:p w14:paraId="6D81836D">
      <w:pPr>
        <w:spacing w:line="360" w:lineRule="auto"/>
        <w:ind w:firstLine="420" w:firstLineChars="200"/>
        <w:jc w:val="left"/>
        <w:rPr>
          <w:rFonts w:ascii="微软雅黑" w:hAnsi="微软雅黑" w:eastAsia="微软雅黑" w:cs="宋体"/>
          <w:szCs w:val="21"/>
          <w:u w:val="single"/>
        </w:rPr>
      </w:pPr>
      <w:r>
        <w:rPr>
          <w:rFonts w:hint="eastAsia" w:ascii="微软雅黑" w:hAnsi="微软雅黑" w:eastAsia="微软雅黑" w:cs="宋体"/>
          <w:kern w:val="0"/>
          <w:szCs w:val="21"/>
        </w:rPr>
        <w:t>发包人未按本合同约定接收全部或部分工程的，违约金的计算方法为：</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p>
    <w:bookmarkEnd w:id="889"/>
    <w:p w14:paraId="65016385">
      <w:pPr>
        <w:spacing w:line="360" w:lineRule="auto"/>
        <w:jc w:val="left"/>
        <w:rPr>
          <w:rFonts w:ascii="微软雅黑" w:hAnsi="微软雅黑" w:eastAsia="微软雅黑" w:cs="宋体"/>
          <w:szCs w:val="21"/>
        </w:rPr>
      </w:pPr>
      <w:r>
        <w:rPr>
          <w:rFonts w:hint="eastAsia" w:ascii="微软雅黑" w:hAnsi="微软雅黑" w:eastAsia="微软雅黑" w:cs="宋体"/>
          <w:szCs w:val="21"/>
        </w:rPr>
        <w:t>承包人未按时移交工程的，违约金的计算方法为：</w:t>
      </w:r>
      <w:r>
        <w:rPr>
          <w:rFonts w:hint="eastAsia" w:ascii="微软雅黑" w:hAnsi="微软雅黑" w:eastAsia="微软雅黑" w:cs="宋体"/>
          <w:szCs w:val="21"/>
          <w:u w:val="single"/>
        </w:rPr>
        <w:t xml:space="preserve">  每延后一天，发包人按2000元向承包人收取违约金。</w:t>
      </w:r>
    </w:p>
    <w:p w14:paraId="3F825A4C">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13.3 工程试车</w:t>
      </w:r>
    </w:p>
    <w:bookmarkEnd w:id="890"/>
    <w:p w14:paraId="1CC0061A">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13.3.1 试车程序</w:t>
      </w:r>
    </w:p>
    <w:p w14:paraId="29DF22DB">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工程试车内容：</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p>
    <w:p w14:paraId="285CA55B">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（1）单机无负荷试车费用由</w:t>
      </w:r>
      <w:r>
        <w:rPr>
          <w:rFonts w:hint="eastAsia" w:ascii="微软雅黑" w:hAnsi="微软雅黑" w:eastAsia="微软雅黑" w:cs="宋体"/>
          <w:szCs w:val="21"/>
          <w:u w:val="single"/>
        </w:rPr>
        <w:t xml:space="preserve">     无   </w:t>
      </w:r>
      <w:r>
        <w:rPr>
          <w:rFonts w:hint="eastAsia" w:ascii="微软雅黑" w:hAnsi="微软雅黑" w:eastAsia="微软雅黑" w:cs="宋体"/>
          <w:kern w:val="0"/>
          <w:szCs w:val="21"/>
        </w:rPr>
        <w:t>承担；</w:t>
      </w:r>
    </w:p>
    <w:p w14:paraId="49E05DD0">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（2）无负荷联动试车费用由</w:t>
      </w:r>
      <w:r>
        <w:rPr>
          <w:rFonts w:hint="eastAsia" w:ascii="微软雅黑" w:hAnsi="微软雅黑" w:eastAsia="微软雅黑" w:cs="宋体"/>
          <w:szCs w:val="21"/>
          <w:u w:val="single"/>
        </w:rPr>
        <w:t xml:space="preserve">     无   </w:t>
      </w:r>
      <w:r>
        <w:rPr>
          <w:rFonts w:hint="eastAsia" w:ascii="微软雅黑" w:hAnsi="微软雅黑" w:eastAsia="微软雅黑" w:cs="宋体"/>
          <w:kern w:val="0"/>
          <w:szCs w:val="21"/>
        </w:rPr>
        <w:t>承担。</w:t>
      </w:r>
    </w:p>
    <w:p w14:paraId="795CDAFF">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13.3.3 投料试车</w:t>
      </w:r>
    </w:p>
    <w:p w14:paraId="57327C30">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关于投料试车相关事项的约定：</w:t>
      </w:r>
      <w:r>
        <w:rPr>
          <w:rFonts w:hint="eastAsia" w:ascii="微软雅黑" w:hAnsi="微软雅黑" w:eastAsia="微软雅黑" w:cs="宋体"/>
          <w:szCs w:val="21"/>
          <w:u w:val="single"/>
        </w:rPr>
        <w:t xml:space="preserve">   无     </w:t>
      </w:r>
      <w:r>
        <w:rPr>
          <w:rFonts w:hint="eastAsia" w:ascii="微软雅黑" w:hAnsi="微软雅黑" w:eastAsia="微软雅黑" w:cs="宋体"/>
          <w:szCs w:val="21"/>
        </w:rPr>
        <w:t>。</w:t>
      </w:r>
    </w:p>
    <w:p w14:paraId="313DA2DA">
      <w:pPr>
        <w:spacing w:after="120" w:line="360" w:lineRule="auto"/>
        <w:ind w:firstLine="420" w:firstLineChars="200"/>
        <w:outlineLvl w:val="0"/>
        <w:rPr>
          <w:rFonts w:ascii="微软雅黑" w:hAnsi="微软雅黑" w:eastAsia="微软雅黑" w:cs="宋体"/>
          <w:szCs w:val="21"/>
        </w:rPr>
      </w:pPr>
      <w:bookmarkStart w:id="898" w:name="_Toc22904"/>
      <w:bookmarkStart w:id="899" w:name="_Toc13058"/>
      <w:bookmarkStart w:id="900" w:name="_Toc26895"/>
      <w:bookmarkStart w:id="901" w:name="_Toc1877"/>
      <w:bookmarkStart w:id="902" w:name="_Toc12845"/>
      <w:bookmarkStart w:id="903" w:name="_Toc21145"/>
      <w:bookmarkStart w:id="904" w:name="_Toc14262"/>
      <w:r>
        <w:rPr>
          <w:rFonts w:hint="eastAsia" w:ascii="微软雅黑" w:hAnsi="微软雅黑" w:eastAsia="微软雅黑" w:cs="宋体"/>
          <w:szCs w:val="21"/>
        </w:rPr>
        <w:t>13.6 竣工退场</w:t>
      </w:r>
      <w:bookmarkEnd w:id="898"/>
      <w:bookmarkEnd w:id="899"/>
      <w:bookmarkEnd w:id="900"/>
      <w:bookmarkEnd w:id="901"/>
      <w:bookmarkEnd w:id="902"/>
      <w:bookmarkEnd w:id="903"/>
      <w:bookmarkEnd w:id="904"/>
    </w:p>
    <w:p w14:paraId="6B7531C1">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13.6.1 竣工退场</w:t>
      </w:r>
    </w:p>
    <w:p w14:paraId="146027CB">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承包人完成竣工退场的期限：</w:t>
      </w:r>
      <w:r>
        <w:rPr>
          <w:rFonts w:hint="eastAsia" w:ascii="微软雅黑" w:hAnsi="微软雅黑" w:eastAsia="微软雅黑" w:cs="宋体"/>
          <w:szCs w:val="21"/>
          <w:u w:val="single"/>
        </w:rPr>
        <w:t xml:space="preserve">   撤离时间以发包人书面通知为准     </w:t>
      </w:r>
      <w:r>
        <w:rPr>
          <w:rFonts w:hint="eastAsia" w:ascii="微软雅黑" w:hAnsi="微软雅黑" w:eastAsia="微软雅黑" w:cs="宋体"/>
          <w:kern w:val="0"/>
          <w:szCs w:val="21"/>
        </w:rPr>
        <w:t>。</w:t>
      </w:r>
    </w:p>
    <w:p w14:paraId="6C014813">
      <w:pPr>
        <w:widowControl/>
        <w:spacing w:before="120" w:beforeAutospacing="1" w:after="120" w:afterAutospacing="1" w:line="360" w:lineRule="auto"/>
        <w:jc w:val="left"/>
        <w:outlineLvl w:val="3"/>
        <w:rPr>
          <w:rFonts w:ascii="微软雅黑" w:hAnsi="微软雅黑" w:eastAsia="微软雅黑" w:cs="宋体"/>
          <w:bCs/>
          <w:szCs w:val="21"/>
        </w:rPr>
      </w:pPr>
      <w:bookmarkStart w:id="905" w:name="_Toc9685"/>
      <w:bookmarkStart w:id="906" w:name="_Toc24281"/>
      <w:bookmarkStart w:id="907" w:name="_Toc19171"/>
      <w:bookmarkStart w:id="908" w:name="_Toc20191"/>
      <w:bookmarkStart w:id="909" w:name="_Toc351203646"/>
      <w:bookmarkStart w:id="910" w:name="_Toc11976"/>
      <w:r>
        <w:rPr>
          <w:rFonts w:hint="eastAsia" w:ascii="微软雅黑" w:hAnsi="微软雅黑" w:eastAsia="微软雅黑" w:cs="宋体"/>
          <w:bCs/>
          <w:szCs w:val="21"/>
        </w:rPr>
        <w:t>14. 竣工结算</w:t>
      </w:r>
      <w:bookmarkEnd w:id="905"/>
      <w:bookmarkEnd w:id="906"/>
      <w:bookmarkEnd w:id="907"/>
      <w:bookmarkEnd w:id="908"/>
      <w:bookmarkEnd w:id="909"/>
      <w:bookmarkEnd w:id="910"/>
    </w:p>
    <w:p w14:paraId="11EA2350">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14.1 竣工结算申请</w:t>
      </w:r>
    </w:p>
    <w:p w14:paraId="41887E76">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承包人提交竣工结算申请单的期限：</w:t>
      </w:r>
      <w:r>
        <w:rPr>
          <w:rFonts w:hint="eastAsia" w:ascii="微软雅黑" w:hAnsi="微软雅黑" w:eastAsia="微软雅黑" w:cs="宋体"/>
          <w:bCs/>
          <w:szCs w:val="21"/>
          <w:u w:val="single"/>
        </w:rPr>
        <w:t>在工程接收证书颁发后14天内提交5份竣工付款申请单</w:t>
      </w:r>
      <w:r>
        <w:rPr>
          <w:rFonts w:hint="eastAsia" w:ascii="微软雅黑" w:hAnsi="微软雅黑" w:eastAsia="微软雅黑" w:cs="宋体"/>
          <w:szCs w:val="21"/>
        </w:rPr>
        <w:t>。</w:t>
      </w:r>
    </w:p>
    <w:p w14:paraId="27BCF2BC">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竣工结算申请单应包括的内容：</w:t>
      </w:r>
      <w:r>
        <w:rPr>
          <w:rFonts w:hint="eastAsia" w:ascii="微软雅黑" w:hAnsi="微软雅黑" w:eastAsia="微软雅黑" w:cs="宋体"/>
          <w:bCs/>
          <w:szCs w:val="21"/>
          <w:u w:val="single"/>
        </w:rPr>
        <w:t xml:space="preserve"> 竣工结算合同总价、已支付的工程价款、应扣留的质量保证金、应支付的竣工付款金额等。</w:t>
      </w:r>
      <w:r>
        <w:rPr>
          <w:rFonts w:hint="eastAsia" w:ascii="微软雅黑" w:hAnsi="微软雅黑" w:eastAsia="微软雅黑" w:cs="宋体"/>
          <w:szCs w:val="21"/>
        </w:rPr>
        <w:t>。</w:t>
      </w:r>
    </w:p>
    <w:p w14:paraId="3B328F76">
      <w:pPr>
        <w:spacing w:after="120" w:line="360" w:lineRule="auto"/>
        <w:ind w:firstLine="420" w:firstLineChars="200"/>
        <w:outlineLvl w:val="0"/>
        <w:rPr>
          <w:rFonts w:ascii="微软雅黑" w:hAnsi="微软雅黑" w:eastAsia="微软雅黑" w:cs="宋体"/>
          <w:szCs w:val="21"/>
        </w:rPr>
      </w:pPr>
      <w:bookmarkStart w:id="911" w:name="_Toc12797"/>
      <w:bookmarkStart w:id="912" w:name="_Toc23108"/>
      <w:bookmarkStart w:id="913" w:name="_Toc23602"/>
      <w:bookmarkStart w:id="914" w:name="_Toc24402"/>
      <w:bookmarkStart w:id="915" w:name="_Toc22460"/>
      <w:bookmarkStart w:id="916" w:name="_Toc14620"/>
      <w:bookmarkStart w:id="917" w:name="_Toc3805"/>
      <w:r>
        <w:rPr>
          <w:rFonts w:hint="eastAsia" w:ascii="微软雅黑" w:hAnsi="微软雅黑" w:eastAsia="微软雅黑" w:cs="宋体"/>
          <w:szCs w:val="21"/>
        </w:rPr>
        <w:t>14.2 竣工结算审核</w:t>
      </w:r>
      <w:bookmarkEnd w:id="911"/>
      <w:bookmarkEnd w:id="912"/>
      <w:bookmarkEnd w:id="913"/>
      <w:bookmarkEnd w:id="914"/>
      <w:bookmarkEnd w:id="915"/>
      <w:bookmarkEnd w:id="916"/>
      <w:bookmarkEnd w:id="917"/>
    </w:p>
    <w:p w14:paraId="247C0B39">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发包人审批竣工付款申请单的期限：</w:t>
      </w:r>
      <w:r>
        <w:rPr>
          <w:rFonts w:hint="eastAsia" w:ascii="微软雅黑" w:hAnsi="微软雅黑" w:eastAsia="微软雅黑" w:cs="宋体"/>
          <w:szCs w:val="21"/>
          <w:u w:val="single"/>
        </w:rPr>
        <w:t xml:space="preserve">  发包人结算内审在承包人递交完整的结算资料之日起15日内完成。</w:t>
      </w:r>
    </w:p>
    <w:p w14:paraId="5AE29BA2">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发包人完成竣工付款的期限：。</w:t>
      </w:r>
    </w:p>
    <w:p w14:paraId="010F9760">
      <w:pPr>
        <w:spacing w:line="360" w:lineRule="auto"/>
        <w:jc w:val="left"/>
        <w:rPr>
          <w:rFonts w:ascii="微软雅黑" w:hAnsi="微软雅黑" w:eastAsia="微软雅黑" w:cs="宋体"/>
          <w:szCs w:val="21"/>
        </w:rPr>
      </w:pPr>
      <w:r>
        <w:rPr>
          <w:rFonts w:hint="eastAsia" w:ascii="微软雅黑" w:hAnsi="微软雅黑" w:eastAsia="微软雅黑" w:cs="宋体"/>
          <w:szCs w:val="21"/>
        </w:rPr>
        <w:t>关于竣工付款证书异议部分复核的方式和程序：。</w:t>
      </w:r>
    </w:p>
    <w:p w14:paraId="2E541FC6">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14.4 最终结清</w:t>
      </w:r>
    </w:p>
    <w:p w14:paraId="2A285C98">
      <w:pPr>
        <w:spacing w:line="360" w:lineRule="auto"/>
        <w:jc w:val="left"/>
        <w:rPr>
          <w:rFonts w:ascii="微软雅黑" w:hAnsi="微软雅黑" w:eastAsia="微软雅黑" w:cs="宋体"/>
          <w:szCs w:val="21"/>
        </w:rPr>
      </w:pPr>
      <w:r>
        <w:rPr>
          <w:rFonts w:hint="eastAsia" w:ascii="微软雅黑" w:hAnsi="微软雅黑" w:eastAsia="微软雅黑" w:cs="宋体"/>
          <w:szCs w:val="21"/>
        </w:rPr>
        <w:t>结算原则：结算价=中标价±增减（变更）工程造价±合同约定的其它费用，最终结算金额以审计结果为准。本工程采用总价包干合同，清单、图纸范围内的工程费用按中标价结算，不作调整；清单、图纸范围外的工作内容或设计变更必须经采购人批准后方可增减（变更）。</w:t>
      </w:r>
    </w:p>
    <w:p w14:paraId="277A7425">
      <w:pPr>
        <w:spacing w:line="360" w:lineRule="auto"/>
        <w:jc w:val="left"/>
        <w:rPr>
          <w:rFonts w:ascii="微软雅黑" w:hAnsi="微软雅黑" w:eastAsia="微软雅黑" w:cs="宋体"/>
          <w:szCs w:val="21"/>
        </w:rPr>
      </w:pPr>
      <w:r>
        <w:rPr>
          <w:rFonts w:hint="eastAsia" w:ascii="微软雅黑" w:hAnsi="微软雅黑" w:eastAsia="微软雅黑" w:cs="宋体"/>
          <w:szCs w:val="21"/>
        </w:rPr>
        <w:t>（1）措施费项目费：</w:t>
      </w:r>
    </w:p>
    <w:p w14:paraId="7E3A6BE2">
      <w:pPr>
        <w:spacing w:line="360" w:lineRule="auto"/>
        <w:jc w:val="left"/>
        <w:rPr>
          <w:rFonts w:ascii="微软雅黑" w:hAnsi="微软雅黑" w:eastAsia="微软雅黑" w:cs="宋体"/>
          <w:szCs w:val="21"/>
        </w:rPr>
      </w:pPr>
      <w:r>
        <w:rPr>
          <w:rFonts w:hint="eastAsia" w:ascii="微软雅黑" w:hAnsi="微软雅黑" w:eastAsia="微软雅黑" w:cs="宋体"/>
          <w:szCs w:val="21"/>
        </w:rPr>
        <w:t>A、安全文明施工检查合格的，安全文明施工费用按渝建发[2014]25号文》和渝建发[2016]35号以及《重庆市住房和城乡建设委员会关于适用增值税新税率调整建设工程计价依据的通知》（渝建〔2019〕143号）规定按实结算，否则不计取；</w:t>
      </w:r>
    </w:p>
    <w:p w14:paraId="34CDF86D">
      <w:pPr>
        <w:spacing w:line="360" w:lineRule="auto"/>
        <w:jc w:val="left"/>
        <w:rPr>
          <w:rFonts w:ascii="微软雅黑" w:hAnsi="微软雅黑" w:eastAsia="微软雅黑" w:cs="宋体"/>
          <w:szCs w:val="21"/>
        </w:rPr>
      </w:pPr>
      <w:r>
        <w:rPr>
          <w:rFonts w:hint="eastAsia" w:ascii="微软雅黑" w:hAnsi="微软雅黑" w:eastAsia="微软雅黑" w:cs="宋体"/>
          <w:szCs w:val="21"/>
        </w:rPr>
        <w:t>B、组织措施按投标报价包干；</w:t>
      </w:r>
    </w:p>
    <w:p w14:paraId="28B25C69">
      <w:pPr>
        <w:spacing w:line="360" w:lineRule="auto"/>
        <w:jc w:val="left"/>
        <w:rPr>
          <w:rFonts w:ascii="微软雅黑" w:hAnsi="微软雅黑" w:eastAsia="微软雅黑" w:cs="宋体"/>
          <w:szCs w:val="21"/>
        </w:rPr>
      </w:pPr>
      <w:r>
        <w:rPr>
          <w:rFonts w:hint="eastAsia" w:ascii="微软雅黑" w:hAnsi="微软雅黑" w:eastAsia="微软雅黑" w:cs="宋体"/>
          <w:szCs w:val="21"/>
        </w:rPr>
        <w:t>C、施工技术措施项目费：技术措施清单中以项计列的项目，无论因工程变更或施工工艺变化等任何因素而引起实际措施费的变化，均按投标时施工技术措施项目费的报价作为结算价；技术措施清单中以项目编码、项目名称、项目特征、工程内容、工程量及计量单位列项的项目，以中标人投标报价的综合单价乘以按《建设工程工程量清单计价规范》（GB50500-2013）、《重庆市建设工程工程量清单计价规则》（GQJJGZ-2013）约定的计量规则计算的实际合格工程量办理结算。</w:t>
      </w:r>
    </w:p>
    <w:p w14:paraId="3ABE387E">
      <w:pPr>
        <w:spacing w:line="360" w:lineRule="auto"/>
        <w:jc w:val="left"/>
        <w:rPr>
          <w:rFonts w:ascii="微软雅黑" w:hAnsi="微软雅黑" w:eastAsia="微软雅黑" w:cs="宋体"/>
          <w:szCs w:val="21"/>
        </w:rPr>
      </w:pPr>
      <w:r>
        <w:rPr>
          <w:rFonts w:hint="eastAsia" w:ascii="微软雅黑" w:hAnsi="微软雅黑" w:eastAsia="微软雅黑" w:cs="宋体"/>
          <w:szCs w:val="21"/>
        </w:rPr>
        <w:t>（2）合同约定其他费用：按合同约定执行。</w:t>
      </w:r>
    </w:p>
    <w:p w14:paraId="2EEFEE58">
      <w:pPr>
        <w:spacing w:line="360" w:lineRule="auto"/>
        <w:jc w:val="left"/>
        <w:rPr>
          <w:rFonts w:ascii="微软雅黑" w:hAnsi="微软雅黑" w:eastAsia="微软雅黑" w:cs="宋体"/>
          <w:szCs w:val="21"/>
        </w:rPr>
      </w:pPr>
      <w:r>
        <w:rPr>
          <w:rFonts w:hint="eastAsia" w:ascii="微软雅黑" w:hAnsi="微软雅黑" w:eastAsia="微软雅黑" w:cs="宋体"/>
          <w:szCs w:val="21"/>
        </w:rPr>
        <w:t>备注：（1）因业主要求变更部分、重大设计变更、暂定部分、招标工程量清单中漏项的工程项目工程量，经招标人及监理单位的监理工程师签字认可方可作为结算依据。</w:t>
      </w:r>
    </w:p>
    <w:p w14:paraId="77C78981">
      <w:pPr>
        <w:spacing w:line="360" w:lineRule="auto"/>
        <w:jc w:val="left"/>
        <w:rPr>
          <w:rFonts w:ascii="微软雅黑" w:hAnsi="微软雅黑" w:eastAsia="微软雅黑" w:cs="宋体"/>
          <w:szCs w:val="21"/>
        </w:rPr>
      </w:pPr>
      <w:r>
        <w:rPr>
          <w:rFonts w:hint="eastAsia" w:ascii="微软雅黑" w:hAnsi="微软雅黑" w:eastAsia="微软雅黑" w:cs="宋体"/>
          <w:szCs w:val="21"/>
        </w:rPr>
        <w:t>（2）本工程最终工程造价以审定金额为准。</w:t>
      </w:r>
    </w:p>
    <w:p w14:paraId="32CBC0D9">
      <w:pPr>
        <w:spacing w:line="360" w:lineRule="auto"/>
        <w:jc w:val="left"/>
        <w:rPr>
          <w:rFonts w:ascii="微软雅黑" w:hAnsi="微软雅黑" w:eastAsia="微软雅黑" w:cs="宋体"/>
          <w:szCs w:val="21"/>
        </w:rPr>
      </w:pPr>
      <w:r>
        <w:rPr>
          <w:rFonts w:hint="eastAsia" w:ascii="微软雅黑" w:hAnsi="微软雅黑" w:eastAsia="微软雅黑" w:cs="宋体"/>
          <w:szCs w:val="21"/>
        </w:rPr>
        <w:t xml:space="preserve">（3）本工程执行总价包干。  </w:t>
      </w:r>
    </w:p>
    <w:p w14:paraId="2AEAD2EB">
      <w:pPr>
        <w:spacing w:line="360" w:lineRule="auto"/>
        <w:jc w:val="left"/>
        <w:rPr>
          <w:rFonts w:ascii="微软雅黑" w:hAnsi="微软雅黑" w:eastAsia="微软雅黑" w:cs="宋体"/>
          <w:szCs w:val="21"/>
        </w:rPr>
      </w:pPr>
      <w:r>
        <w:rPr>
          <w:rFonts w:hint="eastAsia" w:ascii="微软雅黑" w:hAnsi="微软雅黑" w:eastAsia="微软雅黑" w:cs="宋体"/>
          <w:szCs w:val="21"/>
        </w:rPr>
        <w:t>（4）材料价格调整规定：不调整，按中标价执行。</w:t>
      </w:r>
    </w:p>
    <w:p w14:paraId="7D736D38">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14.4.1 最终结清申请单</w:t>
      </w:r>
    </w:p>
    <w:p w14:paraId="024F3DE2">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承包人提交最终结清申请单的份数：</w:t>
      </w:r>
      <w:r>
        <w:rPr>
          <w:rFonts w:hint="eastAsia" w:ascii="微软雅黑" w:hAnsi="微软雅黑" w:eastAsia="微软雅黑" w:cs="宋体"/>
          <w:szCs w:val="21"/>
          <w:u w:val="single"/>
        </w:rPr>
        <w:t xml:space="preserve"> 5分</w:t>
      </w:r>
      <w:r>
        <w:rPr>
          <w:rFonts w:hint="eastAsia" w:ascii="微软雅黑" w:hAnsi="微软雅黑" w:eastAsia="微软雅黑" w:cs="宋体"/>
          <w:szCs w:val="21"/>
        </w:rPr>
        <w:t>。</w:t>
      </w:r>
    </w:p>
    <w:p w14:paraId="7675E545">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kern w:val="0"/>
          <w:szCs w:val="21"/>
        </w:rPr>
        <w:t>承包人提交最终结算申请单的期限：</w:t>
      </w:r>
      <w:r>
        <w:rPr>
          <w:rFonts w:hint="eastAsia" w:ascii="微软雅黑" w:hAnsi="微软雅黑" w:eastAsia="微软雅黑" w:cs="宋体"/>
          <w:bCs/>
          <w:szCs w:val="21"/>
          <w:u w:val="single"/>
        </w:rPr>
        <w:t xml:space="preserve"> 在缺陷责任期终止证书颁发后28天内提交5份最终结清申请单  </w:t>
      </w:r>
      <w:r>
        <w:rPr>
          <w:rFonts w:hint="eastAsia" w:ascii="微软雅黑" w:hAnsi="微软雅黑" w:eastAsia="微软雅黑" w:cs="宋体"/>
          <w:szCs w:val="21"/>
        </w:rPr>
        <w:t xml:space="preserve">。 </w:t>
      </w:r>
    </w:p>
    <w:p w14:paraId="11C290A5">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14.4.2 最终结清证书和支付</w:t>
      </w:r>
    </w:p>
    <w:p w14:paraId="38E264AB">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（1）发包人完成最终结清申请单的审批并颁发最终结清证书的期限：。</w:t>
      </w:r>
    </w:p>
    <w:p w14:paraId="7EDD487D">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（2）发包人完成支付的期限：。</w:t>
      </w:r>
    </w:p>
    <w:bookmarkEnd w:id="879"/>
    <w:bookmarkEnd w:id="880"/>
    <w:bookmarkEnd w:id="881"/>
    <w:bookmarkEnd w:id="882"/>
    <w:bookmarkEnd w:id="883"/>
    <w:bookmarkEnd w:id="884"/>
    <w:bookmarkEnd w:id="885"/>
    <w:bookmarkEnd w:id="891"/>
    <w:p w14:paraId="27A8E5F1">
      <w:pPr>
        <w:widowControl/>
        <w:spacing w:before="120" w:beforeAutospacing="1" w:after="120" w:afterAutospacing="1" w:line="360" w:lineRule="auto"/>
        <w:jc w:val="left"/>
        <w:outlineLvl w:val="3"/>
        <w:rPr>
          <w:rFonts w:ascii="微软雅黑" w:hAnsi="微软雅黑" w:eastAsia="微软雅黑" w:cs="宋体"/>
          <w:bCs/>
          <w:szCs w:val="21"/>
        </w:rPr>
      </w:pPr>
      <w:bookmarkStart w:id="918" w:name="_Toc8014"/>
      <w:bookmarkStart w:id="919" w:name="_Toc351203647"/>
      <w:bookmarkStart w:id="920" w:name="_Toc2862"/>
      <w:bookmarkStart w:id="921" w:name="_Toc16968"/>
      <w:bookmarkStart w:id="922" w:name="_Toc18457"/>
      <w:bookmarkStart w:id="923" w:name="_Toc19952"/>
      <w:bookmarkStart w:id="924" w:name="_Toc267251483"/>
      <w:bookmarkStart w:id="925" w:name="_Toc267251484"/>
      <w:bookmarkStart w:id="926" w:name="_Toc267251482"/>
      <w:bookmarkStart w:id="927" w:name="_Toc267251485"/>
      <w:bookmarkStart w:id="928" w:name="_Toc267251488"/>
      <w:bookmarkStart w:id="929" w:name="_Toc267251490"/>
      <w:bookmarkStart w:id="930" w:name="_Toc267251489"/>
      <w:bookmarkStart w:id="931" w:name="_Toc267251486"/>
      <w:bookmarkStart w:id="932" w:name="_Toc267251491"/>
      <w:bookmarkStart w:id="933" w:name="_Toc267251501"/>
      <w:bookmarkStart w:id="934" w:name="_Toc267251502"/>
      <w:bookmarkStart w:id="935" w:name="_Toc267251497"/>
      <w:bookmarkStart w:id="936" w:name="_Toc267251499"/>
      <w:bookmarkStart w:id="937" w:name="_Toc267251503"/>
      <w:bookmarkStart w:id="938" w:name="_Toc267251498"/>
      <w:bookmarkStart w:id="939" w:name="_Toc267251492"/>
      <w:bookmarkStart w:id="940" w:name="_Toc267251493"/>
      <w:bookmarkStart w:id="941" w:name="_Toc267251496"/>
      <w:bookmarkStart w:id="942" w:name="_Toc267251494"/>
      <w:bookmarkStart w:id="943" w:name="_Toc267251495"/>
      <w:bookmarkStart w:id="944" w:name="_Toc267251506"/>
      <w:bookmarkStart w:id="945" w:name="_Toc267251504"/>
      <w:bookmarkStart w:id="946" w:name="_Toc267251507"/>
      <w:bookmarkStart w:id="947" w:name="_Toc267251508"/>
      <w:bookmarkStart w:id="948" w:name="_Toc267251513"/>
      <w:bookmarkStart w:id="949" w:name="_Toc267251510"/>
      <w:bookmarkStart w:id="950" w:name="_Toc267251514"/>
      <w:bookmarkStart w:id="951" w:name="_Toc267251509"/>
      <w:bookmarkStart w:id="952" w:name="_Toc267251511"/>
      <w:bookmarkStart w:id="953" w:name="_Toc267251515"/>
      <w:r>
        <w:rPr>
          <w:rFonts w:hint="eastAsia" w:ascii="微软雅黑" w:hAnsi="微软雅黑" w:eastAsia="微软雅黑" w:cs="宋体"/>
          <w:bCs/>
          <w:szCs w:val="21"/>
        </w:rPr>
        <w:t>15. 缺陷责任期与保修</w:t>
      </w:r>
      <w:bookmarkEnd w:id="918"/>
      <w:bookmarkEnd w:id="919"/>
      <w:bookmarkEnd w:id="920"/>
      <w:bookmarkEnd w:id="921"/>
      <w:bookmarkEnd w:id="922"/>
      <w:bookmarkEnd w:id="923"/>
    </w:p>
    <w:p w14:paraId="4E874674">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15.2缺陷责任期</w:t>
      </w:r>
      <w:bookmarkEnd w:id="924"/>
    </w:p>
    <w:p w14:paraId="63749360">
      <w:pPr>
        <w:spacing w:line="360" w:lineRule="auto"/>
        <w:jc w:val="left"/>
        <w:rPr>
          <w:rFonts w:ascii="微软雅黑" w:hAnsi="微软雅黑" w:eastAsia="微软雅黑" w:cs="宋体"/>
          <w:szCs w:val="21"/>
        </w:rPr>
      </w:pPr>
      <w:r>
        <w:rPr>
          <w:rFonts w:hint="eastAsia" w:ascii="微软雅黑" w:hAnsi="微软雅黑" w:eastAsia="微软雅黑" w:cs="宋体"/>
          <w:szCs w:val="21"/>
        </w:rPr>
        <w:t>缺陷责任期的具体期限：</w:t>
      </w:r>
      <w:r>
        <w:rPr>
          <w:rFonts w:hint="eastAsia" w:ascii="微软雅黑" w:hAnsi="微软雅黑" w:eastAsia="微软雅黑" w:cs="宋体"/>
          <w:bCs/>
          <w:szCs w:val="21"/>
          <w:u w:val="single"/>
        </w:rPr>
        <w:t>2年(缺陷责任期满，未通过验收检验合格的则缺陷责任期时间相应顺延。)</w:t>
      </w:r>
      <w:r>
        <w:rPr>
          <w:rFonts w:hint="eastAsia" w:ascii="微软雅黑" w:hAnsi="微软雅黑" w:eastAsia="微软雅黑" w:cs="宋体"/>
          <w:szCs w:val="21"/>
        </w:rPr>
        <w:t>。</w:t>
      </w:r>
    </w:p>
    <w:p w14:paraId="692DCA03">
      <w:pPr>
        <w:spacing w:after="120" w:line="360" w:lineRule="auto"/>
        <w:ind w:firstLine="420" w:firstLineChars="200"/>
        <w:outlineLvl w:val="0"/>
        <w:rPr>
          <w:rFonts w:ascii="微软雅黑" w:hAnsi="微软雅黑" w:eastAsia="微软雅黑" w:cs="宋体"/>
          <w:szCs w:val="21"/>
        </w:rPr>
      </w:pPr>
      <w:bookmarkStart w:id="954" w:name="_Toc7920"/>
      <w:bookmarkStart w:id="955" w:name="_Toc368"/>
      <w:bookmarkStart w:id="956" w:name="_Toc2861"/>
      <w:bookmarkStart w:id="957" w:name="_Toc8254"/>
      <w:bookmarkStart w:id="958" w:name="_Toc15792"/>
      <w:bookmarkStart w:id="959" w:name="_Toc17909"/>
      <w:bookmarkStart w:id="960" w:name="_Toc1319"/>
      <w:r>
        <w:rPr>
          <w:rFonts w:hint="eastAsia" w:ascii="微软雅黑" w:hAnsi="微软雅黑" w:eastAsia="微软雅黑" w:cs="宋体"/>
          <w:szCs w:val="21"/>
        </w:rPr>
        <w:t>15.3 质量保证金</w:t>
      </w:r>
      <w:bookmarkEnd w:id="954"/>
      <w:bookmarkEnd w:id="955"/>
      <w:bookmarkEnd w:id="956"/>
      <w:bookmarkEnd w:id="957"/>
      <w:bookmarkEnd w:id="958"/>
      <w:bookmarkEnd w:id="959"/>
      <w:bookmarkEnd w:id="960"/>
    </w:p>
    <w:p w14:paraId="6E4FFE90">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关于是否扣留质量保证金的约定：</w:t>
      </w:r>
      <w:r>
        <w:rPr>
          <w:rFonts w:hint="eastAsia" w:ascii="微软雅黑" w:hAnsi="微软雅黑" w:eastAsia="微软雅黑" w:cs="宋体"/>
          <w:szCs w:val="21"/>
          <w:u w:val="single"/>
        </w:rPr>
        <w:t xml:space="preserve">   是  </w:t>
      </w:r>
      <w:r>
        <w:rPr>
          <w:rFonts w:hint="eastAsia" w:ascii="微软雅黑" w:hAnsi="微软雅黑" w:eastAsia="微软雅黑" w:cs="宋体"/>
          <w:szCs w:val="21"/>
        </w:rPr>
        <w:t>。在工程项目竣工前，承包人按专用合同条款第3.7条提供履约担保的，发包人不得同时预留工程质量保证金。</w:t>
      </w:r>
    </w:p>
    <w:p w14:paraId="5DBDB87C">
      <w:pPr>
        <w:spacing w:line="360" w:lineRule="auto"/>
        <w:ind w:firstLine="420" w:firstLineChars="200"/>
        <w:jc w:val="left"/>
        <w:rPr>
          <w:rFonts w:ascii="微软雅黑" w:hAnsi="微软雅黑" w:eastAsia="微软雅黑" w:cs="宋体"/>
          <w:szCs w:val="21"/>
        </w:rPr>
      </w:pPr>
    </w:p>
    <w:p w14:paraId="413F4FA2">
      <w:pPr>
        <w:spacing w:line="360" w:lineRule="auto"/>
        <w:ind w:firstLine="420" w:firstLineChars="200"/>
        <w:jc w:val="left"/>
        <w:outlineLvl w:val="0"/>
        <w:rPr>
          <w:rFonts w:ascii="微软雅黑" w:hAnsi="微软雅黑" w:eastAsia="微软雅黑" w:cs="宋体"/>
          <w:szCs w:val="21"/>
        </w:rPr>
      </w:pPr>
      <w:bookmarkStart w:id="961" w:name="_Toc32375"/>
      <w:bookmarkStart w:id="962" w:name="_Toc23157"/>
      <w:bookmarkStart w:id="963" w:name="_Toc20503"/>
      <w:bookmarkStart w:id="964" w:name="_Toc6378"/>
      <w:bookmarkStart w:id="965" w:name="_Toc10784"/>
      <w:bookmarkStart w:id="966" w:name="_Toc15967"/>
      <w:bookmarkStart w:id="967" w:name="_Toc15761"/>
      <w:r>
        <w:rPr>
          <w:rFonts w:hint="eastAsia" w:ascii="微软雅黑" w:hAnsi="微软雅黑" w:eastAsia="微软雅黑" w:cs="宋体"/>
          <w:szCs w:val="21"/>
        </w:rPr>
        <w:t>15.3.1 承包人提供质量保证金的方式</w:t>
      </w:r>
      <w:bookmarkEnd w:id="961"/>
      <w:bookmarkEnd w:id="962"/>
      <w:bookmarkEnd w:id="963"/>
      <w:bookmarkEnd w:id="964"/>
      <w:bookmarkEnd w:id="965"/>
      <w:bookmarkEnd w:id="966"/>
      <w:bookmarkEnd w:id="967"/>
    </w:p>
    <w:p w14:paraId="1493D5F2">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质量保证金采用以下第</w:t>
      </w:r>
      <w:r>
        <w:rPr>
          <w:rFonts w:hint="eastAsia" w:ascii="微软雅黑" w:hAnsi="微软雅黑" w:eastAsia="微软雅黑" w:cs="宋体"/>
          <w:szCs w:val="21"/>
          <w:u w:val="single"/>
        </w:rPr>
        <w:t xml:space="preserve">   （3）  </w:t>
      </w:r>
      <w:r>
        <w:rPr>
          <w:rFonts w:hint="eastAsia" w:ascii="微软雅黑" w:hAnsi="微软雅黑" w:eastAsia="微软雅黑" w:cs="宋体"/>
          <w:szCs w:val="21"/>
        </w:rPr>
        <w:t>种方式：</w:t>
      </w:r>
    </w:p>
    <w:p w14:paraId="763F321D">
      <w:pPr>
        <w:autoSpaceDE w:val="0"/>
        <w:autoSpaceDN w:val="0"/>
        <w:adjustRightInd w:val="0"/>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（1）质量保证金保函，保证金额为：</w:t>
      </w:r>
      <w:r>
        <w:rPr>
          <w:rFonts w:hint="eastAsia" w:ascii="微软雅黑" w:hAnsi="微软雅黑" w:eastAsia="微软雅黑" w:cs="宋体"/>
          <w:kern w:val="0"/>
          <w:szCs w:val="21"/>
          <w:u w:val="single"/>
        </w:rPr>
        <w:t xml:space="preserve">   /     </w:t>
      </w:r>
      <w:r>
        <w:rPr>
          <w:rFonts w:hint="eastAsia" w:ascii="微软雅黑" w:hAnsi="微软雅黑" w:eastAsia="微软雅黑" w:cs="宋体"/>
          <w:kern w:val="0"/>
          <w:szCs w:val="21"/>
        </w:rPr>
        <w:t xml:space="preserve">； </w:t>
      </w:r>
    </w:p>
    <w:p w14:paraId="27BDC833">
      <w:pPr>
        <w:autoSpaceDE w:val="0"/>
        <w:autoSpaceDN w:val="0"/>
        <w:adjustRightInd w:val="0"/>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（2）</w:t>
      </w:r>
      <w:r>
        <w:rPr>
          <w:rFonts w:hint="eastAsia" w:ascii="微软雅黑" w:hAnsi="微软雅黑" w:eastAsia="微软雅黑" w:cs="宋体"/>
          <w:kern w:val="0"/>
          <w:szCs w:val="21"/>
          <w:u w:val="single"/>
        </w:rPr>
        <w:t xml:space="preserve">    /  </w:t>
      </w:r>
      <w:r>
        <w:rPr>
          <w:rFonts w:hint="eastAsia" w:ascii="微软雅黑" w:hAnsi="微软雅黑" w:eastAsia="微软雅黑" w:cs="宋体"/>
          <w:kern w:val="0"/>
          <w:szCs w:val="21"/>
        </w:rPr>
        <w:t>%的工程款；</w:t>
      </w:r>
    </w:p>
    <w:p w14:paraId="318276DA">
      <w:pPr>
        <w:autoSpaceDE w:val="0"/>
        <w:autoSpaceDN w:val="0"/>
        <w:adjustRightInd w:val="0"/>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（3）其他方式:</w:t>
      </w:r>
      <w:r>
        <w:rPr>
          <w:rFonts w:hint="eastAsia" w:ascii="微软雅黑" w:hAnsi="微软雅黑" w:eastAsia="微软雅黑" w:cs="宋体"/>
          <w:bCs/>
          <w:szCs w:val="21"/>
          <w:u w:val="single"/>
        </w:rPr>
        <w:t>结算审定金额的3%，支付工程款时直接扣留</w:t>
      </w:r>
      <w:r>
        <w:rPr>
          <w:rFonts w:hint="eastAsia" w:ascii="微软雅黑" w:hAnsi="微软雅黑" w:eastAsia="微软雅黑" w:cs="宋体"/>
          <w:kern w:val="0"/>
          <w:szCs w:val="21"/>
        </w:rPr>
        <w:t>。</w:t>
      </w:r>
    </w:p>
    <w:p w14:paraId="504AD129">
      <w:pPr>
        <w:spacing w:line="360" w:lineRule="auto"/>
        <w:ind w:firstLine="420" w:firstLineChars="200"/>
        <w:jc w:val="left"/>
        <w:outlineLvl w:val="0"/>
        <w:rPr>
          <w:rFonts w:ascii="微软雅黑" w:hAnsi="微软雅黑" w:eastAsia="微软雅黑" w:cs="宋体"/>
          <w:szCs w:val="21"/>
        </w:rPr>
      </w:pPr>
      <w:bookmarkStart w:id="968" w:name="_Toc9945"/>
      <w:bookmarkStart w:id="969" w:name="_Toc23038"/>
      <w:bookmarkStart w:id="970" w:name="_Toc16397"/>
      <w:bookmarkStart w:id="971" w:name="_Toc574"/>
      <w:bookmarkStart w:id="972" w:name="_Toc490"/>
      <w:bookmarkStart w:id="973" w:name="_Toc11020"/>
      <w:bookmarkStart w:id="974" w:name="_Toc18838"/>
      <w:r>
        <w:rPr>
          <w:rFonts w:hint="eastAsia" w:ascii="微软雅黑" w:hAnsi="微软雅黑" w:eastAsia="微软雅黑" w:cs="宋体"/>
          <w:szCs w:val="21"/>
        </w:rPr>
        <w:t>15.3.2 质量保证金的扣留</w:t>
      </w:r>
      <w:bookmarkEnd w:id="968"/>
      <w:bookmarkEnd w:id="969"/>
      <w:bookmarkEnd w:id="970"/>
      <w:bookmarkEnd w:id="971"/>
      <w:bookmarkEnd w:id="972"/>
      <w:bookmarkEnd w:id="973"/>
      <w:bookmarkEnd w:id="974"/>
    </w:p>
    <w:p w14:paraId="565CD962">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质量保证金的扣留采取以下第</w:t>
      </w:r>
      <w:r>
        <w:rPr>
          <w:rFonts w:hint="eastAsia" w:ascii="微软雅黑" w:hAnsi="微软雅黑" w:eastAsia="微软雅黑" w:cs="宋体"/>
          <w:szCs w:val="21"/>
          <w:u w:val="single"/>
        </w:rPr>
        <w:t xml:space="preserve">   （3）  </w:t>
      </w:r>
      <w:r>
        <w:rPr>
          <w:rFonts w:hint="eastAsia" w:ascii="微软雅黑" w:hAnsi="微软雅黑" w:eastAsia="微软雅黑" w:cs="宋体"/>
          <w:szCs w:val="21"/>
        </w:rPr>
        <w:t>种方式：</w:t>
      </w:r>
    </w:p>
    <w:p w14:paraId="646902CF">
      <w:pPr>
        <w:autoSpaceDE w:val="0"/>
        <w:autoSpaceDN w:val="0"/>
        <w:adjustRightInd w:val="0"/>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（1）在支付工程进度款时逐次扣留，在此情形下，质量保证金的计算基数不包括预付款的支付、扣回以及价格调整的金额；</w:t>
      </w:r>
    </w:p>
    <w:p w14:paraId="3C80E125">
      <w:pPr>
        <w:autoSpaceDE w:val="0"/>
        <w:autoSpaceDN w:val="0"/>
        <w:adjustRightInd w:val="0"/>
        <w:spacing w:line="360" w:lineRule="auto"/>
        <w:ind w:firstLine="420" w:firstLineChars="200"/>
        <w:jc w:val="left"/>
        <w:outlineLvl w:val="0"/>
        <w:rPr>
          <w:rFonts w:ascii="微软雅黑" w:hAnsi="微软雅黑" w:eastAsia="微软雅黑" w:cs="宋体"/>
          <w:kern w:val="0"/>
          <w:szCs w:val="21"/>
        </w:rPr>
      </w:pPr>
      <w:bookmarkStart w:id="975" w:name="_Toc4669"/>
      <w:bookmarkStart w:id="976" w:name="_Toc26898"/>
      <w:bookmarkStart w:id="977" w:name="_Toc10358"/>
      <w:bookmarkStart w:id="978" w:name="_Toc19505"/>
      <w:bookmarkStart w:id="979" w:name="_Toc12559"/>
      <w:bookmarkStart w:id="980" w:name="_Toc29148"/>
      <w:bookmarkStart w:id="981" w:name="_Toc3641"/>
      <w:r>
        <w:rPr>
          <w:rFonts w:hint="eastAsia" w:ascii="微软雅黑" w:hAnsi="微软雅黑" w:eastAsia="微软雅黑" w:cs="宋体"/>
          <w:kern w:val="0"/>
          <w:szCs w:val="21"/>
        </w:rPr>
        <w:t>（2）工程竣工结算时一次性扣留质量保证金；</w:t>
      </w:r>
      <w:bookmarkEnd w:id="975"/>
      <w:bookmarkEnd w:id="976"/>
      <w:bookmarkEnd w:id="977"/>
      <w:bookmarkEnd w:id="978"/>
      <w:bookmarkEnd w:id="979"/>
      <w:bookmarkEnd w:id="980"/>
      <w:bookmarkEnd w:id="981"/>
    </w:p>
    <w:p w14:paraId="21CAAA14">
      <w:pPr>
        <w:autoSpaceDE w:val="0"/>
        <w:autoSpaceDN w:val="0"/>
        <w:adjustRightInd w:val="0"/>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（3）其他扣留方式:</w:t>
      </w:r>
      <w:r>
        <w:rPr>
          <w:rFonts w:hint="eastAsia" w:ascii="微软雅黑" w:hAnsi="微软雅黑" w:eastAsia="微软雅黑" w:cs="宋体"/>
          <w:bCs/>
          <w:szCs w:val="21"/>
          <w:u w:val="single"/>
        </w:rPr>
        <w:t xml:space="preserve">支付工程款时直接扣留    </w:t>
      </w:r>
      <w:r>
        <w:rPr>
          <w:rFonts w:hint="eastAsia" w:ascii="微软雅黑" w:hAnsi="微软雅黑" w:eastAsia="微软雅黑" w:cs="宋体"/>
          <w:kern w:val="0"/>
          <w:szCs w:val="21"/>
        </w:rPr>
        <w:t>。</w:t>
      </w:r>
    </w:p>
    <w:p w14:paraId="5E3CFA12">
      <w:pPr>
        <w:spacing w:line="360" w:lineRule="auto"/>
        <w:jc w:val="left"/>
        <w:rPr>
          <w:rFonts w:ascii="微软雅黑" w:hAnsi="微软雅黑" w:eastAsia="微软雅黑" w:cs="宋体"/>
          <w:szCs w:val="21"/>
        </w:rPr>
      </w:pPr>
      <w:r>
        <w:rPr>
          <w:rFonts w:hint="eastAsia" w:ascii="微软雅黑" w:hAnsi="微软雅黑" w:eastAsia="微软雅黑" w:cs="宋体"/>
          <w:szCs w:val="21"/>
        </w:rPr>
        <w:t>关于质量保证金的补充约定：</w:t>
      </w:r>
      <w:r>
        <w:rPr>
          <w:rFonts w:hint="eastAsia" w:ascii="微软雅黑" w:hAnsi="微软雅黑" w:eastAsia="微软雅黑" w:cs="宋体"/>
          <w:bCs/>
          <w:szCs w:val="21"/>
          <w:u w:val="single"/>
        </w:rPr>
        <w:t xml:space="preserve"> 待工程两年质保期期满后付清剩余保修金（不计利息）   。</w:t>
      </w:r>
    </w:p>
    <w:bookmarkEnd w:id="925"/>
    <w:bookmarkEnd w:id="926"/>
    <w:p w14:paraId="689EC988">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15.4保修</w:t>
      </w:r>
    </w:p>
    <w:bookmarkEnd w:id="927"/>
    <w:p w14:paraId="62646DE5">
      <w:pPr>
        <w:spacing w:line="360" w:lineRule="auto"/>
        <w:ind w:firstLine="409" w:firstLineChars="195"/>
        <w:jc w:val="left"/>
        <w:rPr>
          <w:rFonts w:ascii="微软雅黑" w:hAnsi="微软雅黑" w:eastAsia="微软雅黑" w:cs="宋体"/>
          <w:szCs w:val="21"/>
        </w:rPr>
      </w:pPr>
      <w:r>
        <w:rPr>
          <w:rFonts w:hint="eastAsia" w:ascii="微软雅黑" w:hAnsi="微软雅黑" w:eastAsia="微软雅黑" w:cs="宋体"/>
          <w:szCs w:val="21"/>
        </w:rPr>
        <w:t>15.4.1 保修责任</w:t>
      </w:r>
    </w:p>
    <w:p w14:paraId="469FFA8E">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szCs w:val="21"/>
        </w:rPr>
        <w:t>工程保修期为：</w:t>
      </w:r>
      <w:r>
        <w:rPr>
          <w:rFonts w:hint="eastAsia" w:ascii="微软雅黑" w:hAnsi="微软雅黑" w:eastAsia="微软雅黑" w:cs="宋体"/>
          <w:bCs/>
          <w:szCs w:val="21"/>
          <w:u w:val="single"/>
        </w:rPr>
        <w:t xml:space="preserve"> 保修期自竣工验收合格之日起计算2年。本工程的质量保修范围和责任及保修期限按《建设工程质量管理</w:t>
      </w:r>
      <w:r>
        <w:rPr>
          <w:rFonts w:hint="eastAsia" w:ascii="微软雅黑" w:hAnsi="微软雅黑" w:eastAsia="微软雅黑" w:cs="宋体"/>
          <w:bCs/>
          <w:szCs w:val="21"/>
          <w:u w:val="single"/>
          <w:lang w:val="en-US" w:eastAsia="zh-CN"/>
        </w:rPr>
        <w:t>条例</w:t>
      </w:r>
      <w:r>
        <w:rPr>
          <w:rFonts w:hint="eastAsia" w:ascii="微软雅黑" w:hAnsi="微软雅黑" w:eastAsia="微软雅黑" w:cs="宋体"/>
          <w:bCs/>
          <w:szCs w:val="21"/>
          <w:u w:val="single"/>
        </w:rPr>
        <w:t>》的规定执行。在保修期内承包人应对由于施工质量原因造成的损害进行自费修复。若承包人不履行义务和责任，发包人自行修复的，发包人有权直接从质保金中抵扣，同时承包人应当在发包人抵扣后十日内补足质保金，否则承包人应承担由于违约造成的法律后果</w:t>
      </w:r>
      <w:r>
        <w:rPr>
          <w:rFonts w:hint="eastAsia" w:ascii="微软雅黑" w:hAnsi="微软雅黑" w:eastAsia="微软雅黑" w:cs="宋体"/>
          <w:kern w:val="0"/>
          <w:szCs w:val="21"/>
        </w:rPr>
        <w:t>。</w:t>
      </w:r>
    </w:p>
    <w:p w14:paraId="29F41BF3">
      <w:pPr>
        <w:spacing w:line="360" w:lineRule="auto"/>
        <w:ind w:firstLine="409" w:firstLineChars="195"/>
        <w:jc w:val="left"/>
        <w:rPr>
          <w:rFonts w:ascii="微软雅黑" w:hAnsi="微软雅黑" w:eastAsia="微软雅黑" w:cs="宋体"/>
          <w:szCs w:val="21"/>
        </w:rPr>
      </w:pPr>
      <w:r>
        <w:rPr>
          <w:rFonts w:hint="eastAsia" w:ascii="微软雅黑" w:hAnsi="微软雅黑" w:eastAsia="微软雅黑" w:cs="宋体"/>
          <w:szCs w:val="21"/>
        </w:rPr>
        <w:t>15.4.3 修复通知</w:t>
      </w:r>
    </w:p>
    <w:p w14:paraId="6BDF262D">
      <w:pPr>
        <w:spacing w:line="360" w:lineRule="auto"/>
        <w:jc w:val="left"/>
        <w:rPr>
          <w:rFonts w:ascii="微软雅黑" w:hAnsi="微软雅黑" w:eastAsia="微软雅黑" w:cs="宋体"/>
          <w:kern w:val="0"/>
          <w:szCs w:val="21"/>
        </w:rPr>
      </w:pPr>
      <w:r>
        <w:rPr>
          <w:rFonts w:hint="eastAsia" w:ascii="微软雅黑" w:hAnsi="微软雅黑" w:eastAsia="微软雅黑" w:cs="宋体"/>
          <w:kern w:val="0"/>
          <w:szCs w:val="21"/>
        </w:rPr>
        <w:t>承包人收到保修通知并到达工程现场的合理时间：</w:t>
      </w:r>
      <w:r>
        <w:rPr>
          <w:rFonts w:hint="eastAsia" w:ascii="微软雅黑" w:hAnsi="微软雅黑" w:eastAsia="微软雅黑" w:cs="宋体"/>
          <w:kern w:val="0"/>
          <w:szCs w:val="21"/>
          <w:u w:val="single"/>
        </w:rPr>
        <w:t xml:space="preserve">  见工程质量保修书     </w:t>
      </w:r>
      <w:r>
        <w:rPr>
          <w:rFonts w:hint="eastAsia" w:ascii="微软雅黑" w:hAnsi="微软雅黑" w:eastAsia="微软雅黑" w:cs="宋体"/>
          <w:kern w:val="0"/>
          <w:szCs w:val="21"/>
        </w:rPr>
        <w:t>。</w:t>
      </w:r>
    </w:p>
    <w:bookmarkEnd w:id="928"/>
    <w:bookmarkEnd w:id="929"/>
    <w:bookmarkEnd w:id="930"/>
    <w:bookmarkEnd w:id="931"/>
    <w:p w14:paraId="5DA2B089">
      <w:pPr>
        <w:widowControl/>
        <w:spacing w:before="120" w:beforeAutospacing="1" w:after="120" w:afterAutospacing="1" w:line="360" w:lineRule="auto"/>
        <w:jc w:val="left"/>
        <w:outlineLvl w:val="3"/>
        <w:rPr>
          <w:rFonts w:ascii="微软雅黑" w:hAnsi="微软雅黑" w:eastAsia="微软雅黑" w:cs="宋体"/>
          <w:bCs/>
          <w:szCs w:val="21"/>
        </w:rPr>
      </w:pPr>
      <w:bookmarkStart w:id="982" w:name="_Toc20700"/>
      <w:bookmarkStart w:id="983" w:name="_Toc351203648"/>
      <w:bookmarkStart w:id="984" w:name="_Toc8744"/>
      <w:bookmarkStart w:id="985" w:name="_Toc20330"/>
      <w:bookmarkStart w:id="986" w:name="_Toc1136"/>
      <w:bookmarkStart w:id="987" w:name="_Toc1884"/>
      <w:bookmarkStart w:id="988" w:name="_Toc280868717"/>
      <w:bookmarkStart w:id="989" w:name="_Toc280868718"/>
      <w:r>
        <w:rPr>
          <w:rFonts w:hint="eastAsia" w:ascii="微软雅黑" w:hAnsi="微软雅黑" w:eastAsia="微软雅黑" w:cs="宋体"/>
          <w:bCs/>
          <w:szCs w:val="21"/>
        </w:rPr>
        <w:t>16. 违约</w:t>
      </w:r>
      <w:bookmarkEnd w:id="982"/>
      <w:bookmarkEnd w:id="983"/>
      <w:bookmarkEnd w:id="984"/>
      <w:bookmarkEnd w:id="985"/>
      <w:bookmarkEnd w:id="986"/>
      <w:bookmarkEnd w:id="987"/>
    </w:p>
    <w:p w14:paraId="084FA13C">
      <w:pPr>
        <w:spacing w:after="120" w:line="360" w:lineRule="auto"/>
        <w:ind w:firstLine="420" w:firstLineChars="200"/>
        <w:outlineLvl w:val="0"/>
        <w:rPr>
          <w:rFonts w:ascii="微软雅黑" w:hAnsi="微软雅黑" w:eastAsia="微软雅黑" w:cs="宋体"/>
          <w:szCs w:val="21"/>
        </w:rPr>
      </w:pPr>
      <w:bookmarkStart w:id="990" w:name="_Toc22716"/>
      <w:bookmarkStart w:id="991" w:name="_Toc16896"/>
      <w:bookmarkStart w:id="992" w:name="_Toc11190"/>
      <w:bookmarkStart w:id="993" w:name="_Toc11519"/>
      <w:bookmarkStart w:id="994" w:name="_Toc22630"/>
      <w:bookmarkStart w:id="995" w:name="_Toc15125"/>
      <w:bookmarkStart w:id="996" w:name="_Toc11859"/>
      <w:r>
        <w:rPr>
          <w:rFonts w:hint="eastAsia" w:ascii="微软雅黑" w:hAnsi="微软雅黑" w:eastAsia="微软雅黑" w:cs="宋体"/>
          <w:szCs w:val="21"/>
        </w:rPr>
        <w:t>16.1 发包人违约</w:t>
      </w:r>
      <w:bookmarkEnd w:id="990"/>
      <w:bookmarkEnd w:id="991"/>
      <w:bookmarkEnd w:id="992"/>
      <w:bookmarkEnd w:id="993"/>
      <w:bookmarkEnd w:id="994"/>
      <w:bookmarkEnd w:id="995"/>
      <w:bookmarkEnd w:id="996"/>
    </w:p>
    <w:p w14:paraId="51FA641A">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16.1.1发包人违约的情形</w:t>
      </w:r>
    </w:p>
    <w:p w14:paraId="1C665C44">
      <w:pPr>
        <w:spacing w:line="360" w:lineRule="auto"/>
        <w:ind w:left="1050" w:hanging="1050" w:hangingChars="500"/>
        <w:jc w:val="left"/>
        <w:rPr>
          <w:rFonts w:ascii="微软雅黑" w:hAnsi="微软雅黑" w:eastAsia="微软雅黑" w:cs="宋体"/>
          <w:kern w:val="0"/>
          <w:szCs w:val="21"/>
        </w:rPr>
      </w:pPr>
      <w:r>
        <w:rPr>
          <w:rFonts w:hint="eastAsia" w:ascii="微软雅黑" w:hAnsi="微软雅黑" w:eastAsia="微软雅黑" w:cs="宋体"/>
          <w:kern w:val="0"/>
          <w:szCs w:val="21"/>
        </w:rPr>
        <w:t>发包人违约的其他情形：</w:t>
      </w:r>
      <w:r>
        <w:rPr>
          <w:rFonts w:hint="eastAsia" w:ascii="微软雅黑" w:hAnsi="微软雅黑" w:eastAsia="微软雅黑" w:cs="宋体"/>
          <w:kern w:val="0"/>
          <w:szCs w:val="21"/>
          <w:u w:val="single"/>
        </w:rPr>
        <w:t xml:space="preserve">    /     </w:t>
      </w:r>
      <w:r>
        <w:rPr>
          <w:rFonts w:hint="eastAsia" w:ascii="微软雅黑" w:hAnsi="微软雅黑" w:eastAsia="微软雅黑" w:cs="宋体"/>
          <w:kern w:val="0"/>
          <w:szCs w:val="21"/>
        </w:rPr>
        <w:t>。</w:t>
      </w:r>
    </w:p>
    <w:p w14:paraId="76101F0B">
      <w:pPr>
        <w:spacing w:line="360" w:lineRule="auto"/>
        <w:ind w:left="1050" w:hanging="1050" w:hangingChars="500"/>
        <w:jc w:val="left"/>
        <w:rPr>
          <w:rFonts w:ascii="微软雅黑" w:hAnsi="微软雅黑" w:eastAsia="微软雅黑" w:cs="宋体"/>
          <w:kern w:val="0"/>
          <w:szCs w:val="21"/>
        </w:rPr>
      </w:pPr>
      <w:r>
        <w:rPr>
          <w:rFonts w:hint="eastAsia" w:ascii="微软雅黑" w:hAnsi="微软雅黑" w:eastAsia="微软雅黑" w:cs="宋体"/>
          <w:kern w:val="0"/>
          <w:szCs w:val="21"/>
        </w:rPr>
        <w:t xml:space="preserve">    16.1.2 发包人违约的责任</w:t>
      </w:r>
    </w:p>
    <w:p w14:paraId="452553FB">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发包人违约责任的承担方式和计算方法：</w:t>
      </w:r>
    </w:p>
    <w:p w14:paraId="2D1AE0A9">
      <w:pPr>
        <w:spacing w:line="360" w:lineRule="auto"/>
        <w:ind w:firstLine="420" w:firstLineChars="200"/>
        <w:jc w:val="left"/>
        <w:rPr>
          <w:rFonts w:ascii="微软雅黑" w:hAnsi="微软雅黑" w:eastAsia="微软雅黑" w:cs="宋体"/>
          <w:kern w:val="0"/>
          <w:szCs w:val="21"/>
          <w:u w:val="single"/>
        </w:rPr>
      </w:pPr>
      <w:r>
        <w:rPr>
          <w:rFonts w:hint="eastAsia" w:ascii="微软雅黑" w:hAnsi="微软雅黑" w:eastAsia="微软雅黑" w:cs="宋体"/>
          <w:kern w:val="0"/>
          <w:szCs w:val="21"/>
        </w:rPr>
        <w:t>（1）因发包人原因未能在计划开工日期前7天内下达开工通知的违约责任：</w:t>
      </w:r>
      <w:r>
        <w:rPr>
          <w:rFonts w:hint="eastAsia" w:ascii="微软雅黑" w:hAnsi="微软雅黑" w:eastAsia="微软雅黑" w:cs="宋体"/>
          <w:kern w:val="0"/>
          <w:szCs w:val="21"/>
          <w:u w:val="single"/>
        </w:rPr>
        <w:t xml:space="preserve">   /     </w:t>
      </w:r>
      <w:r>
        <w:rPr>
          <w:rFonts w:hint="eastAsia" w:ascii="微软雅黑" w:hAnsi="微软雅黑" w:eastAsia="微软雅黑" w:cs="宋体"/>
          <w:kern w:val="0"/>
          <w:szCs w:val="21"/>
        </w:rPr>
        <w:t>。</w:t>
      </w:r>
    </w:p>
    <w:p w14:paraId="39840787">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（2）因发包人原因未能按合同约定支付合同价款的违约责任：</w:t>
      </w:r>
      <w:r>
        <w:rPr>
          <w:rFonts w:hint="eastAsia" w:ascii="微软雅黑" w:hAnsi="微软雅黑" w:eastAsia="微软雅黑" w:cs="宋体"/>
          <w:kern w:val="0"/>
          <w:szCs w:val="21"/>
          <w:u w:val="single"/>
        </w:rPr>
        <w:t xml:space="preserve">    /     </w:t>
      </w:r>
      <w:r>
        <w:rPr>
          <w:rFonts w:hint="eastAsia" w:ascii="微软雅黑" w:hAnsi="微软雅黑" w:eastAsia="微软雅黑" w:cs="宋体"/>
          <w:kern w:val="0"/>
          <w:szCs w:val="21"/>
        </w:rPr>
        <w:t>。</w:t>
      </w:r>
    </w:p>
    <w:p w14:paraId="5E01803F">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（3）发包人违反第10.1款〔变更的范围〕第（2）项约定，自行实施被取消的工作或转由他人实施的违约责任：</w:t>
      </w:r>
      <w:r>
        <w:rPr>
          <w:rFonts w:hint="eastAsia" w:ascii="微软雅黑" w:hAnsi="微软雅黑" w:eastAsia="微软雅黑" w:cs="宋体"/>
          <w:kern w:val="0"/>
          <w:szCs w:val="21"/>
          <w:u w:val="single"/>
        </w:rPr>
        <w:t xml:space="preserve">  /     </w:t>
      </w:r>
      <w:r>
        <w:rPr>
          <w:rFonts w:hint="eastAsia" w:ascii="微软雅黑" w:hAnsi="微软雅黑" w:eastAsia="微软雅黑" w:cs="宋体"/>
          <w:kern w:val="0"/>
          <w:szCs w:val="21"/>
        </w:rPr>
        <w:t>。</w:t>
      </w:r>
    </w:p>
    <w:p w14:paraId="43BCFFE9">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（4）发包人提供的材料、工程设备的规格、数量或质量不符合合同约定，或因发包人原因导致交货日期延误或交货地点变更等情况的违约责任：</w:t>
      </w:r>
      <w:r>
        <w:rPr>
          <w:rFonts w:hint="eastAsia" w:ascii="微软雅黑" w:hAnsi="微软雅黑" w:eastAsia="微软雅黑" w:cs="宋体"/>
          <w:kern w:val="0"/>
          <w:szCs w:val="21"/>
          <w:u w:val="single"/>
        </w:rPr>
        <w:t xml:space="preserve">    /      </w:t>
      </w:r>
      <w:r>
        <w:rPr>
          <w:rFonts w:hint="eastAsia" w:ascii="微软雅黑" w:hAnsi="微软雅黑" w:eastAsia="微软雅黑" w:cs="宋体"/>
          <w:kern w:val="0"/>
          <w:szCs w:val="21"/>
        </w:rPr>
        <w:t>。</w:t>
      </w:r>
    </w:p>
    <w:p w14:paraId="79D26D2E">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（5）因发包人违反合同约定造成暂停施工的违约责任：</w:t>
      </w:r>
      <w:r>
        <w:rPr>
          <w:rFonts w:hint="eastAsia" w:ascii="微软雅黑" w:hAnsi="微软雅黑" w:eastAsia="微软雅黑" w:cs="宋体"/>
          <w:kern w:val="0"/>
          <w:szCs w:val="21"/>
          <w:u w:val="single"/>
        </w:rPr>
        <w:t xml:space="preserve"> /   </w:t>
      </w:r>
      <w:r>
        <w:rPr>
          <w:rFonts w:hint="eastAsia" w:ascii="微软雅黑" w:hAnsi="微软雅黑" w:eastAsia="微软雅黑" w:cs="宋体"/>
          <w:kern w:val="0"/>
          <w:szCs w:val="21"/>
        </w:rPr>
        <w:t>。</w:t>
      </w:r>
    </w:p>
    <w:p w14:paraId="04D02189">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（6）发包人无正当理由没有在约定期限内发出复工指示，导致承包人无法复工的违约责任：</w:t>
      </w:r>
      <w:r>
        <w:rPr>
          <w:rFonts w:hint="eastAsia" w:ascii="微软雅黑" w:hAnsi="微软雅黑" w:eastAsia="微软雅黑" w:cs="宋体"/>
          <w:kern w:val="0"/>
          <w:szCs w:val="21"/>
          <w:u w:val="single"/>
        </w:rPr>
        <w:t xml:space="preserve">   /  </w:t>
      </w:r>
      <w:r>
        <w:rPr>
          <w:rFonts w:hint="eastAsia" w:ascii="微软雅黑" w:hAnsi="微软雅黑" w:eastAsia="微软雅黑" w:cs="宋体"/>
          <w:kern w:val="0"/>
          <w:szCs w:val="21"/>
        </w:rPr>
        <w:t>。</w:t>
      </w:r>
    </w:p>
    <w:p w14:paraId="1F5DD697">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（7）其他：</w:t>
      </w:r>
      <w:r>
        <w:rPr>
          <w:rFonts w:hint="eastAsia" w:ascii="微软雅黑" w:hAnsi="微软雅黑" w:eastAsia="微软雅黑" w:cs="宋体"/>
          <w:kern w:val="0"/>
          <w:szCs w:val="21"/>
          <w:u w:val="single"/>
        </w:rPr>
        <w:t xml:space="preserve">         /     </w:t>
      </w:r>
      <w:r>
        <w:rPr>
          <w:rFonts w:hint="eastAsia" w:ascii="微软雅黑" w:hAnsi="微软雅黑" w:eastAsia="微软雅黑" w:cs="宋体"/>
          <w:kern w:val="0"/>
          <w:szCs w:val="21"/>
        </w:rPr>
        <w:t>。</w:t>
      </w:r>
    </w:p>
    <w:p w14:paraId="3A705B43">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16.1.3 因发包人违约解除合同</w:t>
      </w:r>
    </w:p>
    <w:p w14:paraId="7C8D0FA3">
      <w:pPr>
        <w:autoSpaceDE w:val="0"/>
        <w:autoSpaceDN w:val="0"/>
        <w:adjustRightInd w:val="0"/>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承包人按16.1.1项〔发包人违约的情形〕约定暂停施工满天后发包人仍不纠正其违约行为并致使合同目的不能实现的，承包人有权解除合同。</w:t>
      </w:r>
    </w:p>
    <w:p w14:paraId="3476FEAA">
      <w:pPr>
        <w:spacing w:after="120" w:line="360" w:lineRule="auto"/>
        <w:ind w:firstLine="420" w:firstLineChars="200"/>
        <w:outlineLvl w:val="0"/>
        <w:rPr>
          <w:rFonts w:ascii="微软雅黑" w:hAnsi="微软雅黑" w:eastAsia="微软雅黑" w:cs="宋体"/>
          <w:szCs w:val="21"/>
        </w:rPr>
      </w:pPr>
      <w:bookmarkStart w:id="997" w:name="_Toc10118"/>
      <w:bookmarkStart w:id="998" w:name="_Toc2783"/>
      <w:bookmarkStart w:id="999" w:name="_Toc8023"/>
      <w:bookmarkStart w:id="1000" w:name="_Toc12969"/>
      <w:bookmarkStart w:id="1001" w:name="_Toc10877"/>
      <w:bookmarkStart w:id="1002" w:name="_Toc4152"/>
      <w:bookmarkStart w:id="1003" w:name="_Toc25435"/>
      <w:r>
        <w:rPr>
          <w:rFonts w:hint="eastAsia" w:ascii="微软雅黑" w:hAnsi="微软雅黑" w:eastAsia="微软雅黑" w:cs="宋体"/>
          <w:szCs w:val="21"/>
        </w:rPr>
        <w:t>16.2 承包人违约</w:t>
      </w:r>
      <w:bookmarkEnd w:id="997"/>
      <w:bookmarkEnd w:id="998"/>
      <w:bookmarkEnd w:id="999"/>
      <w:bookmarkEnd w:id="1000"/>
      <w:bookmarkEnd w:id="1001"/>
      <w:bookmarkEnd w:id="1002"/>
      <w:bookmarkEnd w:id="1003"/>
    </w:p>
    <w:p w14:paraId="0A950B7B">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16.2.1 承包人违约的情形</w:t>
      </w:r>
    </w:p>
    <w:p w14:paraId="720D6AEB">
      <w:pPr>
        <w:spacing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承包人违约的其他情形：</w:t>
      </w:r>
    </w:p>
    <w:p w14:paraId="2B79D98E">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（1）承包人在本工程的施工过程中，不得以任何理由拖欠工人工资，如有类似情况发生，经核实后发包人有权从工程进度款中扣除，直接支付给工人，另向承包人收取支付工资总额的5%的违约金。</w:t>
      </w:r>
    </w:p>
    <w:p w14:paraId="3248F238">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（2）承包人必须在竣工验收合格10日内，做竣工完场清理，向发包人移交工程场地。否则发包人由此造成的结算和支付延误由承包人负责。</w:t>
      </w:r>
    </w:p>
    <w:p w14:paraId="62269545">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3）承包人在工程开工前必须向发包人提交项目班子人员组成名单，拟在本工程中担任项目经理必须是资格后审中提供的项目经理，未经发包人同意承包人不得任意更换，否则，每更换一次处以50000元/人违约金，其他项目班子人员每更换一人处以10000元/人违约金，并以此类推。如因特殊情况需报请经发包人批准，方可更换。</w:t>
      </w:r>
    </w:p>
    <w:p w14:paraId="3362B62E">
      <w:pPr>
        <w:snapToGrid w:val="0"/>
        <w:spacing w:line="360" w:lineRule="auto"/>
        <w:ind w:firstLine="420" w:firstLineChars="200"/>
        <w:rPr>
          <w:rFonts w:ascii="微软雅黑" w:hAnsi="微软雅黑" w:eastAsia="微软雅黑" w:cs="宋体"/>
          <w:bCs/>
          <w:szCs w:val="21"/>
          <w:lang w:val="zh-CN"/>
        </w:rPr>
      </w:pPr>
      <w:r>
        <w:rPr>
          <w:rFonts w:hint="eastAsia" w:ascii="微软雅黑" w:hAnsi="微软雅黑" w:eastAsia="微软雅黑" w:cs="宋体"/>
          <w:bCs/>
          <w:szCs w:val="21"/>
        </w:rPr>
        <w:t>项目班子人员必须常驻现场，</w:t>
      </w:r>
      <w:r>
        <w:rPr>
          <w:rFonts w:hint="eastAsia" w:ascii="微软雅黑" w:hAnsi="微软雅黑" w:eastAsia="微软雅黑" w:cs="宋体"/>
          <w:bCs/>
          <w:szCs w:val="21"/>
          <w:lang w:val="zh-CN"/>
        </w:rPr>
        <w:t>项目经理及技术负责人每周工作例会不能无故缺席，每周到现场办工时间不得少于4天，若违反上述约定，处以500元/次的罚款。</w:t>
      </w:r>
    </w:p>
    <w:p w14:paraId="2F561DF3">
      <w:pPr>
        <w:snapToGrid w:val="0"/>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4）资料的完善与管理：变更与洽商应该在实施前不少于一周提出并附技术经济指标，完善相关手续后方可实施。若系发包人、监理现场确认或紧急情况下处理的，承包人应在3日内完善相关手续；未在规定时间内完善手续的，视为未发生。现场收方须由发包人、合同预算部人员、监理签字认可，并在3日内完善签证手续。</w:t>
      </w:r>
    </w:p>
    <w:p w14:paraId="78AC65DB">
      <w:pPr>
        <w:spacing w:line="360" w:lineRule="auto"/>
        <w:ind w:firstLine="435"/>
        <w:rPr>
          <w:rFonts w:ascii="微软雅黑" w:hAnsi="微软雅黑" w:eastAsia="微软雅黑" w:cs="宋体"/>
          <w:bCs/>
          <w:szCs w:val="21"/>
        </w:rPr>
      </w:pPr>
      <w:r>
        <w:rPr>
          <w:rFonts w:hint="eastAsia" w:ascii="微软雅黑" w:hAnsi="微软雅黑" w:eastAsia="微软雅黑" w:cs="宋体"/>
          <w:bCs/>
          <w:szCs w:val="21"/>
        </w:rPr>
        <w:t>（5）承包人如因质量、进度达不到合同要求，经发包人及监理书面警告两次后仍无成效时，发包人有权单方面解除施工承发包合同而不承担任何责任，承包人在接到退场通知书后3日内必须无条件退场，并在10日内向监理及发包人移交前期技术资料，资料移交完毕后30日内办理工程结算，待工程竣工验收合格、完成决算审计、履行完质量缺陷责任期后30日内一次性支付给承包人（不计息）。</w:t>
      </w:r>
    </w:p>
    <w:p w14:paraId="4AD9202F">
      <w:pPr>
        <w:spacing w:line="360" w:lineRule="auto"/>
        <w:ind w:firstLine="435"/>
        <w:rPr>
          <w:rFonts w:ascii="微软雅黑" w:hAnsi="微软雅黑" w:eastAsia="微软雅黑" w:cs="宋体"/>
          <w:kern w:val="0"/>
          <w:szCs w:val="21"/>
        </w:rPr>
      </w:pPr>
      <w:r>
        <w:rPr>
          <w:rFonts w:hint="eastAsia" w:ascii="微软雅黑" w:hAnsi="微软雅黑" w:eastAsia="微软雅黑" w:cs="宋体"/>
          <w:bCs/>
          <w:szCs w:val="21"/>
        </w:rPr>
        <w:t>（6）在进度款支付中，如因业主付款流程滞后，施工单位必须无条件继续施工，不得因此而停工、窝工。</w:t>
      </w:r>
    </w:p>
    <w:p w14:paraId="4A9F624F">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kern w:val="0"/>
          <w:szCs w:val="21"/>
        </w:rPr>
        <w:t>16.2.2承包人违约的责任</w:t>
      </w:r>
    </w:p>
    <w:p w14:paraId="1FF1608A">
      <w:pPr>
        <w:spacing w:before="120" w:after="120" w:line="360" w:lineRule="auto"/>
        <w:ind w:firstLine="420" w:firstLineChars="200"/>
        <w:rPr>
          <w:rFonts w:ascii="微软雅黑" w:hAnsi="微软雅黑" w:eastAsia="微软雅黑" w:cs="宋体"/>
          <w:kern w:val="0"/>
          <w:szCs w:val="21"/>
          <w:u w:val="single"/>
        </w:rPr>
      </w:pPr>
      <w:r>
        <w:rPr>
          <w:rFonts w:hint="eastAsia" w:ascii="微软雅黑" w:hAnsi="微软雅黑" w:eastAsia="微软雅黑" w:cs="宋体"/>
          <w:kern w:val="0"/>
          <w:szCs w:val="21"/>
        </w:rPr>
        <w:t>承包人违约责任的承担方式和计算方法：</w:t>
      </w:r>
      <w:r>
        <w:rPr>
          <w:rFonts w:hint="eastAsia" w:ascii="微软雅黑" w:hAnsi="微软雅黑" w:eastAsia="微软雅黑" w:cs="宋体"/>
          <w:kern w:val="0"/>
          <w:szCs w:val="21"/>
          <w:u w:val="single"/>
        </w:rPr>
        <w:t xml:space="preserve"> 承包人不履行本合同义务或不按本合同约定履行义务，必须承担违约责任，赔偿发包人的一切经济损失，如对发包人造成严重经济损失或其他严重后果的，发包人有权解除合同、不返还承包人的履约保证金 。</w:t>
      </w:r>
    </w:p>
    <w:p w14:paraId="3438EFB3">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16.2.3 因承包人违约解除合同</w:t>
      </w:r>
    </w:p>
    <w:p w14:paraId="7ACF181F">
      <w:pPr>
        <w:spacing w:before="120" w:after="120" w:line="360" w:lineRule="auto"/>
        <w:rPr>
          <w:rFonts w:ascii="微软雅黑" w:hAnsi="微软雅黑" w:eastAsia="微软雅黑" w:cs="宋体"/>
          <w:kern w:val="0"/>
          <w:szCs w:val="21"/>
        </w:rPr>
      </w:pPr>
      <w:r>
        <w:rPr>
          <w:rFonts w:hint="eastAsia" w:ascii="微软雅黑" w:hAnsi="微软雅黑" w:eastAsia="微软雅黑" w:cs="宋体"/>
          <w:kern w:val="0"/>
          <w:szCs w:val="21"/>
        </w:rPr>
        <w:t>关于承包人违约解除合同的特别约定：</w:t>
      </w:r>
      <w:r>
        <w:rPr>
          <w:rFonts w:hint="eastAsia" w:ascii="微软雅黑" w:hAnsi="微软雅黑" w:eastAsia="微软雅黑" w:cs="宋体"/>
          <w:kern w:val="0"/>
          <w:szCs w:val="21"/>
          <w:u w:val="single"/>
        </w:rPr>
        <w:t>监理人发出整改通知 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 但发包人的这一行动不免除承包人应承担的违约责任，也不影响发包人根据合同约定享有的索赔权利。</w:t>
      </w:r>
    </w:p>
    <w:p w14:paraId="26A873C8">
      <w:pPr>
        <w:spacing w:before="120" w:after="120" w:line="360" w:lineRule="auto"/>
        <w:ind w:firstLine="420" w:firstLineChars="200"/>
        <w:rPr>
          <w:rFonts w:ascii="微软雅黑" w:hAnsi="微软雅黑" w:eastAsia="微软雅黑" w:cs="宋体"/>
          <w:kern w:val="0"/>
          <w:szCs w:val="21"/>
        </w:rPr>
      </w:pPr>
      <w:r>
        <w:rPr>
          <w:rFonts w:hint="eastAsia" w:ascii="微软雅黑" w:hAnsi="微软雅黑" w:eastAsia="微软雅黑" w:cs="宋体"/>
          <w:kern w:val="0"/>
          <w:szCs w:val="21"/>
        </w:rPr>
        <w:t>发包人继续使用承包人在施工现场的材料、设备、临时工程、承包人文件和由承包人或以其名义编制的其他文件的费用承担方式：</w:t>
      </w:r>
      <w:r>
        <w:rPr>
          <w:rFonts w:hint="eastAsia" w:ascii="微软雅黑" w:hAnsi="微软雅黑" w:eastAsia="微软雅黑" w:cs="宋体"/>
          <w:kern w:val="0"/>
          <w:szCs w:val="21"/>
          <w:u w:val="single"/>
        </w:rPr>
        <w:t xml:space="preserve">     执行通用条款     </w:t>
      </w:r>
      <w:r>
        <w:rPr>
          <w:rFonts w:hint="eastAsia" w:ascii="微软雅黑" w:hAnsi="微软雅黑" w:eastAsia="微软雅黑" w:cs="宋体"/>
          <w:kern w:val="0"/>
          <w:szCs w:val="21"/>
        </w:rPr>
        <w:t>。</w:t>
      </w:r>
    </w:p>
    <w:p w14:paraId="74D862E8">
      <w:pPr>
        <w:widowControl/>
        <w:spacing w:before="120" w:beforeAutospacing="1" w:after="120" w:afterAutospacing="1" w:line="360" w:lineRule="auto"/>
        <w:jc w:val="left"/>
        <w:outlineLvl w:val="3"/>
        <w:rPr>
          <w:rFonts w:ascii="微软雅黑" w:hAnsi="微软雅黑" w:eastAsia="微软雅黑" w:cs="宋体"/>
          <w:bCs/>
          <w:szCs w:val="21"/>
        </w:rPr>
      </w:pPr>
      <w:bookmarkStart w:id="1004" w:name="_Toc18072"/>
      <w:bookmarkStart w:id="1005" w:name="_Toc351203649"/>
      <w:bookmarkStart w:id="1006" w:name="_Toc16487"/>
      <w:bookmarkStart w:id="1007" w:name="_Toc18259"/>
      <w:bookmarkStart w:id="1008" w:name="_Toc2620"/>
      <w:bookmarkStart w:id="1009" w:name="_Toc17740"/>
      <w:r>
        <w:rPr>
          <w:rFonts w:hint="eastAsia" w:ascii="微软雅黑" w:hAnsi="微软雅黑" w:eastAsia="微软雅黑" w:cs="宋体"/>
          <w:bCs/>
          <w:szCs w:val="21"/>
        </w:rPr>
        <w:t>17. 不可抗力</w:t>
      </w:r>
      <w:bookmarkEnd w:id="988"/>
      <w:bookmarkEnd w:id="1004"/>
      <w:bookmarkEnd w:id="1005"/>
      <w:bookmarkEnd w:id="1006"/>
      <w:bookmarkEnd w:id="1007"/>
      <w:bookmarkEnd w:id="1008"/>
      <w:bookmarkEnd w:id="1009"/>
    </w:p>
    <w:p w14:paraId="484EC469">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17.1 不可抗力的确认</w:t>
      </w:r>
    </w:p>
    <w:p w14:paraId="27AC3121">
      <w:pPr>
        <w:spacing w:line="360" w:lineRule="auto"/>
        <w:ind w:firstLine="420" w:firstLineChars="200"/>
        <w:jc w:val="left"/>
        <w:rPr>
          <w:rFonts w:ascii="微软雅黑" w:hAnsi="微软雅黑" w:eastAsia="微软雅黑" w:cs="宋体"/>
          <w:kern w:val="0"/>
          <w:szCs w:val="21"/>
          <w:u w:val="single"/>
        </w:rPr>
      </w:pPr>
      <w:r>
        <w:rPr>
          <w:rFonts w:hint="eastAsia" w:ascii="微软雅黑" w:hAnsi="微软雅黑" w:eastAsia="微软雅黑" w:cs="宋体"/>
          <w:szCs w:val="21"/>
        </w:rPr>
        <w:t xml:space="preserve">除通用合同条款约定的不可抗力事件之外，视为不可抗力的其他情形： </w:t>
      </w:r>
      <w:r>
        <w:rPr>
          <w:rFonts w:hint="eastAsia" w:ascii="微软雅黑" w:hAnsi="微软雅黑" w:eastAsia="微软雅黑" w:cs="宋体"/>
          <w:kern w:val="0"/>
          <w:szCs w:val="21"/>
          <w:u w:val="single"/>
        </w:rPr>
        <w:t xml:space="preserve">  按通用条款执行 </w:t>
      </w:r>
      <w:r>
        <w:rPr>
          <w:rFonts w:hint="eastAsia" w:ascii="微软雅黑" w:hAnsi="微软雅黑" w:eastAsia="微软雅黑" w:cs="宋体"/>
          <w:kern w:val="0"/>
          <w:szCs w:val="21"/>
        </w:rPr>
        <w:t>。</w:t>
      </w:r>
    </w:p>
    <w:p w14:paraId="06C5B6EE">
      <w:pPr>
        <w:spacing w:after="120" w:line="360" w:lineRule="auto"/>
        <w:ind w:firstLine="420" w:firstLineChars="200"/>
        <w:outlineLvl w:val="0"/>
        <w:rPr>
          <w:rFonts w:ascii="微软雅黑" w:hAnsi="微软雅黑" w:eastAsia="微软雅黑" w:cs="宋体"/>
          <w:szCs w:val="21"/>
        </w:rPr>
      </w:pPr>
      <w:bookmarkStart w:id="1010" w:name="_Toc9211"/>
      <w:bookmarkStart w:id="1011" w:name="_Toc190"/>
      <w:bookmarkStart w:id="1012" w:name="_Toc18675"/>
      <w:bookmarkStart w:id="1013" w:name="_Toc4264"/>
      <w:bookmarkStart w:id="1014" w:name="_Toc26772"/>
      <w:bookmarkStart w:id="1015" w:name="_Toc31788"/>
      <w:bookmarkStart w:id="1016" w:name="_Toc8177"/>
      <w:r>
        <w:rPr>
          <w:rFonts w:hint="eastAsia" w:ascii="微软雅黑" w:hAnsi="微软雅黑" w:eastAsia="微软雅黑" w:cs="宋体"/>
          <w:szCs w:val="21"/>
        </w:rPr>
        <w:t>17.4 因不可抗力解除合同</w:t>
      </w:r>
      <w:bookmarkEnd w:id="1010"/>
      <w:bookmarkEnd w:id="1011"/>
      <w:bookmarkEnd w:id="1012"/>
      <w:bookmarkEnd w:id="1013"/>
      <w:bookmarkEnd w:id="1014"/>
      <w:bookmarkEnd w:id="1015"/>
      <w:bookmarkEnd w:id="1016"/>
    </w:p>
    <w:p w14:paraId="02D6EC6B">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合同解除后，发包人应在商定或确定发包人应支付款项后</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天内完成款项的支付。</w:t>
      </w:r>
    </w:p>
    <w:p w14:paraId="7F46E331">
      <w:pPr>
        <w:widowControl/>
        <w:spacing w:before="120" w:beforeAutospacing="1" w:after="120" w:afterAutospacing="1" w:line="360" w:lineRule="auto"/>
        <w:jc w:val="left"/>
        <w:outlineLvl w:val="3"/>
        <w:rPr>
          <w:rFonts w:ascii="微软雅黑" w:hAnsi="微软雅黑" w:eastAsia="微软雅黑" w:cs="宋体"/>
          <w:bCs/>
          <w:szCs w:val="21"/>
        </w:rPr>
      </w:pPr>
      <w:bookmarkStart w:id="1017" w:name="_Toc351203650"/>
      <w:bookmarkStart w:id="1018" w:name="_Toc15633"/>
      <w:bookmarkStart w:id="1019" w:name="_Toc1337"/>
      <w:bookmarkStart w:id="1020" w:name="_Toc20394"/>
      <w:bookmarkStart w:id="1021" w:name="_Toc8200"/>
      <w:bookmarkStart w:id="1022" w:name="_Toc27278"/>
      <w:r>
        <w:rPr>
          <w:rFonts w:hint="eastAsia" w:ascii="微软雅黑" w:hAnsi="微软雅黑" w:eastAsia="微软雅黑" w:cs="宋体"/>
          <w:bCs/>
          <w:szCs w:val="21"/>
        </w:rPr>
        <w:t>18. 保险</w:t>
      </w:r>
      <w:bookmarkEnd w:id="1017"/>
      <w:bookmarkEnd w:id="1018"/>
      <w:bookmarkEnd w:id="1019"/>
      <w:bookmarkEnd w:id="1020"/>
      <w:bookmarkEnd w:id="1021"/>
      <w:bookmarkEnd w:id="1022"/>
    </w:p>
    <w:bookmarkEnd w:id="989"/>
    <w:p w14:paraId="244C3FE5">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18.1 工程保险</w:t>
      </w:r>
    </w:p>
    <w:p w14:paraId="3D0530CD">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关于工程保险的特别约定：</w:t>
      </w:r>
      <w:r>
        <w:rPr>
          <w:rFonts w:hint="eastAsia" w:ascii="微软雅黑" w:hAnsi="微软雅黑" w:eastAsia="微软雅黑" w:cs="宋体"/>
          <w:kern w:val="0"/>
          <w:szCs w:val="21"/>
        </w:rPr>
        <w:t>。</w:t>
      </w:r>
    </w:p>
    <w:p w14:paraId="2F7FF3AB">
      <w:pPr>
        <w:spacing w:after="120" w:line="360" w:lineRule="auto"/>
        <w:ind w:firstLine="420" w:firstLineChars="200"/>
        <w:outlineLvl w:val="0"/>
        <w:rPr>
          <w:rFonts w:ascii="微软雅黑" w:hAnsi="微软雅黑" w:eastAsia="微软雅黑" w:cs="宋体"/>
          <w:szCs w:val="21"/>
        </w:rPr>
      </w:pPr>
      <w:bookmarkStart w:id="1023" w:name="_Toc22691"/>
      <w:bookmarkStart w:id="1024" w:name="_Toc6209"/>
      <w:bookmarkStart w:id="1025" w:name="_Toc27501"/>
      <w:bookmarkStart w:id="1026" w:name="_Toc24347"/>
      <w:bookmarkStart w:id="1027" w:name="_Toc14782"/>
      <w:bookmarkStart w:id="1028" w:name="_Toc28666"/>
      <w:bookmarkStart w:id="1029" w:name="_Toc19657"/>
      <w:r>
        <w:rPr>
          <w:rFonts w:hint="eastAsia" w:ascii="微软雅黑" w:hAnsi="微软雅黑" w:eastAsia="微软雅黑" w:cs="宋体"/>
          <w:szCs w:val="21"/>
        </w:rPr>
        <w:t>18.3 其他保险</w:t>
      </w:r>
      <w:bookmarkEnd w:id="1023"/>
      <w:bookmarkEnd w:id="1024"/>
      <w:bookmarkEnd w:id="1025"/>
      <w:bookmarkEnd w:id="1026"/>
      <w:bookmarkEnd w:id="1027"/>
      <w:bookmarkEnd w:id="1028"/>
      <w:bookmarkEnd w:id="1029"/>
    </w:p>
    <w:p w14:paraId="425A1894">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szCs w:val="21"/>
        </w:rPr>
        <w:t>关于其他保险的约定：</w:t>
      </w:r>
      <w:r>
        <w:rPr>
          <w:rFonts w:hint="eastAsia" w:ascii="微软雅黑" w:hAnsi="微软雅黑" w:eastAsia="微软雅黑" w:cs="宋体"/>
          <w:kern w:val="0"/>
          <w:szCs w:val="21"/>
        </w:rPr>
        <w:t>。</w:t>
      </w:r>
    </w:p>
    <w:p w14:paraId="1D6557C4">
      <w:pPr>
        <w:spacing w:line="360" w:lineRule="auto"/>
        <w:ind w:firstLine="420" w:firstLineChars="200"/>
        <w:jc w:val="left"/>
        <w:rPr>
          <w:rFonts w:ascii="微软雅黑" w:hAnsi="微软雅黑" w:eastAsia="微软雅黑" w:cs="宋体"/>
          <w:kern w:val="0"/>
          <w:szCs w:val="21"/>
        </w:rPr>
      </w:pPr>
      <w:r>
        <w:rPr>
          <w:rFonts w:hint="eastAsia" w:ascii="微软雅黑" w:hAnsi="微软雅黑" w:eastAsia="微软雅黑" w:cs="宋体"/>
          <w:szCs w:val="21"/>
        </w:rPr>
        <w:t>承包人是否应为其施工设备等办理财产保险：。</w:t>
      </w:r>
    </w:p>
    <w:p w14:paraId="3935D153">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18.7 通知义务</w:t>
      </w:r>
    </w:p>
    <w:p w14:paraId="35E73B42">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kern w:val="0"/>
          <w:szCs w:val="21"/>
        </w:rPr>
        <w:t>关于变更保险合同时的通知义务的约定：</w:t>
      </w:r>
      <w:r>
        <w:rPr>
          <w:rFonts w:hint="eastAsia" w:ascii="微软雅黑" w:hAnsi="微软雅黑" w:eastAsia="微软雅黑" w:cs="宋体"/>
          <w:szCs w:val="21"/>
        </w:rPr>
        <w:t>。</w:t>
      </w:r>
    </w:p>
    <w:bookmarkEnd w:id="932"/>
    <w:bookmarkEnd w:id="933"/>
    <w:bookmarkEnd w:id="934"/>
    <w:bookmarkEnd w:id="935"/>
    <w:bookmarkEnd w:id="936"/>
    <w:bookmarkEnd w:id="937"/>
    <w:bookmarkEnd w:id="938"/>
    <w:bookmarkEnd w:id="939"/>
    <w:bookmarkEnd w:id="940"/>
    <w:bookmarkEnd w:id="941"/>
    <w:bookmarkEnd w:id="942"/>
    <w:bookmarkEnd w:id="943"/>
    <w:p w14:paraId="1495BF54">
      <w:pPr>
        <w:widowControl/>
        <w:spacing w:before="120" w:beforeAutospacing="1" w:after="120" w:afterAutospacing="1" w:line="360" w:lineRule="auto"/>
        <w:jc w:val="left"/>
        <w:outlineLvl w:val="3"/>
        <w:rPr>
          <w:rFonts w:ascii="微软雅黑" w:hAnsi="微软雅黑" w:eastAsia="微软雅黑" w:cs="宋体"/>
          <w:bCs/>
          <w:szCs w:val="21"/>
        </w:rPr>
      </w:pPr>
      <w:bookmarkStart w:id="1030" w:name="_Toc17968"/>
      <w:bookmarkStart w:id="1031" w:name="_Toc2402"/>
      <w:bookmarkStart w:id="1032" w:name="_Toc351203651"/>
      <w:bookmarkStart w:id="1033" w:name="_Toc18219"/>
      <w:bookmarkStart w:id="1034" w:name="_Toc1575"/>
      <w:bookmarkStart w:id="1035" w:name="_Toc18415"/>
      <w:r>
        <w:rPr>
          <w:rFonts w:hint="eastAsia" w:ascii="微软雅黑" w:hAnsi="微软雅黑" w:eastAsia="微软雅黑" w:cs="宋体"/>
          <w:bCs/>
          <w:szCs w:val="21"/>
        </w:rPr>
        <w:t>20. 争议解决</w:t>
      </w:r>
      <w:bookmarkEnd w:id="1030"/>
      <w:bookmarkEnd w:id="1031"/>
      <w:bookmarkEnd w:id="1032"/>
      <w:bookmarkEnd w:id="1033"/>
      <w:bookmarkEnd w:id="1034"/>
      <w:bookmarkEnd w:id="1035"/>
    </w:p>
    <w:bookmarkEnd w:id="944"/>
    <w:bookmarkEnd w:id="945"/>
    <w:p w14:paraId="51A35958">
      <w:pPr>
        <w:spacing w:after="120" w:line="360" w:lineRule="auto"/>
        <w:ind w:firstLine="420" w:firstLineChars="200"/>
        <w:outlineLvl w:val="0"/>
        <w:rPr>
          <w:rFonts w:ascii="微软雅黑" w:hAnsi="微软雅黑" w:eastAsia="微软雅黑" w:cs="宋体"/>
          <w:szCs w:val="21"/>
        </w:rPr>
      </w:pPr>
      <w:bookmarkStart w:id="1036" w:name="_Toc21139"/>
      <w:bookmarkStart w:id="1037" w:name="_Toc6112"/>
      <w:bookmarkStart w:id="1038" w:name="_Toc3135"/>
      <w:bookmarkStart w:id="1039" w:name="_Toc19184"/>
      <w:bookmarkStart w:id="1040" w:name="_Toc26160"/>
      <w:bookmarkStart w:id="1041" w:name="_Toc14763"/>
      <w:bookmarkStart w:id="1042" w:name="_Toc13640"/>
      <w:r>
        <w:rPr>
          <w:rFonts w:hint="eastAsia" w:ascii="微软雅黑" w:hAnsi="微软雅黑" w:eastAsia="微软雅黑" w:cs="宋体"/>
          <w:szCs w:val="21"/>
        </w:rPr>
        <w:t>20.3 争</w:t>
      </w:r>
      <w:bookmarkEnd w:id="946"/>
      <w:r>
        <w:rPr>
          <w:rFonts w:hint="eastAsia" w:ascii="微软雅黑" w:hAnsi="微软雅黑" w:eastAsia="微软雅黑" w:cs="宋体"/>
          <w:szCs w:val="21"/>
        </w:rPr>
        <w:t>议评审</w:t>
      </w:r>
      <w:bookmarkEnd w:id="1036"/>
      <w:bookmarkEnd w:id="1037"/>
      <w:bookmarkEnd w:id="1038"/>
      <w:bookmarkEnd w:id="1039"/>
      <w:bookmarkEnd w:id="1040"/>
      <w:bookmarkEnd w:id="1041"/>
      <w:bookmarkEnd w:id="1042"/>
    </w:p>
    <w:p w14:paraId="5A711301">
      <w:pPr>
        <w:spacing w:line="360" w:lineRule="auto"/>
        <w:ind w:left="149" w:leftChars="71" w:firstLine="525" w:firstLineChars="250"/>
        <w:jc w:val="left"/>
        <w:rPr>
          <w:rFonts w:ascii="微软雅黑" w:hAnsi="微软雅黑" w:eastAsia="微软雅黑" w:cs="宋体"/>
          <w:szCs w:val="21"/>
        </w:rPr>
      </w:pPr>
      <w:r>
        <w:rPr>
          <w:rFonts w:hint="eastAsia" w:ascii="微软雅黑" w:hAnsi="微软雅黑" w:eastAsia="微软雅黑" w:cs="宋体"/>
          <w:szCs w:val="21"/>
        </w:rPr>
        <w:t xml:space="preserve">合同当事人是否同意将工程争议提交争议评审小组决定：。  </w:t>
      </w:r>
    </w:p>
    <w:p w14:paraId="3F146051">
      <w:pPr>
        <w:spacing w:line="360" w:lineRule="auto"/>
        <w:ind w:firstLine="420" w:firstLineChars="200"/>
        <w:jc w:val="left"/>
        <w:outlineLvl w:val="0"/>
        <w:rPr>
          <w:rFonts w:ascii="微软雅黑" w:hAnsi="微软雅黑" w:eastAsia="微软雅黑" w:cs="宋体"/>
          <w:szCs w:val="21"/>
        </w:rPr>
      </w:pPr>
      <w:bookmarkStart w:id="1043" w:name="_Toc19189"/>
      <w:bookmarkStart w:id="1044" w:name="_Toc22922"/>
      <w:bookmarkStart w:id="1045" w:name="_Toc19044"/>
      <w:bookmarkStart w:id="1046" w:name="_Toc1721"/>
      <w:bookmarkStart w:id="1047" w:name="_Toc32326"/>
      <w:bookmarkStart w:id="1048" w:name="_Toc14562"/>
      <w:bookmarkStart w:id="1049" w:name="_Toc16259"/>
      <w:r>
        <w:rPr>
          <w:rFonts w:hint="eastAsia" w:ascii="微软雅黑" w:hAnsi="微软雅黑" w:eastAsia="微软雅黑" w:cs="宋体"/>
          <w:szCs w:val="21"/>
        </w:rPr>
        <w:t>20.3.1 争议评审小组的确定</w:t>
      </w:r>
      <w:bookmarkEnd w:id="1043"/>
      <w:bookmarkEnd w:id="1044"/>
      <w:bookmarkEnd w:id="1045"/>
      <w:bookmarkEnd w:id="1046"/>
      <w:bookmarkEnd w:id="1047"/>
      <w:bookmarkEnd w:id="1048"/>
      <w:bookmarkEnd w:id="1049"/>
    </w:p>
    <w:p w14:paraId="5FBD9C98">
      <w:pPr>
        <w:spacing w:line="360" w:lineRule="auto"/>
        <w:ind w:firstLine="420" w:firstLineChars="200"/>
        <w:jc w:val="left"/>
        <w:rPr>
          <w:rFonts w:ascii="微软雅黑" w:hAnsi="微软雅黑" w:eastAsia="微软雅黑" w:cs="宋体"/>
          <w:szCs w:val="21"/>
          <w:u w:val="single"/>
        </w:rPr>
      </w:pPr>
      <w:r>
        <w:rPr>
          <w:rFonts w:hint="eastAsia" w:ascii="微软雅黑" w:hAnsi="微软雅黑" w:eastAsia="微软雅黑" w:cs="宋体"/>
          <w:szCs w:val="21"/>
        </w:rPr>
        <w:t>争议评审小组成员的确定：。</w:t>
      </w:r>
    </w:p>
    <w:p w14:paraId="2E404DC7">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选定争议评审员的期限：。</w:t>
      </w:r>
    </w:p>
    <w:p w14:paraId="0203915F">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争议评审小组成员的报酬承担方式：。</w:t>
      </w:r>
    </w:p>
    <w:p w14:paraId="1868BA08">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其他事项的约定：。</w:t>
      </w:r>
    </w:p>
    <w:p w14:paraId="276AC8E5">
      <w:pPr>
        <w:autoSpaceDE w:val="0"/>
        <w:autoSpaceDN w:val="0"/>
        <w:adjustRightInd w:val="0"/>
        <w:spacing w:line="360" w:lineRule="auto"/>
        <w:ind w:firstLine="420" w:firstLineChars="200"/>
        <w:jc w:val="left"/>
        <w:outlineLvl w:val="0"/>
        <w:rPr>
          <w:rFonts w:ascii="微软雅黑" w:hAnsi="微软雅黑" w:eastAsia="微软雅黑" w:cs="宋体"/>
          <w:kern w:val="0"/>
          <w:szCs w:val="21"/>
        </w:rPr>
      </w:pPr>
      <w:bookmarkStart w:id="1050" w:name="_Toc27630"/>
      <w:bookmarkStart w:id="1051" w:name="_Toc9304"/>
      <w:bookmarkStart w:id="1052" w:name="_Toc9468"/>
      <w:bookmarkStart w:id="1053" w:name="_Toc29873"/>
      <w:bookmarkStart w:id="1054" w:name="_Toc23652"/>
      <w:bookmarkStart w:id="1055" w:name="_Toc11587"/>
      <w:bookmarkStart w:id="1056" w:name="_Toc9343"/>
      <w:r>
        <w:rPr>
          <w:rFonts w:hint="eastAsia" w:ascii="微软雅黑" w:hAnsi="微软雅黑" w:eastAsia="微软雅黑" w:cs="宋体"/>
          <w:kern w:val="0"/>
          <w:szCs w:val="21"/>
        </w:rPr>
        <w:t>20.3.2 争议评审小组的决定</w:t>
      </w:r>
      <w:bookmarkEnd w:id="1050"/>
      <w:bookmarkEnd w:id="1051"/>
      <w:bookmarkEnd w:id="1052"/>
      <w:bookmarkEnd w:id="1053"/>
      <w:bookmarkEnd w:id="1054"/>
      <w:bookmarkEnd w:id="1055"/>
      <w:bookmarkEnd w:id="1056"/>
    </w:p>
    <w:p w14:paraId="60417C65">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合同当事人关于本项的约定：。</w:t>
      </w:r>
    </w:p>
    <w:p w14:paraId="3ED3DB90">
      <w:pPr>
        <w:spacing w:after="120" w:line="360" w:lineRule="auto"/>
        <w:ind w:firstLine="420" w:firstLineChars="200"/>
        <w:outlineLvl w:val="0"/>
        <w:rPr>
          <w:rFonts w:ascii="微软雅黑" w:hAnsi="微软雅黑" w:eastAsia="微软雅黑" w:cs="宋体"/>
          <w:szCs w:val="21"/>
        </w:rPr>
      </w:pPr>
      <w:bookmarkStart w:id="1057" w:name="_Toc11089"/>
      <w:bookmarkStart w:id="1058" w:name="_Toc25863"/>
      <w:bookmarkStart w:id="1059" w:name="_Toc30338"/>
      <w:bookmarkStart w:id="1060" w:name="_Toc6837"/>
      <w:bookmarkStart w:id="1061" w:name="_Toc11613"/>
      <w:bookmarkStart w:id="1062" w:name="_Toc2560"/>
      <w:bookmarkStart w:id="1063" w:name="_Toc2059"/>
      <w:r>
        <w:rPr>
          <w:rFonts w:hint="eastAsia" w:ascii="微软雅黑" w:hAnsi="微软雅黑" w:eastAsia="微软雅黑" w:cs="宋体"/>
          <w:szCs w:val="21"/>
        </w:rPr>
        <w:t>20.4仲裁或诉讼</w:t>
      </w:r>
      <w:bookmarkEnd w:id="947"/>
      <w:bookmarkEnd w:id="1057"/>
      <w:bookmarkEnd w:id="1058"/>
      <w:bookmarkEnd w:id="1059"/>
      <w:bookmarkEnd w:id="1060"/>
      <w:bookmarkEnd w:id="1061"/>
      <w:bookmarkEnd w:id="1062"/>
      <w:bookmarkEnd w:id="1063"/>
    </w:p>
    <w:p w14:paraId="7A019ABA">
      <w:pPr>
        <w:spacing w:after="120"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因合同及合同有关事项发生的争议，按下列第</w:t>
      </w:r>
      <w:r>
        <w:rPr>
          <w:rFonts w:hint="eastAsia" w:ascii="微软雅黑" w:hAnsi="微软雅黑" w:eastAsia="微软雅黑" w:cs="宋体"/>
          <w:szCs w:val="21"/>
          <w:u w:val="single"/>
        </w:rPr>
        <w:t xml:space="preserve">  （2）   </w:t>
      </w:r>
      <w:r>
        <w:rPr>
          <w:rFonts w:hint="eastAsia" w:ascii="微软雅黑" w:hAnsi="微软雅黑" w:eastAsia="微软雅黑" w:cs="宋体"/>
          <w:szCs w:val="21"/>
        </w:rPr>
        <w:t>种方式解决：</w:t>
      </w:r>
    </w:p>
    <w:p w14:paraId="2C08A287">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（1）向</w:t>
      </w:r>
      <w:r>
        <w:rPr>
          <w:rFonts w:hint="eastAsia" w:ascii="微软雅黑" w:hAnsi="微软雅黑" w:eastAsia="微软雅黑" w:cs="宋体"/>
          <w:szCs w:val="21"/>
          <w:u w:val="single"/>
        </w:rPr>
        <w:t xml:space="preserve">     重庆市建设工程    </w:t>
      </w:r>
      <w:r>
        <w:rPr>
          <w:rFonts w:hint="eastAsia" w:ascii="微软雅黑" w:hAnsi="微软雅黑" w:eastAsia="微软雅黑" w:cs="宋体"/>
          <w:szCs w:val="21"/>
        </w:rPr>
        <w:t>仲裁委员会申请仲裁；</w:t>
      </w:r>
    </w:p>
    <w:p w14:paraId="650ABB03">
      <w:pPr>
        <w:spacing w:line="360" w:lineRule="auto"/>
        <w:ind w:firstLine="420" w:firstLineChars="200"/>
        <w:jc w:val="left"/>
        <w:rPr>
          <w:rFonts w:ascii="微软雅黑" w:hAnsi="微软雅黑" w:eastAsia="微软雅黑" w:cs="宋体"/>
          <w:szCs w:val="21"/>
        </w:rPr>
      </w:pPr>
      <w:r>
        <w:rPr>
          <w:rFonts w:hint="eastAsia" w:ascii="微软雅黑" w:hAnsi="微软雅黑" w:eastAsia="微软雅黑" w:cs="宋体"/>
          <w:szCs w:val="21"/>
        </w:rPr>
        <w:t>（2）向</w:t>
      </w:r>
      <w:r>
        <w:rPr>
          <w:rFonts w:hint="eastAsia" w:ascii="微软雅黑" w:hAnsi="微软雅黑" w:eastAsia="微软雅黑" w:cs="宋体"/>
          <w:bCs/>
          <w:szCs w:val="21"/>
          <w:u w:val="single"/>
        </w:rPr>
        <w:t>本工程所在地</w:t>
      </w:r>
      <w:r>
        <w:rPr>
          <w:rFonts w:hint="eastAsia" w:ascii="微软雅黑" w:hAnsi="微软雅黑" w:eastAsia="微软雅黑" w:cs="宋体"/>
          <w:szCs w:val="21"/>
        </w:rPr>
        <w:t>人民法院起诉。</w:t>
      </w:r>
      <w:bookmarkEnd w:id="948"/>
      <w:bookmarkEnd w:id="949"/>
      <w:bookmarkEnd w:id="950"/>
      <w:bookmarkEnd w:id="951"/>
      <w:bookmarkEnd w:id="952"/>
      <w:bookmarkEnd w:id="953"/>
    </w:p>
    <w:p w14:paraId="229F08DA">
      <w:pPr>
        <w:widowControl/>
        <w:spacing w:before="120" w:beforeAutospacing="1" w:after="120" w:afterAutospacing="1" w:line="360" w:lineRule="auto"/>
        <w:jc w:val="left"/>
        <w:outlineLvl w:val="3"/>
        <w:rPr>
          <w:rFonts w:ascii="微软雅黑" w:hAnsi="微软雅黑" w:eastAsia="微软雅黑" w:cs="宋体"/>
          <w:bCs/>
          <w:szCs w:val="21"/>
        </w:rPr>
      </w:pPr>
      <w:bookmarkStart w:id="1064" w:name="_Toc6351"/>
      <w:bookmarkStart w:id="1065" w:name="_Toc24786"/>
      <w:r>
        <w:rPr>
          <w:rFonts w:hint="eastAsia" w:ascii="微软雅黑" w:hAnsi="微软雅黑" w:eastAsia="微软雅黑" w:cs="宋体"/>
          <w:bCs/>
          <w:szCs w:val="21"/>
        </w:rPr>
        <w:t>21. 其他补充条款</w:t>
      </w:r>
      <w:bookmarkEnd w:id="1064"/>
      <w:bookmarkEnd w:id="1065"/>
    </w:p>
    <w:p w14:paraId="0C71C9EB">
      <w:pPr>
        <w:spacing w:after="120" w:line="360" w:lineRule="auto"/>
        <w:ind w:firstLine="420" w:firstLineChars="200"/>
        <w:jc w:val="left"/>
        <w:outlineLvl w:val="0"/>
        <w:rPr>
          <w:rFonts w:ascii="微软雅黑" w:hAnsi="微软雅黑" w:eastAsia="微软雅黑" w:cs="宋体"/>
          <w:szCs w:val="21"/>
        </w:rPr>
        <w:sectPr>
          <w:pgSz w:w="11906" w:h="16838"/>
          <w:pgMar w:top="1418" w:right="1555" w:bottom="1418" w:left="1531" w:header="851" w:footer="992" w:gutter="0"/>
          <w:pgNumType w:fmt="numberInDash"/>
          <w:cols w:space="720" w:num="1"/>
          <w:titlePg/>
          <w:docGrid w:type="lines" w:linePitch="312" w:charSpace="0"/>
        </w:sectPr>
      </w:pPr>
      <w:bookmarkStart w:id="1066" w:name="_Toc20620"/>
      <w:bookmarkStart w:id="1067" w:name="_Toc22667"/>
      <w:bookmarkStart w:id="1068" w:name="_Toc7993"/>
      <w:r>
        <w:rPr>
          <w:rFonts w:hint="eastAsia" w:ascii="微软雅黑" w:hAnsi="微软雅黑" w:eastAsia="微软雅黑" w:cs="宋体"/>
          <w:szCs w:val="21"/>
        </w:rPr>
        <w:t>21.1该项目按甲方智慧工地管理模式进行施工。</w:t>
      </w:r>
      <w:bookmarkEnd w:id="1066"/>
      <w:bookmarkEnd w:id="1067"/>
      <w:bookmarkEnd w:id="1068"/>
    </w:p>
    <w:p w14:paraId="06FD720B">
      <w:pPr>
        <w:spacing w:line="360" w:lineRule="auto"/>
        <w:rPr>
          <w:rFonts w:ascii="微软雅黑" w:hAnsi="微软雅黑" w:eastAsia="微软雅黑" w:cs="宋体"/>
          <w:szCs w:val="21"/>
        </w:rPr>
      </w:pPr>
      <w:r>
        <w:rPr>
          <w:rFonts w:hint="eastAsia" w:ascii="微软雅黑" w:hAnsi="微软雅黑" w:eastAsia="微软雅黑" w:cs="宋体"/>
          <w:szCs w:val="21"/>
        </w:rPr>
        <w:t xml:space="preserve">附件1：    </w:t>
      </w:r>
    </w:p>
    <w:p w14:paraId="25C9DE94">
      <w:pPr>
        <w:spacing w:before="190" w:beforeLines="50" w:after="190" w:afterLines="50" w:line="360" w:lineRule="auto"/>
        <w:jc w:val="center"/>
        <w:rPr>
          <w:rFonts w:ascii="微软雅黑" w:hAnsi="微软雅黑" w:eastAsia="微软雅黑" w:cs="宋体"/>
          <w:szCs w:val="21"/>
        </w:rPr>
      </w:pPr>
      <w:r>
        <w:rPr>
          <w:rFonts w:hint="eastAsia" w:ascii="微软雅黑" w:hAnsi="微软雅黑" w:eastAsia="微软雅黑" w:cs="宋体"/>
          <w:szCs w:val="21"/>
        </w:rPr>
        <w:t>工程质量保修书</w:t>
      </w:r>
    </w:p>
    <w:p w14:paraId="4C9A16DB">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发包人（全称）：</w:t>
      </w:r>
    </w:p>
    <w:p w14:paraId="330FA7DB">
      <w:pPr>
        <w:spacing w:line="360" w:lineRule="auto"/>
        <w:rPr>
          <w:rFonts w:ascii="微软雅黑" w:hAnsi="微软雅黑" w:eastAsia="微软雅黑" w:cs="宋体"/>
          <w:szCs w:val="21"/>
        </w:rPr>
      </w:pPr>
      <w:r>
        <w:rPr>
          <w:rFonts w:hint="eastAsia" w:ascii="微软雅黑" w:hAnsi="微软雅黑" w:eastAsia="微软雅黑" w:cs="宋体"/>
          <w:szCs w:val="21"/>
        </w:rPr>
        <w:t>　　承包人（全称）：</w:t>
      </w:r>
    </w:p>
    <w:p w14:paraId="6B62D07A">
      <w:pPr>
        <w:spacing w:line="360" w:lineRule="auto"/>
        <w:rPr>
          <w:rFonts w:ascii="微软雅黑" w:hAnsi="微软雅黑" w:eastAsia="微软雅黑" w:cs="宋体"/>
          <w:szCs w:val="21"/>
        </w:rPr>
      </w:pPr>
    </w:p>
    <w:p w14:paraId="4DB769BA">
      <w:pPr>
        <w:spacing w:line="360" w:lineRule="auto"/>
        <w:rPr>
          <w:rFonts w:ascii="微软雅黑" w:hAnsi="微软雅黑" w:eastAsia="微软雅黑" w:cs="宋体"/>
          <w:szCs w:val="21"/>
        </w:rPr>
      </w:pPr>
      <w:r>
        <w:rPr>
          <w:rFonts w:hint="eastAsia" w:ascii="微软雅黑" w:hAnsi="微软雅黑" w:eastAsia="微软雅黑" w:cs="宋体"/>
          <w:szCs w:val="21"/>
        </w:rPr>
        <w:t>　　发包人和承包人根据《中华人民共和国建筑法》和《建设工程质量管理条例》，经协商一致就（工程全称）签订工程质量保修书。</w:t>
      </w:r>
    </w:p>
    <w:p w14:paraId="3D03287D">
      <w:pPr>
        <w:spacing w:line="360" w:lineRule="auto"/>
        <w:outlineLvl w:val="0"/>
        <w:rPr>
          <w:rFonts w:ascii="微软雅黑" w:hAnsi="微软雅黑" w:eastAsia="微软雅黑" w:cs="宋体"/>
          <w:szCs w:val="21"/>
        </w:rPr>
      </w:pPr>
      <w:r>
        <w:rPr>
          <w:rFonts w:hint="eastAsia" w:ascii="微软雅黑" w:hAnsi="微软雅黑" w:eastAsia="微软雅黑" w:cs="宋体"/>
          <w:szCs w:val="21"/>
        </w:rPr>
        <w:t>　　</w:t>
      </w:r>
      <w:bookmarkStart w:id="1069" w:name="_Toc21340"/>
      <w:bookmarkStart w:id="1070" w:name="_Toc9300"/>
      <w:bookmarkStart w:id="1071" w:name="_Toc22599"/>
      <w:bookmarkStart w:id="1072" w:name="_Toc19404"/>
      <w:bookmarkStart w:id="1073" w:name="_Toc8792"/>
      <w:bookmarkStart w:id="1074" w:name="_Toc1183"/>
      <w:bookmarkStart w:id="1075" w:name="_Toc548"/>
      <w:r>
        <w:rPr>
          <w:rFonts w:hint="eastAsia" w:ascii="微软雅黑" w:hAnsi="微软雅黑" w:eastAsia="微软雅黑" w:cs="宋体"/>
          <w:szCs w:val="21"/>
        </w:rPr>
        <w:t>一、工程质量保修范围和内容</w:t>
      </w:r>
      <w:bookmarkEnd w:id="1069"/>
      <w:bookmarkEnd w:id="1070"/>
      <w:bookmarkEnd w:id="1071"/>
      <w:bookmarkEnd w:id="1072"/>
      <w:bookmarkEnd w:id="1073"/>
      <w:bookmarkEnd w:id="1074"/>
      <w:bookmarkEnd w:id="1075"/>
    </w:p>
    <w:p w14:paraId="4111DCE5">
      <w:pPr>
        <w:spacing w:line="360" w:lineRule="auto"/>
        <w:rPr>
          <w:rFonts w:ascii="微软雅黑" w:hAnsi="微软雅黑" w:eastAsia="微软雅黑" w:cs="宋体"/>
          <w:szCs w:val="21"/>
        </w:rPr>
      </w:pPr>
      <w:r>
        <w:rPr>
          <w:rFonts w:hint="eastAsia" w:ascii="微软雅黑" w:hAnsi="微软雅黑" w:eastAsia="微软雅黑" w:cs="宋体"/>
          <w:szCs w:val="21"/>
        </w:rPr>
        <w:t>　　承包人在质量保修期内，按照有关法律规定和合同约定，承担工程质量保修责任。</w:t>
      </w:r>
    </w:p>
    <w:p w14:paraId="3948E683">
      <w:pPr>
        <w:spacing w:line="360" w:lineRule="auto"/>
        <w:rPr>
          <w:rFonts w:ascii="微软雅黑" w:hAnsi="微软雅黑" w:eastAsia="微软雅黑" w:cs="宋体"/>
          <w:szCs w:val="21"/>
        </w:rPr>
      </w:pPr>
      <w:r>
        <w:rPr>
          <w:rFonts w:hint="eastAsia" w:ascii="微软雅黑" w:hAnsi="微软雅黑" w:eastAsia="微软雅黑" w:cs="宋体"/>
          <w:szCs w:val="21"/>
        </w:rPr>
        <w:t>　　具体保修的内容，双方约定如下：</w:t>
      </w:r>
      <w:r>
        <w:rPr>
          <w:rFonts w:hint="eastAsia" w:ascii="微软雅黑" w:hAnsi="微软雅黑" w:eastAsia="微软雅黑" w:cs="宋体"/>
          <w:b/>
          <w:bCs/>
          <w:szCs w:val="21"/>
          <w:u w:val="single"/>
        </w:rPr>
        <w:t>本工程施工图及设计变更所涵盖的全部承包范围内容</w:t>
      </w:r>
      <w:r>
        <w:rPr>
          <w:rFonts w:hint="eastAsia" w:ascii="微软雅黑" w:hAnsi="微软雅黑" w:eastAsia="微软雅黑" w:cs="宋体"/>
          <w:szCs w:val="21"/>
        </w:rPr>
        <w:t>。</w:t>
      </w:r>
    </w:p>
    <w:p w14:paraId="1D59D34F">
      <w:pPr>
        <w:spacing w:line="360" w:lineRule="auto"/>
        <w:outlineLvl w:val="0"/>
        <w:rPr>
          <w:rFonts w:ascii="微软雅黑" w:hAnsi="微软雅黑" w:eastAsia="微软雅黑" w:cs="宋体"/>
          <w:szCs w:val="21"/>
        </w:rPr>
      </w:pPr>
      <w:r>
        <w:rPr>
          <w:rFonts w:hint="eastAsia" w:ascii="微软雅黑" w:hAnsi="微软雅黑" w:eastAsia="微软雅黑" w:cs="宋体"/>
          <w:b/>
          <w:szCs w:val="21"/>
        </w:rPr>
        <w:t>　　</w:t>
      </w:r>
      <w:bookmarkStart w:id="1076" w:name="_Toc19756"/>
      <w:bookmarkStart w:id="1077" w:name="_Toc32588"/>
      <w:bookmarkStart w:id="1078" w:name="_Toc24472"/>
      <w:bookmarkStart w:id="1079" w:name="_Toc15630"/>
      <w:bookmarkStart w:id="1080" w:name="_Toc21666"/>
      <w:bookmarkStart w:id="1081" w:name="_Toc6559"/>
      <w:bookmarkStart w:id="1082" w:name="_Toc17981"/>
      <w:r>
        <w:rPr>
          <w:rFonts w:hint="eastAsia" w:ascii="微软雅黑" w:hAnsi="微软雅黑" w:eastAsia="微软雅黑" w:cs="宋体"/>
          <w:szCs w:val="21"/>
        </w:rPr>
        <w:t>二、质量保修期</w:t>
      </w:r>
      <w:bookmarkEnd w:id="1076"/>
      <w:bookmarkEnd w:id="1077"/>
      <w:bookmarkEnd w:id="1078"/>
      <w:bookmarkEnd w:id="1079"/>
      <w:bookmarkEnd w:id="1080"/>
      <w:bookmarkEnd w:id="1081"/>
      <w:bookmarkEnd w:id="1082"/>
    </w:p>
    <w:p w14:paraId="528FE04F">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根据《建设工程质量管理条例》及有关规定，工程的质量保修期如下：</w:t>
      </w:r>
    </w:p>
    <w:p w14:paraId="63359BAD">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1．地基基础工程和主体结构工程为设计文件规定的工程合理使用年限；</w:t>
      </w:r>
    </w:p>
    <w:p w14:paraId="4E12BE91">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2．屋面防水工程、有防水要求的卫生间、房间和外墙面的防渗漏为</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年；</w:t>
      </w:r>
    </w:p>
    <w:p w14:paraId="3E1F2D2C">
      <w:pPr>
        <w:spacing w:line="360" w:lineRule="auto"/>
        <w:ind w:left="420" w:leftChars="200" w:firstLine="105" w:firstLineChars="50"/>
        <w:rPr>
          <w:rFonts w:ascii="微软雅黑" w:hAnsi="微软雅黑" w:eastAsia="微软雅黑" w:cs="宋体"/>
          <w:szCs w:val="21"/>
        </w:rPr>
      </w:pPr>
      <w:r>
        <w:rPr>
          <w:rFonts w:hint="eastAsia" w:ascii="微软雅黑" w:hAnsi="微软雅黑" w:eastAsia="微软雅黑" w:cs="宋体"/>
          <w:szCs w:val="21"/>
        </w:rPr>
        <w:t>3．装修工程为</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年；</w:t>
      </w:r>
    </w:p>
    <w:p w14:paraId="35471C92">
      <w:pPr>
        <w:spacing w:line="360" w:lineRule="auto"/>
        <w:ind w:left="420" w:leftChars="200" w:firstLine="105" w:firstLineChars="50"/>
        <w:rPr>
          <w:rFonts w:ascii="微软雅黑" w:hAnsi="微软雅黑" w:eastAsia="微软雅黑" w:cs="宋体"/>
          <w:szCs w:val="21"/>
        </w:rPr>
      </w:pPr>
      <w:r>
        <w:rPr>
          <w:rFonts w:hint="eastAsia" w:ascii="微软雅黑" w:hAnsi="微软雅黑" w:eastAsia="微软雅黑" w:cs="宋体"/>
          <w:szCs w:val="21"/>
        </w:rPr>
        <w:t>4．电气管线、给排水管道、设备安装工程为</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年；</w:t>
      </w:r>
    </w:p>
    <w:p w14:paraId="63130F5B">
      <w:pPr>
        <w:spacing w:line="360" w:lineRule="auto"/>
        <w:ind w:left="420" w:leftChars="200" w:firstLine="105" w:firstLineChars="50"/>
        <w:rPr>
          <w:rFonts w:ascii="微软雅黑" w:hAnsi="微软雅黑" w:eastAsia="微软雅黑" w:cs="宋体"/>
          <w:szCs w:val="21"/>
        </w:rPr>
      </w:pPr>
      <w:r>
        <w:rPr>
          <w:rFonts w:hint="eastAsia" w:ascii="微软雅黑" w:hAnsi="微软雅黑" w:eastAsia="微软雅黑" w:cs="宋体"/>
          <w:szCs w:val="21"/>
        </w:rPr>
        <w:t>5．供热与供冷系统为</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个采暖期、供冷期；</w:t>
      </w:r>
    </w:p>
    <w:p w14:paraId="1745F8CC">
      <w:pPr>
        <w:spacing w:line="360" w:lineRule="auto"/>
        <w:ind w:left="420" w:leftChars="200" w:firstLine="105" w:firstLineChars="50"/>
        <w:rPr>
          <w:rFonts w:ascii="微软雅黑" w:hAnsi="微软雅黑" w:eastAsia="微软雅黑" w:cs="宋体"/>
          <w:szCs w:val="21"/>
        </w:rPr>
      </w:pPr>
      <w:r>
        <w:rPr>
          <w:rFonts w:hint="eastAsia" w:ascii="微软雅黑" w:hAnsi="微软雅黑" w:eastAsia="微软雅黑" w:cs="宋体"/>
          <w:szCs w:val="21"/>
        </w:rPr>
        <w:t>6．住宅小区内的给排水设施、道路等配套工程为</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年；</w:t>
      </w:r>
    </w:p>
    <w:p w14:paraId="16F02134">
      <w:pPr>
        <w:spacing w:line="360" w:lineRule="auto"/>
        <w:ind w:left="420" w:leftChars="200" w:firstLine="105" w:firstLineChars="50"/>
        <w:rPr>
          <w:rFonts w:ascii="微软雅黑" w:hAnsi="微软雅黑" w:eastAsia="微软雅黑" w:cs="宋体"/>
          <w:szCs w:val="21"/>
        </w:rPr>
      </w:pPr>
      <w:r>
        <w:rPr>
          <w:rFonts w:hint="eastAsia" w:ascii="微软雅黑" w:hAnsi="微软雅黑" w:eastAsia="微软雅黑" w:cs="宋体"/>
          <w:szCs w:val="21"/>
        </w:rPr>
        <w:t>7．其他项目保修期限约定如下：</w:t>
      </w:r>
    </w:p>
    <w:p w14:paraId="50B55299">
      <w:pPr>
        <w:spacing w:line="360" w:lineRule="auto"/>
        <w:ind w:firstLine="630" w:firstLineChars="300"/>
        <w:rPr>
          <w:rFonts w:ascii="微软雅黑" w:hAnsi="微软雅黑" w:eastAsia="微软雅黑" w:cs="宋体"/>
          <w:szCs w:val="21"/>
        </w:rPr>
      </w:pPr>
      <w:r>
        <w:rPr>
          <w:rFonts w:hint="eastAsia" w:ascii="微软雅黑" w:hAnsi="微软雅黑" w:eastAsia="微软雅黑" w:cs="宋体"/>
          <w:bCs/>
          <w:szCs w:val="21"/>
        </w:rPr>
        <w:t>按《建设工程质量管理条例》和《房屋建设工程质量保修办法》执行。质量保修期自工程竣工验收合格之日起计算。</w:t>
      </w:r>
      <w:r>
        <w:rPr>
          <w:rFonts w:hint="eastAsia" w:ascii="微软雅黑" w:hAnsi="微软雅黑" w:eastAsia="微软雅黑" w:cs="宋体"/>
          <w:szCs w:val="21"/>
        </w:rPr>
        <w:t>　　</w:t>
      </w:r>
    </w:p>
    <w:p w14:paraId="371628E0">
      <w:pPr>
        <w:spacing w:line="360" w:lineRule="auto"/>
        <w:ind w:firstLine="420" w:firstLineChars="200"/>
        <w:outlineLvl w:val="0"/>
        <w:rPr>
          <w:rFonts w:ascii="微软雅黑" w:hAnsi="微软雅黑" w:eastAsia="微软雅黑" w:cs="宋体"/>
          <w:szCs w:val="21"/>
        </w:rPr>
      </w:pPr>
      <w:bookmarkStart w:id="1083" w:name="_Toc7598"/>
      <w:bookmarkStart w:id="1084" w:name="_Toc27370"/>
      <w:bookmarkStart w:id="1085" w:name="_Toc16960"/>
      <w:bookmarkStart w:id="1086" w:name="_Toc3261"/>
      <w:bookmarkStart w:id="1087" w:name="_Toc20250"/>
      <w:bookmarkStart w:id="1088" w:name="_Toc23615"/>
      <w:bookmarkStart w:id="1089" w:name="_Toc11054"/>
      <w:r>
        <w:rPr>
          <w:rFonts w:hint="eastAsia" w:ascii="微软雅黑" w:hAnsi="微软雅黑" w:eastAsia="微软雅黑" w:cs="宋体"/>
          <w:szCs w:val="21"/>
        </w:rPr>
        <w:t>三、缺陷责任期</w:t>
      </w:r>
      <w:bookmarkEnd w:id="1083"/>
      <w:bookmarkEnd w:id="1084"/>
      <w:bookmarkEnd w:id="1085"/>
      <w:bookmarkEnd w:id="1086"/>
      <w:bookmarkEnd w:id="1087"/>
      <w:bookmarkEnd w:id="1088"/>
      <w:bookmarkEnd w:id="1089"/>
    </w:p>
    <w:p w14:paraId="7927BEEF">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工程缺陷责任期为</w:t>
      </w:r>
      <w:r>
        <w:rPr>
          <w:rFonts w:hint="eastAsia" w:ascii="微软雅黑" w:hAnsi="微软雅黑" w:eastAsia="微软雅黑" w:cs="宋体"/>
          <w:szCs w:val="21"/>
          <w:u w:val="single"/>
        </w:rPr>
        <w:t xml:space="preserve">    24     </w:t>
      </w:r>
      <w:r>
        <w:rPr>
          <w:rFonts w:hint="eastAsia" w:ascii="微软雅黑" w:hAnsi="微软雅黑" w:eastAsia="微软雅黑" w:cs="宋体"/>
          <w:szCs w:val="21"/>
        </w:rPr>
        <w:t>个月，缺陷责任期自工程通过竣工验收之日起计算。单位工程先于全部工程进行验收，单位工程缺陷责任期自单位工程验收合格之日起算。</w:t>
      </w:r>
    </w:p>
    <w:p w14:paraId="2E81C7C3">
      <w:pPr>
        <w:spacing w:line="360" w:lineRule="auto"/>
        <w:outlineLvl w:val="0"/>
        <w:rPr>
          <w:rFonts w:ascii="微软雅黑" w:hAnsi="微软雅黑" w:eastAsia="微软雅黑" w:cs="宋体"/>
          <w:szCs w:val="21"/>
        </w:rPr>
      </w:pPr>
      <w:bookmarkStart w:id="1090" w:name="_Toc8224"/>
      <w:bookmarkStart w:id="1091" w:name="_Toc25035"/>
      <w:bookmarkStart w:id="1092" w:name="_Toc14554"/>
      <w:bookmarkStart w:id="1093" w:name="_Toc30409"/>
      <w:bookmarkStart w:id="1094" w:name="_Toc1447"/>
      <w:bookmarkStart w:id="1095" w:name="_Toc6430"/>
      <w:bookmarkStart w:id="1096" w:name="_Toc14767"/>
      <w:r>
        <w:rPr>
          <w:rFonts w:hint="eastAsia" w:ascii="微软雅黑" w:hAnsi="微软雅黑" w:eastAsia="微软雅黑" w:cs="宋体"/>
          <w:szCs w:val="21"/>
        </w:rPr>
        <w:t>四、质量保修责任</w:t>
      </w:r>
      <w:bookmarkEnd w:id="1090"/>
      <w:bookmarkEnd w:id="1091"/>
      <w:bookmarkEnd w:id="1092"/>
      <w:bookmarkEnd w:id="1093"/>
      <w:bookmarkEnd w:id="1094"/>
      <w:bookmarkEnd w:id="1095"/>
      <w:bookmarkEnd w:id="1096"/>
    </w:p>
    <w:p w14:paraId="51253B2B">
      <w:pPr>
        <w:spacing w:line="360" w:lineRule="auto"/>
        <w:ind w:left="105" w:leftChars="50" w:firstLine="430" w:firstLineChars="205"/>
        <w:rPr>
          <w:rFonts w:ascii="微软雅黑" w:hAnsi="微软雅黑" w:eastAsia="微软雅黑" w:cs="宋体"/>
          <w:szCs w:val="21"/>
        </w:rPr>
      </w:pPr>
      <w:r>
        <w:rPr>
          <w:rFonts w:hint="eastAsia" w:ascii="微软雅黑" w:hAnsi="微软雅黑" w:eastAsia="微软雅黑" w:cs="宋体"/>
          <w:szCs w:val="21"/>
        </w:rPr>
        <w:t>1．属于保修范围、内容的项目，承包人应当在接到保修通知之日起7天内派人保修。承包人不在约定期限内派人保修的，发包人可以委托他人修理。</w:t>
      </w:r>
    </w:p>
    <w:p w14:paraId="7A5EFE79">
      <w:pPr>
        <w:spacing w:line="360" w:lineRule="auto"/>
        <w:ind w:left="105" w:leftChars="50" w:firstLine="430" w:firstLineChars="205"/>
        <w:rPr>
          <w:rFonts w:ascii="微软雅黑" w:hAnsi="微软雅黑" w:eastAsia="微软雅黑" w:cs="宋体"/>
          <w:szCs w:val="21"/>
        </w:rPr>
      </w:pPr>
      <w:r>
        <w:rPr>
          <w:rFonts w:hint="eastAsia" w:ascii="微软雅黑" w:hAnsi="微软雅黑" w:eastAsia="微软雅黑" w:cs="宋体"/>
          <w:szCs w:val="21"/>
        </w:rPr>
        <w:t>2．发生紧急事故需抢修的，承包人在接到事故通知后，应当立即到达事故现场抢修。</w:t>
      </w:r>
    </w:p>
    <w:p w14:paraId="6CB0FBD2">
      <w:pPr>
        <w:spacing w:line="360" w:lineRule="auto"/>
        <w:ind w:left="105" w:leftChars="50" w:firstLine="430" w:firstLineChars="205"/>
        <w:rPr>
          <w:rFonts w:ascii="微软雅黑" w:hAnsi="微软雅黑" w:eastAsia="微软雅黑" w:cs="宋体"/>
          <w:szCs w:val="21"/>
        </w:rPr>
      </w:pPr>
      <w:r>
        <w:rPr>
          <w:rFonts w:hint="eastAsia" w:ascii="微软雅黑" w:hAnsi="微软雅黑" w:eastAsia="微软雅黑" w:cs="宋体"/>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17C3B65">
      <w:pPr>
        <w:spacing w:line="360" w:lineRule="auto"/>
        <w:ind w:left="420" w:leftChars="200" w:firstLine="105" w:firstLineChars="50"/>
        <w:rPr>
          <w:rFonts w:ascii="微软雅黑" w:hAnsi="微软雅黑" w:eastAsia="微软雅黑" w:cs="宋体"/>
          <w:szCs w:val="21"/>
        </w:rPr>
      </w:pPr>
      <w:r>
        <w:rPr>
          <w:rFonts w:hint="eastAsia" w:ascii="微软雅黑" w:hAnsi="微软雅黑" w:eastAsia="微软雅黑" w:cs="宋体"/>
          <w:szCs w:val="21"/>
        </w:rPr>
        <w:t>4．质量保修完成后，由发包人组织验收。</w:t>
      </w:r>
    </w:p>
    <w:p w14:paraId="608BAC03">
      <w:pPr>
        <w:spacing w:line="360" w:lineRule="auto"/>
        <w:outlineLvl w:val="0"/>
        <w:rPr>
          <w:rFonts w:ascii="微软雅黑" w:hAnsi="微软雅黑" w:eastAsia="微软雅黑" w:cs="宋体"/>
          <w:szCs w:val="21"/>
        </w:rPr>
      </w:pPr>
      <w:r>
        <w:rPr>
          <w:rFonts w:hint="eastAsia" w:ascii="微软雅黑" w:hAnsi="微软雅黑" w:eastAsia="微软雅黑" w:cs="宋体"/>
          <w:szCs w:val="21"/>
        </w:rPr>
        <w:t>　　</w:t>
      </w:r>
      <w:bookmarkStart w:id="1097" w:name="_Toc518"/>
      <w:bookmarkStart w:id="1098" w:name="_Toc29016"/>
      <w:bookmarkStart w:id="1099" w:name="_Toc22581"/>
      <w:bookmarkStart w:id="1100" w:name="_Toc7372"/>
      <w:bookmarkStart w:id="1101" w:name="_Toc17063"/>
      <w:bookmarkStart w:id="1102" w:name="_Toc16596"/>
      <w:bookmarkStart w:id="1103" w:name="_Toc2466"/>
      <w:r>
        <w:rPr>
          <w:rFonts w:hint="eastAsia" w:ascii="微软雅黑" w:hAnsi="微软雅黑" w:eastAsia="微软雅黑" w:cs="宋体"/>
          <w:szCs w:val="21"/>
        </w:rPr>
        <w:t>五、保修费用</w:t>
      </w:r>
      <w:bookmarkEnd w:id="1097"/>
      <w:bookmarkEnd w:id="1098"/>
      <w:bookmarkEnd w:id="1099"/>
      <w:bookmarkEnd w:id="1100"/>
      <w:bookmarkEnd w:id="1101"/>
      <w:bookmarkEnd w:id="1102"/>
      <w:bookmarkEnd w:id="1103"/>
    </w:p>
    <w:p w14:paraId="13C17CB2">
      <w:pPr>
        <w:spacing w:line="360" w:lineRule="auto"/>
        <w:ind w:firstLine="480"/>
        <w:rPr>
          <w:rFonts w:ascii="微软雅黑" w:hAnsi="微软雅黑" w:eastAsia="微软雅黑" w:cs="宋体"/>
          <w:szCs w:val="21"/>
        </w:rPr>
      </w:pPr>
      <w:r>
        <w:rPr>
          <w:rFonts w:hint="eastAsia" w:ascii="微软雅黑" w:hAnsi="微软雅黑" w:eastAsia="微软雅黑" w:cs="宋体"/>
          <w:szCs w:val="21"/>
        </w:rPr>
        <w:t>保修费用由造成质量缺陷的责任方承担。</w:t>
      </w:r>
    </w:p>
    <w:p w14:paraId="32664709">
      <w:pPr>
        <w:spacing w:line="360" w:lineRule="auto"/>
        <w:ind w:firstLine="480"/>
        <w:rPr>
          <w:rFonts w:ascii="微软雅黑" w:hAnsi="微软雅黑" w:eastAsia="微软雅黑" w:cs="宋体"/>
          <w:szCs w:val="21"/>
        </w:rPr>
      </w:pPr>
      <w:r>
        <w:rPr>
          <w:rFonts w:hint="eastAsia" w:ascii="微软雅黑" w:hAnsi="微软雅黑" w:eastAsia="微软雅黑" w:cs="宋体"/>
          <w:bCs/>
          <w:spacing w:val="15"/>
          <w:kern w:val="0"/>
          <w:szCs w:val="21"/>
        </w:rPr>
        <w:t>质量保修金的返还：</w:t>
      </w:r>
      <w:r>
        <w:rPr>
          <w:rFonts w:hint="eastAsia" w:ascii="微软雅黑" w:hAnsi="微软雅黑" w:eastAsia="微软雅黑" w:cs="宋体"/>
          <w:szCs w:val="21"/>
        </w:rPr>
        <w:t>待工程质量保证期（2年，从工程竣工验收合格之日起算）满后无质量问题一次性付清（不计利息）。</w:t>
      </w:r>
    </w:p>
    <w:p w14:paraId="78B771B2">
      <w:pPr>
        <w:numPr>
          <w:ilvl w:val="0"/>
          <w:numId w:val="7"/>
        </w:num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szCs w:val="21"/>
        </w:rPr>
        <w:t>双方约定的其他工程质量保修事项：</w:t>
      </w:r>
    </w:p>
    <w:p w14:paraId="41674467">
      <w:pPr>
        <w:spacing w:line="360" w:lineRule="auto"/>
        <w:ind w:firstLine="630" w:firstLineChars="300"/>
        <w:rPr>
          <w:rFonts w:ascii="微软雅黑" w:hAnsi="微软雅黑" w:eastAsia="微软雅黑" w:cs="宋体"/>
          <w:bCs/>
          <w:szCs w:val="21"/>
        </w:rPr>
      </w:pPr>
      <w:r>
        <w:rPr>
          <w:rFonts w:hint="eastAsia" w:ascii="微软雅黑" w:hAnsi="微软雅黑" w:eastAsia="微软雅黑" w:cs="宋体"/>
          <w:bCs/>
          <w:szCs w:val="21"/>
        </w:rPr>
        <w:t>（1）质保期内发生保修事项后，发包人或发包人委托的单位根据约定直接进行整改维修的，不排除承包人的保修义务，保修期内再次发生问题的（包括已由发包人或发包人委托的单位进行整改维修后的部位），承包人仍应承担保修责任。</w:t>
      </w:r>
    </w:p>
    <w:p w14:paraId="0F13F53C">
      <w:pPr>
        <w:spacing w:line="360" w:lineRule="auto"/>
        <w:ind w:firstLine="420" w:firstLineChars="200"/>
        <w:rPr>
          <w:rFonts w:ascii="微软雅黑" w:hAnsi="微软雅黑" w:eastAsia="微软雅黑" w:cs="宋体"/>
          <w:szCs w:val="21"/>
        </w:rPr>
      </w:pPr>
      <w:r>
        <w:rPr>
          <w:rFonts w:hint="eastAsia" w:ascii="微软雅黑" w:hAnsi="微软雅黑" w:eastAsia="微软雅黑" w:cs="宋体"/>
          <w:bCs/>
          <w:szCs w:val="21"/>
        </w:rPr>
        <w:t xml:space="preserve">（2）整改维修时间自承包人收到发包人或发包人委托的物管公司发出整改维修通知之日开始计算；整改维修后必须按第六条约定进行验收确认合格后方才视为完成整改维修承包人逾期完成整改维修的，每次每逾期一天承担违约金500元，累计计算，造成损失的（含业主索赔），承包人还应赔偿损失，发包人有权直接在质保金内扣除违约金和损失。 </w:t>
      </w:r>
    </w:p>
    <w:p w14:paraId="69D533DE">
      <w:pPr>
        <w:spacing w:line="360" w:lineRule="auto"/>
        <w:ind w:firstLine="399" w:firstLineChars="190"/>
        <w:rPr>
          <w:rFonts w:ascii="微软雅黑" w:hAnsi="微软雅黑" w:eastAsia="微软雅黑" w:cs="宋体"/>
          <w:szCs w:val="21"/>
        </w:rPr>
      </w:pPr>
      <w:r>
        <w:rPr>
          <w:rFonts w:hint="eastAsia" w:ascii="微软雅黑" w:hAnsi="微软雅黑" w:eastAsia="微软雅黑" w:cs="宋体"/>
          <w:szCs w:val="21"/>
        </w:rPr>
        <w:t>工程质量保修书由发包人、承包人在工程竣工验收前共同签署，作为施工合同附件，其有效期限至保修期满。</w:t>
      </w:r>
    </w:p>
    <w:p w14:paraId="009BB03C">
      <w:pPr>
        <w:spacing w:line="360" w:lineRule="auto"/>
        <w:rPr>
          <w:rFonts w:ascii="微软雅黑" w:hAnsi="微软雅黑" w:eastAsia="微软雅黑" w:cs="宋体"/>
          <w:szCs w:val="21"/>
        </w:rPr>
      </w:pPr>
    </w:p>
    <w:p w14:paraId="115E8C28">
      <w:pPr>
        <w:spacing w:line="360" w:lineRule="auto"/>
        <w:rPr>
          <w:rFonts w:ascii="微软雅黑" w:hAnsi="微软雅黑" w:eastAsia="微软雅黑" w:cs="宋体"/>
          <w:szCs w:val="21"/>
        </w:rPr>
      </w:pPr>
      <w:r>
        <w:rPr>
          <w:rFonts w:hint="eastAsia" w:ascii="微软雅黑" w:hAnsi="微软雅黑" w:eastAsia="微软雅黑" w:cs="宋体"/>
          <w:szCs w:val="21"/>
        </w:rPr>
        <w:t>发包人(公章)：</w:t>
      </w:r>
      <w:r>
        <w:rPr>
          <w:rFonts w:hint="eastAsia" w:ascii="微软雅黑" w:hAnsi="微软雅黑" w:eastAsia="微软雅黑" w:cs="宋体"/>
          <w:szCs w:val="21"/>
          <w:u w:val="single"/>
        </w:rPr>
        <w:t xml:space="preserve">        </w:t>
      </w:r>
      <w:r>
        <w:rPr>
          <w:rFonts w:hint="eastAsia" w:ascii="微软雅黑" w:hAnsi="微软雅黑" w:eastAsia="微软雅黑" w:cs="宋体"/>
          <w:szCs w:val="21"/>
        </w:rPr>
        <w:t xml:space="preserve"> 承包人(公章)：</w:t>
      </w:r>
      <w:r>
        <w:rPr>
          <w:rFonts w:hint="eastAsia" w:ascii="微软雅黑" w:hAnsi="微软雅黑" w:eastAsia="微软雅黑" w:cs="宋体"/>
          <w:szCs w:val="21"/>
          <w:u w:val="single"/>
        </w:rPr>
        <w:t xml:space="preserve">           </w:t>
      </w:r>
    </w:p>
    <w:p w14:paraId="5E7AC854">
      <w:pPr>
        <w:spacing w:line="360" w:lineRule="auto"/>
        <w:rPr>
          <w:rFonts w:ascii="微软雅黑" w:hAnsi="微软雅黑" w:eastAsia="微软雅黑" w:cs="宋体"/>
          <w:szCs w:val="21"/>
        </w:rPr>
      </w:pPr>
      <w:r>
        <w:rPr>
          <w:rFonts w:hint="eastAsia" w:ascii="微软雅黑" w:hAnsi="微软雅黑" w:eastAsia="微软雅黑" w:cs="宋体"/>
          <w:szCs w:val="21"/>
        </w:rPr>
        <w:t>地  址：</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 xml:space="preserve"> 地  址：</w:t>
      </w:r>
      <w:r>
        <w:rPr>
          <w:rFonts w:hint="eastAsia" w:ascii="微软雅黑" w:hAnsi="微软雅黑" w:eastAsia="微软雅黑" w:cs="宋体"/>
          <w:szCs w:val="21"/>
          <w:u w:val="single"/>
        </w:rPr>
        <w:t xml:space="preserve">       </w:t>
      </w:r>
    </w:p>
    <w:p w14:paraId="18F5EED1">
      <w:pPr>
        <w:spacing w:line="360" w:lineRule="auto"/>
        <w:rPr>
          <w:rFonts w:ascii="微软雅黑" w:hAnsi="微软雅黑" w:eastAsia="微软雅黑" w:cs="宋体"/>
          <w:szCs w:val="21"/>
        </w:rPr>
      </w:pPr>
      <w:r>
        <w:rPr>
          <w:rFonts w:hint="eastAsia" w:ascii="微软雅黑" w:hAnsi="微软雅黑" w:eastAsia="微软雅黑" w:cs="宋体"/>
          <w:szCs w:val="21"/>
        </w:rPr>
        <w:t>法定代表人(签字)：</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 xml:space="preserve"> 法定代表人(签字)：</w:t>
      </w:r>
      <w:r>
        <w:rPr>
          <w:rFonts w:hint="eastAsia" w:ascii="微软雅黑" w:hAnsi="微软雅黑" w:eastAsia="微软雅黑" w:cs="宋体"/>
          <w:szCs w:val="21"/>
          <w:u w:val="single"/>
        </w:rPr>
        <w:t xml:space="preserve">       </w:t>
      </w:r>
    </w:p>
    <w:p w14:paraId="2B5E526F">
      <w:pPr>
        <w:spacing w:line="360" w:lineRule="auto"/>
        <w:rPr>
          <w:rFonts w:ascii="微软雅黑" w:hAnsi="微软雅黑" w:eastAsia="微软雅黑" w:cs="宋体"/>
          <w:szCs w:val="21"/>
        </w:rPr>
      </w:pPr>
      <w:r>
        <w:rPr>
          <w:rFonts w:hint="eastAsia" w:ascii="微软雅黑" w:hAnsi="微软雅黑" w:eastAsia="微软雅黑" w:cs="宋体"/>
          <w:szCs w:val="21"/>
        </w:rPr>
        <w:t>委托代理人(签字)：</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 xml:space="preserve"> 委托代理人(签字)：</w:t>
      </w:r>
      <w:r>
        <w:rPr>
          <w:rFonts w:hint="eastAsia" w:ascii="微软雅黑" w:hAnsi="微软雅黑" w:eastAsia="微软雅黑" w:cs="宋体"/>
          <w:szCs w:val="21"/>
          <w:u w:val="single"/>
        </w:rPr>
        <w:t xml:space="preserve">       </w:t>
      </w:r>
    </w:p>
    <w:p w14:paraId="27E29977">
      <w:pPr>
        <w:spacing w:line="360" w:lineRule="auto"/>
        <w:rPr>
          <w:rFonts w:ascii="微软雅黑" w:hAnsi="微软雅黑" w:eastAsia="微软雅黑" w:cs="宋体"/>
          <w:szCs w:val="21"/>
        </w:rPr>
      </w:pPr>
      <w:r>
        <w:rPr>
          <w:rFonts w:hint="eastAsia" w:ascii="微软雅黑" w:hAnsi="微软雅黑" w:eastAsia="微软雅黑" w:cs="宋体"/>
          <w:szCs w:val="21"/>
        </w:rPr>
        <w:t>电  话：</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 xml:space="preserve"> 电  话：</w:t>
      </w:r>
      <w:r>
        <w:rPr>
          <w:rFonts w:hint="eastAsia" w:ascii="微软雅黑" w:hAnsi="微软雅黑" w:eastAsia="微软雅黑" w:cs="宋体"/>
          <w:szCs w:val="21"/>
          <w:u w:val="single"/>
        </w:rPr>
        <w:t xml:space="preserve">     </w:t>
      </w:r>
    </w:p>
    <w:p w14:paraId="493F8AEC">
      <w:pPr>
        <w:spacing w:line="360" w:lineRule="auto"/>
        <w:rPr>
          <w:rFonts w:ascii="微软雅黑" w:hAnsi="微软雅黑" w:eastAsia="微软雅黑" w:cs="宋体"/>
          <w:szCs w:val="21"/>
        </w:rPr>
      </w:pPr>
      <w:r>
        <w:rPr>
          <w:rFonts w:hint="eastAsia" w:ascii="微软雅黑" w:hAnsi="微软雅黑" w:eastAsia="微软雅黑" w:cs="宋体"/>
          <w:szCs w:val="21"/>
        </w:rPr>
        <w:t>传  真：</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 xml:space="preserve"> 传  真：</w:t>
      </w:r>
      <w:r>
        <w:rPr>
          <w:rFonts w:hint="eastAsia" w:ascii="微软雅黑" w:hAnsi="微软雅黑" w:eastAsia="微软雅黑" w:cs="宋体"/>
          <w:szCs w:val="21"/>
          <w:u w:val="single"/>
        </w:rPr>
        <w:t xml:space="preserve">     </w:t>
      </w:r>
    </w:p>
    <w:p w14:paraId="7C594260">
      <w:pPr>
        <w:spacing w:line="360" w:lineRule="auto"/>
        <w:rPr>
          <w:rFonts w:ascii="微软雅黑" w:hAnsi="微软雅黑" w:eastAsia="微软雅黑" w:cs="宋体"/>
          <w:szCs w:val="21"/>
        </w:rPr>
      </w:pPr>
      <w:r>
        <w:rPr>
          <w:rFonts w:hint="eastAsia" w:ascii="微软雅黑" w:hAnsi="微软雅黑" w:eastAsia="微软雅黑" w:cs="宋体"/>
          <w:szCs w:val="21"/>
        </w:rPr>
        <w:t>开户银行：</w:t>
      </w:r>
      <w:r>
        <w:rPr>
          <w:rFonts w:hint="eastAsia" w:ascii="微软雅黑" w:hAnsi="微软雅黑" w:eastAsia="微软雅黑" w:cs="宋体"/>
          <w:szCs w:val="21"/>
          <w:u w:val="single"/>
        </w:rPr>
        <w:t xml:space="preserve">   </w:t>
      </w:r>
      <w:r>
        <w:rPr>
          <w:rFonts w:hint="eastAsia" w:ascii="微软雅黑" w:hAnsi="微软雅黑" w:eastAsia="微软雅黑" w:cs="宋体"/>
          <w:szCs w:val="21"/>
        </w:rPr>
        <w:t xml:space="preserve"> 开户银行：</w:t>
      </w:r>
      <w:r>
        <w:rPr>
          <w:rFonts w:hint="eastAsia" w:ascii="微软雅黑" w:hAnsi="微软雅黑" w:eastAsia="微软雅黑" w:cs="宋体"/>
          <w:szCs w:val="21"/>
          <w:u w:val="single"/>
        </w:rPr>
        <w:t xml:space="preserve">   </w:t>
      </w:r>
    </w:p>
    <w:p w14:paraId="420D839B">
      <w:pPr>
        <w:spacing w:line="360" w:lineRule="auto"/>
        <w:rPr>
          <w:rFonts w:ascii="微软雅黑" w:hAnsi="微软雅黑" w:eastAsia="微软雅黑" w:cs="宋体"/>
          <w:szCs w:val="21"/>
        </w:rPr>
      </w:pPr>
      <w:r>
        <w:rPr>
          <w:rFonts w:hint="eastAsia" w:ascii="微软雅黑" w:hAnsi="微软雅黑" w:eastAsia="微软雅黑" w:cs="宋体"/>
          <w:szCs w:val="21"/>
        </w:rPr>
        <w:t>账  号：</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 xml:space="preserve">  账  号：</w:t>
      </w:r>
      <w:r>
        <w:rPr>
          <w:rFonts w:hint="eastAsia" w:ascii="微软雅黑" w:hAnsi="微软雅黑" w:eastAsia="微软雅黑" w:cs="宋体"/>
          <w:szCs w:val="21"/>
          <w:u w:val="single"/>
        </w:rPr>
        <w:t xml:space="preserve">     </w:t>
      </w:r>
    </w:p>
    <w:p w14:paraId="7ADAB98E">
      <w:pPr>
        <w:spacing w:line="360" w:lineRule="auto"/>
        <w:rPr>
          <w:rFonts w:ascii="微软雅黑" w:hAnsi="微软雅黑" w:eastAsia="微软雅黑" w:cs="宋体"/>
          <w:szCs w:val="21"/>
        </w:rPr>
      </w:pPr>
      <w:r>
        <w:rPr>
          <w:rFonts w:hint="eastAsia" w:ascii="微软雅黑" w:hAnsi="微软雅黑" w:eastAsia="微软雅黑" w:cs="宋体"/>
          <w:szCs w:val="21"/>
        </w:rPr>
        <w:t>邮政编码：</w:t>
      </w:r>
      <w:r>
        <w:rPr>
          <w:rFonts w:hint="eastAsia" w:ascii="微软雅黑" w:hAnsi="微软雅黑" w:eastAsia="微软雅黑" w:cs="宋体"/>
          <w:szCs w:val="21"/>
          <w:u w:val="single"/>
        </w:rPr>
        <w:t xml:space="preserve">     </w:t>
      </w:r>
      <w:r>
        <w:rPr>
          <w:rFonts w:hint="eastAsia" w:ascii="微软雅黑" w:hAnsi="微软雅黑" w:eastAsia="微软雅黑" w:cs="宋体"/>
          <w:szCs w:val="21"/>
        </w:rPr>
        <w:t xml:space="preserve"> 邮政编码：</w:t>
      </w:r>
      <w:r>
        <w:rPr>
          <w:rFonts w:hint="eastAsia" w:ascii="微软雅黑" w:hAnsi="微软雅黑" w:eastAsia="微软雅黑" w:cs="宋体"/>
          <w:szCs w:val="21"/>
          <w:u w:val="single"/>
        </w:rPr>
        <w:t xml:space="preserve">   </w:t>
      </w:r>
    </w:p>
    <w:p w14:paraId="619BE042">
      <w:pPr>
        <w:spacing w:line="360" w:lineRule="auto"/>
        <w:jc w:val="left"/>
        <w:rPr>
          <w:rFonts w:ascii="微软雅黑" w:hAnsi="微软雅黑" w:eastAsia="微软雅黑" w:cs="宋体"/>
          <w:szCs w:val="21"/>
        </w:rPr>
      </w:pPr>
    </w:p>
    <w:p w14:paraId="1AAA40EC">
      <w:pPr>
        <w:spacing w:line="360" w:lineRule="auto"/>
        <w:jc w:val="left"/>
        <w:rPr>
          <w:rFonts w:ascii="微软雅黑" w:hAnsi="微软雅黑" w:eastAsia="微软雅黑" w:cs="宋体"/>
          <w:szCs w:val="21"/>
        </w:rPr>
      </w:pPr>
    </w:p>
    <w:p w14:paraId="26BBAB1D">
      <w:pPr>
        <w:spacing w:line="360" w:lineRule="auto"/>
        <w:jc w:val="left"/>
        <w:rPr>
          <w:rFonts w:ascii="微软雅黑" w:hAnsi="微软雅黑" w:eastAsia="微软雅黑" w:cs="宋体"/>
          <w:szCs w:val="21"/>
        </w:rPr>
      </w:pPr>
    </w:p>
    <w:p w14:paraId="446F41A6">
      <w:pPr>
        <w:spacing w:line="360" w:lineRule="auto"/>
        <w:jc w:val="left"/>
        <w:rPr>
          <w:rFonts w:ascii="微软雅黑" w:hAnsi="微软雅黑" w:eastAsia="微软雅黑" w:cs="宋体"/>
          <w:szCs w:val="21"/>
        </w:rPr>
      </w:pPr>
      <w:r>
        <w:rPr>
          <w:rFonts w:hint="eastAsia" w:ascii="微软雅黑" w:hAnsi="微软雅黑" w:eastAsia="微软雅黑" w:cs="宋体"/>
          <w:szCs w:val="21"/>
        </w:rPr>
        <w:t>附件2：廉政协议书</w:t>
      </w:r>
    </w:p>
    <w:p w14:paraId="13434A28">
      <w:pPr>
        <w:spacing w:line="360" w:lineRule="auto"/>
        <w:jc w:val="center"/>
        <w:rPr>
          <w:rFonts w:ascii="微软雅黑" w:hAnsi="微软雅黑" w:eastAsia="微软雅黑" w:cs="宋体"/>
          <w:b/>
          <w:bCs/>
          <w:szCs w:val="21"/>
        </w:rPr>
      </w:pPr>
      <w:r>
        <w:rPr>
          <w:rFonts w:hint="eastAsia" w:ascii="微软雅黑" w:hAnsi="微软雅黑" w:eastAsia="微软雅黑" w:cs="宋体"/>
          <w:b/>
          <w:szCs w:val="21"/>
        </w:rPr>
        <w:t>廉政协议书</w:t>
      </w:r>
    </w:p>
    <w:p w14:paraId="7ADE90B1">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甲方： </w:t>
      </w:r>
    </w:p>
    <w:p w14:paraId="7DE8C3D2">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乙方：              </w:t>
      </w:r>
    </w:p>
    <w:p w14:paraId="548F4D21">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为加强党风廉政建设，提高工程人员廉洁自律性，确保工程质量和进度优质高效，圆满完成工程建设工作，经甲乙双方共同约定，达成如下廉政协议：</w:t>
      </w:r>
    </w:p>
    <w:p w14:paraId="0B21DA83">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一、甲方单位及人员必须遵守以下规定</w:t>
      </w:r>
    </w:p>
    <w:p w14:paraId="1E087F81">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1、严格遵守党和国家的政策、法律、法规和廉洁自律有关规定以及各项规章制度，不准收受乙方单位或个人所送的钱物，更不得索取。</w:t>
      </w:r>
    </w:p>
    <w:p w14:paraId="27FC2094">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2、不准到乙方单位报销应由本人支付的各种费用；不准擅自向乙方单位或个人借用交通工具、</w:t>
      </w:r>
      <w:r>
        <w:rPr>
          <w:rFonts w:hint="eastAsia" w:ascii="微软雅黑" w:hAnsi="微软雅黑" w:eastAsia="微软雅黑" w:cs="宋体"/>
          <w:bCs/>
          <w:szCs w:val="21"/>
          <w:lang w:val="en-US" w:eastAsia="zh-CN"/>
        </w:rPr>
        <w:t>通讯</w:t>
      </w:r>
      <w:r>
        <w:rPr>
          <w:rFonts w:hint="eastAsia" w:ascii="微软雅黑" w:hAnsi="微软雅黑" w:eastAsia="微软雅黑" w:cs="宋体"/>
          <w:bCs/>
          <w:szCs w:val="21"/>
        </w:rPr>
        <w:t>工具等。</w:t>
      </w:r>
    </w:p>
    <w:p w14:paraId="7E282191">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3、不准接受乙方单位或个人可能影响公正执行公务的馈赠、宴请等。</w:t>
      </w:r>
    </w:p>
    <w:p w14:paraId="33CC462A">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4、不准参加由乙方单位或个人支付费用的外出旅游、高消费娱乐（如营业性歌舞厅、夜总会等）和不健康活动（如色情服务、打麻将、斗地主等）。</w:t>
      </w:r>
    </w:p>
    <w:p w14:paraId="054C985E">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5、不准接受乙方单位或个人赠送的礼品礼金和有价证券，已收或拒收不成的，应按有关规定及时报告并上纪委监察处。</w:t>
      </w:r>
    </w:p>
    <w:p w14:paraId="38AC6489">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6、不得向乙方介绍家属或亲友从事与甲方有关的经济活动，如材料设备供应、工程项目承包等。</w:t>
      </w:r>
    </w:p>
    <w:p w14:paraId="57493FAB">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7、不得合谋损害甲乙双方单位和个人的利益。</w:t>
      </w:r>
    </w:p>
    <w:p w14:paraId="3FBB493D">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二、乙方单位及人员必须遵守以下规定</w:t>
      </w:r>
    </w:p>
    <w:p w14:paraId="71577521">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1、严格遵守党和国家的政策、法律、法规和廉洁自律有关规定，不得向甲方单位和个人行贿或采取其它不正当手段拉拢腐蚀甲方人员。</w:t>
      </w:r>
    </w:p>
    <w:p w14:paraId="7BF92532">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2、不得宴请甲方人员或邀请甲方人员参加外出旅游、高消费娱乐（如营业性歌舞厅、夜总会等）和不健康活动（如色情服务、打麻将、斗地主等）。</w:t>
      </w:r>
    </w:p>
    <w:p w14:paraId="449CA5B7">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3、不得向甲方单位和个人赠送礼品礼金和有价证券。</w:t>
      </w:r>
    </w:p>
    <w:p w14:paraId="36EE14F4">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4、不得合谋损害甲乙双方单位和个人的利益。</w:t>
      </w:r>
    </w:p>
    <w:p w14:paraId="22287F19">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5、必须严格按设计图纸和技术标准施工，不得私自降低质量标准，自觉接受甲方的监督检查；物资供应单位必须保证物资品牌、质量等，不得以次充好。</w:t>
      </w:r>
    </w:p>
    <w:p w14:paraId="7CC72E9C">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 xml:space="preserve"> 6、对甲方单位或个人在业务交往中出现的不廉洁行为或违法违纪现象，乙方单位和人员有责任和义务向纪检监察部门举报，并积极协助配合调查。</w:t>
      </w:r>
    </w:p>
    <w:p w14:paraId="5124A143">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三、违反上述规定的处理</w:t>
      </w:r>
    </w:p>
    <w:p w14:paraId="2655BEF8">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1、甲方单位及人员违反上述规定，严格按照国家法律法规有关规定进行严肃查处，构成犯罪的，移送司法机关依法处理。</w:t>
      </w:r>
    </w:p>
    <w:p w14:paraId="1D9E664B">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2、乙方单位及人员违反上述规定，甲方按其违纪金额、情节和所造成的经济损失，由乙方赔偿甲方二至五倍的经济损失，并中止合同、取消业务往来；由此而给甲方造成的其他损失由乙方全部承担。</w:t>
      </w:r>
    </w:p>
    <w:p w14:paraId="02207006">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四、本协议书的法律效力</w:t>
      </w:r>
    </w:p>
    <w:p w14:paraId="2A3C2D2F">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本协议书与工程合同一并签订，具有同等法律效力。</w:t>
      </w:r>
    </w:p>
    <w:p w14:paraId="65A9B9FC">
      <w:pPr>
        <w:spacing w:line="360" w:lineRule="auto"/>
        <w:rPr>
          <w:rFonts w:ascii="微软雅黑" w:hAnsi="微软雅黑" w:eastAsia="微软雅黑" w:cs="宋体"/>
          <w:bCs/>
          <w:spacing w:val="-12"/>
          <w:kern w:val="0"/>
          <w:szCs w:val="21"/>
        </w:rPr>
      </w:pPr>
    </w:p>
    <w:p w14:paraId="1397658B">
      <w:pPr>
        <w:spacing w:line="360" w:lineRule="auto"/>
        <w:ind w:firstLine="279" w:firstLineChars="150"/>
        <w:rPr>
          <w:rFonts w:ascii="微软雅黑" w:hAnsi="微软雅黑" w:eastAsia="微软雅黑" w:cs="宋体"/>
          <w:bCs/>
          <w:spacing w:val="-12"/>
          <w:kern w:val="0"/>
          <w:szCs w:val="21"/>
        </w:rPr>
      </w:pPr>
      <w:r>
        <w:rPr>
          <w:rFonts w:hint="eastAsia" w:ascii="微软雅黑" w:hAnsi="微软雅黑" w:eastAsia="微软雅黑" w:cs="宋体"/>
          <w:bCs/>
          <w:spacing w:val="-12"/>
          <w:kern w:val="0"/>
          <w:szCs w:val="21"/>
        </w:rPr>
        <w:t>甲方：（盖章）                        乙方：（盖章）</w:t>
      </w:r>
    </w:p>
    <w:p w14:paraId="047BC8D4">
      <w:pPr>
        <w:spacing w:line="360" w:lineRule="auto"/>
        <w:ind w:firstLine="279" w:firstLineChars="150"/>
        <w:rPr>
          <w:rFonts w:ascii="微软雅黑" w:hAnsi="微软雅黑" w:eastAsia="微软雅黑" w:cs="宋体"/>
          <w:bCs/>
          <w:spacing w:val="-12"/>
          <w:kern w:val="0"/>
          <w:szCs w:val="21"/>
        </w:rPr>
      </w:pPr>
      <w:r>
        <w:rPr>
          <w:rFonts w:hint="eastAsia" w:ascii="微软雅黑" w:hAnsi="微软雅黑" w:eastAsia="微软雅黑" w:cs="宋体"/>
          <w:bCs/>
          <w:spacing w:val="-12"/>
          <w:kern w:val="0"/>
          <w:szCs w:val="21"/>
        </w:rPr>
        <w:t>法定代表人：                                 法定代表人：</w:t>
      </w:r>
    </w:p>
    <w:p w14:paraId="02FA0211">
      <w:pPr>
        <w:spacing w:line="360" w:lineRule="auto"/>
        <w:rPr>
          <w:rFonts w:ascii="微软雅黑" w:hAnsi="微软雅黑" w:eastAsia="微软雅黑" w:cs="宋体"/>
          <w:bCs/>
          <w:spacing w:val="-12"/>
          <w:kern w:val="0"/>
          <w:szCs w:val="21"/>
        </w:rPr>
      </w:pPr>
    </w:p>
    <w:p w14:paraId="0F04A4E2">
      <w:pPr>
        <w:spacing w:line="360" w:lineRule="auto"/>
        <w:ind w:firstLine="279" w:firstLineChars="150"/>
        <w:rPr>
          <w:rFonts w:ascii="微软雅黑" w:hAnsi="微软雅黑" w:eastAsia="微软雅黑" w:cs="宋体"/>
          <w:bCs/>
          <w:spacing w:val="-12"/>
          <w:kern w:val="0"/>
          <w:szCs w:val="21"/>
        </w:rPr>
      </w:pPr>
      <w:r>
        <w:rPr>
          <w:rFonts w:hint="eastAsia" w:ascii="微软雅黑" w:hAnsi="微软雅黑" w:eastAsia="微软雅黑" w:cs="宋体"/>
          <w:bCs/>
          <w:spacing w:val="-12"/>
          <w:kern w:val="0"/>
          <w:szCs w:val="21"/>
        </w:rPr>
        <w:t>委托代理人：                                委托代理人：</w:t>
      </w:r>
    </w:p>
    <w:p w14:paraId="5B88800C">
      <w:pPr>
        <w:spacing w:line="360" w:lineRule="auto"/>
        <w:ind w:firstLine="279" w:firstLineChars="150"/>
        <w:rPr>
          <w:rFonts w:ascii="微软雅黑" w:hAnsi="微软雅黑" w:eastAsia="微软雅黑" w:cs="宋体"/>
          <w:bCs/>
          <w:spacing w:val="-12"/>
          <w:kern w:val="0"/>
          <w:szCs w:val="21"/>
        </w:rPr>
      </w:pPr>
    </w:p>
    <w:p w14:paraId="5436D78E">
      <w:pPr>
        <w:spacing w:line="360" w:lineRule="auto"/>
        <w:ind w:firstLine="4557" w:firstLineChars="2450"/>
        <w:rPr>
          <w:rFonts w:ascii="微软雅黑" w:hAnsi="微软雅黑" w:eastAsia="微软雅黑" w:cs="宋体"/>
          <w:bCs/>
          <w:spacing w:val="-12"/>
          <w:kern w:val="0"/>
          <w:szCs w:val="21"/>
        </w:rPr>
      </w:pPr>
      <w:r>
        <w:rPr>
          <w:rFonts w:hint="eastAsia" w:ascii="微软雅黑" w:hAnsi="微软雅黑" w:eastAsia="微软雅黑" w:cs="宋体"/>
          <w:bCs/>
          <w:spacing w:val="-12"/>
          <w:kern w:val="0"/>
          <w:szCs w:val="21"/>
        </w:rPr>
        <w:t>签订时间： 年  月  日</w:t>
      </w:r>
    </w:p>
    <w:p w14:paraId="61DFB1C9">
      <w:pPr>
        <w:spacing w:line="360" w:lineRule="auto"/>
        <w:jc w:val="center"/>
        <w:rPr>
          <w:rFonts w:ascii="微软雅黑" w:hAnsi="微软雅黑" w:eastAsia="微软雅黑" w:cs="宋体"/>
          <w:bCs/>
          <w:szCs w:val="21"/>
        </w:rPr>
      </w:pPr>
    </w:p>
    <w:p w14:paraId="38ADDE7B">
      <w:pPr>
        <w:spacing w:line="360" w:lineRule="auto"/>
        <w:rPr>
          <w:rFonts w:ascii="微软雅黑" w:hAnsi="微软雅黑" w:eastAsia="微软雅黑" w:cs="宋体"/>
          <w:bCs/>
          <w:szCs w:val="21"/>
        </w:rPr>
      </w:pPr>
    </w:p>
    <w:p w14:paraId="32D7DF90">
      <w:pPr>
        <w:widowControl/>
        <w:spacing w:line="360" w:lineRule="auto"/>
        <w:jc w:val="left"/>
        <w:rPr>
          <w:rFonts w:ascii="微软雅黑" w:hAnsi="微软雅黑" w:eastAsia="微软雅黑" w:cs="宋体"/>
          <w:bCs/>
          <w:szCs w:val="21"/>
        </w:rPr>
      </w:pPr>
      <w:r>
        <w:rPr>
          <w:rFonts w:hint="eastAsia" w:ascii="微软雅黑" w:hAnsi="微软雅黑" w:eastAsia="微软雅黑" w:cs="宋体"/>
          <w:bCs/>
          <w:szCs w:val="21"/>
        </w:rPr>
        <w:br w:type="page"/>
      </w:r>
    </w:p>
    <w:p w14:paraId="30A07E6C">
      <w:pPr>
        <w:spacing w:line="360" w:lineRule="auto"/>
        <w:jc w:val="left"/>
        <w:rPr>
          <w:rFonts w:ascii="微软雅黑" w:hAnsi="微软雅黑" w:eastAsia="微软雅黑" w:cs="宋体"/>
          <w:szCs w:val="21"/>
        </w:rPr>
      </w:pPr>
      <w:r>
        <w:rPr>
          <w:rFonts w:hint="eastAsia" w:ascii="微软雅黑" w:hAnsi="微软雅黑" w:eastAsia="微软雅黑" w:cs="宋体"/>
          <w:szCs w:val="21"/>
        </w:rPr>
        <w:t>附件3：安全生产责任书</w:t>
      </w:r>
    </w:p>
    <w:p w14:paraId="4D57CE6B">
      <w:pPr>
        <w:spacing w:line="360" w:lineRule="auto"/>
        <w:jc w:val="center"/>
        <w:rPr>
          <w:rFonts w:ascii="微软雅黑" w:hAnsi="微软雅黑" w:eastAsia="微软雅黑" w:cs="宋体"/>
          <w:b/>
          <w:bCs/>
          <w:szCs w:val="21"/>
        </w:rPr>
      </w:pPr>
      <w:r>
        <w:rPr>
          <w:rFonts w:hint="eastAsia" w:ascii="微软雅黑" w:hAnsi="微软雅黑" w:eastAsia="微软雅黑" w:cs="宋体"/>
          <w:b/>
          <w:szCs w:val="21"/>
        </w:rPr>
        <w:t>安全生产责任书</w:t>
      </w:r>
    </w:p>
    <w:p w14:paraId="14E0385C">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为在施工合同的实施过程中创造安全、高效的施工环境，切实搞好本项目的安全管理工作，本项目业主     （以下简称：“甲方”）与承包人（以下简称“乙方”）特此签订安全生产责任书。</w:t>
      </w:r>
    </w:p>
    <w:p w14:paraId="2A9ECF05">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一、甲方责任</w:t>
      </w:r>
    </w:p>
    <w:p w14:paraId="724335C1">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1、严格遵守国家有关安全生产的法律法规，认真执行工程承包合同中的有关安全要求。</w:t>
      </w:r>
    </w:p>
    <w:p w14:paraId="2982F1AC">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2、按照“安全第一、预防为主”和坚持“管生产必须管安全”的原则进行安全生产管理，做到生产与安全工作同时计划、布置、检查、总结和评比。</w:t>
      </w:r>
    </w:p>
    <w:p w14:paraId="2CB353A2">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3、重要的安全设施必须坚持与主体工程“三同时”的原则，即：同时设计、审批；同时施工，同时验收，投入使用。</w:t>
      </w:r>
    </w:p>
    <w:p w14:paraId="38FA3FC0">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4、定期召开安全生产调度会，及时传达中央及地方有关安全生产的精神。</w:t>
      </w:r>
    </w:p>
    <w:p w14:paraId="3909D2E0">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5、组织对乙方施工现场安全生产检查，监督乙方及时处理发现的各种安全隐患。</w:t>
      </w:r>
    </w:p>
    <w:p w14:paraId="74387713">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二、乙方职责</w:t>
      </w:r>
    </w:p>
    <w:p w14:paraId="340D95E5">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1、严格遵守国家有关安全生产的法律法规、有关安全生产的规定，认真执行工程承包合同中的有关安全要求。</w:t>
      </w:r>
    </w:p>
    <w:p w14:paraId="19B72D98">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2、坚持“安全第一、预防为主”和“管生产必须管安全”的原则，加强安全生产宣传教育，增强全员安全生产意识，建立健全各项安全生产的管理机械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14:paraId="1ECF927B">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1%~3%配备安全员，专职负责所有员工的安全和治安保卫工作及预防事故的发生。安全机构人员，有权按有关规定发布指令，并采取保护性措施防止事故发生。</w:t>
      </w:r>
    </w:p>
    <w:p w14:paraId="52321B1A">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4、乙方在任何时侯都应采取各种合理的预防措施，防止其员工发生任何违法、违禁、暴力或妨碍治安的行为。</w:t>
      </w:r>
    </w:p>
    <w:p w14:paraId="52AE4713">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5、乙方必须具有劳动安全管理部门颁发的安全生产证书，参加施工的人员，必须</w:t>
      </w:r>
      <w:r>
        <w:rPr>
          <w:rFonts w:hint="eastAsia" w:ascii="微软雅黑" w:hAnsi="微软雅黑" w:eastAsia="微软雅黑" w:cs="宋体"/>
          <w:bCs/>
          <w:szCs w:val="21"/>
          <w:lang w:val="en-US" w:eastAsia="zh-CN"/>
        </w:rPr>
        <w:t>接</w:t>
      </w:r>
      <w:r>
        <w:rPr>
          <w:rFonts w:hint="eastAsia" w:ascii="微软雅黑" w:hAnsi="微软雅黑" w:eastAsia="微软雅黑" w:cs="宋体"/>
          <w:bCs/>
          <w:szCs w:val="21"/>
        </w:rPr>
        <w:t>受安全技术教育，熟知和遵守本工程的各项安全技术操作规程，定期进行安全技术考核，合格者方准上岗操作，对于从事特殊工种的人员，须经过专业培训，获得《安全操作合格证》后，持证上岗。施工现场发现特种作业无证操作现象时，项目经理必须承担管理责任。</w:t>
      </w:r>
    </w:p>
    <w:p w14:paraId="71FF594F">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6、对于易燃易爆的材料除应专门妥善保管之外，还应配备有足够的消防设施，所</w:t>
      </w:r>
      <w:bookmarkStart w:id="1135" w:name="_GoBack"/>
      <w:bookmarkEnd w:id="1135"/>
      <w:r>
        <w:rPr>
          <w:rFonts w:hint="eastAsia" w:ascii="微软雅黑" w:hAnsi="微软雅黑" w:eastAsia="微软雅黑" w:cs="宋体"/>
          <w:bCs/>
          <w:szCs w:val="21"/>
        </w:rPr>
        <w:t>有施工人员都应熟悉消防设备的性能和使用方法；乙方不得将任何种类的爆炸物给予、易货或以其他方式转让给任何其他人，或允许、容忍上述同样行为。</w:t>
      </w:r>
    </w:p>
    <w:p w14:paraId="63A402F0">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7、操作人员上岗，必须按规定穿戴防护用品。施工负责人和安全检查员应随时检查劳动防护用品的穿戴情况，不按规定穿戴防护用品的人员不得上岗。</w:t>
      </w:r>
    </w:p>
    <w:p w14:paraId="25F383F7">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8、所有施工机具设备均应定期检查，并有安全员的签字记录，保证其经常处于完好状态；不合格的机具、设备和劳动保护用品严禁使用。</w:t>
      </w:r>
    </w:p>
    <w:p w14:paraId="78FBEE5D">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9、施工中采用新技术、新工艺、新设备、新材料时，必须制定相应的安全技术措施，施工现场必须具有相关的安全标志牌。</w:t>
      </w:r>
    </w:p>
    <w:p w14:paraId="3A9E8193">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10、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过失。</w:t>
      </w:r>
    </w:p>
    <w:p w14:paraId="30E86EA2">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三、违约责任</w:t>
      </w:r>
    </w:p>
    <w:p w14:paraId="323E4FC6">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如因甲方或乙方违约造成安全事故，将依法追究责任。</w:t>
      </w:r>
    </w:p>
    <w:p w14:paraId="3BD8AAAA">
      <w:pPr>
        <w:spacing w:line="360" w:lineRule="auto"/>
        <w:ind w:firstLine="420" w:firstLineChars="200"/>
        <w:rPr>
          <w:rFonts w:ascii="微软雅黑" w:hAnsi="微软雅黑" w:eastAsia="微软雅黑" w:cs="宋体"/>
          <w:bCs/>
          <w:szCs w:val="21"/>
        </w:rPr>
      </w:pPr>
      <w:r>
        <w:rPr>
          <w:rFonts w:hint="eastAsia" w:ascii="微软雅黑" w:hAnsi="微软雅黑" w:eastAsia="微软雅黑" w:cs="宋体"/>
          <w:bCs/>
          <w:szCs w:val="21"/>
        </w:rPr>
        <w:t>本责任书正本一式贰份，副本贰份，责任书双方各执正壹份，副本壹份。由双方法定代表人或其授权的代理人签署与加盖公章后生效，全部工程竣工验收后失效。</w:t>
      </w:r>
    </w:p>
    <w:p w14:paraId="7F81EA97">
      <w:pPr>
        <w:spacing w:line="360" w:lineRule="auto"/>
        <w:ind w:firstLine="735" w:firstLineChars="350"/>
        <w:rPr>
          <w:rFonts w:ascii="微软雅黑" w:hAnsi="微软雅黑" w:eastAsia="微软雅黑" w:cs="宋体"/>
          <w:bCs/>
          <w:szCs w:val="21"/>
        </w:rPr>
      </w:pPr>
    </w:p>
    <w:p w14:paraId="6083EEB6">
      <w:pPr>
        <w:spacing w:line="360" w:lineRule="auto"/>
        <w:ind w:firstLine="735" w:firstLineChars="350"/>
        <w:rPr>
          <w:rFonts w:ascii="微软雅黑" w:hAnsi="微软雅黑" w:eastAsia="微软雅黑" w:cs="宋体"/>
          <w:bCs/>
          <w:szCs w:val="21"/>
        </w:rPr>
      </w:pPr>
    </w:p>
    <w:p w14:paraId="1B5E0EBF">
      <w:pPr>
        <w:spacing w:line="360" w:lineRule="auto"/>
        <w:ind w:firstLine="735" w:firstLineChars="350"/>
        <w:rPr>
          <w:rFonts w:ascii="微软雅黑" w:hAnsi="微软雅黑" w:eastAsia="微软雅黑" w:cs="宋体"/>
          <w:bCs/>
          <w:szCs w:val="21"/>
        </w:rPr>
      </w:pPr>
      <w:r>
        <w:rPr>
          <w:rFonts w:hint="eastAsia" w:ascii="微软雅黑" w:hAnsi="微软雅黑" w:eastAsia="微软雅黑" w:cs="宋体"/>
          <w:bCs/>
          <w:szCs w:val="21"/>
        </w:rPr>
        <w:t xml:space="preserve">甲   方： （公章）                      乙   方：（公章） </w:t>
      </w:r>
    </w:p>
    <w:p w14:paraId="472763B6">
      <w:pPr>
        <w:spacing w:line="360" w:lineRule="auto"/>
        <w:ind w:firstLine="735" w:firstLineChars="350"/>
        <w:rPr>
          <w:rFonts w:ascii="微软雅黑" w:hAnsi="微软雅黑" w:eastAsia="微软雅黑" w:cs="宋体"/>
          <w:bCs/>
          <w:szCs w:val="21"/>
        </w:rPr>
      </w:pPr>
    </w:p>
    <w:p w14:paraId="639C76AC">
      <w:pPr>
        <w:spacing w:line="360" w:lineRule="auto"/>
        <w:ind w:firstLine="735" w:firstLineChars="350"/>
        <w:rPr>
          <w:rFonts w:ascii="微软雅黑" w:hAnsi="微软雅黑" w:eastAsia="微软雅黑" w:cs="宋体"/>
          <w:bCs/>
          <w:szCs w:val="21"/>
        </w:rPr>
      </w:pPr>
      <w:r>
        <w:rPr>
          <w:rFonts w:hint="eastAsia" w:ascii="微软雅黑" w:hAnsi="微软雅黑" w:eastAsia="微软雅黑" w:cs="宋体"/>
          <w:bCs/>
          <w:szCs w:val="21"/>
        </w:rPr>
        <w:t>法定代表人：（签章）                     法定代表人：(签章)</w:t>
      </w:r>
    </w:p>
    <w:p w14:paraId="7BCCFF43">
      <w:pPr>
        <w:spacing w:line="360" w:lineRule="auto"/>
        <w:ind w:firstLine="735" w:firstLineChars="350"/>
        <w:rPr>
          <w:rFonts w:ascii="微软雅黑" w:hAnsi="微软雅黑" w:eastAsia="微软雅黑" w:cs="宋体"/>
          <w:bCs/>
          <w:szCs w:val="21"/>
        </w:rPr>
      </w:pPr>
    </w:p>
    <w:p w14:paraId="4F735C0C">
      <w:pPr>
        <w:spacing w:line="360" w:lineRule="auto"/>
        <w:ind w:firstLine="735" w:firstLineChars="350"/>
        <w:jc w:val="right"/>
        <w:rPr>
          <w:rFonts w:ascii="微软雅黑" w:hAnsi="微软雅黑" w:eastAsia="微软雅黑" w:cs="宋体"/>
          <w:bCs/>
          <w:szCs w:val="21"/>
        </w:rPr>
      </w:pPr>
      <w:r>
        <w:rPr>
          <w:rFonts w:hint="eastAsia" w:ascii="微软雅黑" w:hAnsi="微软雅黑" w:eastAsia="微软雅黑" w:cs="宋体"/>
          <w:bCs/>
          <w:szCs w:val="21"/>
        </w:rPr>
        <w:t xml:space="preserve"> 合同签订日期：        年     月    日</w:t>
      </w:r>
    </w:p>
    <w:p w14:paraId="1021E094">
      <w:pPr>
        <w:rPr>
          <w:rFonts w:ascii="微软雅黑" w:hAnsi="微软雅黑" w:eastAsia="微软雅黑"/>
        </w:rPr>
      </w:pPr>
    </w:p>
    <w:p w14:paraId="451F9CE9">
      <w:pPr>
        <w:rPr>
          <w:rFonts w:ascii="微软雅黑" w:hAnsi="微软雅黑" w:eastAsia="微软雅黑"/>
          <w:b/>
          <w:kern w:val="44"/>
          <w:sz w:val="44"/>
        </w:rPr>
      </w:pPr>
    </w:p>
    <w:p w14:paraId="586E1A6F">
      <w:pPr>
        <w:rPr>
          <w:rFonts w:ascii="微软雅黑" w:hAnsi="微软雅黑" w:eastAsia="微软雅黑"/>
        </w:rPr>
      </w:pPr>
      <w:r>
        <w:rPr>
          <w:rFonts w:hint="eastAsia" w:ascii="微软雅黑" w:hAnsi="微软雅黑" w:eastAsia="微软雅黑"/>
          <w:b/>
          <w:kern w:val="44"/>
          <w:sz w:val="44"/>
        </w:rPr>
        <w:br w:type="page"/>
      </w:r>
    </w:p>
    <w:p w14:paraId="7F4D2373">
      <w:pPr>
        <w:pStyle w:val="2"/>
        <w:jc w:val="center"/>
        <w:rPr>
          <w:rFonts w:ascii="微软雅黑" w:hAnsi="微软雅黑" w:eastAsia="微软雅黑" w:cs="Times New Roman"/>
          <w:sz w:val="36"/>
          <w:szCs w:val="30"/>
        </w:rPr>
      </w:pPr>
      <w:bookmarkStart w:id="1104" w:name="_Toc21959736"/>
      <w:bookmarkStart w:id="1105" w:name="_Toc31311"/>
      <w:r>
        <w:rPr>
          <w:rFonts w:hint="eastAsia" w:ascii="微软雅黑" w:hAnsi="微软雅黑" w:eastAsia="微软雅黑" w:cs="Times New Roman"/>
          <w:sz w:val="36"/>
          <w:szCs w:val="30"/>
        </w:rPr>
        <w:t>第五篇   响应文件格式要求</w:t>
      </w:r>
      <w:bookmarkEnd w:id="1104"/>
      <w:bookmarkEnd w:id="1105"/>
    </w:p>
    <w:p w14:paraId="0A34A980">
      <w:pPr>
        <w:numPr>
          <w:ilvl w:val="0"/>
          <w:numId w:val="8"/>
        </w:numPr>
        <w:snapToGrid w:val="0"/>
        <w:spacing w:line="440" w:lineRule="exact"/>
        <w:rPr>
          <w:rFonts w:ascii="微软雅黑" w:hAnsi="微软雅黑" w:eastAsia="微软雅黑" w:cs="Times New Roman"/>
          <w:b/>
          <w:sz w:val="24"/>
          <w:szCs w:val="24"/>
        </w:rPr>
      </w:pPr>
      <w:r>
        <w:rPr>
          <w:rFonts w:hint="eastAsia" w:ascii="微软雅黑" w:hAnsi="微软雅黑" w:eastAsia="微软雅黑" w:cs="Times New Roman"/>
          <w:b/>
          <w:sz w:val="24"/>
          <w:szCs w:val="24"/>
        </w:rPr>
        <w:t>经济文件</w:t>
      </w:r>
    </w:p>
    <w:p w14:paraId="40C6CA08">
      <w:pPr>
        <w:snapToGrid w:val="0"/>
        <w:spacing w:line="440" w:lineRule="exact"/>
        <w:rPr>
          <w:rFonts w:ascii="微软雅黑" w:hAnsi="微软雅黑" w:eastAsia="微软雅黑" w:cs="Times New Roman"/>
          <w:b/>
          <w:sz w:val="24"/>
          <w:szCs w:val="24"/>
        </w:rPr>
      </w:pPr>
      <w:r>
        <w:rPr>
          <w:rFonts w:hint="eastAsia" w:ascii="微软雅黑" w:hAnsi="微软雅黑" w:eastAsia="微软雅黑" w:cs="Times New Roman"/>
          <w:sz w:val="24"/>
          <w:szCs w:val="24"/>
        </w:rPr>
        <w:t>（一）竞争性报价函（附格式）</w:t>
      </w:r>
    </w:p>
    <w:p w14:paraId="3168EB17">
      <w:pPr>
        <w:snapToGrid w:val="0"/>
        <w:spacing w:line="440" w:lineRule="exact"/>
        <w:rPr>
          <w:rFonts w:ascii="微软雅黑" w:hAnsi="微软雅黑" w:eastAsia="微软雅黑" w:cs="Times New Roman"/>
          <w:b/>
          <w:sz w:val="24"/>
          <w:szCs w:val="24"/>
        </w:rPr>
      </w:pPr>
      <w:r>
        <w:rPr>
          <w:rFonts w:hint="eastAsia" w:ascii="微软雅黑" w:hAnsi="微软雅黑" w:eastAsia="微软雅黑" w:cs="Times New Roman"/>
          <w:sz w:val="24"/>
          <w:szCs w:val="24"/>
        </w:rPr>
        <w:t>（二）投标</w:t>
      </w:r>
      <w:r>
        <w:rPr>
          <w:rFonts w:ascii="微软雅黑" w:hAnsi="微软雅黑" w:eastAsia="微软雅黑" w:cs="Times New Roman"/>
          <w:sz w:val="24"/>
          <w:szCs w:val="24"/>
        </w:rPr>
        <w:t>报价</w:t>
      </w:r>
      <w:r>
        <w:rPr>
          <w:rFonts w:hint="eastAsia" w:ascii="微软雅黑" w:hAnsi="微软雅黑" w:eastAsia="微软雅黑" w:cs="Times New Roman"/>
          <w:sz w:val="24"/>
          <w:szCs w:val="24"/>
        </w:rPr>
        <w:t>明细</w:t>
      </w:r>
      <w:r>
        <w:rPr>
          <w:rFonts w:ascii="微软雅黑" w:hAnsi="微软雅黑" w:eastAsia="微软雅黑" w:cs="Times New Roman"/>
          <w:sz w:val="24"/>
          <w:szCs w:val="24"/>
        </w:rPr>
        <w:t>表</w:t>
      </w:r>
      <w:r>
        <w:rPr>
          <w:rFonts w:hint="eastAsia" w:ascii="微软雅黑" w:hAnsi="微软雅黑" w:eastAsia="微软雅黑" w:cs="Times New Roman"/>
          <w:sz w:val="24"/>
          <w:szCs w:val="24"/>
        </w:rPr>
        <w:t>（附格式）</w:t>
      </w:r>
    </w:p>
    <w:p w14:paraId="2FEA305D">
      <w:pPr>
        <w:snapToGrid w:val="0"/>
        <w:spacing w:line="440" w:lineRule="exact"/>
        <w:rPr>
          <w:rFonts w:ascii="微软雅黑" w:hAnsi="微软雅黑" w:eastAsia="微软雅黑" w:cs="Times New Roman"/>
          <w:b/>
          <w:sz w:val="24"/>
          <w:szCs w:val="24"/>
        </w:rPr>
      </w:pPr>
      <w:r>
        <w:rPr>
          <w:rFonts w:hint="eastAsia" w:ascii="微软雅黑" w:hAnsi="微软雅黑" w:eastAsia="微软雅黑" w:cs="Times New Roman"/>
          <w:b/>
          <w:sz w:val="24"/>
          <w:szCs w:val="24"/>
        </w:rPr>
        <w:t>二、资格文件</w:t>
      </w:r>
    </w:p>
    <w:p w14:paraId="1EFDC740">
      <w:pPr>
        <w:snapToGrid w:val="0"/>
        <w:spacing w:line="440" w:lineRule="exact"/>
        <w:rPr>
          <w:rFonts w:ascii="微软雅黑" w:hAnsi="微软雅黑" w:eastAsia="微软雅黑" w:cs="Times New Roman"/>
          <w:sz w:val="24"/>
          <w:szCs w:val="24"/>
        </w:rPr>
      </w:pPr>
      <w:r>
        <w:rPr>
          <w:rFonts w:ascii="微软雅黑" w:hAnsi="微软雅黑" w:eastAsia="微软雅黑" w:cs="Times New Roman"/>
          <w:sz w:val="24"/>
          <w:szCs w:val="24"/>
        </w:rPr>
        <w:t>1.提供有效的营业执照副本复印件</w:t>
      </w:r>
    </w:p>
    <w:p w14:paraId="6070A45D">
      <w:pPr>
        <w:snapToGrid w:val="0"/>
        <w:spacing w:line="440" w:lineRule="exact"/>
        <w:rPr>
          <w:rFonts w:ascii="微软雅黑" w:hAnsi="微软雅黑" w:eastAsia="微软雅黑" w:cs="Times New Roman"/>
          <w:sz w:val="24"/>
          <w:szCs w:val="24"/>
        </w:rPr>
      </w:pPr>
      <w:r>
        <w:rPr>
          <w:rFonts w:ascii="微软雅黑" w:hAnsi="微软雅黑" w:eastAsia="微软雅黑" w:cs="Times New Roman"/>
          <w:sz w:val="24"/>
          <w:szCs w:val="24"/>
        </w:rPr>
        <w:t>2.提供有效的税务登记证副本复印件</w:t>
      </w:r>
    </w:p>
    <w:p w14:paraId="6F42E3F7">
      <w:pPr>
        <w:snapToGrid w:val="0"/>
        <w:spacing w:line="440" w:lineRule="exact"/>
        <w:rPr>
          <w:rFonts w:ascii="微软雅黑" w:hAnsi="微软雅黑" w:eastAsia="微软雅黑" w:cs="Times New Roman"/>
          <w:sz w:val="24"/>
          <w:szCs w:val="24"/>
        </w:rPr>
      </w:pPr>
      <w:r>
        <w:rPr>
          <w:rFonts w:ascii="微软雅黑" w:hAnsi="微软雅黑" w:eastAsia="微软雅黑" w:cs="Times New Roman"/>
          <w:sz w:val="24"/>
          <w:szCs w:val="24"/>
        </w:rPr>
        <w:t>3.提供有效的组织机构代码证复印件</w:t>
      </w:r>
      <w:r>
        <w:rPr>
          <w:rFonts w:hint="eastAsia" w:ascii="微软雅黑" w:hAnsi="微软雅黑" w:eastAsia="微软雅黑" w:cs="Times New Roman"/>
          <w:sz w:val="24"/>
          <w:szCs w:val="24"/>
        </w:rPr>
        <w:t>或三合一证书复印件</w:t>
      </w:r>
    </w:p>
    <w:p w14:paraId="727B73D8">
      <w:pPr>
        <w:snapToGrid w:val="0"/>
        <w:spacing w:line="440" w:lineRule="exact"/>
        <w:rPr>
          <w:rFonts w:ascii="微软雅黑" w:hAnsi="微软雅黑" w:eastAsia="微软雅黑" w:cs="Times New Roman"/>
          <w:sz w:val="24"/>
          <w:szCs w:val="24"/>
        </w:rPr>
      </w:pPr>
      <w:r>
        <w:rPr>
          <w:rFonts w:ascii="微软雅黑" w:hAnsi="微软雅黑" w:eastAsia="微软雅黑" w:cs="Times New Roman"/>
          <w:sz w:val="24"/>
          <w:szCs w:val="24"/>
        </w:rPr>
        <w:t>4.特定资格条件证明材料</w:t>
      </w:r>
    </w:p>
    <w:p w14:paraId="3786A2B5">
      <w:pPr>
        <w:snapToGrid w:val="0"/>
        <w:spacing w:line="440" w:lineRule="exact"/>
        <w:rPr>
          <w:rFonts w:ascii="微软雅黑" w:hAnsi="微软雅黑" w:eastAsia="微软雅黑" w:cs="Times New Roman"/>
          <w:sz w:val="24"/>
          <w:szCs w:val="24"/>
        </w:rPr>
      </w:pPr>
      <w:r>
        <w:rPr>
          <w:rFonts w:ascii="微软雅黑" w:hAnsi="微软雅黑" w:eastAsia="微软雅黑" w:cs="Times New Roman"/>
          <w:sz w:val="24"/>
          <w:szCs w:val="24"/>
        </w:rPr>
        <w:t>5.法定代表人身份证明书（附格式）</w:t>
      </w:r>
    </w:p>
    <w:p w14:paraId="2EDB2EDA">
      <w:pPr>
        <w:snapToGrid w:val="0"/>
        <w:spacing w:line="440" w:lineRule="exact"/>
        <w:rPr>
          <w:rFonts w:ascii="微软雅黑" w:hAnsi="微软雅黑" w:eastAsia="微软雅黑" w:cs="Times New Roman"/>
          <w:sz w:val="24"/>
          <w:szCs w:val="24"/>
        </w:rPr>
      </w:pPr>
      <w:r>
        <w:rPr>
          <w:rFonts w:ascii="微软雅黑" w:hAnsi="微软雅黑" w:eastAsia="微软雅黑" w:cs="Times New Roman"/>
          <w:sz w:val="24"/>
          <w:szCs w:val="24"/>
        </w:rPr>
        <w:t>6.法定代表人授权委托书（附格式）</w:t>
      </w:r>
    </w:p>
    <w:p w14:paraId="16DEB75A">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7</w:t>
      </w:r>
      <w:r>
        <w:rPr>
          <w:rFonts w:ascii="微软雅黑" w:hAnsi="微软雅黑" w:eastAsia="微软雅黑" w:cs="Times New Roman"/>
          <w:sz w:val="24"/>
          <w:szCs w:val="24"/>
        </w:rPr>
        <w:t>.诚信声明（附格式）</w:t>
      </w:r>
    </w:p>
    <w:p w14:paraId="3EB2BE98">
      <w:pPr>
        <w:snapToGrid w:val="0"/>
        <w:spacing w:line="440" w:lineRule="exact"/>
        <w:rPr>
          <w:rFonts w:ascii="微软雅黑" w:hAnsi="微软雅黑" w:eastAsia="微软雅黑" w:cs="Times New Roman"/>
          <w:b/>
          <w:sz w:val="24"/>
          <w:szCs w:val="24"/>
        </w:rPr>
      </w:pPr>
      <w:r>
        <w:rPr>
          <w:rFonts w:hint="eastAsia" w:ascii="微软雅黑" w:hAnsi="微软雅黑" w:eastAsia="微软雅黑" w:cs="Times New Roman"/>
          <w:b/>
          <w:sz w:val="24"/>
          <w:szCs w:val="24"/>
        </w:rPr>
        <w:t>三</w:t>
      </w:r>
      <w:r>
        <w:rPr>
          <w:rFonts w:ascii="微软雅黑" w:hAnsi="微软雅黑" w:eastAsia="微软雅黑" w:cs="Times New Roman"/>
          <w:b/>
          <w:sz w:val="24"/>
          <w:szCs w:val="24"/>
        </w:rPr>
        <w:t>、技术文件</w:t>
      </w:r>
      <w:r>
        <w:rPr>
          <w:rFonts w:hint="eastAsia" w:ascii="微软雅黑" w:hAnsi="微软雅黑" w:eastAsia="微软雅黑" w:cs="Times New Roman"/>
          <w:b/>
          <w:sz w:val="24"/>
          <w:szCs w:val="24"/>
        </w:rPr>
        <w:t>及商务文件</w:t>
      </w:r>
    </w:p>
    <w:p w14:paraId="6FF6EDD5">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（一）产品</w:t>
      </w:r>
      <w:r>
        <w:rPr>
          <w:rFonts w:ascii="微软雅黑" w:hAnsi="微软雅黑" w:eastAsia="微软雅黑" w:cs="Times New Roman"/>
          <w:sz w:val="24"/>
          <w:szCs w:val="24"/>
        </w:rPr>
        <w:t>参数详细说明</w:t>
      </w:r>
    </w:p>
    <w:p w14:paraId="22D2B31F">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（二）技术</w:t>
      </w:r>
      <w:r>
        <w:rPr>
          <w:rFonts w:ascii="微软雅黑" w:hAnsi="微软雅黑" w:eastAsia="微软雅黑" w:cs="Times New Roman"/>
          <w:sz w:val="24"/>
          <w:szCs w:val="24"/>
        </w:rPr>
        <w:t>差异表（</w:t>
      </w:r>
      <w:r>
        <w:rPr>
          <w:rFonts w:hint="eastAsia" w:ascii="微软雅黑" w:hAnsi="微软雅黑" w:eastAsia="微软雅黑" w:cs="Times New Roman"/>
          <w:sz w:val="24"/>
          <w:szCs w:val="24"/>
        </w:rPr>
        <w:t>附</w:t>
      </w:r>
      <w:r>
        <w:rPr>
          <w:rFonts w:ascii="微软雅黑" w:hAnsi="微软雅黑" w:eastAsia="微软雅黑" w:cs="Times New Roman"/>
          <w:sz w:val="24"/>
          <w:szCs w:val="24"/>
        </w:rPr>
        <w:t>格式）</w:t>
      </w:r>
    </w:p>
    <w:p w14:paraId="4A5A6606">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（三）其他所需提交资料</w:t>
      </w:r>
    </w:p>
    <w:p w14:paraId="2C46857F">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（四）根据质保期、报价范围、交货</w:t>
      </w:r>
      <w:r>
        <w:rPr>
          <w:rFonts w:ascii="微软雅黑" w:hAnsi="微软雅黑" w:eastAsia="微软雅黑" w:cs="Times New Roman"/>
          <w:sz w:val="24"/>
          <w:szCs w:val="24"/>
        </w:rPr>
        <w:t>时间、</w:t>
      </w:r>
      <w:r>
        <w:rPr>
          <w:rFonts w:hint="eastAsia" w:ascii="微软雅黑" w:hAnsi="微软雅黑" w:eastAsia="微软雅黑" w:cs="Times New Roman"/>
          <w:sz w:val="24"/>
          <w:szCs w:val="24"/>
        </w:rPr>
        <w:t>付款方式等填写服务响应偏离表（格式）</w:t>
      </w:r>
    </w:p>
    <w:p w14:paraId="79D62164">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（五）其他所需提交资料</w:t>
      </w:r>
    </w:p>
    <w:p w14:paraId="455DFCCE">
      <w:pPr>
        <w:widowControl/>
        <w:jc w:val="left"/>
        <w:rPr>
          <w:rFonts w:ascii="微软雅黑" w:hAnsi="微软雅黑" w:eastAsia="微软雅黑" w:cs="Times New Roman"/>
          <w:sz w:val="24"/>
          <w:szCs w:val="24"/>
        </w:rPr>
      </w:pPr>
      <w:r>
        <w:rPr>
          <w:rFonts w:ascii="微软雅黑" w:hAnsi="微软雅黑" w:eastAsia="微软雅黑" w:cs="Times New Roman"/>
          <w:sz w:val="24"/>
          <w:szCs w:val="24"/>
        </w:rPr>
        <w:br w:type="page"/>
      </w:r>
    </w:p>
    <w:p w14:paraId="45977FCC">
      <w:pPr>
        <w:snapToGrid w:val="0"/>
        <w:spacing w:line="440" w:lineRule="exact"/>
        <w:rPr>
          <w:rFonts w:ascii="微软雅黑" w:hAnsi="微软雅黑" w:eastAsia="微软雅黑" w:cs="Times New Roman"/>
          <w:sz w:val="24"/>
          <w:szCs w:val="24"/>
        </w:rPr>
      </w:pPr>
    </w:p>
    <w:p w14:paraId="22C06D97">
      <w:pPr>
        <w:pStyle w:val="3"/>
        <w:rPr>
          <w:rFonts w:ascii="微软雅黑" w:hAnsi="微软雅黑" w:eastAsia="微软雅黑" w:cs="Times New Roman"/>
          <w:sz w:val="24"/>
          <w:szCs w:val="24"/>
        </w:rPr>
      </w:pPr>
      <w:bookmarkStart w:id="1106" w:name="_Toc342913419"/>
      <w:bookmarkStart w:id="1107" w:name="_Toc21959737"/>
      <w:bookmarkStart w:id="1108" w:name="_Toc313888360"/>
      <w:bookmarkStart w:id="1109" w:name="_Toc423007333"/>
      <w:bookmarkStart w:id="1110" w:name="_Toc313008356"/>
      <w:bookmarkStart w:id="1111" w:name="_Toc12789073"/>
      <w:bookmarkStart w:id="1112" w:name="_Toc283382454"/>
      <w:r>
        <w:rPr>
          <w:rFonts w:hint="eastAsia" w:ascii="微软雅黑" w:hAnsi="微软雅黑" w:eastAsia="微软雅黑" w:cs="Times New Roman"/>
          <w:sz w:val="24"/>
          <w:szCs w:val="24"/>
        </w:rPr>
        <w:t>一、经济部分</w:t>
      </w:r>
      <w:bookmarkEnd w:id="1106"/>
      <w:bookmarkEnd w:id="1107"/>
      <w:bookmarkEnd w:id="1108"/>
      <w:bookmarkEnd w:id="1109"/>
      <w:bookmarkEnd w:id="1110"/>
    </w:p>
    <w:bookmarkEnd w:id="1111"/>
    <w:bookmarkEnd w:id="1112"/>
    <w:p w14:paraId="61831A7B">
      <w:pPr>
        <w:pStyle w:val="4"/>
        <w:rPr>
          <w:rFonts w:ascii="微软雅黑" w:hAnsi="微软雅黑" w:eastAsia="微软雅黑" w:cs="Times New Roman"/>
          <w:sz w:val="24"/>
          <w:szCs w:val="24"/>
        </w:rPr>
      </w:pPr>
      <w:bookmarkStart w:id="1113" w:name="_Toc21959738"/>
      <w:r>
        <w:rPr>
          <w:rFonts w:hint="eastAsia" w:ascii="微软雅黑" w:hAnsi="微软雅黑" w:eastAsia="微软雅黑" w:cs="Times New Roman"/>
          <w:sz w:val="24"/>
          <w:szCs w:val="24"/>
        </w:rPr>
        <w:t>（一）竞争性报价函</w:t>
      </w:r>
      <w:bookmarkEnd w:id="1113"/>
    </w:p>
    <w:p w14:paraId="5A7E0C80">
      <w:pPr>
        <w:jc w:val="center"/>
        <w:rPr>
          <w:rFonts w:ascii="微软雅黑" w:hAnsi="微软雅黑" w:eastAsia="微软雅黑" w:cs="Times New Roman"/>
          <w:b/>
          <w:sz w:val="28"/>
          <w:szCs w:val="28"/>
        </w:rPr>
      </w:pPr>
      <w:r>
        <w:rPr>
          <w:rFonts w:hint="eastAsia" w:ascii="微软雅黑" w:hAnsi="微软雅黑" w:eastAsia="微软雅黑" w:cs="Times New Roman"/>
          <w:b/>
          <w:sz w:val="28"/>
          <w:szCs w:val="28"/>
        </w:rPr>
        <w:t>竞争性报价函</w:t>
      </w:r>
    </w:p>
    <w:p w14:paraId="4B4E905F">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u w:val="single"/>
        </w:rPr>
        <w:t>重庆市射击运动学校</w:t>
      </w:r>
      <w:r>
        <w:rPr>
          <w:rFonts w:hint="eastAsia" w:ascii="微软雅黑" w:hAnsi="微软雅黑" w:eastAsia="微软雅黑" w:cs="Times New Roman"/>
          <w:sz w:val="24"/>
          <w:szCs w:val="24"/>
        </w:rPr>
        <w:t>：</w:t>
      </w:r>
    </w:p>
    <w:p w14:paraId="027E9B24">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我方收到____________________________（谈判项目名称）的竞争性谈判文件，经详细研究，决定参加该谈判项目的竞争谈判。</w:t>
      </w:r>
    </w:p>
    <w:p w14:paraId="3F61C862">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1、愿意按照竞争性谈判文件中的一切要求，提供本项目的技术服务，初始报价为人民币大写：</w:t>
      </w:r>
      <w:r>
        <w:rPr>
          <w:rFonts w:hint="eastAsia" w:ascii="微软雅黑" w:hAnsi="微软雅黑" w:eastAsia="微软雅黑" w:cs="Times New Roman"/>
          <w:sz w:val="24"/>
          <w:szCs w:val="24"/>
          <w:u w:val="single"/>
        </w:rPr>
        <w:t xml:space="preserve">      </w:t>
      </w:r>
      <w:r>
        <w:rPr>
          <w:rFonts w:hint="eastAsia" w:ascii="微软雅黑" w:hAnsi="微软雅黑" w:eastAsia="微软雅黑" w:cs="Times New Roman"/>
          <w:sz w:val="24"/>
          <w:szCs w:val="24"/>
        </w:rPr>
        <w:t>元；人民币小写：</w:t>
      </w:r>
      <w:r>
        <w:rPr>
          <w:rFonts w:hint="eastAsia" w:ascii="微软雅黑" w:hAnsi="微软雅黑" w:eastAsia="微软雅黑" w:cs="Times New Roman"/>
          <w:sz w:val="24"/>
          <w:szCs w:val="24"/>
          <w:u w:val="single"/>
        </w:rPr>
        <w:t xml:space="preserve">    </w:t>
      </w:r>
      <w:r>
        <w:rPr>
          <w:rFonts w:hint="eastAsia" w:ascii="微软雅黑" w:hAnsi="微软雅黑" w:eastAsia="微软雅黑" w:cs="Times New Roman"/>
          <w:sz w:val="24"/>
          <w:szCs w:val="24"/>
        </w:rPr>
        <w:t>元。以我公司最后报价为准。</w:t>
      </w:r>
    </w:p>
    <w:p w14:paraId="074A4E62">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2、我方现提交的响应文件为：响应文件正本</w:t>
      </w:r>
      <w:r>
        <w:rPr>
          <w:rFonts w:hint="eastAsia" w:ascii="微软雅黑" w:hAnsi="微软雅黑" w:eastAsia="微软雅黑" w:cs="Times New Roman"/>
          <w:sz w:val="24"/>
          <w:szCs w:val="24"/>
          <w:u w:val="single"/>
        </w:rPr>
        <w:t xml:space="preserve">  </w:t>
      </w:r>
      <w:r>
        <w:rPr>
          <w:rFonts w:ascii="微软雅黑" w:hAnsi="微软雅黑" w:eastAsia="微软雅黑" w:cs="Times New Roman"/>
          <w:sz w:val="24"/>
          <w:szCs w:val="24"/>
          <w:u w:val="single"/>
        </w:rPr>
        <w:t>1</w:t>
      </w:r>
      <w:r>
        <w:rPr>
          <w:rFonts w:hint="eastAsia" w:ascii="微软雅黑" w:hAnsi="微软雅黑" w:eastAsia="微软雅黑" w:cs="Times New Roman"/>
          <w:sz w:val="24"/>
          <w:szCs w:val="24"/>
          <w:u w:val="single"/>
        </w:rPr>
        <w:t xml:space="preserve"> </w:t>
      </w:r>
      <w:r>
        <w:rPr>
          <w:rFonts w:hint="eastAsia" w:ascii="微软雅黑" w:hAnsi="微软雅黑" w:eastAsia="微软雅黑" w:cs="Times New Roman"/>
          <w:sz w:val="24"/>
          <w:szCs w:val="24"/>
        </w:rPr>
        <w:t>份，副本</w:t>
      </w:r>
      <w:r>
        <w:rPr>
          <w:rFonts w:hint="eastAsia" w:ascii="微软雅黑" w:hAnsi="微软雅黑" w:eastAsia="微软雅黑" w:cs="Times New Roman"/>
          <w:sz w:val="24"/>
          <w:szCs w:val="24"/>
          <w:u w:val="single"/>
        </w:rPr>
        <w:t>2</w:t>
      </w:r>
      <w:r>
        <w:rPr>
          <w:rFonts w:hint="eastAsia" w:ascii="微软雅黑" w:hAnsi="微软雅黑" w:eastAsia="微软雅黑" w:cs="Times New Roman"/>
          <w:sz w:val="24"/>
          <w:szCs w:val="24"/>
        </w:rPr>
        <w:t>份。</w:t>
      </w:r>
    </w:p>
    <w:p w14:paraId="56B4FB64">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3、我方承诺：本次谈判的有效期为90天。</w:t>
      </w:r>
    </w:p>
    <w:p w14:paraId="1107AB53">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4、我方完全理解和接受贵方竞争性谈判文件的一切规定和要求及谈判评审办法。</w:t>
      </w:r>
    </w:p>
    <w:p w14:paraId="3B62BA61">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5、在整个竞争性谈判过程中，我方若有违规行为，接受按照《中华人民共和国政府采购法》和《竞争性谈判文件》之规定给予惩罚。</w:t>
      </w:r>
    </w:p>
    <w:p w14:paraId="73018BED">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6、我方若成为成交投标人，将按照最终谈判结果签订合同，并且严格履行合同义务。本承诺函将成为合同不可分割的一部分，与合同具有同等的法律效力。</w:t>
      </w:r>
    </w:p>
    <w:p w14:paraId="6F230FCC">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7、我方同意按竞争性谈判文件规定，交纳竞争性谈判文件要求的保证金。如果我方成为成交投标人，保证在接到成交通知书后，向交易中心交纳竞争性谈判文件规定的各项费用。</w:t>
      </w:r>
    </w:p>
    <w:p w14:paraId="6A6BE0A2">
      <w:pPr>
        <w:tabs>
          <w:tab w:val="left" w:pos="6300"/>
        </w:tabs>
        <w:snapToGrid w:val="0"/>
        <w:spacing w:line="360" w:lineRule="auto"/>
        <w:rPr>
          <w:rFonts w:ascii="微软雅黑" w:hAnsi="微软雅黑" w:eastAsia="微软雅黑" w:cs="Times New Roman"/>
          <w:sz w:val="24"/>
          <w:szCs w:val="24"/>
        </w:rPr>
      </w:pPr>
    </w:p>
    <w:p w14:paraId="57599FF9">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投标人（公章）：</w:t>
      </w:r>
    </w:p>
    <w:p w14:paraId="4036DCDC">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地址：  </w:t>
      </w:r>
    </w:p>
    <w:p w14:paraId="2CC8B51C">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电话：                           传真：</w:t>
      </w:r>
    </w:p>
    <w:p w14:paraId="7AF5DA8E">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网址：                           邮编：</w:t>
      </w:r>
    </w:p>
    <w:p w14:paraId="59A1932E">
      <w:pPr>
        <w:tabs>
          <w:tab w:val="left" w:pos="6300"/>
        </w:tabs>
        <w:snapToGrid w:val="0"/>
        <w:spacing w:line="360" w:lineRule="auto"/>
        <w:rPr>
          <w:rFonts w:ascii="微软雅黑" w:hAnsi="微软雅黑" w:eastAsia="微软雅黑" w:cs="Times New Roman"/>
          <w:sz w:val="24"/>
          <w:szCs w:val="24"/>
        </w:rPr>
        <w:sectPr>
          <w:pgSz w:w="11907" w:h="16840"/>
          <w:pgMar w:top="1418" w:right="1418" w:bottom="1418" w:left="1418" w:header="851" w:footer="992" w:gutter="0"/>
          <w:cols w:space="720" w:num="1"/>
          <w:docGrid w:type="lines" w:linePitch="380" w:charSpace="-5735"/>
        </w:sectPr>
      </w:pPr>
      <w:r>
        <w:rPr>
          <w:rFonts w:hint="eastAsia" w:ascii="微软雅黑" w:hAnsi="微软雅黑" w:eastAsia="微软雅黑" w:cs="Times New Roman"/>
          <w:sz w:val="24"/>
          <w:szCs w:val="24"/>
        </w:rPr>
        <w:t>联系人：                                 年   月   日</w:t>
      </w:r>
    </w:p>
    <w:p w14:paraId="7846BB18">
      <w:pPr>
        <w:keepNext/>
        <w:keepLines/>
        <w:spacing w:line="360" w:lineRule="auto"/>
        <w:outlineLvl w:val="2"/>
        <w:rPr>
          <w:rFonts w:ascii="微软雅黑" w:hAnsi="微软雅黑" w:eastAsia="微软雅黑" w:cs="Times New Roman"/>
          <w:b/>
          <w:sz w:val="24"/>
          <w:szCs w:val="24"/>
        </w:rPr>
      </w:pPr>
      <w:bookmarkStart w:id="1114" w:name="_Toc313888361"/>
      <w:bookmarkStart w:id="1115" w:name="_Toc313008357"/>
      <w:bookmarkStart w:id="1116" w:name="_Toc423007334"/>
      <w:bookmarkStart w:id="1117" w:name="_Toc342913420"/>
      <w:r>
        <w:rPr>
          <w:rFonts w:hint="eastAsia" w:ascii="微软雅黑" w:hAnsi="微软雅黑" w:eastAsia="微软雅黑" w:cs="Times New Roman"/>
          <w:b/>
          <w:sz w:val="24"/>
          <w:szCs w:val="24"/>
        </w:rPr>
        <w:t>（二）</w:t>
      </w:r>
      <w:r>
        <w:rPr>
          <w:rFonts w:hint="eastAsia" w:ascii="微软雅黑" w:hAnsi="微软雅黑" w:eastAsia="微软雅黑" w:cs="Times New Roman"/>
          <w:sz w:val="24"/>
          <w:szCs w:val="24"/>
        </w:rPr>
        <w:t>投标</w:t>
      </w:r>
      <w:r>
        <w:rPr>
          <w:rFonts w:ascii="微软雅黑" w:hAnsi="微软雅黑" w:eastAsia="微软雅黑" w:cs="Times New Roman"/>
          <w:sz w:val="24"/>
          <w:szCs w:val="24"/>
        </w:rPr>
        <w:t>报价</w:t>
      </w:r>
      <w:r>
        <w:rPr>
          <w:rFonts w:hint="eastAsia" w:ascii="微软雅黑" w:hAnsi="微软雅黑" w:eastAsia="微软雅黑" w:cs="Times New Roman"/>
          <w:sz w:val="24"/>
          <w:szCs w:val="24"/>
        </w:rPr>
        <w:t>明细</w:t>
      </w:r>
      <w:r>
        <w:rPr>
          <w:rFonts w:ascii="微软雅黑" w:hAnsi="微软雅黑" w:eastAsia="微软雅黑" w:cs="Times New Roman"/>
          <w:sz w:val="24"/>
          <w:szCs w:val="24"/>
        </w:rPr>
        <w:t>表</w:t>
      </w:r>
    </w:p>
    <w:p w14:paraId="29510682">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具体格式详见附件：清单。</w:t>
      </w:r>
    </w:p>
    <w:p w14:paraId="798DB263">
      <w:pPr>
        <w:widowControl/>
        <w:jc w:val="left"/>
        <w:rPr>
          <w:rFonts w:ascii="微软雅黑" w:hAnsi="微软雅黑" w:eastAsia="微软雅黑" w:cs="Times New Roman"/>
          <w:sz w:val="24"/>
          <w:szCs w:val="24"/>
        </w:rPr>
      </w:pPr>
      <w:r>
        <w:rPr>
          <w:rFonts w:ascii="微软雅黑" w:hAnsi="微软雅黑" w:eastAsia="微软雅黑" w:cs="Times New Roman"/>
          <w:sz w:val="24"/>
          <w:szCs w:val="24"/>
        </w:rPr>
        <w:br w:type="page"/>
      </w:r>
    </w:p>
    <w:p w14:paraId="76A82468">
      <w:pPr>
        <w:snapToGrid w:val="0"/>
        <w:spacing w:line="440" w:lineRule="exact"/>
        <w:rPr>
          <w:rFonts w:ascii="微软雅黑" w:hAnsi="微软雅黑" w:eastAsia="微软雅黑" w:cs="Times New Roman"/>
          <w:sz w:val="24"/>
          <w:szCs w:val="24"/>
        </w:rPr>
      </w:pPr>
    </w:p>
    <w:p w14:paraId="157ECC03">
      <w:pPr>
        <w:pStyle w:val="3"/>
        <w:rPr>
          <w:rFonts w:ascii="微软雅黑" w:hAnsi="微软雅黑" w:eastAsia="微软雅黑" w:cs="Times New Roman"/>
          <w:b w:val="0"/>
          <w:sz w:val="24"/>
          <w:szCs w:val="24"/>
        </w:rPr>
      </w:pPr>
      <w:bookmarkStart w:id="1118" w:name="_Toc21959739"/>
      <w:r>
        <w:rPr>
          <w:rFonts w:hint="eastAsia" w:ascii="微软雅黑" w:hAnsi="微软雅黑" w:eastAsia="微软雅黑" w:cs="Times New Roman"/>
          <w:sz w:val="24"/>
          <w:szCs w:val="24"/>
        </w:rPr>
        <w:t>二、</w:t>
      </w:r>
      <w:bookmarkEnd w:id="1114"/>
      <w:bookmarkEnd w:id="1115"/>
      <w:bookmarkEnd w:id="1116"/>
      <w:bookmarkEnd w:id="1117"/>
      <w:r>
        <w:rPr>
          <w:rFonts w:hint="eastAsia" w:ascii="微软雅黑" w:hAnsi="微软雅黑" w:eastAsia="微软雅黑" w:cs="Times New Roman"/>
          <w:sz w:val="24"/>
          <w:szCs w:val="24"/>
        </w:rPr>
        <w:t>资质部分</w:t>
      </w:r>
      <w:bookmarkEnd w:id="1118"/>
    </w:p>
    <w:p w14:paraId="3CB16EE3">
      <w:pPr>
        <w:snapToGrid w:val="0"/>
        <w:spacing w:line="440" w:lineRule="exact"/>
        <w:rPr>
          <w:rFonts w:ascii="微软雅黑" w:hAnsi="微软雅黑" w:eastAsia="微软雅黑" w:cs="Times New Roman"/>
          <w:sz w:val="24"/>
          <w:szCs w:val="24"/>
        </w:rPr>
      </w:pPr>
      <w:bookmarkStart w:id="1119" w:name="_Toc313008358"/>
      <w:bookmarkStart w:id="1120" w:name="_Toc342913421"/>
      <w:bookmarkStart w:id="1121" w:name="_Toc313888362"/>
      <w:r>
        <w:rPr>
          <w:rFonts w:hint="eastAsia" w:ascii="微软雅黑" w:hAnsi="微软雅黑" w:eastAsia="微软雅黑" w:cs="Times New Roman"/>
          <w:sz w:val="24"/>
          <w:szCs w:val="24"/>
        </w:rPr>
        <w:t>1.提供有效的营业执照副本复印件</w:t>
      </w:r>
    </w:p>
    <w:p w14:paraId="475DDECB">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2.提供有效的税务登记证副本复印件</w:t>
      </w:r>
    </w:p>
    <w:p w14:paraId="7F05DC84">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3.提供有效的组织机构代码证复印件</w:t>
      </w:r>
    </w:p>
    <w:p w14:paraId="379D9A61">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或三合一</w:t>
      </w:r>
      <w:r>
        <w:rPr>
          <w:rFonts w:ascii="微软雅黑" w:hAnsi="微软雅黑" w:eastAsia="微软雅黑" w:cs="Times New Roman"/>
          <w:sz w:val="24"/>
          <w:szCs w:val="24"/>
        </w:rPr>
        <w:t>证书复印件</w:t>
      </w:r>
    </w:p>
    <w:p w14:paraId="1172AA8C">
      <w:pPr>
        <w:spacing w:line="48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4.特定资格条件证明材料</w:t>
      </w:r>
    </w:p>
    <w:p w14:paraId="399469F6">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5.法定代表人身份证明书（附格式）</w:t>
      </w:r>
    </w:p>
    <w:p w14:paraId="4B704578">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6.法定代表人授权委托书（附格式）</w:t>
      </w:r>
    </w:p>
    <w:p w14:paraId="4394CFC6">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7.诚信声明（附格式）</w:t>
      </w:r>
    </w:p>
    <w:p w14:paraId="31F5021A">
      <w:pPr>
        <w:widowControl/>
        <w:jc w:val="left"/>
        <w:rPr>
          <w:rFonts w:ascii="微软雅黑" w:hAnsi="微软雅黑" w:eastAsia="微软雅黑" w:cs="Times New Roman"/>
          <w:sz w:val="24"/>
          <w:szCs w:val="24"/>
        </w:rPr>
      </w:pPr>
      <w:r>
        <w:rPr>
          <w:rFonts w:ascii="微软雅黑" w:hAnsi="微软雅黑" w:eastAsia="微软雅黑" w:cs="Times New Roman"/>
          <w:sz w:val="24"/>
          <w:szCs w:val="24"/>
        </w:rPr>
        <w:br w:type="page"/>
      </w:r>
    </w:p>
    <w:p w14:paraId="39DF902C">
      <w:pPr>
        <w:snapToGrid w:val="0"/>
        <w:spacing w:line="440" w:lineRule="exact"/>
        <w:rPr>
          <w:rFonts w:ascii="微软雅黑" w:hAnsi="微软雅黑" w:eastAsia="微软雅黑" w:cs="Times New Roman"/>
          <w:sz w:val="24"/>
          <w:szCs w:val="24"/>
        </w:rPr>
      </w:pPr>
    </w:p>
    <w:p w14:paraId="1E571736">
      <w:pPr>
        <w:pStyle w:val="4"/>
        <w:rPr>
          <w:rFonts w:ascii="微软雅黑" w:hAnsi="微软雅黑" w:eastAsia="微软雅黑" w:cs="Times New Roman"/>
          <w:b w:val="0"/>
          <w:sz w:val="28"/>
          <w:szCs w:val="28"/>
        </w:rPr>
      </w:pPr>
      <w:bookmarkStart w:id="1122" w:name="_Toc21959740"/>
      <w:r>
        <w:rPr>
          <w:rFonts w:hint="eastAsia" w:ascii="微软雅黑" w:hAnsi="微软雅黑" w:eastAsia="微软雅黑" w:cs="Times New Roman"/>
          <w:sz w:val="28"/>
          <w:szCs w:val="28"/>
        </w:rPr>
        <w:t>法定代表人身份证明书（格式）</w:t>
      </w:r>
      <w:bookmarkEnd w:id="1122"/>
    </w:p>
    <w:p w14:paraId="6371CD85">
      <w:pPr>
        <w:tabs>
          <w:tab w:val="left" w:pos="6300"/>
        </w:tabs>
        <w:snapToGrid w:val="0"/>
        <w:spacing w:line="360" w:lineRule="auto"/>
        <w:rPr>
          <w:rFonts w:ascii="微软雅黑" w:hAnsi="微软雅黑" w:eastAsia="微软雅黑" w:cs="Times New Roman"/>
          <w:sz w:val="24"/>
          <w:szCs w:val="24"/>
        </w:rPr>
      </w:pPr>
    </w:p>
    <w:p w14:paraId="4AD4D230">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u w:val="single"/>
        </w:rPr>
        <w:t xml:space="preserve">        </w:t>
      </w:r>
      <w:r>
        <w:rPr>
          <w:rFonts w:hint="eastAsia" w:ascii="微软雅黑" w:hAnsi="微软雅黑" w:eastAsia="微软雅黑" w:cs="Times New Roman"/>
          <w:sz w:val="24"/>
          <w:szCs w:val="24"/>
        </w:rPr>
        <w:t>（法定代表人姓名）在</w:t>
      </w:r>
      <w:r>
        <w:rPr>
          <w:rFonts w:hint="eastAsia" w:ascii="微软雅黑" w:hAnsi="微软雅黑" w:eastAsia="微软雅黑" w:cs="Times New Roman"/>
          <w:sz w:val="24"/>
          <w:szCs w:val="24"/>
          <w:u w:val="single"/>
        </w:rPr>
        <w:t xml:space="preserve">             </w:t>
      </w:r>
      <w:r>
        <w:rPr>
          <w:rFonts w:hint="eastAsia" w:ascii="微软雅黑" w:hAnsi="微软雅黑" w:eastAsia="微软雅黑" w:cs="Times New Roman"/>
          <w:sz w:val="24"/>
          <w:szCs w:val="24"/>
        </w:rPr>
        <w:t>（投标人名称）任</w:t>
      </w:r>
      <w:r>
        <w:rPr>
          <w:rFonts w:hint="eastAsia" w:ascii="微软雅黑" w:hAnsi="微软雅黑" w:eastAsia="微软雅黑" w:cs="Times New Roman"/>
          <w:sz w:val="24"/>
          <w:szCs w:val="24"/>
          <w:u w:val="single"/>
        </w:rPr>
        <w:t xml:space="preserve">    </w:t>
      </w:r>
      <w:r>
        <w:rPr>
          <w:rFonts w:hint="eastAsia" w:ascii="微软雅黑" w:hAnsi="微软雅黑" w:eastAsia="微软雅黑" w:cs="Times New Roman"/>
          <w:sz w:val="24"/>
          <w:szCs w:val="24"/>
        </w:rPr>
        <w:t>（职务名称）职务，是__________________（竞争人名称）的法定代表人。</w:t>
      </w:r>
    </w:p>
    <w:p w14:paraId="24B9C652">
      <w:pPr>
        <w:tabs>
          <w:tab w:val="left" w:pos="6300"/>
        </w:tabs>
        <w:snapToGrid w:val="0"/>
        <w:spacing w:line="360" w:lineRule="auto"/>
        <w:rPr>
          <w:rFonts w:ascii="微软雅黑" w:hAnsi="微软雅黑" w:eastAsia="微软雅黑" w:cs="Times New Roman"/>
          <w:sz w:val="24"/>
          <w:szCs w:val="24"/>
        </w:rPr>
      </w:pPr>
    </w:p>
    <w:p w14:paraId="335799B8">
      <w:pPr>
        <w:rPr>
          <w:rFonts w:ascii="微软雅黑" w:hAnsi="微软雅黑" w:eastAsia="微软雅黑" w:cs="Times New Roman"/>
          <w:sz w:val="24"/>
          <w:szCs w:val="24"/>
        </w:rPr>
      </w:pPr>
      <w:r>
        <w:rPr>
          <w:rFonts w:hint="eastAsia" w:ascii="微软雅黑" w:hAnsi="微软雅黑" w:eastAsia="微软雅黑" w:cs="Times New Roman"/>
          <w:sz w:val="24"/>
          <w:szCs w:val="24"/>
        </w:rPr>
        <w:t>特此证明。</w:t>
      </w:r>
    </w:p>
    <w:p w14:paraId="7907F628">
      <w:pPr>
        <w:tabs>
          <w:tab w:val="left" w:pos="6300"/>
        </w:tabs>
        <w:snapToGrid w:val="0"/>
        <w:spacing w:line="360" w:lineRule="auto"/>
        <w:rPr>
          <w:rFonts w:ascii="微软雅黑" w:hAnsi="微软雅黑" w:eastAsia="微软雅黑" w:cs="Times New Roman"/>
          <w:sz w:val="24"/>
          <w:szCs w:val="24"/>
        </w:rPr>
      </w:pPr>
    </w:p>
    <w:p w14:paraId="5A4C933B">
      <w:pPr>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（投标人全称）</w:t>
      </w:r>
    </w:p>
    <w:p w14:paraId="4607522C">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年   月   日</w:t>
      </w:r>
    </w:p>
    <w:p w14:paraId="25731656">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（公章）</w:t>
      </w:r>
    </w:p>
    <w:p w14:paraId="41A1CF10">
      <w:pPr>
        <w:tabs>
          <w:tab w:val="left" w:pos="6300"/>
        </w:tabs>
        <w:snapToGrid w:val="0"/>
        <w:spacing w:line="360" w:lineRule="auto"/>
        <w:rPr>
          <w:rFonts w:ascii="微软雅黑" w:hAnsi="微软雅黑" w:eastAsia="微软雅黑" w:cs="Times New Roman"/>
          <w:sz w:val="24"/>
          <w:szCs w:val="24"/>
        </w:rPr>
      </w:pPr>
    </w:p>
    <w:p w14:paraId="74CFD9B3">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附：上述法定代表人住址：</w:t>
      </w:r>
    </w:p>
    <w:p w14:paraId="05EC8922">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身份证号码：</w:t>
      </w:r>
    </w:p>
    <w:p w14:paraId="7FABF97C">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电    传：</w:t>
      </w:r>
    </w:p>
    <w:p w14:paraId="4C3DAC0A">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网    址：</w:t>
      </w:r>
    </w:p>
    <w:p w14:paraId="7BF2BB2A">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邮政编码：</w:t>
      </w:r>
    </w:p>
    <w:p w14:paraId="679B57A1">
      <w:pPr>
        <w:tabs>
          <w:tab w:val="left" w:pos="6300"/>
        </w:tabs>
        <w:snapToGrid w:val="0"/>
        <w:spacing w:line="500" w:lineRule="exact"/>
        <w:rPr>
          <w:rFonts w:ascii="微软雅黑" w:hAnsi="微软雅黑" w:eastAsia="微软雅黑" w:cs="Times New Roman"/>
          <w:sz w:val="24"/>
          <w:szCs w:val="28"/>
        </w:rPr>
      </w:pPr>
      <w:r>
        <w:rPr>
          <w:rFonts w:hint="eastAsia" w:ascii="微软雅黑" w:hAnsi="微软雅黑" w:eastAsia="微软雅黑" w:cs="Times New Roman"/>
          <w:sz w:val="24"/>
          <w:szCs w:val="28"/>
        </w:rPr>
        <w:t>（附：法定代表人身份证复印件）</w:t>
      </w:r>
    </w:p>
    <w:p w14:paraId="4CD6DD0C">
      <w:pPr>
        <w:widowControl/>
        <w:jc w:val="left"/>
        <w:rPr>
          <w:rFonts w:ascii="微软雅黑" w:hAnsi="微软雅黑" w:eastAsia="微软雅黑" w:cs="Times New Roman"/>
          <w:sz w:val="24"/>
          <w:szCs w:val="24"/>
        </w:rPr>
      </w:pPr>
      <w:r>
        <w:rPr>
          <w:rFonts w:ascii="微软雅黑" w:hAnsi="微软雅黑" w:eastAsia="微软雅黑" w:cs="Times New Roman"/>
          <w:sz w:val="24"/>
          <w:szCs w:val="24"/>
        </w:rPr>
        <w:br w:type="page"/>
      </w:r>
    </w:p>
    <w:p w14:paraId="54E76351">
      <w:pPr>
        <w:tabs>
          <w:tab w:val="left" w:pos="6300"/>
        </w:tabs>
        <w:snapToGrid w:val="0"/>
        <w:spacing w:line="360" w:lineRule="auto"/>
        <w:rPr>
          <w:rFonts w:ascii="微软雅黑" w:hAnsi="微软雅黑" w:eastAsia="微软雅黑" w:cs="Times New Roman"/>
          <w:sz w:val="24"/>
          <w:szCs w:val="24"/>
        </w:rPr>
      </w:pPr>
    </w:p>
    <w:p w14:paraId="0B205CDF">
      <w:pPr>
        <w:pStyle w:val="4"/>
        <w:rPr>
          <w:rFonts w:ascii="微软雅黑" w:hAnsi="微软雅黑" w:eastAsia="微软雅黑" w:cs="Times New Roman"/>
          <w:b w:val="0"/>
          <w:sz w:val="28"/>
          <w:szCs w:val="28"/>
        </w:rPr>
      </w:pPr>
      <w:bookmarkStart w:id="1123" w:name="_Toc21959741"/>
      <w:r>
        <w:rPr>
          <w:rFonts w:hint="eastAsia" w:ascii="微软雅黑" w:hAnsi="微软雅黑" w:eastAsia="微软雅黑" w:cs="Times New Roman"/>
          <w:sz w:val="28"/>
          <w:szCs w:val="28"/>
        </w:rPr>
        <w:t>法定代表人授权委托书（格式）</w:t>
      </w:r>
      <w:bookmarkEnd w:id="1123"/>
    </w:p>
    <w:p w14:paraId="02BC1548">
      <w:pPr>
        <w:tabs>
          <w:tab w:val="left" w:pos="6300"/>
        </w:tabs>
        <w:snapToGrid w:val="0"/>
        <w:spacing w:line="360" w:lineRule="auto"/>
        <w:rPr>
          <w:rFonts w:ascii="微软雅黑" w:hAnsi="微软雅黑" w:eastAsia="微软雅黑" w:cs="Times New Roman"/>
          <w:sz w:val="24"/>
          <w:szCs w:val="24"/>
        </w:rPr>
      </w:pPr>
    </w:p>
    <w:p w14:paraId="1DF5843A">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项目名称：_______________</w:t>
      </w:r>
    </w:p>
    <w:p w14:paraId="3DE5EFFB">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日    期：_______________</w:t>
      </w:r>
    </w:p>
    <w:p w14:paraId="4C9EA260">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致：</w:t>
      </w:r>
      <w:r>
        <w:rPr>
          <w:rFonts w:hint="eastAsia" w:ascii="微软雅黑" w:hAnsi="微软雅黑" w:eastAsia="微软雅黑" w:cs="Times New Roman"/>
          <w:sz w:val="24"/>
          <w:szCs w:val="24"/>
          <w:u w:val="single"/>
        </w:rPr>
        <w:t>重庆市射击运动学校</w:t>
      </w:r>
    </w:p>
    <w:p w14:paraId="526AD334">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_____________________（投标人名称）是中华人民共和国合法企业，法定地址______________________________。</w:t>
      </w:r>
    </w:p>
    <w:p w14:paraId="3C44A0CD">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_________（投标人法定代表人姓名）特授权_________（被授权人姓名及身份证代码）代表我单位全权办理对上述项目的谈判、签约等具体工作，并签署全部有关的文件、协议及合同。</w:t>
      </w:r>
    </w:p>
    <w:p w14:paraId="7DBFB7D6">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我单位对被授权人的签字负全部责任。</w:t>
      </w:r>
    </w:p>
    <w:p w14:paraId="62A2EA54">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在撤消授权的书面通知以前，本授权书一直有效。被授权人签署的所有文件（在授权书有效期内签署的）不因授权的撤消而失效。</w:t>
      </w:r>
    </w:p>
    <w:p w14:paraId="623D622B">
      <w:pPr>
        <w:tabs>
          <w:tab w:val="left" w:pos="6300"/>
        </w:tabs>
        <w:snapToGrid w:val="0"/>
        <w:spacing w:line="360" w:lineRule="auto"/>
        <w:rPr>
          <w:rFonts w:ascii="微软雅黑" w:hAnsi="微软雅黑" w:eastAsia="微软雅黑" w:cs="Times New Roman"/>
          <w:sz w:val="24"/>
          <w:szCs w:val="24"/>
        </w:rPr>
      </w:pPr>
    </w:p>
    <w:p w14:paraId="5E8932D1">
      <w:pPr>
        <w:tabs>
          <w:tab w:val="left" w:pos="6300"/>
        </w:tabs>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被授权人</w:t>
      </w:r>
      <w:r>
        <w:rPr>
          <w:rFonts w:hint="eastAsia" w:ascii="微软雅黑" w:hAnsi="微软雅黑" w:eastAsia="微软雅黑" w:cs="Times New Roman"/>
          <w:sz w:val="24"/>
          <w:szCs w:val="28"/>
        </w:rPr>
        <w:t>（签字）</w:t>
      </w:r>
      <w:r>
        <w:rPr>
          <w:rFonts w:hint="eastAsia" w:ascii="微软雅黑" w:hAnsi="微软雅黑" w:eastAsia="微软雅黑" w:cs="Times New Roman"/>
          <w:sz w:val="24"/>
          <w:szCs w:val="24"/>
        </w:rPr>
        <w:t>：                            法定代表人</w:t>
      </w:r>
      <w:r>
        <w:rPr>
          <w:rFonts w:hint="eastAsia" w:ascii="微软雅黑" w:hAnsi="微软雅黑" w:eastAsia="微软雅黑" w:cs="Times New Roman"/>
          <w:sz w:val="24"/>
          <w:szCs w:val="28"/>
        </w:rPr>
        <w:t>（签字）</w:t>
      </w:r>
      <w:r>
        <w:rPr>
          <w:rFonts w:hint="eastAsia" w:ascii="微软雅黑" w:hAnsi="微软雅黑" w:eastAsia="微软雅黑" w:cs="Times New Roman"/>
          <w:sz w:val="24"/>
          <w:szCs w:val="24"/>
        </w:rPr>
        <w:t>：</w:t>
      </w:r>
    </w:p>
    <w:p w14:paraId="798B9A25">
      <w:pPr>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（投标人公章）</w:t>
      </w:r>
    </w:p>
    <w:p w14:paraId="57946340">
      <w:pPr>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8"/>
        </w:rPr>
        <w:t xml:space="preserve">                                                 年   月   日</w:t>
      </w:r>
    </w:p>
    <w:p w14:paraId="16046B04">
      <w:pPr>
        <w:tabs>
          <w:tab w:val="left" w:pos="6300"/>
        </w:tabs>
        <w:snapToGrid w:val="0"/>
        <w:spacing w:line="500" w:lineRule="exact"/>
        <w:rPr>
          <w:rFonts w:ascii="微软雅黑" w:hAnsi="微软雅黑" w:eastAsia="微软雅黑" w:cs="Times New Roman"/>
          <w:sz w:val="24"/>
          <w:szCs w:val="28"/>
        </w:rPr>
      </w:pPr>
    </w:p>
    <w:p w14:paraId="28725B81">
      <w:pPr>
        <w:tabs>
          <w:tab w:val="left" w:pos="6300"/>
        </w:tabs>
        <w:snapToGrid w:val="0"/>
        <w:spacing w:line="500" w:lineRule="exact"/>
        <w:rPr>
          <w:rFonts w:ascii="微软雅黑" w:hAnsi="微软雅黑" w:eastAsia="微软雅黑" w:cs="Times New Roman"/>
          <w:sz w:val="28"/>
          <w:szCs w:val="28"/>
        </w:rPr>
      </w:pPr>
      <w:r>
        <w:rPr>
          <w:rFonts w:hint="eastAsia" w:ascii="微软雅黑" w:hAnsi="微软雅黑" w:eastAsia="微软雅黑" w:cs="Times New Roman"/>
          <w:sz w:val="28"/>
          <w:szCs w:val="28"/>
        </w:rPr>
        <w:t>附：被授权人身份证复印件</w:t>
      </w:r>
    </w:p>
    <w:p w14:paraId="693D854C">
      <w:pPr>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 xml:space="preserve">                       </w:t>
      </w:r>
      <w:r>
        <w:rPr>
          <w:rFonts w:hint="eastAsia" w:ascii="微软雅黑" w:hAnsi="微软雅黑" w:eastAsia="微软雅黑" w:cs="Times New Roman"/>
          <w:sz w:val="24"/>
          <w:szCs w:val="24"/>
        </w:rPr>
        <w:br w:type="page"/>
      </w:r>
    </w:p>
    <w:p w14:paraId="65243E9E">
      <w:pPr>
        <w:tabs>
          <w:tab w:val="left" w:pos="6300"/>
        </w:tabs>
        <w:snapToGrid w:val="0"/>
        <w:spacing w:line="500" w:lineRule="exact"/>
        <w:jc w:val="center"/>
        <w:rPr>
          <w:rFonts w:ascii="微软雅黑" w:hAnsi="微软雅黑" w:eastAsia="微软雅黑" w:cs="Times New Roman"/>
          <w:sz w:val="28"/>
          <w:szCs w:val="28"/>
        </w:rPr>
      </w:pPr>
      <w:r>
        <w:rPr>
          <w:rFonts w:hint="eastAsia" w:ascii="微软雅黑" w:hAnsi="微软雅黑" w:eastAsia="微软雅黑" w:cs="Times New Roman"/>
          <w:sz w:val="28"/>
          <w:szCs w:val="28"/>
        </w:rPr>
        <w:t>诚信声明（格式）</w:t>
      </w:r>
    </w:p>
    <w:p w14:paraId="43BF8A5B">
      <w:pPr>
        <w:tabs>
          <w:tab w:val="left" w:pos="6300"/>
        </w:tabs>
        <w:snapToGrid w:val="0"/>
        <w:spacing w:line="500" w:lineRule="exact"/>
        <w:jc w:val="center"/>
        <w:rPr>
          <w:rFonts w:ascii="微软雅黑" w:hAnsi="微软雅黑" w:eastAsia="微软雅黑" w:cs="Times New Roman"/>
          <w:sz w:val="24"/>
          <w:szCs w:val="28"/>
        </w:rPr>
      </w:pPr>
    </w:p>
    <w:p w14:paraId="7A29C826">
      <w:pPr>
        <w:tabs>
          <w:tab w:val="left" w:pos="6300"/>
        </w:tabs>
        <w:snapToGrid w:val="0"/>
        <w:spacing w:line="500" w:lineRule="exact"/>
        <w:rPr>
          <w:rFonts w:ascii="微软雅黑" w:hAnsi="微软雅黑" w:eastAsia="微软雅黑" w:cs="Times New Roman"/>
          <w:sz w:val="24"/>
          <w:szCs w:val="28"/>
          <w:u w:val="single"/>
        </w:rPr>
      </w:pPr>
      <w:r>
        <w:rPr>
          <w:rFonts w:hint="eastAsia" w:ascii="微软雅黑" w:hAnsi="微软雅黑" w:eastAsia="微软雅黑" w:cs="Times New Roman"/>
          <w:sz w:val="24"/>
          <w:szCs w:val="28"/>
        </w:rPr>
        <w:t>采购项目名称：</w:t>
      </w:r>
      <w:r>
        <w:rPr>
          <w:rFonts w:hint="eastAsia" w:ascii="微软雅黑" w:hAnsi="微软雅黑" w:eastAsia="微软雅黑" w:cs="Times New Roman"/>
          <w:sz w:val="24"/>
          <w:szCs w:val="28"/>
          <w:u w:val="single"/>
        </w:rPr>
        <w:t xml:space="preserve">                                                </w:t>
      </w:r>
    </w:p>
    <w:p w14:paraId="202486EE">
      <w:pPr>
        <w:tabs>
          <w:tab w:val="left" w:pos="6300"/>
        </w:tabs>
        <w:snapToGrid w:val="0"/>
        <w:spacing w:line="500" w:lineRule="exact"/>
        <w:rPr>
          <w:rFonts w:ascii="微软雅黑" w:hAnsi="微软雅黑" w:eastAsia="微软雅黑" w:cs="Times New Roman"/>
          <w:sz w:val="24"/>
          <w:szCs w:val="28"/>
        </w:rPr>
      </w:pPr>
    </w:p>
    <w:p w14:paraId="44786EC9">
      <w:pPr>
        <w:tabs>
          <w:tab w:val="left" w:pos="6300"/>
        </w:tabs>
        <w:snapToGrid w:val="0"/>
        <w:spacing w:line="500" w:lineRule="exact"/>
        <w:rPr>
          <w:rFonts w:ascii="微软雅黑" w:hAnsi="微软雅黑" w:eastAsia="微软雅黑" w:cs="Times New Roman"/>
          <w:sz w:val="24"/>
          <w:szCs w:val="28"/>
        </w:rPr>
      </w:pPr>
      <w:r>
        <w:rPr>
          <w:rFonts w:hint="eastAsia" w:ascii="微软雅黑" w:hAnsi="微软雅黑" w:eastAsia="微软雅黑" w:cs="Times New Roman"/>
          <w:sz w:val="24"/>
          <w:szCs w:val="28"/>
        </w:rPr>
        <w:t>致：</w:t>
      </w:r>
      <w:r>
        <w:rPr>
          <w:rFonts w:hint="eastAsia" w:ascii="微软雅黑" w:hAnsi="微软雅黑" w:eastAsia="微软雅黑" w:cs="Times New Roman"/>
          <w:sz w:val="24"/>
          <w:szCs w:val="28"/>
          <w:u w:val="single"/>
        </w:rPr>
        <w:t xml:space="preserve">                   </w:t>
      </w:r>
      <w:r>
        <w:rPr>
          <w:rFonts w:hint="eastAsia" w:ascii="微软雅黑" w:hAnsi="微软雅黑" w:eastAsia="微软雅黑" w:cs="Times New Roman"/>
          <w:sz w:val="24"/>
          <w:szCs w:val="28"/>
        </w:rPr>
        <w:t>（采购代理机构名称）：</w:t>
      </w:r>
    </w:p>
    <w:p w14:paraId="51D3C5D7">
      <w:pPr>
        <w:spacing w:line="440" w:lineRule="exact"/>
        <w:rPr>
          <w:rFonts w:ascii="微软雅黑" w:hAnsi="微软雅黑" w:eastAsia="微软雅黑" w:cs="Times New Roman"/>
          <w:sz w:val="24"/>
          <w:szCs w:val="28"/>
        </w:rPr>
      </w:pPr>
      <w:r>
        <w:rPr>
          <w:rFonts w:hint="eastAsia" w:ascii="微软雅黑" w:hAnsi="微软雅黑" w:eastAsia="微软雅黑" w:cs="Times New Roman"/>
          <w:sz w:val="24"/>
          <w:szCs w:val="28"/>
          <w:u w:val="single"/>
        </w:rPr>
        <w:t xml:space="preserve">                       </w:t>
      </w:r>
      <w:r>
        <w:rPr>
          <w:rFonts w:hint="eastAsia" w:ascii="微软雅黑" w:hAnsi="微软雅黑" w:eastAsia="微软雅黑" w:cs="Times New Roman"/>
          <w:sz w:val="24"/>
          <w:szCs w:val="28"/>
        </w:rPr>
        <w:t>（投标人名称）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3年无重大违法活动记录，符合《政府采购法》规定的投标人资格条件。我方对以上声明负全部法律责任。</w:t>
      </w:r>
    </w:p>
    <w:p w14:paraId="76895046">
      <w:pPr>
        <w:tabs>
          <w:tab w:val="left" w:pos="6300"/>
        </w:tabs>
        <w:snapToGrid w:val="0"/>
        <w:spacing w:line="500" w:lineRule="exact"/>
        <w:rPr>
          <w:rFonts w:ascii="微软雅黑" w:hAnsi="微软雅黑" w:eastAsia="微软雅黑" w:cs="Times New Roman"/>
          <w:sz w:val="24"/>
          <w:szCs w:val="28"/>
        </w:rPr>
      </w:pPr>
      <w:r>
        <w:rPr>
          <w:rFonts w:hint="eastAsia" w:ascii="微软雅黑" w:hAnsi="微软雅黑" w:eastAsia="微软雅黑" w:cs="Times New Roman"/>
          <w:sz w:val="24"/>
          <w:szCs w:val="28"/>
        </w:rPr>
        <w:t xml:space="preserve">    特此声明。</w:t>
      </w:r>
    </w:p>
    <w:p w14:paraId="7FC54FF0">
      <w:pPr>
        <w:tabs>
          <w:tab w:val="left" w:pos="6300"/>
        </w:tabs>
        <w:snapToGrid w:val="0"/>
        <w:spacing w:line="500" w:lineRule="exact"/>
        <w:jc w:val="center"/>
        <w:rPr>
          <w:rFonts w:ascii="微软雅黑" w:hAnsi="微软雅黑" w:eastAsia="微软雅黑" w:cs="Times New Roman"/>
          <w:sz w:val="24"/>
          <w:szCs w:val="28"/>
        </w:rPr>
      </w:pPr>
    </w:p>
    <w:p w14:paraId="70E69C79">
      <w:pPr>
        <w:tabs>
          <w:tab w:val="left" w:pos="6300"/>
        </w:tabs>
        <w:snapToGrid w:val="0"/>
        <w:spacing w:line="500" w:lineRule="exact"/>
        <w:rPr>
          <w:rFonts w:ascii="微软雅黑" w:hAnsi="微软雅黑" w:eastAsia="微软雅黑" w:cs="Times New Roman"/>
          <w:sz w:val="24"/>
          <w:szCs w:val="28"/>
        </w:rPr>
      </w:pPr>
      <w:r>
        <w:rPr>
          <w:rFonts w:hint="eastAsia" w:ascii="微软雅黑" w:hAnsi="微软雅黑" w:eastAsia="微软雅黑" w:cs="Times New Roman"/>
          <w:sz w:val="24"/>
          <w:szCs w:val="28"/>
        </w:rPr>
        <w:t xml:space="preserve">                    （投标人公章）</w:t>
      </w:r>
    </w:p>
    <w:p w14:paraId="7F5B0303">
      <w:pPr>
        <w:tabs>
          <w:tab w:val="left" w:pos="6300"/>
        </w:tabs>
        <w:snapToGrid w:val="0"/>
        <w:spacing w:line="360" w:lineRule="auto"/>
        <w:ind w:right="360"/>
        <w:jc w:val="right"/>
        <w:rPr>
          <w:rFonts w:ascii="微软雅黑" w:hAnsi="微软雅黑" w:eastAsia="微软雅黑" w:cs="Times New Roman"/>
          <w:sz w:val="24"/>
          <w:szCs w:val="28"/>
        </w:rPr>
      </w:pPr>
    </w:p>
    <w:p w14:paraId="782127BF">
      <w:pPr>
        <w:tabs>
          <w:tab w:val="left" w:pos="6300"/>
        </w:tabs>
        <w:snapToGrid w:val="0"/>
        <w:spacing w:line="360" w:lineRule="auto"/>
        <w:ind w:right="360"/>
        <w:rPr>
          <w:rFonts w:ascii="微软雅黑" w:hAnsi="微软雅黑" w:eastAsia="微软雅黑" w:cs="Times New Roman"/>
          <w:sz w:val="24"/>
          <w:szCs w:val="28"/>
        </w:rPr>
      </w:pPr>
      <w:r>
        <w:rPr>
          <w:rFonts w:hint="eastAsia" w:ascii="微软雅黑" w:hAnsi="微软雅黑" w:eastAsia="微软雅黑" w:cs="Times New Roman"/>
          <w:sz w:val="24"/>
          <w:szCs w:val="28"/>
        </w:rPr>
        <w:t xml:space="preserve">                年   月   日</w:t>
      </w:r>
    </w:p>
    <w:p w14:paraId="03012E8A">
      <w:pPr>
        <w:spacing w:line="480" w:lineRule="exact"/>
        <w:rPr>
          <w:rFonts w:ascii="微软雅黑" w:hAnsi="微软雅黑" w:eastAsia="微软雅黑"/>
          <w:sz w:val="24"/>
        </w:rPr>
      </w:pPr>
    </w:p>
    <w:p w14:paraId="5F3B330A">
      <w:pPr>
        <w:spacing w:line="480" w:lineRule="exact"/>
        <w:rPr>
          <w:rFonts w:ascii="微软雅黑" w:hAnsi="微软雅黑" w:eastAsia="微软雅黑" w:cs="Times New Roman"/>
          <w:sz w:val="24"/>
          <w:szCs w:val="24"/>
        </w:rPr>
      </w:pPr>
    </w:p>
    <w:p w14:paraId="4AD9F027">
      <w:pPr>
        <w:tabs>
          <w:tab w:val="left" w:pos="6300"/>
        </w:tabs>
        <w:snapToGrid w:val="0"/>
        <w:spacing w:line="500" w:lineRule="exact"/>
        <w:rPr>
          <w:rFonts w:ascii="微软雅黑" w:hAnsi="微软雅黑" w:eastAsia="微软雅黑" w:cs="Times New Roman"/>
          <w:sz w:val="28"/>
          <w:szCs w:val="24"/>
        </w:rPr>
      </w:pPr>
      <w:r>
        <w:rPr>
          <w:rFonts w:ascii="微软雅黑" w:hAnsi="微软雅黑" w:eastAsia="微软雅黑" w:cs="Times New Roman"/>
          <w:sz w:val="28"/>
          <w:szCs w:val="24"/>
        </w:rPr>
        <w:br w:type="page"/>
      </w:r>
    </w:p>
    <w:p w14:paraId="7BD31FD4">
      <w:pPr>
        <w:pStyle w:val="3"/>
        <w:rPr>
          <w:rFonts w:ascii="微软雅黑" w:hAnsi="微软雅黑" w:eastAsia="微软雅黑" w:cs="Times New Roman"/>
          <w:sz w:val="28"/>
          <w:szCs w:val="24"/>
        </w:rPr>
      </w:pPr>
      <w:bookmarkStart w:id="1124" w:name="_Toc21959742"/>
      <w:r>
        <w:rPr>
          <w:rFonts w:hint="eastAsia" w:ascii="微软雅黑" w:hAnsi="微软雅黑" w:eastAsia="微软雅黑" w:cs="Times New Roman"/>
          <w:sz w:val="28"/>
          <w:szCs w:val="24"/>
        </w:rPr>
        <w:t>三</w:t>
      </w:r>
      <w:r>
        <w:rPr>
          <w:rFonts w:ascii="微软雅黑" w:hAnsi="微软雅黑" w:eastAsia="微软雅黑" w:cs="Times New Roman"/>
          <w:sz w:val="28"/>
          <w:szCs w:val="24"/>
        </w:rPr>
        <w:t>、</w:t>
      </w:r>
      <w:r>
        <w:rPr>
          <w:rFonts w:hint="eastAsia" w:ascii="微软雅黑" w:hAnsi="微软雅黑" w:eastAsia="微软雅黑" w:cs="Times New Roman"/>
          <w:sz w:val="28"/>
          <w:szCs w:val="24"/>
        </w:rPr>
        <w:t>技术文件及商务文件</w:t>
      </w:r>
      <w:bookmarkEnd w:id="1124"/>
    </w:p>
    <w:p w14:paraId="5A5399ED">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（一）产品</w:t>
      </w:r>
      <w:r>
        <w:rPr>
          <w:rFonts w:ascii="微软雅黑" w:hAnsi="微软雅黑" w:eastAsia="微软雅黑" w:cs="Times New Roman"/>
          <w:sz w:val="24"/>
          <w:szCs w:val="24"/>
        </w:rPr>
        <w:t>参数详细说明</w:t>
      </w:r>
    </w:p>
    <w:p w14:paraId="74C6E982">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（二）技术</w:t>
      </w:r>
      <w:r>
        <w:rPr>
          <w:rFonts w:ascii="微软雅黑" w:hAnsi="微软雅黑" w:eastAsia="微软雅黑" w:cs="Times New Roman"/>
          <w:sz w:val="24"/>
          <w:szCs w:val="24"/>
        </w:rPr>
        <w:t>差异表（</w:t>
      </w:r>
      <w:r>
        <w:rPr>
          <w:rFonts w:hint="eastAsia" w:ascii="微软雅黑" w:hAnsi="微软雅黑" w:eastAsia="微软雅黑" w:cs="Times New Roman"/>
          <w:sz w:val="24"/>
          <w:szCs w:val="24"/>
        </w:rPr>
        <w:t>附</w:t>
      </w:r>
      <w:r>
        <w:rPr>
          <w:rFonts w:ascii="微软雅黑" w:hAnsi="微软雅黑" w:eastAsia="微软雅黑" w:cs="Times New Roman"/>
          <w:sz w:val="24"/>
          <w:szCs w:val="24"/>
        </w:rPr>
        <w:t>格式）</w:t>
      </w:r>
    </w:p>
    <w:p w14:paraId="52060F64">
      <w:pPr>
        <w:rPr>
          <w:rFonts w:ascii="微软雅黑" w:hAnsi="微软雅黑" w:eastAsia="微软雅黑"/>
        </w:rPr>
      </w:pPr>
      <w:r>
        <w:rPr>
          <w:rFonts w:hint="eastAsia" w:ascii="微软雅黑" w:hAnsi="微软雅黑" w:eastAsia="微软雅黑"/>
        </w:rPr>
        <w:t>技术差异表</w:t>
      </w:r>
    </w:p>
    <w:p w14:paraId="184DFAFA">
      <w:pPr>
        <w:rPr>
          <w:rFonts w:ascii="微软雅黑" w:hAnsi="微软雅黑" w:eastAsia="微软雅黑"/>
          <w:kern w:val="0"/>
          <w:sz w:val="24"/>
        </w:rPr>
      </w:pPr>
      <w:r>
        <w:rPr>
          <w:rFonts w:hint="eastAsia" w:ascii="微软雅黑" w:hAnsi="微软雅黑" w:eastAsia="微软雅黑"/>
          <w:kern w:val="0"/>
          <w:sz w:val="24"/>
          <w:szCs w:val="28"/>
        </w:rPr>
        <w:t>项目名称</w:t>
      </w:r>
      <w:r>
        <w:rPr>
          <w:rFonts w:hint="eastAsia" w:ascii="微软雅黑" w:hAnsi="微软雅黑" w:eastAsia="微软雅黑"/>
          <w:kern w:val="0"/>
          <w:sz w:val="24"/>
        </w:rPr>
        <w:t>：</w:t>
      </w:r>
    </w:p>
    <w:tbl>
      <w:tblPr>
        <w:tblStyle w:val="53"/>
        <w:tblW w:w="78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9"/>
        <w:gridCol w:w="2428"/>
        <w:gridCol w:w="2520"/>
        <w:gridCol w:w="1888"/>
      </w:tblGrid>
      <w:tr w14:paraId="6834B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039" w:type="dxa"/>
            <w:vAlign w:val="center"/>
          </w:tcPr>
          <w:p w14:paraId="2D588876">
            <w:pPr>
              <w:tabs>
                <w:tab w:val="left" w:pos="6300"/>
              </w:tabs>
              <w:snapToGrid w:val="0"/>
              <w:spacing w:line="500" w:lineRule="exact"/>
              <w:jc w:val="center"/>
              <w:outlineLvl w:val="0"/>
              <w:rPr>
                <w:rFonts w:ascii="微软雅黑" w:hAnsi="微软雅黑" w:eastAsia="微软雅黑"/>
                <w:szCs w:val="21"/>
              </w:rPr>
            </w:pPr>
            <w:bookmarkStart w:id="1125" w:name="_Toc15576"/>
            <w:r>
              <w:rPr>
                <w:rFonts w:hint="eastAsia" w:ascii="微软雅黑" w:hAnsi="微软雅黑" w:eastAsia="微软雅黑"/>
                <w:szCs w:val="21"/>
              </w:rPr>
              <w:t>序号</w:t>
            </w:r>
            <w:bookmarkEnd w:id="1125"/>
          </w:p>
        </w:tc>
        <w:tc>
          <w:tcPr>
            <w:tcW w:w="2428" w:type="dxa"/>
            <w:vAlign w:val="center"/>
          </w:tcPr>
          <w:p w14:paraId="44EBE5E8">
            <w:pPr>
              <w:tabs>
                <w:tab w:val="left" w:pos="6300"/>
              </w:tabs>
              <w:snapToGrid w:val="0"/>
              <w:spacing w:line="500" w:lineRule="exact"/>
              <w:jc w:val="center"/>
              <w:outlineLvl w:val="0"/>
              <w:rPr>
                <w:rFonts w:ascii="微软雅黑" w:hAnsi="微软雅黑" w:eastAsia="微软雅黑"/>
                <w:szCs w:val="21"/>
              </w:rPr>
            </w:pPr>
            <w:bookmarkStart w:id="1126" w:name="_Toc22588"/>
            <w:r>
              <w:rPr>
                <w:rFonts w:hint="eastAsia" w:ascii="微软雅黑" w:hAnsi="微软雅黑" w:eastAsia="微软雅黑"/>
                <w:szCs w:val="21"/>
              </w:rPr>
              <w:t>谈判文件技术参数</w:t>
            </w:r>
            <w:bookmarkEnd w:id="1126"/>
          </w:p>
        </w:tc>
        <w:tc>
          <w:tcPr>
            <w:tcW w:w="2520" w:type="dxa"/>
            <w:vAlign w:val="center"/>
          </w:tcPr>
          <w:p w14:paraId="44471F92">
            <w:pPr>
              <w:tabs>
                <w:tab w:val="left" w:pos="6300"/>
              </w:tabs>
              <w:snapToGrid w:val="0"/>
              <w:spacing w:line="500" w:lineRule="exact"/>
              <w:jc w:val="center"/>
              <w:outlineLvl w:val="0"/>
              <w:rPr>
                <w:rFonts w:ascii="微软雅黑" w:hAnsi="微软雅黑" w:eastAsia="微软雅黑"/>
                <w:szCs w:val="21"/>
              </w:rPr>
            </w:pPr>
            <w:bookmarkStart w:id="1127" w:name="_Toc15108"/>
            <w:r>
              <w:rPr>
                <w:rFonts w:hint="eastAsia" w:ascii="微软雅黑" w:hAnsi="微软雅黑" w:eastAsia="微软雅黑"/>
                <w:szCs w:val="21"/>
              </w:rPr>
              <w:t>投标技术参数应答</w:t>
            </w:r>
            <w:bookmarkEnd w:id="1127"/>
          </w:p>
        </w:tc>
        <w:tc>
          <w:tcPr>
            <w:tcW w:w="1888" w:type="dxa"/>
            <w:vAlign w:val="center"/>
          </w:tcPr>
          <w:p w14:paraId="26D41EC9">
            <w:pPr>
              <w:tabs>
                <w:tab w:val="left" w:pos="6300"/>
              </w:tabs>
              <w:snapToGrid w:val="0"/>
              <w:spacing w:line="500" w:lineRule="exact"/>
              <w:jc w:val="center"/>
              <w:outlineLvl w:val="0"/>
              <w:rPr>
                <w:rFonts w:ascii="微软雅黑" w:hAnsi="微软雅黑" w:eastAsia="微软雅黑"/>
                <w:szCs w:val="21"/>
              </w:rPr>
            </w:pPr>
            <w:bookmarkStart w:id="1128" w:name="_Toc6659"/>
            <w:r>
              <w:rPr>
                <w:rFonts w:hint="eastAsia" w:ascii="微软雅黑" w:hAnsi="微软雅黑" w:eastAsia="微软雅黑"/>
                <w:szCs w:val="21"/>
              </w:rPr>
              <w:t>差异说明</w:t>
            </w:r>
            <w:bookmarkEnd w:id="1128"/>
          </w:p>
        </w:tc>
      </w:tr>
      <w:tr w14:paraId="21D29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14:paraId="05AA7F22">
            <w:pPr>
              <w:tabs>
                <w:tab w:val="left" w:pos="6300"/>
              </w:tabs>
              <w:snapToGrid w:val="0"/>
              <w:spacing w:line="500" w:lineRule="exact"/>
              <w:jc w:val="center"/>
              <w:outlineLvl w:val="0"/>
              <w:rPr>
                <w:rFonts w:ascii="微软雅黑" w:hAnsi="微软雅黑" w:eastAsia="微软雅黑"/>
                <w:szCs w:val="21"/>
              </w:rPr>
            </w:pPr>
          </w:p>
        </w:tc>
        <w:tc>
          <w:tcPr>
            <w:tcW w:w="2428" w:type="dxa"/>
            <w:vAlign w:val="center"/>
          </w:tcPr>
          <w:p w14:paraId="24B96222">
            <w:pPr>
              <w:tabs>
                <w:tab w:val="left" w:pos="6300"/>
              </w:tabs>
              <w:snapToGrid w:val="0"/>
              <w:spacing w:line="500" w:lineRule="exact"/>
              <w:jc w:val="center"/>
              <w:outlineLvl w:val="0"/>
              <w:rPr>
                <w:rFonts w:ascii="微软雅黑" w:hAnsi="微软雅黑" w:eastAsia="微软雅黑"/>
                <w:szCs w:val="21"/>
              </w:rPr>
            </w:pPr>
          </w:p>
        </w:tc>
        <w:tc>
          <w:tcPr>
            <w:tcW w:w="2520" w:type="dxa"/>
            <w:vAlign w:val="center"/>
          </w:tcPr>
          <w:p w14:paraId="76B9654A">
            <w:pPr>
              <w:tabs>
                <w:tab w:val="left" w:pos="6300"/>
              </w:tabs>
              <w:snapToGrid w:val="0"/>
              <w:spacing w:line="500" w:lineRule="exact"/>
              <w:jc w:val="center"/>
              <w:outlineLvl w:val="0"/>
              <w:rPr>
                <w:rFonts w:ascii="微软雅黑" w:hAnsi="微软雅黑" w:eastAsia="微软雅黑"/>
                <w:szCs w:val="21"/>
              </w:rPr>
            </w:pPr>
          </w:p>
        </w:tc>
        <w:tc>
          <w:tcPr>
            <w:tcW w:w="1888" w:type="dxa"/>
            <w:vAlign w:val="center"/>
          </w:tcPr>
          <w:p w14:paraId="6F9DCE88">
            <w:pPr>
              <w:tabs>
                <w:tab w:val="left" w:pos="6300"/>
              </w:tabs>
              <w:snapToGrid w:val="0"/>
              <w:spacing w:line="500" w:lineRule="exact"/>
              <w:jc w:val="center"/>
              <w:outlineLvl w:val="0"/>
              <w:rPr>
                <w:rFonts w:ascii="微软雅黑" w:hAnsi="微软雅黑" w:eastAsia="微软雅黑"/>
                <w:szCs w:val="21"/>
              </w:rPr>
            </w:pPr>
          </w:p>
        </w:tc>
      </w:tr>
      <w:tr w14:paraId="225F4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14:paraId="3C963950">
            <w:pPr>
              <w:tabs>
                <w:tab w:val="left" w:pos="6300"/>
              </w:tabs>
              <w:snapToGrid w:val="0"/>
              <w:spacing w:line="500" w:lineRule="exact"/>
              <w:jc w:val="center"/>
              <w:outlineLvl w:val="0"/>
              <w:rPr>
                <w:rFonts w:ascii="微软雅黑" w:hAnsi="微软雅黑" w:eastAsia="微软雅黑"/>
                <w:szCs w:val="21"/>
              </w:rPr>
            </w:pPr>
          </w:p>
        </w:tc>
        <w:tc>
          <w:tcPr>
            <w:tcW w:w="2428" w:type="dxa"/>
            <w:vAlign w:val="center"/>
          </w:tcPr>
          <w:p w14:paraId="237FA63D">
            <w:pPr>
              <w:tabs>
                <w:tab w:val="left" w:pos="6300"/>
              </w:tabs>
              <w:snapToGrid w:val="0"/>
              <w:spacing w:line="500" w:lineRule="exact"/>
              <w:jc w:val="center"/>
              <w:outlineLvl w:val="0"/>
              <w:rPr>
                <w:rFonts w:ascii="微软雅黑" w:hAnsi="微软雅黑" w:eastAsia="微软雅黑"/>
                <w:szCs w:val="21"/>
              </w:rPr>
            </w:pPr>
          </w:p>
        </w:tc>
        <w:tc>
          <w:tcPr>
            <w:tcW w:w="2520" w:type="dxa"/>
            <w:vAlign w:val="center"/>
          </w:tcPr>
          <w:p w14:paraId="3B4B1C6F">
            <w:pPr>
              <w:tabs>
                <w:tab w:val="left" w:pos="6300"/>
              </w:tabs>
              <w:snapToGrid w:val="0"/>
              <w:spacing w:line="500" w:lineRule="exact"/>
              <w:jc w:val="center"/>
              <w:outlineLvl w:val="0"/>
              <w:rPr>
                <w:rFonts w:ascii="微软雅黑" w:hAnsi="微软雅黑" w:eastAsia="微软雅黑"/>
                <w:szCs w:val="21"/>
              </w:rPr>
            </w:pPr>
          </w:p>
        </w:tc>
        <w:tc>
          <w:tcPr>
            <w:tcW w:w="1888" w:type="dxa"/>
            <w:vAlign w:val="center"/>
          </w:tcPr>
          <w:p w14:paraId="337254C2">
            <w:pPr>
              <w:tabs>
                <w:tab w:val="left" w:pos="6300"/>
              </w:tabs>
              <w:snapToGrid w:val="0"/>
              <w:spacing w:line="500" w:lineRule="exact"/>
              <w:jc w:val="center"/>
              <w:outlineLvl w:val="0"/>
              <w:rPr>
                <w:rFonts w:ascii="微软雅黑" w:hAnsi="微软雅黑" w:eastAsia="微软雅黑"/>
                <w:szCs w:val="21"/>
              </w:rPr>
            </w:pPr>
          </w:p>
        </w:tc>
      </w:tr>
      <w:tr w14:paraId="6209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14:paraId="22E30BBE">
            <w:pPr>
              <w:tabs>
                <w:tab w:val="left" w:pos="6300"/>
              </w:tabs>
              <w:snapToGrid w:val="0"/>
              <w:spacing w:line="500" w:lineRule="exact"/>
              <w:jc w:val="center"/>
              <w:outlineLvl w:val="0"/>
              <w:rPr>
                <w:rFonts w:ascii="微软雅黑" w:hAnsi="微软雅黑" w:eastAsia="微软雅黑"/>
                <w:szCs w:val="21"/>
              </w:rPr>
            </w:pPr>
          </w:p>
        </w:tc>
        <w:tc>
          <w:tcPr>
            <w:tcW w:w="2428" w:type="dxa"/>
            <w:vAlign w:val="center"/>
          </w:tcPr>
          <w:p w14:paraId="0934F9C3">
            <w:pPr>
              <w:tabs>
                <w:tab w:val="left" w:pos="6300"/>
              </w:tabs>
              <w:snapToGrid w:val="0"/>
              <w:spacing w:line="500" w:lineRule="exact"/>
              <w:jc w:val="center"/>
              <w:outlineLvl w:val="0"/>
              <w:rPr>
                <w:rFonts w:ascii="微软雅黑" w:hAnsi="微软雅黑" w:eastAsia="微软雅黑"/>
                <w:szCs w:val="21"/>
              </w:rPr>
            </w:pPr>
          </w:p>
        </w:tc>
        <w:tc>
          <w:tcPr>
            <w:tcW w:w="2520" w:type="dxa"/>
            <w:vAlign w:val="center"/>
          </w:tcPr>
          <w:p w14:paraId="29167FA1">
            <w:pPr>
              <w:tabs>
                <w:tab w:val="left" w:pos="6300"/>
              </w:tabs>
              <w:snapToGrid w:val="0"/>
              <w:spacing w:line="500" w:lineRule="exact"/>
              <w:jc w:val="center"/>
              <w:outlineLvl w:val="0"/>
              <w:rPr>
                <w:rFonts w:ascii="微软雅黑" w:hAnsi="微软雅黑" w:eastAsia="微软雅黑"/>
                <w:szCs w:val="21"/>
              </w:rPr>
            </w:pPr>
          </w:p>
        </w:tc>
        <w:tc>
          <w:tcPr>
            <w:tcW w:w="1888" w:type="dxa"/>
            <w:vAlign w:val="center"/>
          </w:tcPr>
          <w:p w14:paraId="3E008070">
            <w:pPr>
              <w:tabs>
                <w:tab w:val="left" w:pos="6300"/>
              </w:tabs>
              <w:snapToGrid w:val="0"/>
              <w:spacing w:line="500" w:lineRule="exact"/>
              <w:jc w:val="center"/>
              <w:outlineLvl w:val="0"/>
              <w:rPr>
                <w:rFonts w:ascii="微软雅黑" w:hAnsi="微软雅黑" w:eastAsia="微软雅黑"/>
                <w:szCs w:val="21"/>
              </w:rPr>
            </w:pPr>
          </w:p>
        </w:tc>
      </w:tr>
      <w:tr w14:paraId="4232E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14:paraId="4C7B6F64">
            <w:pPr>
              <w:tabs>
                <w:tab w:val="left" w:pos="6300"/>
              </w:tabs>
              <w:snapToGrid w:val="0"/>
              <w:spacing w:line="500" w:lineRule="exact"/>
              <w:jc w:val="center"/>
              <w:outlineLvl w:val="0"/>
              <w:rPr>
                <w:rFonts w:ascii="微软雅黑" w:hAnsi="微软雅黑" w:eastAsia="微软雅黑"/>
                <w:szCs w:val="21"/>
              </w:rPr>
            </w:pPr>
          </w:p>
        </w:tc>
        <w:tc>
          <w:tcPr>
            <w:tcW w:w="2428" w:type="dxa"/>
            <w:vAlign w:val="center"/>
          </w:tcPr>
          <w:p w14:paraId="10A5C74B">
            <w:pPr>
              <w:tabs>
                <w:tab w:val="left" w:pos="6300"/>
              </w:tabs>
              <w:snapToGrid w:val="0"/>
              <w:spacing w:line="500" w:lineRule="exact"/>
              <w:jc w:val="center"/>
              <w:outlineLvl w:val="0"/>
              <w:rPr>
                <w:rFonts w:ascii="微软雅黑" w:hAnsi="微软雅黑" w:eastAsia="微软雅黑"/>
                <w:szCs w:val="21"/>
              </w:rPr>
            </w:pPr>
          </w:p>
        </w:tc>
        <w:tc>
          <w:tcPr>
            <w:tcW w:w="2520" w:type="dxa"/>
            <w:vAlign w:val="center"/>
          </w:tcPr>
          <w:p w14:paraId="737688E9">
            <w:pPr>
              <w:tabs>
                <w:tab w:val="left" w:pos="6300"/>
              </w:tabs>
              <w:snapToGrid w:val="0"/>
              <w:spacing w:line="500" w:lineRule="exact"/>
              <w:jc w:val="center"/>
              <w:outlineLvl w:val="0"/>
              <w:rPr>
                <w:rFonts w:ascii="微软雅黑" w:hAnsi="微软雅黑" w:eastAsia="微软雅黑"/>
                <w:szCs w:val="21"/>
              </w:rPr>
            </w:pPr>
          </w:p>
        </w:tc>
        <w:tc>
          <w:tcPr>
            <w:tcW w:w="1888" w:type="dxa"/>
            <w:vAlign w:val="center"/>
          </w:tcPr>
          <w:p w14:paraId="1A5CA115">
            <w:pPr>
              <w:tabs>
                <w:tab w:val="left" w:pos="6300"/>
              </w:tabs>
              <w:snapToGrid w:val="0"/>
              <w:spacing w:line="500" w:lineRule="exact"/>
              <w:jc w:val="center"/>
              <w:outlineLvl w:val="0"/>
              <w:rPr>
                <w:rFonts w:ascii="微软雅黑" w:hAnsi="微软雅黑" w:eastAsia="微软雅黑"/>
                <w:szCs w:val="21"/>
              </w:rPr>
            </w:pPr>
          </w:p>
        </w:tc>
      </w:tr>
      <w:tr w14:paraId="5ADF3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14:paraId="143AD8F5">
            <w:pPr>
              <w:tabs>
                <w:tab w:val="left" w:pos="6300"/>
              </w:tabs>
              <w:snapToGrid w:val="0"/>
              <w:spacing w:line="500" w:lineRule="exact"/>
              <w:jc w:val="center"/>
              <w:outlineLvl w:val="0"/>
              <w:rPr>
                <w:rFonts w:ascii="微软雅黑" w:hAnsi="微软雅黑" w:eastAsia="微软雅黑"/>
                <w:szCs w:val="21"/>
              </w:rPr>
            </w:pPr>
          </w:p>
        </w:tc>
        <w:tc>
          <w:tcPr>
            <w:tcW w:w="2428" w:type="dxa"/>
            <w:vAlign w:val="center"/>
          </w:tcPr>
          <w:p w14:paraId="619B665D">
            <w:pPr>
              <w:tabs>
                <w:tab w:val="left" w:pos="6300"/>
              </w:tabs>
              <w:snapToGrid w:val="0"/>
              <w:spacing w:line="500" w:lineRule="exact"/>
              <w:jc w:val="center"/>
              <w:outlineLvl w:val="0"/>
              <w:rPr>
                <w:rFonts w:ascii="微软雅黑" w:hAnsi="微软雅黑" w:eastAsia="微软雅黑"/>
                <w:szCs w:val="21"/>
              </w:rPr>
            </w:pPr>
          </w:p>
        </w:tc>
        <w:tc>
          <w:tcPr>
            <w:tcW w:w="2520" w:type="dxa"/>
            <w:vAlign w:val="center"/>
          </w:tcPr>
          <w:p w14:paraId="359304EB">
            <w:pPr>
              <w:tabs>
                <w:tab w:val="left" w:pos="6300"/>
              </w:tabs>
              <w:snapToGrid w:val="0"/>
              <w:spacing w:line="500" w:lineRule="exact"/>
              <w:jc w:val="center"/>
              <w:outlineLvl w:val="0"/>
              <w:rPr>
                <w:rFonts w:ascii="微软雅黑" w:hAnsi="微软雅黑" w:eastAsia="微软雅黑"/>
                <w:szCs w:val="21"/>
              </w:rPr>
            </w:pPr>
          </w:p>
        </w:tc>
        <w:tc>
          <w:tcPr>
            <w:tcW w:w="1888" w:type="dxa"/>
            <w:vAlign w:val="center"/>
          </w:tcPr>
          <w:p w14:paraId="4A7C339C">
            <w:pPr>
              <w:tabs>
                <w:tab w:val="left" w:pos="6300"/>
              </w:tabs>
              <w:snapToGrid w:val="0"/>
              <w:spacing w:line="500" w:lineRule="exact"/>
              <w:jc w:val="center"/>
              <w:outlineLvl w:val="0"/>
              <w:rPr>
                <w:rFonts w:ascii="微软雅黑" w:hAnsi="微软雅黑" w:eastAsia="微软雅黑"/>
                <w:szCs w:val="21"/>
              </w:rPr>
            </w:pPr>
          </w:p>
        </w:tc>
      </w:tr>
      <w:tr w14:paraId="092E7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39" w:type="dxa"/>
            <w:vAlign w:val="center"/>
          </w:tcPr>
          <w:p w14:paraId="13F37792">
            <w:pPr>
              <w:tabs>
                <w:tab w:val="left" w:pos="6300"/>
              </w:tabs>
              <w:snapToGrid w:val="0"/>
              <w:spacing w:line="500" w:lineRule="exact"/>
              <w:jc w:val="center"/>
              <w:outlineLvl w:val="0"/>
              <w:rPr>
                <w:rFonts w:ascii="微软雅黑" w:hAnsi="微软雅黑" w:eastAsia="微软雅黑"/>
                <w:szCs w:val="21"/>
              </w:rPr>
            </w:pPr>
            <w:bookmarkStart w:id="1129" w:name="_Toc13432"/>
            <w:r>
              <w:rPr>
                <w:rFonts w:ascii="微软雅黑" w:hAnsi="微软雅黑" w:eastAsia="微软雅黑"/>
                <w:szCs w:val="21"/>
              </w:rPr>
              <w:t>……</w:t>
            </w:r>
            <w:bookmarkEnd w:id="1129"/>
          </w:p>
        </w:tc>
        <w:tc>
          <w:tcPr>
            <w:tcW w:w="2428" w:type="dxa"/>
            <w:vAlign w:val="center"/>
          </w:tcPr>
          <w:p w14:paraId="5CA3220C">
            <w:pPr>
              <w:tabs>
                <w:tab w:val="left" w:pos="6300"/>
              </w:tabs>
              <w:snapToGrid w:val="0"/>
              <w:spacing w:line="500" w:lineRule="exact"/>
              <w:jc w:val="center"/>
              <w:outlineLvl w:val="0"/>
              <w:rPr>
                <w:rFonts w:ascii="微软雅黑" w:hAnsi="微软雅黑" w:eastAsia="微软雅黑"/>
                <w:szCs w:val="21"/>
              </w:rPr>
            </w:pPr>
          </w:p>
        </w:tc>
        <w:tc>
          <w:tcPr>
            <w:tcW w:w="2520" w:type="dxa"/>
            <w:vAlign w:val="center"/>
          </w:tcPr>
          <w:p w14:paraId="6262000B">
            <w:pPr>
              <w:tabs>
                <w:tab w:val="left" w:pos="6300"/>
              </w:tabs>
              <w:snapToGrid w:val="0"/>
              <w:spacing w:line="500" w:lineRule="exact"/>
              <w:jc w:val="center"/>
              <w:outlineLvl w:val="0"/>
              <w:rPr>
                <w:rFonts w:ascii="微软雅黑" w:hAnsi="微软雅黑" w:eastAsia="微软雅黑"/>
                <w:szCs w:val="21"/>
              </w:rPr>
            </w:pPr>
          </w:p>
        </w:tc>
        <w:tc>
          <w:tcPr>
            <w:tcW w:w="1888" w:type="dxa"/>
            <w:vAlign w:val="center"/>
          </w:tcPr>
          <w:p w14:paraId="2700F2C1">
            <w:pPr>
              <w:tabs>
                <w:tab w:val="left" w:pos="6300"/>
              </w:tabs>
              <w:snapToGrid w:val="0"/>
              <w:spacing w:line="500" w:lineRule="exact"/>
              <w:jc w:val="center"/>
              <w:outlineLvl w:val="0"/>
              <w:rPr>
                <w:rFonts w:ascii="微软雅黑" w:hAnsi="微软雅黑" w:eastAsia="微软雅黑"/>
                <w:szCs w:val="21"/>
              </w:rPr>
            </w:pPr>
          </w:p>
        </w:tc>
      </w:tr>
    </w:tbl>
    <w:p w14:paraId="492DC7A2">
      <w:pPr>
        <w:spacing w:line="500" w:lineRule="exact"/>
        <w:ind w:firstLine="600" w:firstLineChars="250"/>
        <w:rPr>
          <w:rFonts w:ascii="微软雅黑" w:hAnsi="微软雅黑" w:eastAsia="微软雅黑"/>
          <w:sz w:val="24"/>
          <w:szCs w:val="28"/>
        </w:rPr>
      </w:pPr>
      <w:r>
        <w:rPr>
          <w:rFonts w:hint="eastAsia" w:ascii="微软雅黑" w:hAnsi="微软雅黑" w:eastAsia="微软雅黑"/>
          <w:sz w:val="24"/>
          <w:szCs w:val="28"/>
        </w:rPr>
        <w:t>投标人：</w:t>
      </w:r>
      <w:r>
        <w:rPr>
          <w:rFonts w:ascii="微软雅黑" w:hAnsi="微软雅黑" w:eastAsia="微软雅黑"/>
          <w:sz w:val="24"/>
          <w:szCs w:val="28"/>
        </w:rPr>
        <w:t xml:space="preserve">                </w:t>
      </w:r>
      <w:r>
        <w:rPr>
          <w:rFonts w:hint="eastAsia" w:ascii="微软雅黑" w:hAnsi="微软雅黑" w:eastAsia="微软雅黑"/>
          <w:sz w:val="24"/>
          <w:szCs w:val="28"/>
        </w:rPr>
        <w:t>法定代表人或法定代表人授权代表：</w:t>
      </w:r>
    </w:p>
    <w:p w14:paraId="733B82BC">
      <w:pPr>
        <w:spacing w:line="500" w:lineRule="exact"/>
        <w:rPr>
          <w:rFonts w:ascii="微软雅黑" w:hAnsi="微软雅黑" w:eastAsia="微软雅黑"/>
          <w:sz w:val="24"/>
          <w:szCs w:val="28"/>
        </w:rPr>
      </w:pPr>
    </w:p>
    <w:p w14:paraId="7246BB65">
      <w:pPr>
        <w:spacing w:line="500" w:lineRule="exact"/>
        <w:rPr>
          <w:rFonts w:ascii="微软雅黑" w:hAnsi="微软雅黑" w:eastAsia="微软雅黑"/>
          <w:sz w:val="24"/>
          <w:szCs w:val="28"/>
        </w:rPr>
      </w:pPr>
      <w:r>
        <w:rPr>
          <w:rFonts w:ascii="微软雅黑" w:hAnsi="微软雅黑" w:eastAsia="微软雅黑"/>
          <w:sz w:val="24"/>
          <w:szCs w:val="28"/>
        </w:rPr>
        <w:t xml:space="preserve">    </w:t>
      </w:r>
      <w:r>
        <w:rPr>
          <w:rFonts w:hint="eastAsia" w:ascii="微软雅黑" w:hAnsi="微软雅黑" w:eastAsia="微软雅黑"/>
          <w:sz w:val="24"/>
          <w:szCs w:val="28"/>
        </w:rPr>
        <w:t>（投标人公章）</w:t>
      </w:r>
      <w:r>
        <w:rPr>
          <w:rFonts w:ascii="微软雅黑" w:hAnsi="微软雅黑" w:eastAsia="微软雅黑"/>
          <w:sz w:val="24"/>
          <w:szCs w:val="28"/>
        </w:rPr>
        <w:t xml:space="preserve">                  </w:t>
      </w:r>
      <w:r>
        <w:rPr>
          <w:rFonts w:hint="eastAsia" w:ascii="微软雅黑" w:hAnsi="微软雅黑" w:eastAsia="微软雅黑"/>
          <w:sz w:val="24"/>
          <w:szCs w:val="28"/>
        </w:rPr>
        <w:t>（签字或盖章）</w:t>
      </w:r>
    </w:p>
    <w:p w14:paraId="153774E7">
      <w:pPr>
        <w:tabs>
          <w:tab w:val="left" w:pos="6300"/>
        </w:tabs>
        <w:snapToGrid w:val="0"/>
        <w:spacing w:line="500" w:lineRule="exact"/>
        <w:ind w:firstLine="570"/>
        <w:rPr>
          <w:rFonts w:ascii="微软雅黑" w:hAnsi="微软雅黑" w:eastAsia="微软雅黑"/>
          <w:sz w:val="24"/>
        </w:rPr>
      </w:pPr>
      <w:r>
        <w:rPr>
          <w:rFonts w:ascii="微软雅黑" w:hAnsi="微软雅黑" w:eastAsia="微软雅黑"/>
          <w:sz w:val="24"/>
          <w:szCs w:val="28"/>
        </w:rPr>
        <w:t xml:space="preserve">                        </w:t>
      </w:r>
      <w:r>
        <w:rPr>
          <w:rFonts w:hint="eastAsia" w:ascii="微软雅黑" w:hAnsi="微软雅黑" w:eastAsia="微软雅黑"/>
          <w:sz w:val="24"/>
          <w:szCs w:val="28"/>
        </w:rPr>
        <w:t>年</w:t>
      </w:r>
      <w:r>
        <w:rPr>
          <w:rFonts w:ascii="微软雅黑" w:hAnsi="微软雅黑" w:eastAsia="微软雅黑"/>
          <w:sz w:val="24"/>
          <w:szCs w:val="28"/>
        </w:rPr>
        <w:t xml:space="preserve">     </w:t>
      </w:r>
      <w:r>
        <w:rPr>
          <w:rFonts w:hint="eastAsia" w:ascii="微软雅黑" w:hAnsi="微软雅黑" w:eastAsia="微软雅黑"/>
          <w:sz w:val="24"/>
          <w:szCs w:val="28"/>
        </w:rPr>
        <w:t>月</w:t>
      </w:r>
      <w:r>
        <w:rPr>
          <w:rFonts w:ascii="微软雅黑" w:hAnsi="微软雅黑" w:eastAsia="微软雅黑"/>
          <w:sz w:val="24"/>
          <w:szCs w:val="28"/>
        </w:rPr>
        <w:t xml:space="preserve">     </w:t>
      </w:r>
      <w:r>
        <w:rPr>
          <w:rFonts w:hint="eastAsia" w:ascii="微软雅黑" w:hAnsi="微软雅黑" w:eastAsia="微软雅黑"/>
          <w:sz w:val="24"/>
          <w:szCs w:val="28"/>
        </w:rPr>
        <w:t>日</w:t>
      </w:r>
    </w:p>
    <w:p w14:paraId="458D5A99">
      <w:pPr>
        <w:tabs>
          <w:tab w:val="left" w:pos="6300"/>
        </w:tabs>
        <w:snapToGrid w:val="0"/>
        <w:spacing w:line="500" w:lineRule="exact"/>
        <w:ind w:firstLine="570"/>
        <w:rPr>
          <w:rFonts w:ascii="微软雅黑" w:hAnsi="微软雅黑" w:eastAsia="微软雅黑"/>
          <w:sz w:val="24"/>
        </w:rPr>
      </w:pPr>
      <w:r>
        <w:rPr>
          <w:rFonts w:hint="eastAsia" w:ascii="微软雅黑" w:hAnsi="微软雅黑" w:eastAsia="微软雅黑"/>
          <w:sz w:val="24"/>
        </w:rPr>
        <w:t>注：</w:t>
      </w:r>
    </w:p>
    <w:p w14:paraId="2152A526">
      <w:pPr>
        <w:tabs>
          <w:tab w:val="left" w:pos="6300"/>
        </w:tabs>
        <w:snapToGrid w:val="0"/>
        <w:spacing w:line="500" w:lineRule="exact"/>
        <w:ind w:firstLine="570"/>
        <w:rPr>
          <w:rFonts w:ascii="微软雅黑" w:hAnsi="微软雅黑" w:eastAsia="微软雅黑"/>
          <w:sz w:val="24"/>
          <w:szCs w:val="24"/>
        </w:rPr>
      </w:pPr>
      <w:r>
        <w:rPr>
          <w:rFonts w:ascii="微软雅黑" w:hAnsi="微软雅黑" w:eastAsia="微软雅黑"/>
          <w:sz w:val="24"/>
          <w:szCs w:val="24"/>
        </w:rPr>
        <w:t>1.</w:t>
      </w:r>
      <w:r>
        <w:rPr>
          <w:rFonts w:hint="eastAsia" w:ascii="微软雅黑" w:hAnsi="微软雅黑" w:eastAsia="微软雅黑"/>
          <w:sz w:val="24"/>
          <w:szCs w:val="24"/>
        </w:rPr>
        <w:t>本表即为对本项目“第三篇 项目技术要求”中所列技术条款进行比较和响应；</w:t>
      </w:r>
    </w:p>
    <w:p w14:paraId="02984EE7">
      <w:pPr>
        <w:tabs>
          <w:tab w:val="left" w:pos="6300"/>
        </w:tabs>
        <w:snapToGrid w:val="0"/>
        <w:spacing w:line="500" w:lineRule="exact"/>
        <w:ind w:firstLine="570"/>
        <w:rPr>
          <w:rFonts w:ascii="微软雅黑" w:hAnsi="微软雅黑" w:eastAsia="微软雅黑"/>
          <w:sz w:val="24"/>
          <w:szCs w:val="24"/>
        </w:rPr>
      </w:pPr>
      <w:r>
        <w:rPr>
          <w:rFonts w:ascii="微软雅黑" w:hAnsi="微软雅黑" w:eastAsia="微软雅黑"/>
          <w:sz w:val="24"/>
          <w:szCs w:val="24"/>
        </w:rPr>
        <w:t>2.</w:t>
      </w:r>
      <w:r>
        <w:rPr>
          <w:rFonts w:hint="eastAsia" w:ascii="微软雅黑" w:hAnsi="微软雅黑" w:eastAsia="微软雅黑"/>
          <w:sz w:val="24"/>
          <w:szCs w:val="24"/>
        </w:rPr>
        <w:t>该表必须按照谈判文件要求逐条如实填写，根据投标情况在“差异说明”项填写正偏离或负偏离及原因，完全符合的填写“无差异”。</w:t>
      </w:r>
    </w:p>
    <w:p w14:paraId="609632A4">
      <w:pPr>
        <w:tabs>
          <w:tab w:val="left" w:pos="6300"/>
        </w:tabs>
        <w:snapToGrid w:val="0"/>
        <w:spacing w:line="500" w:lineRule="exact"/>
        <w:ind w:firstLine="570"/>
        <w:rPr>
          <w:rFonts w:ascii="微软雅黑" w:hAnsi="微软雅黑" w:eastAsia="微软雅黑"/>
          <w:sz w:val="24"/>
          <w:szCs w:val="24"/>
        </w:rPr>
      </w:pPr>
      <w:r>
        <w:rPr>
          <w:rFonts w:ascii="微软雅黑" w:hAnsi="微软雅黑" w:eastAsia="微软雅黑"/>
          <w:sz w:val="24"/>
          <w:szCs w:val="24"/>
        </w:rPr>
        <w:t>3.</w:t>
      </w:r>
      <w:r>
        <w:rPr>
          <w:rFonts w:hint="eastAsia" w:ascii="微软雅黑" w:hAnsi="微软雅黑" w:eastAsia="微软雅黑"/>
          <w:sz w:val="24"/>
          <w:szCs w:val="24"/>
        </w:rPr>
        <w:t>该表可竖向扩展。</w:t>
      </w:r>
    </w:p>
    <w:p w14:paraId="321BAE6E">
      <w:pPr>
        <w:widowControl/>
        <w:jc w:val="left"/>
        <w:rPr>
          <w:rFonts w:ascii="微软雅黑" w:hAnsi="微软雅黑" w:eastAsia="微软雅黑"/>
          <w:sz w:val="24"/>
          <w:szCs w:val="24"/>
        </w:rPr>
      </w:pPr>
      <w:r>
        <w:rPr>
          <w:rFonts w:ascii="微软雅黑" w:hAnsi="微软雅黑" w:eastAsia="微软雅黑"/>
          <w:sz w:val="24"/>
          <w:szCs w:val="24"/>
        </w:rPr>
        <w:br w:type="page"/>
      </w:r>
    </w:p>
    <w:p w14:paraId="57AA07C7">
      <w:pPr>
        <w:tabs>
          <w:tab w:val="left" w:pos="6300"/>
        </w:tabs>
        <w:snapToGrid w:val="0"/>
        <w:spacing w:line="500" w:lineRule="exact"/>
        <w:ind w:firstLine="570"/>
        <w:rPr>
          <w:rFonts w:ascii="微软雅黑" w:hAnsi="微软雅黑" w:eastAsia="微软雅黑"/>
          <w:sz w:val="24"/>
          <w:szCs w:val="24"/>
        </w:rPr>
      </w:pPr>
    </w:p>
    <w:bookmarkEnd w:id="1119"/>
    <w:bookmarkEnd w:id="1120"/>
    <w:bookmarkEnd w:id="1121"/>
    <w:p w14:paraId="7588C933">
      <w:pPr>
        <w:snapToGrid w:val="0"/>
        <w:spacing w:line="440" w:lineRule="exact"/>
        <w:rPr>
          <w:rFonts w:ascii="微软雅黑" w:hAnsi="微软雅黑" w:eastAsia="微软雅黑" w:cs="Times New Roman"/>
          <w:sz w:val="24"/>
          <w:szCs w:val="24"/>
        </w:rPr>
      </w:pPr>
      <w:bookmarkStart w:id="1130" w:name="_Toc283382459"/>
      <w:r>
        <w:rPr>
          <w:rFonts w:hint="eastAsia" w:ascii="微软雅黑" w:hAnsi="微软雅黑" w:eastAsia="微软雅黑" w:cs="Times New Roman"/>
          <w:sz w:val="24"/>
          <w:szCs w:val="24"/>
        </w:rPr>
        <w:t>（三）根据质保期、报价范围、交货</w:t>
      </w:r>
      <w:r>
        <w:rPr>
          <w:rFonts w:ascii="微软雅黑" w:hAnsi="微软雅黑" w:eastAsia="微软雅黑" w:cs="Times New Roman"/>
          <w:sz w:val="24"/>
          <w:szCs w:val="24"/>
        </w:rPr>
        <w:t>时间、</w:t>
      </w:r>
      <w:r>
        <w:rPr>
          <w:rFonts w:hint="eastAsia" w:ascii="微软雅黑" w:hAnsi="微软雅黑" w:eastAsia="微软雅黑" w:cs="Times New Roman"/>
          <w:sz w:val="24"/>
          <w:szCs w:val="24"/>
        </w:rPr>
        <w:t>付款方式等填写服务响应偏离表（格式）</w:t>
      </w:r>
    </w:p>
    <w:p w14:paraId="5A8D710A">
      <w:pPr>
        <w:snapToGrid w:val="0"/>
        <w:spacing w:line="360" w:lineRule="auto"/>
        <w:jc w:val="center"/>
        <w:rPr>
          <w:rFonts w:ascii="微软雅黑" w:hAnsi="微软雅黑" w:eastAsia="微软雅黑" w:cs="Times New Roman"/>
          <w:b/>
          <w:sz w:val="28"/>
          <w:szCs w:val="28"/>
        </w:rPr>
      </w:pPr>
      <w:r>
        <w:rPr>
          <w:rFonts w:hint="eastAsia" w:ascii="微软雅黑" w:hAnsi="微软雅黑" w:eastAsia="微软雅黑" w:cs="Times New Roman"/>
          <w:b/>
          <w:sz w:val="28"/>
          <w:szCs w:val="28"/>
        </w:rPr>
        <w:t>服务响应偏离表（本表可自行设计格式）</w:t>
      </w:r>
    </w:p>
    <w:p w14:paraId="525E6615">
      <w:pPr>
        <w:snapToGrid w:val="0"/>
        <w:spacing w:line="360" w:lineRule="auto"/>
        <w:rPr>
          <w:rFonts w:ascii="微软雅黑" w:hAnsi="微软雅黑" w:eastAsia="微软雅黑" w:cs="Times New Roman"/>
          <w:sz w:val="24"/>
          <w:szCs w:val="24"/>
        </w:rPr>
      </w:pPr>
      <w:r>
        <w:rPr>
          <w:rFonts w:hint="eastAsia" w:ascii="微软雅黑" w:hAnsi="微软雅黑" w:eastAsia="微软雅黑" w:cs="Times New Roman"/>
          <w:sz w:val="24"/>
          <w:szCs w:val="24"/>
        </w:rPr>
        <w:t>对于竞争性谈判文件的服务要求，如有任何偏离请如实填写下表：</w:t>
      </w:r>
    </w:p>
    <w:tbl>
      <w:tblPr>
        <w:tblStyle w:val="53"/>
        <w:tblW w:w="94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14:paraId="54F73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3" w:hRule="atLeast"/>
        </w:trPr>
        <w:tc>
          <w:tcPr>
            <w:tcW w:w="1510" w:type="dxa"/>
            <w:vAlign w:val="center"/>
          </w:tcPr>
          <w:p w14:paraId="43653377">
            <w:pPr>
              <w:tabs>
                <w:tab w:val="left" w:pos="6300"/>
              </w:tabs>
              <w:snapToGrid w:val="0"/>
              <w:spacing w:line="360" w:lineRule="auto"/>
              <w:jc w:val="center"/>
              <w:outlineLvl w:val="0"/>
              <w:rPr>
                <w:rFonts w:ascii="微软雅黑" w:hAnsi="微软雅黑" w:eastAsia="微软雅黑" w:cs="Times New Roman"/>
                <w:szCs w:val="24"/>
              </w:rPr>
            </w:pPr>
            <w:bookmarkStart w:id="1131" w:name="_Toc5746"/>
            <w:r>
              <w:rPr>
                <w:rFonts w:hint="eastAsia" w:ascii="微软雅黑" w:hAnsi="微软雅黑" w:eastAsia="微软雅黑" w:cs="Times New Roman"/>
                <w:szCs w:val="24"/>
              </w:rPr>
              <w:t>序号</w:t>
            </w:r>
            <w:bookmarkEnd w:id="1131"/>
          </w:p>
        </w:tc>
        <w:tc>
          <w:tcPr>
            <w:tcW w:w="3179" w:type="dxa"/>
            <w:vAlign w:val="center"/>
          </w:tcPr>
          <w:p w14:paraId="3148A12E">
            <w:pPr>
              <w:tabs>
                <w:tab w:val="left" w:pos="6300"/>
              </w:tabs>
              <w:snapToGrid w:val="0"/>
              <w:spacing w:line="360" w:lineRule="auto"/>
              <w:jc w:val="center"/>
              <w:outlineLvl w:val="0"/>
              <w:rPr>
                <w:rFonts w:ascii="微软雅黑" w:hAnsi="微软雅黑" w:eastAsia="微软雅黑" w:cs="Times New Roman"/>
                <w:szCs w:val="24"/>
              </w:rPr>
            </w:pPr>
            <w:bookmarkStart w:id="1132" w:name="_Toc5479"/>
            <w:r>
              <w:rPr>
                <w:rFonts w:hint="eastAsia" w:ascii="微软雅黑" w:hAnsi="微软雅黑" w:eastAsia="微软雅黑" w:cs="Times New Roman"/>
                <w:szCs w:val="24"/>
              </w:rPr>
              <w:t>谈判项目需求</w:t>
            </w:r>
            <w:bookmarkEnd w:id="1132"/>
          </w:p>
        </w:tc>
        <w:tc>
          <w:tcPr>
            <w:tcW w:w="2434" w:type="dxa"/>
            <w:vAlign w:val="center"/>
          </w:tcPr>
          <w:p w14:paraId="39868AA4">
            <w:pPr>
              <w:tabs>
                <w:tab w:val="left" w:pos="6300"/>
              </w:tabs>
              <w:snapToGrid w:val="0"/>
              <w:spacing w:line="360" w:lineRule="auto"/>
              <w:jc w:val="center"/>
              <w:outlineLvl w:val="0"/>
              <w:rPr>
                <w:rFonts w:ascii="微软雅黑" w:hAnsi="微软雅黑" w:eastAsia="微软雅黑" w:cs="Times New Roman"/>
                <w:szCs w:val="24"/>
              </w:rPr>
            </w:pPr>
            <w:bookmarkStart w:id="1133" w:name="_Toc16139"/>
            <w:r>
              <w:rPr>
                <w:rFonts w:hint="eastAsia" w:ascii="微软雅黑" w:hAnsi="微软雅黑" w:eastAsia="微软雅黑" w:cs="Times New Roman"/>
                <w:szCs w:val="24"/>
              </w:rPr>
              <w:t>响应情况</w:t>
            </w:r>
            <w:bookmarkEnd w:id="1133"/>
          </w:p>
        </w:tc>
        <w:tc>
          <w:tcPr>
            <w:tcW w:w="2355" w:type="dxa"/>
            <w:vAlign w:val="center"/>
          </w:tcPr>
          <w:p w14:paraId="2A5011D9">
            <w:pPr>
              <w:tabs>
                <w:tab w:val="left" w:pos="6300"/>
              </w:tabs>
              <w:snapToGrid w:val="0"/>
              <w:spacing w:line="360" w:lineRule="auto"/>
              <w:jc w:val="center"/>
              <w:outlineLvl w:val="0"/>
              <w:rPr>
                <w:rFonts w:ascii="微软雅黑" w:hAnsi="微软雅黑" w:eastAsia="微软雅黑" w:cs="Times New Roman"/>
                <w:szCs w:val="24"/>
              </w:rPr>
            </w:pPr>
            <w:bookmarkStart w:id="1134" w:name="_Toc20223"/>
            <w:r>
              <w:rPr>
                <w:rFonts w:hint="eastAsia" w:ascii="微软雅黑" w:hAnsi="微软雅黑" w:eastAsia="微软雅黑" w:cs="Times New Roman"/>
                <w:szCs w:val="24"/>
              </w:rPr>
              <w:t>偏离说明</w:t>
            </w:r>
            <w:bookmarkEnd w:id="1134"/>
          </w:p>
        </w:tc>
      </w:tr>
      <w:tr w14:paraId="49CB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24A9788C">
            <w:pPr>
              <w:tabs>
                <w:tab w:val="left" w:pos="6300"/>
              </w:tabs>
              <w:snapToGrid w:val="0"/>
              <w:spacing w:line="360" w:lineRule="auto"/>
              <w:jc w:val="center"/>
              <w:outlineLvl w:val="0"/>
              <w:rPr>
                <w:rFonts w:ascii="微软雅黑" w:hAnsi="微软雅黑" w:eastAsia="微软雅黑" w:cs="Times New Roman"/>
                <w:szCs w:val="24"/>
              </w:rPr>
            </w:pPr>
          </w:p>
        </w:tc>
        <w:tc>
          <w:tcPr>
            <w:tcW w:w="3179" w:type="dxa"/>
            <w:vAlign w:val="center"/>
          </w:tcPr>
          <w:p w14:paraId="48C7BCB1">
            <w:pPr>
              <w:tabs>
                <w:tab w:val="left" w:pos="6300"/>
              </w:tabs>
              <w:snapToGrid w:val="0"/>
              <w:spacing w:line="360" w:lineRule="auto"/>
              <w:jc w:val="center"/>
              <w:outlineLvl w:val="0"/>
              <w:rPr>
                <w:rFonts w:ascii="微软雅黑" w:hAnsi="微软雅黑" w:eastAsia="微软雅黑" w:cs="Times New Roman"/>
                <w:szCs w:val="24"/>
              </w:rPr>
            </w:pPr>
          </w:p>
        </w:tc>
        <w:tc>
          <w:tcPr>
            <w:tcW w:w="2434" w:type="dxa"/>
            <w:vAlign w:val="center"/>
          </w:tcPr>
          <w:p w14:paraId="5F09DB7C">
            <w:pPr>
              <w:tabs>
                <w:tab w:val="left" w:pos="6300"/>
              </w:tabs>
              <w:snapToGrid w:val="0"/>
              <w:spacing w:line="360" w:lineRule="auto"/>
              <w:jc w:val="center"/>
              <w:outlineLvl w:val="0"/>
              <w:rPr>
                <w:rFonts w:ascii="微软雅黑" w:hAnsi="微软雅黑" w:eastAsia="微软雅黑" w:cs="Times New Roman"/>
                <w:szCs w:val="24"/>
              </w:rPr>
            </w:pPr>
          </w:p>
        </w:tc>
        <w:tc>
          <w:tcPr>
            <w:tcW w:w="2355" w:type="dxa"/>
            <w:vAlign w:val="center"/>
          </w:tcPr>
          <w:p w14:paraId="59D0FC45">
            <w:pPr>
              <w:tabs>
                <w:tab w:val="left" w:pos="6300"/>
              </w:tabs>
              <w:snapToGrid w:val="0"/>
              <w:spacing w:line="360" w:lineRule="auto"/>
              <w:jc w:val="center"/>
              <w:outlineLvl w:val="0"/>
              <w:rPr>
                <w:rFonts w:ascii="微软雅黑" w:hAnsi="微软雅黑" w:eastAsia="微软雅黑" w:cs="Times New Roman"/>
                <w:szCs w:val="24"/>
              </w:rPr>
            </w:pPr>
          </w:p>
        </w:tc>
      </w:tr>
      <w:tr w14:paraId="11B90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4EEAD76B">
            <w:pPr>
              <w:tabs>
                <w:tab w:val="left" w:pos="6300"/>
              </w:tabs>
              <w:snapToGrid w:val="0"/>
              <w:spacing w:line="360" w:lineRule="auto"/>
              <w:jc w:val="center"/>
              <w:outlineLvl w:val="0"/>
              <w:rPr>
                <w:rFonts w:ascii="微软雅黑" w:hAnsi="微软雅黑" w:eastAsia="微软雅黑" w:cs="Times New Roman"/>
                <w:szCs w:val="24"/>
              </w:rPr>
            </w:pPr>
          </w:p>
        </w:tc>
        <w:tc>
          <w:tcPr>
            <w:tcW w:w="3179" w:type="dxa"/>
            <w:vAlign w:val="center"/>
          </w:tcPr>
          <w:p w14:paraId="4CC224F7">
            <w:pPr>
              <w:tabs>
                <w:tab w:val="left" w:pos="6300"/>
              </w:tabs>
              <w:snapToGrid w:val="0"/>
              <w:spacing w:line="360" w:lineRule="auto"/>
              <w:jc w:val="center"/>
              <w:outlineLvl w:val="0"/>
              <w:rPr>
                <w:rFonts w:ascii="微软雅黑" w:hAnsi="微软雅黑" w:eastAsia="微软雅黑" w:cs="Times New Roman"/>
                <w:szCs w:val="24"/>
              </w:rPr>
            </w:pPr>
          </w:p>
        </w:tc>
        <w:tc>
          <w:tcPr>
            <w:tcW w:w="2434" w:type="dxa"/>
            <w:vAlign w:val="center"/>
          </w:tcPr>
          <w:p w14:paraId="5FA1246B">
            <w:pPr>
              <w:tabs>
                <w:tab w:val="left" w:pos="6300"/>
              </w:tabs>
              <w:snapToGrid w:val="0"/>
              <w:spacing w:line="360" w:lineRule="auto"/>
              <w:jc w:val="center"/>
              <w:outlineLvl w:val="0"/>
              <w:rPr>
                <w:rFonts w:ascii="微软雅黑" w:hAnsi="微软雅黑" w:eastAsia="微软雅黑" w:cs="Times New Roman"/>
                <w:szCs w:val="24"/>
              </w:rPr>
            </w:pPr>
          </w:p>
        </w:tc>
        <w:tc>
          <w:tcPr>
            <w:tcW w:w="2355" w:type="dxa"/>
            <w:vAlign w:val="center"/>
          </w:tcPr>
          <w:p w14:paraId="1989C3DF">
            <w:pPr>
              <w:tabs>
                <w:tab w:val="left" w:pos="6300"/>
              </w:tabs>
              <w:snapToGrid w:val="0"/>
              <w:spacing w:line="360" w:lineRule="auto"/>
              <w:jc w:val="center"/>
              <w:outlineLvl w:val="0"/>
              <w:rPr>
                <w:rFonts w:ascii="微软雅黑" w:hAnsi="微软雅黑" w:eastAsia="微软雅黑" w:cs="Times New Roman"/>
                <w:szCs w:val="24"/>
              </w:rPr>
            </w:pPr>
          </w:p>
        </w:tc>
      </w:tr>
      <w:tr w14:paraId="25659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77EE4665">
            <w:pPr>
              <w:tabs>
                <w:tab w:val="left" w:pos="6300"/>
              </w:tabs>
              <w:snapToGrid w:val="0"/>
              <w:spacing w:line="360" w:lineRule="auto"/>
              <w:jc w:val="center"/>
              <w:outlineLvl w:val="0"/>
              <w:rPr>
                <w:rFonts w:ascii="微软雅黑" w:hAnsi="微软雅黑" w:eastAsia="微软雅黑" w:cs="Times New Roman"/>
                <w:szCs w:val="24"/>
              </w:rPr>
            </w:pPr>
          </w:p>
        </w:tc>
        <w:tc>
          <w:tcPr>
            <w:tcW w:w="3179" w:type="dxa"/>
            <w:vAlign w:val="center"/>
          </w:tcPr>
          <w:p w14:paraId="38FD0B6E">
            <w:pPr>
              <w:tabs>
                <w:tab w:val="left" w:pos="6300"/>
              </w:tabs>
              <w:snapToGrid w:val="0"/>
              <w:spacing w:line="360" w:lineRule="auto"/>
              <w:jc w:val="center"/>
              <w:outlineLvl w:val="0"/>
              <w:rPr>
                <w:rFonts w:ascii="微软雅黑" w:hAnsi="微软雅黑" w:eastAsia="微软雅黑" w:cs="Times New Roman"/>
                <w:szCs w:val="24"/>
              </w:rPr>
            </w:pPr>
          </w:p>
        </w:tc>
        <w:tc>
          <w:tcPr>
            <w:tcW w:w="2434" w:type="dxa"/>
            <w:vAlign w:val="center"/>
          </w:tcPr>
          <w:p w14:paraId="40BC246F">
            <w:pPr>
              <w:tabs>
                <w:tab w:val="left" w:pos="6300"/>
              </w:tabs>
              <w:snapToGrid w:val="0"/>
              <w:spacing w:line="360" w:lineRule="auto"/>
              <w:jc w:val="center"/>
              <w:outlineLvl w:val="0"/>
              <w:rPr>
                <w:rFonts w:ascii="微软雅黑" w:hAnsi="微软雅黑" w:eastAsia="微软雅黑" w:cs="Times New Roman"/>
                <w:szCs w:val="24"/>
              </w:rPr>
            </w:pPr>
          </w:p>
        </w:tc>
        <w:tc>
          <w:tcPr>
            <w:tcW w:w="2355" w:type="dxa"/>
            <w:vAlign w:val="center"/>
          </w:tcPr>
          <w:p w14:paraId="549CEBED">
            <w:pPr>
              <w:tabs>
                <w:tab w:val="left" w:pos="6300"/>
              </w:tabs>
              <w:snapToGrid w:val="0"/>
              <w:spacing w:line="360" w:lineRule="auto"/>
              <w:jc w:val="center"/>
              <w:outlineLvl w:val="0"/>
              <w:rPr>
                <w:rFonts w:ascii="微软雅黑" w:hAnsi="微软雅黑" w:eastAsia="微软雅黑" w:cs="Times New Roman"/>
                <w:szCs w:val="24"/>
              </w:rPr>
            </w:pPr>
          </w:p>
        </w:tc>
      </w:tr>
      <w:tr w14:paraId="27AD3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32A3691A">
            <w:pPr>
              <w:tabs>
                <w:tab w:val="left" w:pos="6300"/>
              </w:tabs>
              <w:snapToGrid w:val="0"/>
              <w:spacing w:line="360" w:lineRule="auto"/>
              <w:jc w:val="center"/>
              <w:outlineLvl w:val="0"/>
              <w:rPr>
                <w:rFonts w:ascii="微软雅黑" w:hAnsi="微软雅黑" w:eastAsia="微软雅黑" w:cs="Times New Roman"/>
                <w:szCs w:val="24"/>
              </w:rPr>
            </w:pPr>
          </w:p>
        </w:tc>
        <w:tc>
          <w:tcPr>
            <w:tcW w:w="3179" w:type="dxa"/>
            <w:vAlign w:val="center"/>
          </w:tcPr>
          <w:p w14:paraId="3E64FF50">
            <w:pPr>
              <w:tabs>
                <w:tab w:val="left" w:pos="6300"/>
              </w:tabs>
              <w:snapToGrid w:val="0"/>
              <w:spacing w:line="360" w:lineRule="auto"/>
              <w:jc w:val="center"/>
              <w:outlineLvl w:val="0"/>
              <w:rPr>
                <w:rFonts w:ascii="微软雅黑" w:hAnsi="微软雅黑" w:eastAsia="微软雅黑" w:cs="Times New Roman"/>
                <w:szCs w:val="24"/>
              </w:rPr>
            </w:pPr>
          </w:p>
        </w:tc>
        <w:tc>
          <w:tcPr>
            <w:tcW w:w="2434" w:type="dxa"/>
            <w:vAlign w:val="center"/>
          </w:tcPr>
          <w:p w14:paraId="677908BF">
            <w:pPr>
              <w:tabs>
                <w:tab w:val="left" w:pos="6300"/>
              </w:tabs>
              <w:snapToGrid w:val="0"/>
              <w:spacing w:line="360" w:lineRule="auto"/>
              <w:jc w:val="center"/>
              <w:outlineLvl w:val="0"/>
              <w:rPr>
                <w:rFonts w:ascii="微软雅黑" w:hAnsi="微软雅黑" w:eastAsia="微软雅黑" w:cs="Times New Roman"/>
                <w:szCs w:val="24"/>
              </w:rPr>
            </w:pPr>
          </w:p>
        </w:tc>
        <w:tc>
          <w:tcPr>
            <w:tcW w:w="2355" w:type="dxa"/>
            <w:vAlign w:val="center"/>
          </w:tcPr>
          <w:p w14:paraId="16596E7E">
            <w:pPr>
              <w:tabs>
                <w:tab w:val="left" w:pos="6300"/>
              </w:tabs>
              <w:snapToGrid w:val="0"/>
              <w:spacing w:line="360" w:lineRule="auto"/>
              <w:jc w:val="center"/>
              <w:outlineLvl w:val="0"/>
              <w:rPr>
                <w:rFonts w:ascii="微软雅黑" w:hAnsi="微软雅黑" w:eastAsia="微软雅黑" w:cs="Times New Roman"/>
                <w:szCs w:val="24"/>
              </w:rPr>
            </w:pPr>
          </w:p>
        </w:tc>
      </w:tr>
      <w:tr w14:paraId="00DBD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296C7D76">
            <w:pPr>
              <w:tabs>
                <w:tab w:val="left" w:pos="6300"/>
              </w:tabs>
              <w:snapToGrid w:val="0"/>
              <w:spacing w:line="360" w:lineRule="auto"/>
              <w:jc w:val="center"/>
              <w:outlineLvl w:val="0"/>
              <w:rPr>
                <w:rFonts w:ascii="微软雅黑" w:hAnsi="微软雅黑" w:eastAsia="微软雅黑" w:cs="Times New Roman"/>
                <w:szCs w:val="24"/>
              </w:rPr>
            </w:pPr>
          </w:p>
        </w:tc>
        <w:tc>
          <w:tcPr>
            <w:tcW w:w="3179" w:type="dxa"/>
            <w:vAlign w:val="center"/>
          </w:tcPr>
          <w:p w14:paraId="35AB40E4">
            <w:pPr>
              <w:tabs>
                <w:tab w:val="left" w:pos="6300"/>
              </w:tabs>
              <w:snapToGrid w:val="0"/>
              <w:spacing w:line="360" w:lineRule="auto"/>
              <w:jc w:val="center"/>
              <w:outlineLvl w:val="0"/>
              <w:rPr>
                <w:rFonts w:ascii="微软雅黑" w:hAnsi="微软雅黑" w:eastAsia="微软雅黑" w:cs="Times New Roman"/>
                <w:szCs w:val="24"/>
              </w:rPr>
            </w:pPr>
          </w:p>
        </w:tc>
        <w:tc>
          <w:tcPr>
            <w:tcW w:w="2434" w:type="dxa"/>
            <w:vAlign w:val="center"/>
          </w:tcPr>
          <w:p w14:paraId="78609249">
            <w:pPr>
              <w:tabs>
                <w:tab w:val="left" w:pos="6300"/>
              </w:tabs>
              <w:snapToGrid w:val="0"/>
              <w:spacing w:line="360" w:lineRule="auto"/>
              <w:jc w:val="center"/>
              <w:outlineLvl w:val="0"/>
              <w:rPr>
                <w:rFonts w:ascii="微软雅黑" w:hAnsi="微软雅黑" w:eastAsia="微软雅黑" w:cs="Times New Roman"/>
                <w:szCs w:val="24"/>
              </w:rPr>
            </w:pPr>
          </w:p>
        </w:tc>
        <w:tc>
          <w:tcPr>
            <w:tcW w:w="2355" w:type="dxa"/>
            <w:vAlign w:val="center"/>
          </w:tcPr>
          <w:p w14:paraId="31E09436">
            <w:pPr>
              <w:tabs>
                <w:tab w:val="left" w:pos="6300"/>
              </w:tabs>
              <w:snapToGrid w:val="0"/>
              <w:spacing w:line="360" w:lineRule="auto"/>
              <w:jc w:val="center"/>
              <w:outlineLvl w:val="0"/>
              <w:rPr>
                <w:rFonts w:ascii="微软雅黑" w:hAnsi="微软雅黑" w:eastAsia="微软雅黑" w:cs="Times New Roman"/>
                <w:szCs w:val="24"/>
              </w:rPr>
            </w:pPr>
          </w:p>
        </w:tc>
      </w:tr>
      <w:tr w14:paraId="3E97F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14:paraId="578EAD00">
            <w:pPr>
              <w:tabs>
                <w:tab w:val="left" w:pos="6300"/>
              </w:tabs>
              <w:snapToGrid w:val="0"/>
              <w:spacing w:line="360" w:lineRule="auto"/>
              <w:jc w:val="center"/>
              <w:outlineLvl w:val="0"/>
              <w:rPr>
                <w:rFonts w:ascii="微软雅黑" w:hAnsi="微软雅黑" w:eastAsia="微软雅黑" w:cs="Times New Roman"/>
                <w:szCs w:val="24"/>
              </w:rPr>
            </w:pPr>
          </w:p>
        </w:tc>
        <w:tc>
          <w:tcPr>
            <w:tcW w:w="3179" w:type="dxa"/>
            <w:vAlign w:val="center"/>
          </w:tcPr>
          <w:p w14:paraId="26387719">
            <w:pPr>
              <w:tabs>
                <w:tab w:val="left" w:pos="6300"/>
              </w:tabs>
              <w:snapToGrid w:val="0"/>
              <w:spacing w:line="360" w:lineRule="auto"/>
              <w:jc w:val="center"/>
              <w:outlineLvl w:val="0"/>
              <w:rPr>
                <w:rFonts w:ascii="微软雅黑" w:hAnsi="微软雅黑" w:eastAsia="微软雅黑" w:cs="Times New Roman"/>
                <w:szCs w:val="24"/>
              </w:rPr>
            </w:pPr>
          </w:p>
        </w:tc>
        <w:tc>
          <w:tcPr>
            <w:tcW w:w="2434" w:type="dxa"/>
            <w:vAlign w:val="center"/>
          </w:tcPr>
          <w:p w14:paraId="6603E1EE">
            <w:pPr>
              <w:tabs>
                <w:tab w:val="left" w:pos="6300"/>
              </w:tabs>
              <w:snapToGrid w:val="0"/>
              <w:spacing w:line="360" w:lineRule="auto"/>
              <w:jc w:val="center"/>
              <w:outlineLvl w:val="0"/>
              <w:rPr>
                <w:rFonts w:ascii="微软雅黑" w:hAnsi="微软雅黑" w:eastAsia="微软雅黑" w:cs="Times New Roman"/>
                <w:szCs w:val="24"/>
              </w:rPr>
            </w:pPr>
          </w:p>
        </w:tc>
        <w:tc>
          <w:tcPr>
            <w:tcW w:w="2355" w:type="dxa"/>
            <w:vAlign w:val="center"/>
          </w:tcPr>
          <w:p w14:paraId="6538490A">
            <w:pPr>
              <w:tabs>
                <w:tab w:val="left" w:pos="6300"/>
              </w:tabs>
              <w:snapToGrid w:val="0"/>
              <w:spacing w:line="360" w:lineRule="auto"/>
              <w:jc w:val="center"/>
              <w:outlineLvl w:val="0"/>
              <w:rPr>
                <w:rFonts w:ascii="微软雅黑" w:hAnsi="微软雅黑" w:eastAsia="微软雅黑" w:cs="Times New Roman"/>
                <w:szCs w:val="24"/>
              </w:rPr>
            </w:pPr>
          </w:p>
        </w:tc>
      </w:tr>
    </w:tbl>
    <w:p w14:paraId="7602C772">
      <w:pPr>
        <w:snapToGrid w:val="0"/>
        <w:spacing w:line="360" w:lineRule="auto"/>
        <w:rPr>
          <w:rFonts w:ascii="微软雅黑" w:hAnsi="微软雅黑" w:eastAsia="微软雅黑" w:cs="Times New Roman"/>
          <w:sz w:val="24"/>
          <w:szCs w:val="24"/>
        </w:rPr>
      </w:pPr>
    </w:p>
    <w:p w14:paraId="62DE9160">
      <w:pPr>
        <w:spacing w:line="500" w:lineRule="exact"/>
        <w:rPr>
          <w:rFonts w:ascii="微软雅黑" w:hAnsi="微软雅黑" w:eastAsia="微软雅黑" w:cs="Times New Roman"/>
          <w:sz w:val="24"/>
          <w:szCs w:val="28"/>
        </w:rPr>
      </w:pPr>
      <w:r>
        <w:rPr>
          <w:rFonts w:hint="eastAsia" w:ascii="微软雅黑" w:hAnsi="微软雅黑" w:eastAsia="微软雅黑" w:cs="Times New Roman"/>
          <w:sz w:val="24"/>
          <w:szCs w:val="28"/>
        </w:rPr>
        <w:t>投标人：                                      法人授权代表：</w:t>
      </w:r>
    </w:p>
    <w:p w14:paraId="59A8E24D">
      <w:pPr>
        <w:spacing w:line="500" w:lineRule="exact"/>
        <w:rPr>
          <w:rFonts w:ascii="微软雅黑" w:hAnsi="微软雅黑" w:eastAsia="微软雅黑" w:cs="Times New Roman"/>
          <w:sz w:val="24"/>
          <w:szCs w:val="28"/>
        </w:rPr>
      </w:pPr>
      <w:r>
        <w:rPr>
          <w:rFonts w:hint="eastAsia" w:ascii="微软雅黑" w:hAnsi="微软雅黑" w:eastAsia="微软雅黑" w:cs="Times New Roman"/>
          <w:sz w:val="24"/>
          <w:szCs w:val="28"/>
        </w:rPr>
        <w:t xml:space="preserve">    </w:t>
      </w:r>
    </w:p>
    <w:p w14:paraId="3F1E7DDD">
      <w:pPr>
        <w:spacing w:line="500" w:lineRule="exact"/>
        <w:rPr>
          <w:rFonts w:ascii="微软雅黑" w:hAnsi="微软雅黑" w:eastAsia="微软雅黑" w:cs="Times New Roman"/>
          <w:sz w:val="24"/>
          <w:szCs w:val="28"/>
        </w:rPr>
      </w:pPr>
      <w:r>
        <w:rPr>
          <w:rFonts w:hint="eastAsia" w:ascii="微软雅黑" w:hAnsi="微软雅黑" w:eastAsia="微软雅黑" w:cs="Times New Roman"/>
          <w:sz w:val="24"/>
          <w:szCs w:val="28"/>
        </w:rPr>
        <w:t>（投标人公章）                                 （签字或盖章）</w:t>
      </w:r>
    </w:p>
    <w:p w14:paraId="54D33895">
      <w:pPr>
        <w:tabs>
          <w:tab w:val="left" w:pos="6300"/>
        </w:tabs>
        <w:snapToGrid w:val="0"/>
        <w:spacing w:line="500" w:lineRule="exact"/>
        <w:rPr>
          <w:rFonts w:ascii="微软雅黑" w:hAnsi="微软雅黑" w:eastAsia="微软雅黑" w:cs="Times New Roman"/>
          <w:sz w:val="24"/>
          <w:szCs w:val="20"/>
        </w:rPr>
      </w:pPr>
      <w:r>
        <w:rPr>
          <w:rFonts w:hint="eastAsia" w:ascii="微软雅黑" w:hAnsi="微软雅黑" w:eastAsia="微软雅黑" w:cs="Times New Roman"/>
          <w:sz w:val="24"/>
          <w:szCs w:val="28"/>
        </w:rPr>
        <w:t xml:space="preserve">                                            年     月     日</w:t>
      </w:r>
    </w:p>
    <w:p w14:paraId="6B87976D">
      <w:pPr>
        <w:tabs>
          <w:tab w:val="left" w:pos="6300"/>
        </w:tabs>
        <w:snapToGrid w:val="0"/>
        <w:spacing w:line="500" w:lineRule="exact"/>
        <w:rPr>
          <w:rFonts w:ascii="微软雅黑" w:hAnsi="微软雅黑" w:eastAsia="微软雅黑" w:cs="Times New Roman"/>
          <w:sz w:val="24"/>
          <w:szCs w:val="20"/>
        </w:rPr>
      </w:pPr>
      <w:r>
        <w:rPr>
          <w:rFonts w:hint="eastAsia" w:ascii="微软雅黑" w:hAnsi="微软雅黑" w:eastAsia="微软雅黑" w:cs="Times New Roman"/>
          <w:sz w:val="24"/>
          <w:szCs w:val="20"/>
        </w:rPr>
        <w:t>注：</w:t>
      </w:r>
    </w:p>
    <w:p w14:paraId="7B395F25">
      <w:pPr>
        <w:tabs>
          <w:tab w:val="left" w:pos="6300"/>
        </w:tabs>
        <w:snapToGrid w:val="0"/>
        <w:spacing w:line="500" w:lineRule="exact"/>
        <w:rPr>
          <w:rFonts w:ascii="微软雅黑" w:hAnsi="微软雅黑" w:eastAsia="微软雅黑" w:cs="Times New Roman"/>
          <w:sz w:val="24"/>
          <w:szCs w:val="20"/>
        </w:rPr>
      </w:pPr>
      <w:r>
        <w:rPr>
          <w:rFonts w:hint="eastAsia" w:ascii="微软雅黑" w:hAnsi="微软雅黑" w:eastAsia="微软雅黑" w:cs="Times New Roman"/>
          <w:sz w:val="24"/>
          <w:szCs w:val="24"/>
        </w:rPr>
        <w:t>1</w:t>
      </w:r>
      <w:r>
        <w:rPr>
          <w:rFonts w:hint="eastAsia" w:ascii="微软雅黑" w:hAnsi="微软雅黑" w:eastAsia="微软雅黑" w:cs="Times New Roman"/>
          <w:sz w:val="24"/>
          <w:szCs w:val="20"/>
        </w:rPr>
        <w:t>、本表即为对本项目“第三篇 商务需求”中所列服务要求进行比较和响应；</w:t>
      </w:r>
    </w:p>
    <w:p w14:paraId="617D05D0">
      <w:pPr>
        <w:tabs>
          <w:tab w:val="left" w:pos="6300"/>
        </w:tabs>
        <w:snapToGrid w:val="0"/>
        <w:spacing w:line="500" w:lineRule="exact"/>
        <w:rPr>
          <w:rFonts w:ascii="微软雅黑" w:hAnsi="微软雅黑" w:eastAsia="微软雅黑" w:cs="Times New Roman"/>
          <w:sz w:val="24"/>
          <w:szCs w:val="20"/>
        </w:rPr>
      </w:pPr>
      <w:r>
        <w:rPr>
          <w:rFonts w:hint="eastAsia" w:ascii="微软雅黑" w:hAnsi="微软雅黑" w:eastAsia="微软雅黑" w:cs="Times New Roman"/>
          <w:sz w:val="24"/>
          <w:szCs w:val="20"/>
        </w:rPr>
        <w:t>2、该表必须按照竞争性谈判要求逐条如实填写，根据响应情况在“差异说明”项填写正偏离或负偏离及原因，完全符合的填写“无差异”；</w:t>
      </w:r>
    </w:p>
    <w:p w14:paraId="6444285E">
      <w:pPr>
        <w:tabs>
          <w:tab w:val="left" w:pos="6300"/>
        </w:tabs>
        <w:snapToGrid w:val="0"/>
        <w:spacing w:line="500" w:lineRule="exact"/>
        <w:rPr>
          <w:rFonts w:ascii="微软雅黑" w:hAnsi="微软雅黑" w:eastAsia="微软雅黑" w:cs="Times New Roman"/>
          <w:sz w:val="24"/>
          <w:szCs w:val="20"/>
        </w:rPr>
      </w:pPr>
      <w:r>
        <w:rPr>
          <w:rFonts w:hint="eastAsia" w:ascii="微软雅黑" w:hAnsi="微软雅黑" w:eastAsia="微软雅黑" w:cs="Times New Roman"/>
          <w:sz w:val="24"/>
          <w:szCs w:val="20"/>
        </w:rPr>
        <w:t>3、该表可扩展</w:t>
      </w:r>
      <w:r>
        <w:rPr>
          <w:rFonts w:hint="eastAsia" w:ascii="微软雅黑" w:hAnsi="微软雅黑" w:eastAsia="微软雅黑" w:cs="Times New Roman"/>
          <w:sz w:val="24"/>
          <w:szCs w:val="28"/>
        </w:rPr>
        <w:t>，并逐页签字或盖章</w:t>
      </w:r>
      <w:r>
        <w:rPr>
          <w:rFonts w:hint="eastAsia" w:ascii="微软雅黑" w:hAnsi="微软雅黑" w:eastAsia="微软雅黑" w:cs="Times New Roman"/>
          <w:sz w:val="24"/>
          <w:szCs w:val="20"/>
        </w:rPr>
        <w:t>；</w:t>
      </w:r>
    </w:p>
    <w:p w14:paraId="79856487">
      <w:pPr>
        <w:widowControl/>
        <w:jc w:val="left"/>
        <w:rPr>
          <w:rFonts w:ascii="微软雅黑" w:hAnsi="微软雅黑" w:eastAsia="微软雅黑" w:cs="Times New Roman"/>
          <w:sz w:val="24"/>
          <w:szCs w:val="20"/>
        </w:rPr>
      </w:pPr>
      <w:r>
        <w:rPr>
          <w:rFonts w:ascii="微软雅黑" w:hAnsi="微软雅黑" w:eastAsia="微软雅黑" w:cs="Times New Roman"/>
          <w:sz w:val="24"/>
          <w:szCs w:val="20"/>
        </w:rPr>
        <w:br w:type="page"/>
      </w:r>
    </w:p>
    <w:p w14:paraId="3AF9CEEE">
      <w:pPr>
        <w:tabs>
          <w:tab w:val="left" w:pos="6300"/>
        </w:tabs>
        <w:snapToGrid w:val="0"/>
        <w:spacing w:line="500" w:lineRule="exact"/>
        <w:rPr>
          <w:rFonts w:ascii="微软雅黑" w:hAnsi="微软雅黑" w:eastAsia="微软雅黑" w:cs="Times New Roman"/>
          <w:sz w:val="24"/>
          <w:szCs w:val="20"/>
        </w:rPr>
      </w:pPr>
    </w:p>
    <w:bookmarkEnd w:id="1130"/>
    <w:p w14:paraId="1963AC98">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（四）其他所需提交资料</w:t>
      </w:r>
    </w:p>
    <w:p w14:paraId="4BE058CD">
      <w:pPr>
        <w:snapToGrid w:val="0"/>
        <w:spacing w:line="440" w:lineRule="exact"/>
        <w:rPr>
          <w:rFonts w:ascii="微软雅黑" w:hAnsi="微软雅黑" w:eastAsia="微软雅黑" w:cs="Times New Roman"/>
          <w:sz w:val="24"/>
          <w:szCs w:val="24"/>
        </w:rPr>
      </w:pPr>
      <w:r>
        <w:rPr>
          <w:rFonts w:hint="eastAsia" w:ascii="微软雅黑" w:hAnsi="微软雅黑" w:eastAsia="微软雅黑" w:cs="Times New Roman"/>
          <w:sz w:val="24"/>
          <w:szCs w:val="24"/>
        </w:rPr>
        <w:t>（五）其他所需提交的技术资料</w:t>
      </w:r>
    </w:p>
    <w:p w14:paraId="1DBA6A0A">
      <w:pPr>
        <w:snapToGrid w:val="0"/>
        <w:spacing w:line="440" w:lineRule="exact"/>
        <w:rPr>
          <w:rFonts w:ascii="微软雅黑" w:hAnsi="微软雅黑" w:eastAsia="微软雅黑" w:cs="Times New Roman"/>
          <w:sz w:val="24"/>
          <w:szCs w:val="24"/>
        </w:rPr>
      </w:pPr>
    </w:p>
    <w:p w14:paraId="0B2B2F05">
      <w:pPr>
        <w:spacing w:line="460" w:lineRule="exact"/>
        <w:jc w:val="center"/>
        <w:rPr>
          <w:rFonts w:ascii="微软雅黑" w:hAnsi="微软雅黑" w:eastAsia="微软雅黑" w:cs="宋体"/>
          <w:b/>
          <w:kern w:val="44"/>
          <w:sz w:val="48"/>
          <w:szCs w:val="48"/>
        </w:rPr>
      </w:pPr>
      <w:r>
        <w:rPr>
          <w:rFonts w:hint="eastAsia" w:ascii="微软雅黑" w:hAnsi="微软雅黑" w:eastAsia="微软雅黑" w:cs="宋体"/>
          <w:b/>
          <w:kern w:val="44"/>
          <w:sz w:val="48"/>
          <w:szCs w:val="48"/>
        </w:rPr>
        <w:t>最终报价函</w:t>
      </w:r>
    </w:p>
    <w:p w14:paraId="6E25EBA9">
      <w:pPr>
        <w:spacing w:line="400" w:lineRule="exact"/>
        <w:rPr>
          <w:rFonts w:ascii="微软雅黑" w:hAnsi="微软雅黑" w:eastAsia="微软雅黑" w:cs="宋体"/>
          <w:sz w:val="28"/>
        </w:rPr>
      </w:pPr>
    </w:p>
    <w:p w14:paraId="10763CA4">
      <w:pPr>
        <w:spacing w:line="400" w:lineRule="exact"/>
        <w:rPr>
          <w:rFonts w:ascii="微软雅黑" w:hAnsi="微软雅黑" w:eastAsia="微软雅黑" w:cs="宋体"/>
          <w:b/>
          <w:bCs/>
          <w:sz w:val="28"/>
        </w:rPr>
      </w:pPr>
      <w:r>
        <w:rPr>
          <w:rFonts w:hint="eastAsia" w:ascii="微软雅黑" w:hAnsi="微软雅黑" w:eastAsia="微软雅黑" w:cs="宋体"/>
          <w:b/>
          <w:bCs/>
          <w:sz w:val="28"/>
          <w:u w:val="single"/>
        </w:rPr>
        <w:t>重庆市射击运动学校</w:t>
      </w:r>
      <w:r>
        <w:rPr>
          <w:rFonts w:hint="eastAsia" w:ascii="微软雅黑" w:hAnsi="微软雅黑" w:eastAsia="微软雅黑" w:cs="宋体"/>
          <w:b/>
          <w:bCs/>
          <w:sz w:val="28"/>
        </w:rPr>
        <w:t>：</w:t>
      </w:r>
      <w:r>
        <w:rPr>
          <w:rFonts w:hint="eastAsia" w:ascii="微软雅黑" w:hAnsi="微软雅黑" w:eastAsia="微软雅黑" w:cs="宋体"/>
          <w:b/>
          <w:sz w:val="28"/>
          <w:szCs w:val="28"/>
        </w:rPr>
        <w:t xml:space="preserve"> </w:t>
      </w:r>
    </w:p>
    <w:p w14:paraId="1E18F620">
      <w:pPr>
        <w:spacing w:line="460" w:lineRule="exact"/>
        <w:ind w:firstLine="560" w:firstLineChars="200"/>
        <w:rPr>
          <w:rFonts w:ascii="微软雅黑" w:hAnsi="微软雅黑" w:eastAsia="微软雅黑" w:cs="宋体"/>
          <w:sz w:val="28"/>
        </w:rPr>
      </w:pPr>
      <w:r>
        <w:rPr>
          <w:rFonts w:hint="eastAsia" w:ascii="微软雅黑" w:hAnsi="微软雅黑" w:eastAsia="微软雅黑" w:cs="宋体"/>
          <w:b/>
          <w:bCs/>
          <w:sz w:val="28"/>
        </w:rPr>
        <w:t xml:space="preserve"> </w:t>
      </w:r>
      <w:r>
        <w:rPr>
          <w:rFonts w:hint="eastAsia" w:ascii="微软雅黑" w:hAnsi="微软雅黑" w:eastAsia="微软雅黑" w:cs="宋体"/>
          <w:sz w:val="28"/>
        </w:rPr>
        <w:t>我方收到“</w:t>
      </w:r>
      <w:r>
        <w:rPr>
          <w:rFonts w:hint="eastAsia" w:ascii="微软雅黑" w:hAnsi="微软雅黑" w:eastAsia="微软雅黑" w:cs="宋体"/>
          <w:sz w:val="28"/>
          <w:u w:val="single"/>
        </w:rPr>
        <w:t>重庆市射击运动学校射击馆维修工程</w:t>
      </w:r>
      <w:r>
        <w:rPr>
          <w:rFonts w:hint="eastAsia" w:ascii="微软雅黑" w:hAnsi="微软雅黑" w:eastAsia="微软雅黑" w:cs="宋体"/>
          <w:sz w:val="28"/>
        </w:rPr>
        <w:t>”竞争性谈判文件，特指派本人为谈判代表（以授权书为依据），按照谈判文件的要求和相关规定参加该项目的开标会议。根据项目开标会议明确的相关要求，经慎重考虑，在公司授权范围内，本人代表公司郑重做出以下承诺：</w:t>
      </w:r>
    </w:p>
    <w:p w14:paraId="76E6223C">
      <w:pPr>
        <w:spacing w:line="460" w:lineRule="exact"/>
        <w:ind w:firstLine="560" w:firstLineChars="200"/>
        <w:rPr>
          <w:rFonts w:ascii="微软雅黑" w:hAnsi="微软雅黑" w:eastAsia="微软雅黑" w:cs="宋体"/>
          <w:sz w:val="28"/>
        </w:rPr>
      </w:pPr>
      <w:r>
        <w:rPr>
          <w:rFonts w:hint="eastAsia" w:ascii="微软雅黑" w:hAnsi="微软雅黑" w:eastAsia="微软雅黑" w:cs="宋体"/>
          <w:sz w:val="28"/>
        </w:rPr>
        <w:t>1、本公司对竞争性文件、响应文件、同项目谈判小组在谈判过程中就有关问题达成的一致意见等所有内容，本公司均予以确认。</w:t>
      </w:r>
    </w:p>
    <w:p w14:paraId="2B7DE044">
      <w:pPr>
        <w:spacing w:line="460" w:lineRule="exact"/>
        <w:ind w:firstLine="560" w:firstLineChars="200"/>
        <w:rPr>
          <w:rFonts w:ascii="微软雅黑" w:hAnsi="微软雅黑" w:eastAsia="微软雅黑" w:cs="宋体"/>
          <w:sz w:val="28"/>
        </w:rPr>
      </w:pPr>
      <w:r>
        <w:rPr>
          <w:rFonts w:hint="eastAsia" w:ascii="微软雅黑" w:hAnsi="微软雅黑" w:eastAsia="微软雅黑" w:cs="宋体"/>
          <w:sz w:val="28"/>
        </w:rPr>
        <w:t>2、按谈判小组在开标会议上明确的各项要求，本人经请示公司领导同意并代表本公司做出项目最终报价（人民币）如下：</w:t>
      </w:r>
    </w:p>
    <w:p w14:paraId="10530AD3">
      <w:pPr>
        <w:spacing w:line="460" w:lineRule="exact"/>
        <w:ind w:firstLine="560" w:firstLineChars="200"/>
        <w:rPr>
          <w:rFonts w:ascii="微软雅黑" w:hAnsi="微软雅黑" w:eastAsia="微软雅黑" w:cs="宋体"/>
          <w:sz w:val="28"/>
        </w:rPr>
      </w:pPr>
      <w:r>
        <w:rPr>
          <w:rFonts w:hint="eastAsia" w:ascii="微软雅黑" w:hAnsi="微软雅黑" w:eastAsia="微软雅黑" w:cs="宋体"/>
          <w:sz w:val="28"/>
        </w:rPr>
        <w:t>最终报价金额为：</w:t>
      </w:r>
      <w:r>
        <w:rPr>
          <w:rFonts w:hint="eastAsia" w:ascii="微软雅黑" w:hAnsi="微软雅黑" w:eastAsia="微软雅黑" w:cs="宋体"/>
          <w:sz w:val="28"/>
          <w:u w:val="single"/>
        </w:rPr>
        <w:t xml:space="preserve">                    </w:t>
      </w:r>
      <w:r>
        <w:rPr>
          <w:rFonts w:hint="eastAsia" w:ascii="微软雅黑" w:hAnsi="微软雅黑" w:eastAsia="微软雅黑" w:cs="宋体"/>
          <w:sz w:val="28"/>
        </w:rPr>
        <w:t>元。</w:t>
      </w:r>
    </w:p>
    <w:p w14:paraId="62214692">
      <w:pPr>
        <w:spacing w:line="400" w:lineRule="exact"/>
        <w:ind w:firstLine="560" w:firstLineChars="200"/>
        <w:rPr>
          <w:rFonts w:ascii="微软雅黑" w:hAnsi="微软雅黑" w:eastAsia="微软雅黑" w:cs="宋体"/>
          <w:sz w:val="28"/>
        </w:rPr>
      </w:pPr>
    </w:p>
    <w:p w14:paraId="5ED4E48B">
      <w:pPr>
        <w:spacing w:line="400" w:lineRule="exact"/>
        <w:ind w:firstLine="560" w:firstLineChars="200"/>
        <w:rPr>
          <w:rFonts w:ascii="微软雅黑" w:hAnsi="微软雅黑" w:eastAsia="微软雅黑" w:cs="宋体"/>
          <w:sz w:val="28"/>
        </w:rPr>
      </w:pPr>
    </w:p>
    <w:p w14:paraId="3157F41D">
      <w:pPr>
        <w:spacing w:line="460" w:lineRule="exact"/>
        <w:ind w:firstLine="560" w:firstLineChars="200"/>
        <w:rPr>
          <w:rFonts w:ascii="微软雅黑" w:hAnsi="微软雅黑" w:eastAsia="微软雅黑" w:cs="宋体"/>
          <w:sz w:val="28"/>
        </w:rPr>
      </w:pPr>
      <w:r>
        <w:rPr>
          <w:rFonts w:hint="eastAsia" w:ascii="微软雅黑" w:hAnsi="微软雅黑" w:eastAsia="微软雅黑" w:cs="宋体"/>
          <w:sz w:val="28"/>
        </w:rPr>
        <w:t>法定代表人（或代理人）签名或盖章：</w:t>
      </w:r>
    </w:p>
    <w:p w14:paraId="53ADD87D">
      <w:pPr>
        <w:spacing w:line="460" w:lineRule="exact"/>
        <w:ind w:firstLine="560" w:firstLineChars="200"/>
        <w:rPr>
          <w:rFonts w:ascii="微软雅黑" w:hAnsi="微软雅黑" w:eastAsia="微软雅黑" w:cs="宋体"/>
          <w:sz w:val="28"/>
        </w:rPr>
      </w:pPr>
      <w:r>
        <w:rPr>
          <w:rFonts w:hint="eastAsia" w:ascii="微软雅黑" w:hAnsi="微软雅黑" w:eastAsia="微软雅黑" w:cs="宋体"/>
          <w:sz w:val="28"/>
        </w:rPr>
        <w:t>法定代表人（或代理人）联系电话：</w:t>
      </w:r>
    </w:p>
    <w:p w14:paraId="59CD05AE">
      <w:pPr>
        <w:spacing w:line="460" w:lineRule="exact"/>
        <w:rPr>
          <w:rFonts w:ascii="微软雅黑" w:hAnsi="微软雅黑" w:eastAsia="微软雅黑" w:cs="宋体"/>
          <w:sz w:val="28"/>
        </w:rPr>
      </w:pPr>
    </w:p>
    <w:p w14:paraId="4C54A54D">
      <w:pPr>
        <w:spacing w:line="460" w:lineRule="exact"/>
        <w:ind w:firstLine="560" w:firstLineChars="200"/>
        <w:rPr>
          <w:rFonts w:ascii="微软雅黑" w:hAnsi="微软雅黑" w:eastAsia="微软雅黑" w:cs="宋体"/>
          <w:sz w:val="28"/>
        </w:rPr>
      </w:pPr>
    </w:p>
    <w:p w14:paraId="52E36F15">
      <w:pPr>
        <w:spacing w:line="460" w:lineRule="exact"/>
        <w:ind w:firstLine="977" w:firstLineChars="349"/>
        <w:jc w:val="center"/>
        <w:rPr>
          <w:rFonts w:ascii="微软雅黑" w:hAnsi="微软雅黑" w:eastAsia="微软雅黑" w:cs="宋体"/>
          <w:sz w:val="28"/>
        </w:rPr>
      </w:pPr>
      <w:r>
        <w:rPr>
          <w:rFonts w:hint="eastAsia" w:ascii="微软雅黑" w:hAnsi="微软雅黑" w:eastAsia="微软雅黑" w:cs="宋体"/>
          <w:sz w:val="28"/>
        </w:rPr>
        <w:t>投标人（公章）：</w:t>
      </w:r>
    </w:p>
    <w:p w14:paraId="66E36E33">
      <w:pPr>
        <w:spacing w:line="460" w:lineRule="exact"/>
        <w:ind w:firstLine="1394" w:firstLineChars="498"/>
        <w:jc w:val="center"/>
        <w:rPr>
          <w:rFonts w:ascii="微软雅黑" w:hAnsi="微软雅黑" w:eastAsia="微软雅黑" w:cs="宋体"/>
          <w:sz w:val="28"/>
        </w:rPr>
      </w:pPr>
      <w:r>
        <w:rPr>
          <w:rFonts w:hint="eastAsia" w:ascii="微软雅黑" w:hAnsi="微软雅黑" w:eastAsia="微软雅黑" w:cs="宋体"/>
          <w:sz w:val="28"/>
        </w:rPr>
        <w:t>年  月  日</w:t>
      </w:r>
    </w:p>
    <w:p w14:paraId="0E6A3455">
      <w:pPr>
        <w:pStyle w:val="20"/>
        <w:rPr>
          <w:rFonts w:ascii="微软雅黑" w:hAnsi="微软雅黑" w:eastAsia="微软雅黑" w:cs="宋体"/>
          <w:sz w:val="28"/>
        </w:rPr>
      </w:pPr>
    </w:p>
    <w:p w14:paraId="2DC49767">
      <w:pPr>
        <w:pStyle w:val="20"/>
        <w:rPr>
          <w:rFonts w:ascii="微软雅黑" w:hAnsi="微软雅黑" w:eastAsia="微软雅黑"/>
        </w:rPr>
      </w:pPr>
      <w:r>
        <w:rPr>
          <w:rFonts w:hint="eastAsia" w:ascii="微软雅黑" w:hAnsi="微软雅黑" w:eastAsia="微软雅黑" w:cs="宋体"/>
          <w:sz w:val="28"/>
        </w:rPr>
        <w:t>注：此《最终报价函》由投标人加盖鲜章后携带到开标会议现场，用于本公司做最后报价。</w:t>
      </w:r>
    </w:p>
    <w:p w14:paraId="05C708AD">
      <w:pPr>
        <w:pStyle w:val="20"/>
        <w:rPr>
          <w:rFonts w:ascii="微软雅黑" w:hAnsi="微软雅黑" w:eastAsia="微软雅黑"/>
        </w:rPr>
      </w:pPr>
      <w:r>
        <w:rPr>
          <w:rFonts w:hint="eastAsia" w:ascii="微软雅黑" w:hAnsi="微软雅黑" w:eastAsia="微软雅黑" w:cs="宋体"/>
          <w:sz w:val="28"/>
        </w:rPr>
        <w:t xml:space="preserve">                              （完结）</w:t>
      </w:r>
    </w:p>
    <w:p w14:paraId="0C786119">
      <w:pPr>
        <w:spacing w:line="360" w:lineRule="auto"/>
        <w:rPr>
          <w:rFonts w:ascii="微软雅黑" w:hAnsi="微软雅黑" w:eastAsia="微软雅黑" w:cs="Times New Roman"/>
          <w:sz w:val="24"/>
          <w:szCs w:val="24"/>
        </w:rPr>
      </w:pPr>
    </w:p>
    <w:p w14:paraId="65ADEE13">
      <w:pPr>
        <w:rPr>
          <w:rFonts w:ascii="微软雅黑" w:hAnsi="微软雅黑" w:eastAsia="微软雅黑" w:cs="Times New Roman"/>
          <w:sz w:val="28"/>
          <w:szCs w:val="20"/>
        </w:rPr>
      </w:pPr>
      <w:r>
        <w:rPr>
          <w:rFonts w:hint="eastAsia" w:ascii="微软雅黑" w:hAnsi="微软雅黑" w:eastAsia="微软雅黑" w:cs="Times New Roman"/>
          <w:b/>
          <w:sz w:val="36"/>
          <w:szCs w:val="30"/>
        </w:rPr>
        <w:t xml:space="preserve">                结     束</w:t>
      </w:r>
    </w:p>
    <w:p w14:paraId="0D8BBDD5">
      <w:pPr>
        <w:rPr>
          <w:rFonts w:ascii="微软雅黑" w:hAnsi="微软雅黑" w:eastAsia="微软雅黑"/>
        </w:rPr>
      </w:pPr>
    </w:p>
    <w:sectPr>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roma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简体">
    <w:panose1 w:val="02000000000000000000"/>
    <w:charset w:val="86"/>
    <w:family w:val="auto"/>
    <w:pitch w:val="default"/>
    <w:sig w:usb0="00000001" w:usb1="08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方正书宋简体">
    <w:altName w:val="宋体"/>
    <w:panose1 w:val="00000000000000000000"/>
    <w:charset w:val="86"/>
    <w:family w:val="script"/>
    <w:pitch w:val="default"/>
    <w:sig w:usb0="00000000" w:usb1="00000000" w:usb2="0000001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19DBB">
    <w:pPr>
      <w:pStyle w:val="34"/>
      <w:jc w:val="center"/>
    </w:pPr>
    <w:r>
      <w:fldChar w:fldCharType="begin"/>
    </w:r>
    <w:r>
      <w:instrText xml:space="preserve">PAGE   \* MERGEFORMAT</w:instrText>
    </w:r>
    <w:r>
      <w:fldChar w:fldCharType="separate"/>
    </w:r>
    <w:r>
      <w:rPr>
        <w:lang w:val="zh-CN"/>
      </w:rPr>
      <w:t>-</w:t>
    </w:r>
    <w:r>
      <w:t xml:space="preserve"> 15 -</w:t>
    </w:r>
    <w:r>
      <w:rPr>
        <w:lang w:val="zh-CN"/>
      </w:rPr>
      <w:fldChar w:fldCharType="end"/>
    </w:r>
  </w:p>
  <w:p w14:paraId="01BE43D9">
    <w:pPr>
      <w:pStyle w:val="34"/>
      <w:jc w:val="center"/>
    </w:pPr>
  </w:p>
  <w:p w14:paraId="39EC5D91">
    <w:pPr>
      <w:pStyle w:val="3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AF619">
    <w:pPr>
      <w:pStyle w:val="3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pStyle w:val="28"/>
      <w:lvlText w:val="%1．"/>
      <w:lvlJc w:val="left"/>
      <w:pPr>
        <w:ind w:left="360" w:hanging="360"/>
      </w:pPr>
      <w:rPr>
        <w:rFonts w:hint="default"/>
      </w:rPr>
    </w:lvl>
    <w:lvl w:ilvl="1" w:tentative="0">
      <w:start w:val="1"/>
      <w:numFmt w:val="decimal"/>
      <w:lvlText w:val="2.%2"/>
      <w:lvlJc w:val="left"/>
      <w:pPr>
        <w:ind w:left="1068" w:hanging="360"/>
      </w:pPr>
      <w:rPr>
        <w:rFonts w:hint="default"/>
      </w:rPr>
    </w:lvl>
    <w:lvl w:ilvl="2" w:tentative="0">
      <w:start w:val="1"/>
      <w:numFmt w:val="decimal"/>
      <w:lvlText w:val="%1.%2.%3"/>
      <w:lvlJc w:val="left"/>
      <w:pPr>
        <w:ind w:left="2136" w:hanging="720"/>
      </w:pPr>
      <w:rPr>
        <w:rFonts w:hint="default"/>
      </w:rPr>
    </w:lvl>
    <w:lvl w:ilvl="3" w:tentative="0">
      <w:start w:val="1"/>
      <w:numFmt w:val="decimal"/>
      <w:lvlText w:val="%1.%2.%3.%4"/>
      <w:lvlJc w:val="left"/>
      <w:pPr>
        <w:ind w:left="3204" w:hanging="1080"/>
      </w:pPr>
      <w:rPr>
        <w:rFonts w:hint="default"/>
      </w:rPr>
    </w:lvl>
    <w:lvl w:ilvl="4" w:tentative="0">
      <w:start w:val="1"/>
      <w:numFmt w:val="decimal"/>
      <w:lvlText w:val="%1.%2.%3.%4.%5"/>
      <w:lvlJc w:val="left"/>
      <w:pPr>
        <w:ind w:left="3912" w:hanging="1080"/>
      </w:pPr>
      <w:rPr>
        <w:rFonts w:hint="default"/>
      </w:rPr>
    </w:lvl>
    <w:lvl w:ilvl="5" w:tentative="0">
      <w:start w:val="1"/>
      <w:numFmt w:val="decimal"/>
      <w:lvlText w:val="%1.%2.%3.%4.%5.%6"/>
      <w:lvlJc w:val="left"/>
      <w:pPr>
        <w:ind w:left="4980" w:hanging="1440"/>
      </w:pPr>
      <w:rPr>
        <w:rFonts w:hint="default"/>
      </w:rPr>
    </w:lvl>
    <w:lvl w:ilvl="6" w:tentative="0">
      <w:start w:val="1"/>
      <w:numFmt w:val="decimal"/>
      <w:lvlText w:val="%1.%2.%3.%4.%5.%6.%7"/>
      <w:lvlJc w:val="left"/>
      <w:pPr>
        <w:ind w:left="5688" w:hanging="1440"/>
      </w:pPr>
      <w:rPr>
        <w:rFonts w:hint="default"/>
      </w:rPr>
    </w:lvl>
    <w:lvl w:ilvl="7" w:tentative="0">
      <w:start w:val="1"/>
      <w:numFmt w:val="decimal"/>
      <w:lvlText w:val="%1.%2.%3.%4.%5.%6.%7.%8"/>
      <w:lvlJc w:val="left"/>
      <w:pPr>
        <w:ind w:left="6756" w:hanging="1800"/>
      </w:pPr>
      <w:rPr>
        <w:rFonts w:hint="default"/>
      </w:rPr>
    </w:lvl>
    <w:lvl w:ilvl="8" w:tentative="0">
      <w:start w:val="1"/>
      <w:numFmt w:val="decimal"/>
      <w:lvlText w:val="%1.%2.%3.%4.%5.%6.%7.%8.%9"/>
      <w:lvlJc w:val="left"/>
      <w:pPr>
        <w:ind w:left="7824" w:hanging="2160"/>
      </w:pPr>
      <w:rPr>
        <w:rFonts w:hint="default"/>
      </w:rPr>
    </w:lvl>
  </w:abstractNum>
  <w:abstractNum w:abstractNumId="1">
    <w:nsid w:val="00000005"/>
    <w:multiLevelType w:val="multilevel"/>
    <w:tmpl w:val="00000005"/>
    <w:lvl w:ilvl="0" w:tentative="0">
      <w:start w:val="1"/>
      <w:numFmt w:val="decimal"/>
      <w:pStyle w:val="13"/>
      <w:lvlText w:val="%1."/>
      <w:lvlJc w:val="left"/>
      <w:pPr>
        <w:ind w:left="780" w:hanging="360"/>
      </w:pPr>
      <w:rPr>
        <w:rFonts w:hint="default"/>
        <w:color w:val="auto"/>
      </w:rPr>
    </w:lvl>
    <w:lvl w:ilvl="1" w:tentative="0">
      <w:start w:val="1"/>
      <w:numFmt w:val="lowerLetter"/>
      <w:lvlText w:val="%2)"/>
      <w:lvlJc w:val="left"/>
      <w:pPr>
        <w:ind w:left="1138" w:hanging="420"/>
      </w:pPr>
    </w:lvl>
    <w:lvl w:ilvl="2" w:tentative="0">
      <w:start w:val="1"/>
      <w:numFmt w:val="lowerRoman"/>
      <w:lvlText w:val="%3."/>
      <w:lvlJc w:val="right"/>
      <w:pPr>
        <w:ind w:left="1558" w:hanging="420"/>
      </w:pPr>
    </w:lvl>
    <w:lvl w:ilvl="3" w:tentative="0">
      <w:start w:val="1"/>
      <w:numFmt w:val="decimal"/>
      <w:lvlText w:val="%4."/>
      <w:lvlJc w:val="left"/>
      <w:pPr>
        <w:ind w:left="1978" w:hanging="420"/>
      </w:pPr>
    </w:lvl>
    <w:lvl w:ilvl="4" w:tentative="0">
      <w:start w:val="1"/>
      <w:numFmt w:val="lowerLetter"/>
      <w:lvlText w:val="%5)"/>
      <w:lvlJc w:val="left"/>
      <w:pPr>
        <w:ind w:left="2398" w:hanging="420"/>
      </w:pPr>
    </w:lvl>
    <w:lvl w:ilvl="5" w:tentative="0">
      <w:start w:val="1"/>
      <w:numFmt w:val="lowerRoman"/>
      <w:lvlText w:val="%6."/>
      <w:lvlJc w:val="right"/>
      <w:pPr>
        <w:ind w:left="2818" w:hanging="420"/>
      </w:pPr>
    </w:lvl>
    <w:lvl w:ilvl="6" w:tentative="0">
      <w:start w:val="1"/>
      <w:numFmt w:val="decimal"/>
      <w:lvlText w:val="%7."/>
      <w:lvlJc w:val="left"/>
      <w:pPr>
        <w:ind w:left="3238" w:hanging="420"/>
      </w:pPr>
    </w:lvl>
    <w:lvl w:ilvl="7" w:tentative="0">
      <w:start w:val="1"/>
      <w:numFmt w:val="lowerLetter"/>
      <w:lvlText w:val="%8)"/>
      <w:lvlJc w:val="left"/>
      <w:pPr>
        <w:ind w:left="3658" w:hanging="420"/>
      </w:pPr>
    </w:lvl>
    <w:lvl w:ilvl="8" w:tentative="0">
      <w:start w:val="1"/>
      <w:numFmt w:val="lowerRoman"/>
      <w:lvlText w:val="%9."/>
      <w:lvlJc w:val="right"/>
      <w:pPr>
        <w:ind w:left="4078" w:hanging="420"/>
      </w:pPr>
    </w:lvl>
  </w:abstractNum>
  <w:abstractNum w:abstractNumId="2">
    <w:nsid w:val="0000000D"/>
    <w:multiLevelType w:val="multilevel"/>
    <w:tmpl w:val="0000000D"/>
    <w:lvl w:ilvl="0" w:tentative="0">
      <w:start w:val="1"/>
      <w:numFmt w:val="decimal"/>
      <w:pStyle w:val="23"/>
      <w:lvlText w:val="%1．"/>
      <w:lvlJc w:val="left"/>
      <w:pPr>
        <w:ind w:left="360" w:hanging="360"/>
      </w:pPr>
      <w:rPr>
        <w:rFonts w:hint="default"/>
      </w:rPr>
    </w:lvl>
    <w:lvl w:ilvl="1" w:tentative="0">
      <w:start w:val="1"/>
      <w:numFmt w:val="decimal"/>
      <w:lvlText w:val="%1.%2"/>
      <w:lvlJc w:val="left"/>
      <w:pPr>
        <w:ind w:left="1068" w:hanging="360"/>
      </w:pPr>
      <w:rPr>
        <w:rFonts w:hint="default"/>
      </w:rPr>
    </w:lvl>
    <w:lvl w:ilvl="2" w:tentative="0">
      <w:start w:val="1"/>
      <w:numFmt w:val="decimal"/>
      <w:lvlText w:val="%1.%2.%3"/>
      <w:lvlJc w:val="left"/>
      <w:pPr>
        <w:ind w:left="2136" w:hanging="720"/>
      </w:pPr>
      <w:rPr>
        <w:rFonts w:hint="default"/>
      </w:rPr>
    </w:lvl>
    <w:lvl w:ilvl="3" w:tentative="0">
      <w:start w:val="1"/>
      <w:numFmt w:val="decimal"/>
      <w:lvlText w:val="%1.%2.%3.%4"/>
      <w:lvlJc w:val="left"/>
      <w:pPr>
        <w:ind w:left="3204" w:hanging="1080"/>
      </w:pPr>
      <w:rPr>
        <w:rFonts w:hint="default"/>
      </w:rPr>
    </w:lvl>
    <w:lvl w:ilvl="4" w:tentative="0">
      <w:start w:val="1"/>
      <w:numFmt w:val="decimal"/>
      <w:lvlText w:val="%1.%2.%3.%4.%5"/>
      <w:lvlJc w:val="left"/>
      <w:pPr>
        <w:ind w:left="3912" w:hanging="1080"/>
      </w:pPr>
      <w:rPr>
        <w:rFonts w:hint="default"/>
      </w:rPr>
    </w:lvl>
    <w:lvl w:ilvl="5" w:tentative="0">
      <w:start w:val="1"/>
      <w:numFmt w:val="decimal"/>
      <w:lvlText w:val="%1.%2.%3.%4.%5.%6"/>
      <w:lvlJc w:val="left"/>
      <w:pPr>
        <w:ind w:left="4980" w:hanging="1440"/>
      </w:pPr>
      <w:rPr>
        <w:rFonts w:hint="default"/>
      </w:rPr>
    </w:lvl>
    <w:lvl w:ilvl="6" w:tentative="0">
      <w:start w:val="1"/>
      <w:numFmt w:val="decimal"/>
      <w:lvlText w:val="%1.%2.%3.%4.%5.%6.%7"/>
      <w:lvlJc w:val="left"/>
      <w:pPr>
        <w:ind w:left="5688" w:hanging="1440"/>
      </w:pPr>
      <w:rPr>
        <w:rFonts w:hint="default"/>
      </w:rPr>
    </w:lvl>
    <w:lvl w:ilvl="7" w:tentative="0">
      <w:start w:val="1"/>
      <w:numFmt w:val="decimal"/>
      <w:lvlText w:val="%1.%2.%3.%4.%5.%6.%7.%8"/>
      <w:lvlJc w:val="left"/>
      <w:pPr>
        <w:ind w:left="6756" w:hanging="1800"/>
      </w:pPr>
      <w:rPr>
        <w:rFonts w:hint="default"/>
      </w:rPr>
    </w:lvl>
    <w:lvl w:ilvl="8" w:tentative="0">
      <w:start w:val="1"/>
      <w:numFmt w:val="decimal"/>
      <w:lvlText w:val="%1.%2.%3.%4.%5.%6.%7.%8.%9"/>
      <w:lvlJc w:val="left"/>
      <w:pPr>
        <w:ind w:left="7824" w:hanging="2160"/>
      </w:pPr>
      <w:rPr>
        <w:rFonts w:hint="default"/>
      </w:rPr>
    </w:lvl>
  </w:abstractNum>
  <w:abstractNum w:abstractNumId="3">
    <w:nsid w:val="0000000F"/>
    <w:multiLevelType w:val="multilevel"/>
    <w:tmpl w:val="0000000F"/>
    <w:lvl w:ilvl="0" w:tentative="0">
      <w:start w:val="1"/>
      <w:numFmt w:val="bullet"/>
      <w:pStyle w:val="19"/>
      <w:lvlText w:val="□"/>
      <w:lvlJc w:val="left"/>
      <w:pPr>
        <w:tabs>
          <w:tab w:val="left" w:pos="360"/>
        </w:tabs>
        <w:ind w:left="360" w:hanging="360"/>
      </w:pPr>
      <w:rPr>
        <w:rFonts w:hint="eastAsia" w:ascii="宋体" w:hAnsi="宋体" w:eastAsia="宋体" w:cs="Times New Roman"/>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00000013"/>
    <w:multiLevelType w:val="multilevel"/>
    <w:tmpl w:val="00000013"/>
    <w:lvl w:ilvl="0" w:tentative="0">
      <w:start w:val="1"/>
      <w:numFmt w:val="decimal"/>
      <w:pStyle w:val="15"/>
      <w:lvlText w:val="%1．"/>
      <w:lvlJc w:val="left"/>
      <w:pPr>
        <w:ind w:left="675" w:hanging="360"/>
      </w:pPr>
      <w:rPr>
        <w:rFonts w:hint="default"/>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5">
    <w:nsid w:val="00B97016"/>
    <w:multiLevelType w:val="singleLevel"/>
    <w:tmpl w:val="00B97016"/>
    <w:lvl w:ilvl="0" w:tentative="0">
      <w:start w:val="1"/>
      <w:numFmt w:val="decimal"/>
      <w:suff w:val="space"/>
      <w:lvlText w:val="（%1）"/>
      <w:lvlJc w:val="left"/>
    </w:lvl>
  </w:abstractNum>
  <w:abstractNum w:abstractNumId="6">
    <w:nsid w:val="3111605D"/>
    <w:multiLevelType w:val="singleLevel"/>
    <w:tmpl w:val="3111605D"/>
    <w:lvl w:ilvl="0" w:tentative="0">
      <w:start w:val="6"/>
      <w:numFmt w:val="chineseCounting"/>
      <w:suff w:val="nothing"/>
      <w:lvlText w:val="%1、"/>
      <w:lvlJc w:val="left"/>
      <w:rPr>
        <w:rFonts w:hint="eastAsia"/>
      </w:rPr>
    </w:lvl>
  </w:abstractNum>
  <w:abstractNum w:abstractNumId="7">
    <w:nsid w:val="574E9ACB"/>
    <w:multiLevelType w:val="singleLevel"/>
    <w:tmpl w:val="574E9ACB"/>
    <w:lvl w:ilvl="0" w:tentative="0">
      <w:start w:val="1"/>
      <w:numFmt w:val="chineseCounting"/>
      <w:suff w:val="nothing"/>
      <w:lvlText w:val="%1、"/>
      <w:lvlJc w:val="left"/>
    </w:lvl>
  </w:abstractNum>
  <w:num w:numId="1">
    <w:abstractNumId w:val="1"/>
  </w:num>
  <w:num w:numId="2">
    <w:abstractNumId w:val="4"/>
  </w:num>
  <w:num w:numId="3">
    <w:abstractNumId w:val="3"/>
  </w:num>
  <w:num w:numId="4">
    <w:abstractNumId w:val="2"/>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HorizontalSpacing w:val="189"/>
  <w:drawingGridVerticalSpacing w:val="19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Q2OTA2MzVhYTk1OGUyNTNjYTY2OTk4ODJhZGQ2MTEifQ=="/>
  </w:docVars>
  <w:rsids>
    <w:rsidRoot w:val="001C1CD1"/>
    <w:rsid w:val="0000595E"/>
    <w:rsid w:val="00034568"/>
    <w:rsid w:val="0005434C"/>
    <w:rsid w:val="00077F90"/>
    <w:rsid w:val="000A0A6A"/>
    <w:rsid w:val="000A2978"/>
    <w:rsid w:val="000A5171"/>
    <w:rsid w:val="000B3FE1"/>
    <w:rsid w:val="000F3608"/>
    <w:rsid w:val="000F604F"/>
    <w:rsid w:val="00100E78"/>
    <w:rsid w:val="00114AA7"/>
    <w:rsid w:val="00116C74"/>
    <w:rsid w:val="001207CC"/>
    <w:rsid w:val="00120B9F"/>
    <w:rsid w:val="00163FCF"/>
    <w:rsid w:val="001770CE"/>
    <w:rsid w:val="00183D7B"/>
    <w:rsid w:val="001868DA"/>
    <w:rsid w:val="001B1265"/>
    <w:rsid w:val="001B13FE"/>
    <w:rsid w:val="001C1CD1"/>
    <w:rsid w:val="001D2CF1"/>
    <w:rsid w:val="001E57D1"/>
    <w:rsid w:val="001F050E"/>
    <w:rsid w:val="00212B08"/>
    <w:rsid w:val="00232DC9"/>
    <w:rsid w:val="00242F4E"/>
    <w:rsid w:val="002526F0"/>
    <w:rsid w:val="00256E38"/>
    <w:rsid w:val="002F06D9"/>
    <w:rsid w:val="00300C30"/>
    <w:rsid w:val="0033547F"/>
    <w:rsid w:val="00336C47"/>
    <w:rsid w:val="00353B0E"/>
    <w:rsid w:val="00363B17"/>
    <w:rsid w:val="00365602"/>
    <w:rsid w:val="0037669F"/>
    <w:rsid w:val="00411D4B"/>
    <w:rsid w:val="00446C81"/>
    <w:rsid w:val="00452406"/>
    <w:rsid w:val="00487C26"/>
    <w:rsid w:val="004956B7"/>
    <w:rsid w:val="004B11C7"/>
    <w:rsid w:val="004B6504"/>
    <w:rsid w:val="004E5849"/>
    <w:rsid w:val="0050777A"/>
    <w:rsid w:val="00542795"/>
    <w:rsid w:val="0056624D"/>
    <w:rsid w:val="005922C4"/>
    <w:rsid w:val="005C77AC"/>
    <w:rsid w:val="00615192"/>
    <w:rsid w:val="00666B1D"/>
    <w:rsid w:val="00675C64"/>
    <w:rsid w:val="006B41CA"/>
    <w:rsid w:val="006E45F4"/>
    <w:rsid w:val="006F7F63"/>
    <w:rsid w:val="0070014B"/>
    <w:rsid w:val="00710936"/>
    <w:rsid w:val="007205E9"/>
    <w:rsid w:val="0073722E"/>
    <w:rsid w:val="00762B0C"/>
    <w:rsid w:val="007858CF"/>
    <w:rsid w:val="007904C3"/>
    <w:rsid w:val="007B394B"/>
    <w:rsid w:val="007C0E76"/>
    <w:rsid w:val="007C44A9"/>
    <w:rsid w:val="007D34F3"/>
    <w:rsid w:val="007F41CA"/>
    <w:rsid w:val="00812EAF"/>
    <w:rsid w:val="00822C75"/>
    <w:rsid w:val="00837CA5"/>
    <w:rsid w:val="008528DE"/>
    <w:rsid w:val="0089265E"/>
    <w:rsid w:val="008A36B6"/>
    <w:rsid w:val="008C6B12"/>
    <w:rsid w:val="008E685C"/>
    <w:rsid w:val="008F47AB"/>
    <w:rsid w:val="008F48DB"/>
    <w:rsid w:val="0092267E"/>
    <w:rsid w:val="00937C51"/>
    <w:rsid w:val="009B57CC"/>
    <w:rsid w:val="009C1407"/>
    <w:rsid w:val="009C4183"/>
    <w:rsid w:val="009D49B2"/>
    <w:rsid w:val="009F7F83"/>
    <w:rsid w:val="00A47FF4"/>
    <w:rsid w:val="00AE2100"/>
    <w:rsid w:val="00B24FB4"/>
    <w:rsid w:val="00B52CC2"/>
    <w:rsid w:val="00BA4468"/>
    <w:rsid w:val="00BB4552"/>
    <w:rsid w:val="00BB739B"/>
    <w:rsid w:val="00BC1DF2"/>
    <w:rsid w:val="00C67926"/>
    <w:rsid w:val="00CA4239"/>
    <w:rsid w:val="00CF13F6"/>
    <w:rsid w:val="00CF212D"/>
    <w:rsid w:val="00D0478A"/>
    <w:rsid w:val="00D07AF6"/>
    <w:rsid w:val="00D12245"/>
    <w:rsid w:val="00D15CE7"/>
    <w:rsid w:val="00D21092"/>
    <w:rsid w:val="00D40459"/>
    <w:rsid w:val="00D46ED3"/>
    <w:rsid w:val="00D646DA"/>
    <w:rsid w:val="00D65CF2"/>
    <w:rsid w:val="00D70EB3"/>
    <w:rsid w:val="00D75DAB"/>
    <w:rsid w:val="00D83EDD"/>
    <w:rsid w:val="00D9308D"/>
    <w:rsid w:val="00DA477A"/>
    <w:rsid w:val="00DA6750"/>
    <w:rsid w:val="00DB2633"/>
    <w:rsid w:val="00DC2D1D"/>
    <w:rsid w:val="00E42694"/>
    <w:rsid w:val="00EE3D76"/>
    <w:rsid w:val="00F40E99"/>
    <w:rsid w:val="00F451FD"/>
    <w:rsid w:val="00F609C4"/>
    <w:rsid w:val="00F63CA2"/>
    <w:rsid w:val="00F6768E"/>
    <w:rsid w:val="00F816CB"/>
    <w:rsid w:val="00F90FF8"/>
    <w:rsid w:val="00F94D4F"/>
    <w:rsid w:val="00FB03C8"/>
    <w:rsid w:val="00FD6AFA"/>
    <w:rsid w:val="00FE60E7"/>
    <w:rsid w:val="01B06389"/>
    <w:rsid w:val="01C422E9"/>
    <w:rsid w:val="0515738D"/>
    <w:rsid w:val="06B54075"/>
    <w:rsid w:val="0A64399A"/>
    <w:rsid w:val="116A4146"/>
    <w:rsid w:val="15296770"/>
    <w:rsid w:val="1C282814"/>
    <w:rsid w:val="1FFD535F"/>
    <w:rsid w:val="21445770"/>
    <w:rsid w:val="22C925F3"/>
    <w:rsid w:val="25DE13AF"/>
    <w:rsid w:val="2CE11489"/>
    <w:rsid w:val="2D2A4175"/>
    <w:rsid w:val="2F3548D2"/>
    <w:rsid w:val="2F5A4056"/>
    <w:rsid w:val="338352C5"/>
    <w:rsid w:val="3451747D"/>
    <w:rsid w:val="379517F4"/>
    <w:rsid w:val="3F253ACD"/>
    <w:rsid w:val="407434FB"/>
    <w:rsid w:val="4133659D"/>
    <w:rsid w:val="47307906"/>
    <w:rsid w:val="4AC937D3"/>
    <w:rsid w:val="50A640F4"/>
    <w:rsid w:val="52602DBA"/>
    <w:rsid w:val="55E546CE"/>
    <w:rsid w:val="56551BF9"/>
    <w:rsid w:val="57FD50E8"/>
    <w:rsid w:val="5C0D2F23"/>
    <w:rsid w:val="603F0DF9"/>
    <w:rsid w:val="67A512A4"/>
    <w:rsid w:val="695A4481"/>
    <w:rsid w:val="69DA2FE3"/>
    <w:rsid w:val="6BC12563"/>
    <w:rsid w:val="6FF269B8"/>
    <w:rsid w:val="7584399C"/>
    <w:rsid w:val="78FC0D94"/>
    <w:rsid w:val="7A764B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0" w:name="index 2"/>
    <w:lsdException w:uiPriority="0" w:name="index 3"/>
    <w:lsdException w:qFormat="1" w:unhideWhenUsed="0" w:uiPriority="0"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0" w:semiHidden="0" w:name="footer"/>
    <w:lsdException w:uiPriority="0" w:name="index heading"/>
    <w:lsdException w:qFormat="1" w:unhideWhenUsed="0" w:uiPriority="0" w:semiHidden="0" w:name="caption"/>
    <w:lsdException w:qFormat="1" w:unhideWhenUsed="0" w:uiPriority="0" w:semiHidden="0" w:name="table of figures"/>
    <w:lsdException w:uiPriority="0" w:name="envelope address"/>
    <w:lsdException w:uiPriority="0" w:name="envelope return"/>
    <w:lsdException w:qFormat="1" w:unhideWhenUsed="0" w:uiPriority="0" w:semiHidden="0" w:name="footnote reference"/>
    <w:lsdException w:qFormat="1" w:uiPriority="0" w:semiHidden="0" w:name="annotation reference"/>
    <w:lsdException w:uiPriority="0" w:name="line number"/>
    <w:lsdException w:qFormat="1" w:uiPriority="0" w:semiHidden="0" w:name="page number"/>
    <w:lsdException w:qFormat="1" w:unhideWhenUsed="0" w:uiPriority="0" w:semiHidden="0" w:name="endnote reference"/>
    <w:lsdException w:qFormat="1" w:unhideWhenUsed="0" w:uiPriority="0" w:semiHidden="0" w:name="endnote text"/>
    <w:lsdException w:uiPriority="0" w:name="table of authorities"/>
    <w:lsdException w:uiPriority="0" w:name="macro"/>
    <w:lsdException w:uiPriority="0" w:name="toa heading"/>
    <w:lsdException w:uiPriority="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3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paragraph" w:styleId="2">
    <w:name w:val="heading 1"/>
    <w:basedOn w:val="1"/>
    <w:next w:val="1"/>
    <w:link w:val="6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68"/>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9"/>
    <w:autoRedefine/>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74"/>
    <w:qFormat/>
    <w:uiPriority w:val="0"/>
    <w:pPr>
      <w:widowControl/>
      <w:spacing w:before="100" w:beforeAutospacing="1" w:after="100" w:afterAutospacing="1"/>
      <w:jc w:val="left"/>
      <w:outlineLvl w:val="3"/>
    </w:pPr>
    <w:rPr>
      <w:rFonts w:ascii="宋体" w:hAnsi="宋体" w:eastAsia="宋体" w:cs="宋体"/>
      <w:b/>
      <w:bCs/>
      <w:sz w:val="24"/>
      <w:szCs w:val="24"/>
    </w:rPr>
  </w:style>
  <w:style w:type="paragraph" w:styleId="6">
    <w:name w:val="heading 5"/>
    <w:basedOn w:val="1"/>
    <w:next w:val="1"/>
    <w:link w:val="75"/>
    <w:qFormat/>
    <w:uiPriority w:val="0"/>
    <w:pPr>
      <w:widowControl/>
      <w:spacing w:before="100" w:beforeAutospacing="1" w:after="100" w:afterAutospacing="1"/>
      <w:jc w:val="left"/>
      <w:outlineLvl w:val="4"/>
    </w:pPr>
    <w:rPr>
      <w:rFonts w:ascii="宋体" w:hAnsi="宋体" w:eastAsia="宋体" w:cs="宋体"/>
      <w:b/>
      <w:bCs/>
      <w:szCs w:val="20"/>
    </w:rPr>
  </w:style>
  <w:style w:type="paragraph" w:styleId="7">
    <w:name w:val="heading 6"/>
    <w:basedOn w:val="8"/>
    <w:next w:val="1"/>
    <w:link w:val="76"/>
    <w:qFormat/>
    <w:uiPriority w:val="0"/>
    <w:pPr>
      <w:keepNext/>
      <w:keepLines/>
      <w:ind w:firstLine="200" w:firstLineChars="200"/>
      <w:outlineLvl w:val="5"/>
    </w:pPr>
    <w:rPr>
      <w:rFonts w:hAnsi="Arial"/>
    </w:rPr>
  </w:style>
  <w:style w:type="paragraph" w:styleId="9">
    <w:name w:val="heading 7"/>
    <w:basedOn w:val="1"/>
    <w:next w:val="1"/>
    <w:link w:val="77"/>
    <w:qFormat/>
    <w:uiPriority w:val="0"/>
    <w:pPr>
      <w:keepNext/>
      <w:keepLines/>
      <w:adjustRightInd w:val="0"/>
      <w:spacing w:line="480" w:lineRule="atLeast"/>
      <w:ind w:left="1425" w:leftChars="175" w:hanging="900" w:hangingChars="300"/>
      <w:textAlignment w:val="baseline"/>
      <w:outlineLvl w:val="6"/>
    </w:pPr>
    <w:rPr>
      <w:rFonts w:ascii="Times New Roman" w:hAnsi="Times New Roman" w:eastAsia="仿宋_GB2312" w:cs="Times New Roman"/>
      <w:sz w:val="30"/>
      <w:szCs w:val="20"/>
    </w:rPr>
  </w:style>
  <w:style w:type="paragraph" w:styleId="10">
    <w:name w:val="heading 8"/>
    <w:basedOn w:val="1"/>
    <w:next w:val="1"/>
    <w:link w:val="78"/>
    <w:qFormat/>
    <w:uiPriority w:val="0"/>
    <w:pPr>
      <w:adjustRightInd w:val="0"/>
      <w:spacing w:line="480" w:lineRule="atLeast"/>
      <w:ind w:left="2232" w:leftChars="450" w:hanging="882" w:hangingChars="294"/>
      <w:textAlignment w:val="baseline"/>
      <w:outlineLvl w:val="7"/>
    </w:pPr>
    <w:rPr>
      <w:rFonts w:ascii="Times New Roman" w:hAnsi="Arial" w:eastAsia="仿宋_GB2312" w:cs="Times New Roman"/>
      <w:sz w:val="30"/>
      <w:szCs w:val="20"/>
    </w:rPr>
  </w:style>
  <w:style w:type="paragraph" w:styleId="11">
    <w:name w:val="heading 9"/>
    <w:basedOn w:val="1"/>
    <w:next w:val="1"/>
    <w:link w:val="79"/>
    <w:qFormat/>
    <w:uiPriority w:val="0"/>
    <w:pPr>
      <w:keepNext/>
      <w:keepLines/>
      <w:adjustRightInd w:val="0"/>
      <w:spacing w:line="480" w:lineRule="atLeast"/>
      <w:ind w:left="2979" w:leftChars="715" w:hanging="834" w:hangingChars="278"/>
      <w:textAlignment w:val="baseline"/>
      <w:outlineLvl w:val="8"/>
    </w:pPr>
    <w:rPr>
      <w:rFonts w:ascii="Times New Roman" w:hAnsi="Times New Roman" w:eastAsia="仿宋_GB2312" w:cs="Times New Roman"/>
      <w:sz w:val="30"/>
      <w:szCs w:val="20"/>
    </w:rPr>
  </w:style>
  <w:style w:type="character" w:default="1" w:styleId="55">
    <w:name w:val="Default Paragraph Font"/>
    <w:autoRedefine/>
    <w:semiHidden/>
    <w:unhideWhenUsed/>
    <w:qFormat/>
    <w:uiPriority w:val="1"/>
  </w:style>
  <w:style w:type="table" w:default="1" w:styleId="53">
    <w:name w:val="Normal Table"/>
    <w:semiHidden/>
    <w:unhideWhenUsed/>
    <w:qFormat/>
    <w:uiPriority w:val="99"/>
    <w:tblPr>
      <w:tblCellMar>
        <w:top w:w="0" w:type="dxa"/>
        <w:left w:w="108" w:type="dxa"/>
        <w:bottom w:w="0" w:type="dxa"/>
        <w:right w:w="108" w:type="dxa"/>
      </w:tblCellMar>
    </w:tblPr>
  </w:style>
  <w:style w:type="paragraph" w:styleId="8">
    <w:name w:val="Normal Indent"/>
    <w:basedOn w:val="1"/>
    <w:autoRedefine/>
    <w:qFormat/>
    <w:uiPriority w:val="0"/>
    <w:pPr>
      <w:adjustRightInd w:val="0"/>
      <w:spacing w:line="480" w:lineRule="atLeast"/>
      <w:ind w:firstLine="600"/>
      <w:textAlignment w:val="baseline"/>
    </w:pPr>
    <w:rPr>
      <w:rFonts w:ascii="Times New Roman" w:hAnsi="Times New Roman" w:eastAsia="仿宋_GB2312" w:cs="Times New Roman"/>
      <w:kern w:val="0"/>
      <w:sz w:val="30"/>
      <w:szCs w:val="20"/>
    </w:rPr>
  </w:style>
  <w:style w:type="paragraph" w:styleId="12">
    <w:name w:val="toc 7"/>
    <w:basedOn w:val="1"/>
    <w:next w:val="1"/>
    <w:autoRedefine/>
    <w:qFormat/>
    <w:uiPriority w:val="0"/>
    <w:pPr>
      <w:ind w:left="2520" w:leftChars="1200"/>
    </w:pPr>
    <w:rPr>
      <w:rFonts w:ascii="Times New Roman" w:hAnsi="Times New Roman" w:eastAsia="宋体" w:cs="Times New Roman"/>
      <w:szCs w:val="20"/>
    </w:rPr>
  </w:style>
  <w:style w:type="paragraph" w:styleId="13">
    <w:name w:val="List Bullet 4"/>
    <w:basedOn w:val="1"/>
    <w:autoRedefine/>
    <w:qFormat/>
    <w:uiPriority w:val="0"/>
    <w:pPr>
      <w:numPr>
        <w:ilvl w:val="0"/>
        <w:numId w:val="1"/>
      </w:numPr>
      <w:tabs>
        <w:tab w:val="left" w:pos="1620"/>
      </w:tabs>
      <w:ind w:left="600" w:hanging="200"/>
    </w:pPr>
    <w:rPr>
      <w:rFonts w:ascii="Times New Roman" w:hAnsi="Times New Roman" w:eastAsia="宋体" w:cs="Times New Roman"/>
      <w:szCs w:val="20"/>
    </w:rPr>
  </w:style>
  <w:style w:type="paragraph" w:styleId="14">
    <w:name w:val="caption"/>
    <w:basedOn w:val="1"/>
    <w:next w:val="1"/>
    <w:qFormat/>
    <w:uiPriority w:val="0"/>
    <w:rPr>
      <w:rFonts w:ascii="Cambria" w:hAnsi="Cambria" w:eastAsia="黑体" w:cs="Times New Roman"/>
      <w:sz w:val="20"/>
      <w:szCs w:val="20"/>
    </w:rPr>
  </w:style>
  <w:style w:type="paragraph" w:styleId="15">
    <w:name w:val="List Bullet"/>
    <w:basedOn w:val="1"/>
    <w:autoRedefine/>
    <w:qFormat/>
    <w:uiPriority w:val="0"/>
    <w:pPr>
      <w:numPr>
        <w:ilvl w:val="0"/>
        <w:numId w:val="2"/>
      </w:numPr>
      <w:tabs>
        <w:tab w:val="left" w:pos="360"/>
      </w:tabs>
      <w:ind w:hanging="200"/>
    </w:pPr>
    <w:rPr>
      <w:rFonts w:ascii="Times New Roman" w:hAnsi="Times New Roman" w:eastAsia="宋体" w:cs="Times New Roman"/>
      <w:szCs w:val="20"/>
    </w:rPr>
  </w:style>
  <w:style w:type="paragraph" w:styleId="16">
    <w:name w:val="Document Map"/>
    <w:basedOn w:val="1"/>
    <w:link w:val="80"/>
    <w:autoRedefine/>
    <w:qFormat/>
    <w:uiPriority w:val="0"/>
    <w:pPr>
      <w:shd w:val="clear" w:color="auto" w:fill="000080"/>
    </w:pPr>
    <w:rPr>
      <w:rFonts w:ascii="Times New Roman" w:hAnsi="Times New Roman" w:eastAsia="宋体" w:cs="Times New Roman"/>
      <w:szCs w:val="24"/>
    </w:rPr>
  </w:style>
  <w:style w:type="paragraph" w:styleId="17">
    <w:name w:val="annotation text"/>
    <w:basedOn w:val="1"/>
    <w:link w:val="70"/>
    <w:autoRedefine/>
    <w:unhideWhenUsed/>
    <w:qFormat/>
    <w:uiPriority w:val="0"/>
    <w:pPr>
      <w:jc w:val="left"/>
    </w:pPr>
  </w:style>
  <w:style w:type="paragraph" w:styleId="18">
    <w:name w:val="Body Text 3"/>
    <w:basedOn w:val="1"/>
    <w:link w:val="81"/>
    <w:qFormat/>
    <w:uiPriority w:val="0"/>
    <w:pPr>
      <w:spacing w:after="120"/>
    </w:pPr>
    <w:rPr>
      <w:rFonts w:ascii="Times New Roman" w:hAnsi="Times New Roman" w:eastAsia="宋体" w:cs="Times New Roman"/>
      <w:sz w:val="16"/>
      <w:szCs w:val="16"/>
    </w:rPr>
  </w:style>
  <w:style w:type="paragraph" w:styleId="19">
    <w:name w:val="List Bullet 3"/>
    <w:basedOn w:val="1"/>
    <w:autoRedefine/>
    <w:qFormat/>
    <w:uiPriority w:val="0"/>
    <w:pPr>
      <w:numPr>
        <w:ilvl w:val="0"/>
        <w:numId w:val="3"/>
      </w:numPr>
      <w:tabs>
        <w:tab w:val="left" w:pos="1200"/>
        <w:tab w:val="clear" w:pos="360"/>
      </w:tabs>
      <w:ind w:left="400" w:hanging="200"/>
    </w:pPr>
    <w:rPr>
      <w:rFonts w:ascii="Times New Roman" w:hAnsi="Times New Roman" w:eastAsia="宋体" w:cs="Times New Roman"/>
      <w:szCs w:val="20"/>
    </w:rPr>
  </w:style>
  <w:style w:type="paragraph" w:styleId="20">
    <w:name w:val="Body Text"/>
    <w:basedOn w:val="1"/>
    <w:link w:val="73"/>
    <w:autoRedefine/>
    <w:qFormat/>
    <w:uiPriority w:val="0"/>
    <w:rPr>
      <w:rFonts w:ascii="仿宋_GB2312" w:hAnsi="Times New Roman" w:eastAsia="仿宋_GB2312" w:cs="Times New Roman"/>
      <w:sz w:val="32"/>
      <w:szCs w:val="24"/>
    </w:rPr>
  </w:style>
  <w:style w:type="paragraph" w:styleId="21">
    <w:name w:val="Body Text Indent"/>
    <w:basedOn w:val="1"/>
    <w:link w:val="82"/>
    <w:qFormat/>
    <w:uiPriority w:val="0"/>
    <w:pPr>
      <w:ind w:firstLine="407" w:firstLineChars="200"/>
    </w:pPr>
    <w:rPr>
      <w:rFonts w:ascii="Times New Roman" w:hAnsi="Times New Roman" w:eastAsia="宋体" w:cs="Times New Roman"/>
      <w:szCs w:val="24"/>
    </w:rPr>
  </w:style>
  <w:style w:type="paragraph" w:styleId="22">
    <w:name w:val="Block Text"/>
    <w:basedOn w:val="1"/>
    <w:autoRedefine/>
    <w:qFormat/>
    <w:uiPriority w:val="0"/>
    <w:pPr>
      <w:autoSpaceDE w:val="0"/>
      <w:autoSpaceDN w:val="0"/>
      <w:adjustRightInd w:val="0"/>
      <w:spacing w:line="1270" w:lineRule="exact"/>
      <w:ind w:left="2160" w:right="-20" w:hanging="2160" w:hangingChars="300"/>
      <w:jc w:val="left"/>
    </w:pPr>
    <w:rPr>
      <w:rFonts w:ascii="Times New Roman" w:hAnsi="Times New Roman" w:eastAsia="仿宋_GB2312" w:cs="Times New Roman"/>
      <w:sz w:val="72"/>
      <w:szCs w:val="20"/>
    </w:rPr>
  </w:style>
  <w:style w:type="paragraph" w:styleId="23">
    <w:name w:val="List Bullet 2"/>
    <w:basedOn w:val="1"/>
    <w:qFormat/>
    <w:uiPriority w:val="0"/>
    <w:pPr>
      <w:numPr>
        <w:ilvl w:val="0"/>
        <w:numId w:val="4"/>
      </w:numPr>
      <w:tabs>
        <w:tab w:val="left" w:pos="780"/>
      </w:tabs>
      <w:ind w:left="200" w:hanging="200"/>
    </w:pPr>
    <w:rPr>
      <w:rFonts w:ascii="Times New Roman" w:hAnsi="Times New Roman" w:eastAsia="宋体" w:cs="Times New Roman"/>
      <w:szCs w:val="20"/>
    </w:rPr>
  </w:style>
  <w:style w:type="paragraph" w:styleId="24">
    <w:name w:val="index 4"/>
    <w:basedOn w:val="1"/>
    <w:next w:val="1"/>
    <w:autoRedefine/>
    <w:qFormat/>
    <w:uiPriority w:val="0"/>
    <w:pPr>
      <w:ind w:left="600" w:leftChars="600"/>
    </w:pPr>
    <w:rPr>
      <w:rFonts w:ascii="Times New Roman" w:hAnsi="Times New Roman" w:eastAsia="宋体" w:cs="Times New Roman"/>
      <w:szCs w:val="21"/>
    </w:rPr>
  </w:style>
  <w:style w:type="paragraph" w:styleId="25">
    <w:name w:val="toc 5"/>
    <w:basedOn w:val="1"/>
    <w:next w:val="1"/>
    <w:autoRedefine/>
    <w:qFormat/>
    <w:uiPriority w:val="0"/>
    <w:pPr>
      <w:ind w:left="1680" w:leftChars="800"/>
    </w:pPr>
    <w:rPr>
      <w:rFonts w:ascii="Times New Roman" w:hAnsi="Times New Roman" w:eastAsia="宋体" w:cs="Times New Roman"/>
      <w:szCs w:val="20"/>
    </w:rPr>
  </w:style>
  <w:style w:type="paragraph" w:styleId="26">
    <w:name w:val="toc 3"/>
    <w:basedOn w:val="1"/>
    <w:next w:val="1"/>
    <w:qFormat/>
    <w:uiPriority w:val="39"/>
    <w:pPr>
      <w:ind w:left="840" w:leftChars="400"/>
    </w:pPr>
    <w:rPr>
      <w:rFonts w:ascii="Times New Roman" w:hAnsi="Times New Roman" w:eastAsia="宋体" w:cs="Times New Roman"/>
      <w:szCs w:val="20"/>
    </w:rPr>
  </w:style>
  <w:style w:type="paragraph" w:styleId="27">
    <w:name w:val="Plain Text"/>
    <w:basedOn w:val="1"/>
    <w:link w:val="83"/>
    <w:qFormat/>
    <w:uiPriority w:val="0"/>
    <w:rPr>
      <w:rFonts w:ascii="宋体" w:hAnsi="Courier New" w:eastAsia="宋体" w:cs="Courier New"/>
      <w:szCs w:val="21"/>
    </w:rPr>
  </w:style>
  <w:style w:type="paragraph" w:styleId="28">
    <w:name w:val="List Bullet 5"/>
    <w:basedOn w:val="1"/>
    <w:autoRedefine/>
    <w:qFormat/>
    <w:uiPriority w:val="0"/>
    <w:pPr>
      <w:numPr>
        <w:ilvl w:val="0"/>
        <w:numId w:val="5"/>
      </w:numPr>
      <w:tabs>
        <w:tab w:val="left" w:pos="2040"/>
      </w:tabs>
      <w:ind w:left="800" w:hanging="200"/>
    </w:pPr>
    <w:rPr>
      <w:rFonts w:ascii="Times New Roman" w:hAnsi="Times New Roman" w:eastAsia="宋体" w:cs="Times New Roman"/>
      <w:szCs w:val="20"/>
    </w:rPr>
  </w:style>
  <w:style w:type="paragraph" w:styleId="29">
    <w:name w:val="toc 8"/>
    <w:basedOn w:val="1"/>
    <w:next w:val="1"/>
    <w:qFormat/>
    <w:uiPriority w:val="0"/>
    <w:pPr>
      <w:ind w:left="2940" w:leftChars="1400"/>
    </w:pPr>
    <w:rPr>
      <w:rFonts w:ascii="Times New Roman" w:hAnsi="Times New Roman" w:eastAsia="宋体" w:cs="Times New Roman"/>
      <w:szCs w:val="20"/>
    </w:rPr>
  </w:style>
  <w:style w:type="paragraph" w:styleId="30">
    <w:name w:val="Date"/>
    <w:basedOn w:val="1"/>
    <w:next w:val="1"/>
    <w:link w:val="84"/>
    <w:qFormat/>
    <w:uiPriority w:val="0"/>
    <w:pPr>
      <w:ind w:left="100" w:leftChars="2500"/>
    </w:pPr>
    <w:rPr>
      <w:rFonts w:ascii="Times New Roman" w:hAnsi="Times New Roman" w:eastAsia="宋体" w:cs="Times New Roman"/>
      <w:szCs w:val="24"/>
    </w:rPr>
  </w:style>
  <w:style w:type="paragraph" w:styleId="31">
    <w:name w:val="Body Text Indent 2"/>
    <w:basedOn w:val="1"/>
    <w:link w:val="85"/>
    <w:autoRedefine/>
    <w:qFormat/>
    <w:uiPriority w:val="0"/>
    <w:pPr>
      <w:widowControl/>
      <w:spacing w:line="480" w:lineRule="auto"/>
      <w:ind w:firstLine="560"/>
      <w:jc w:val="left"/>
    </w:pPr>
    <w:rPr>
      <w:rFonts w:ascii="Times New Roman" w:hAnsi="Times New Roman" w:eastAsia="宋体" w:cs="Times New Roman"/>
      <w:sz w:val="28"/>
      <w:szCs w:val="24"/>
    </w:rPr>
  </w:style>
  <w:style w:type="paragraph" w:styleId="32">
    <w:name w:val="endnote text"/>
    <w:basedOn w:val="1"/>
    <w:link w:val="86"/>
    <w:autoRedefine/>
    <w:qFormat/>
    <w:uiPriority w:val="0"/>
    <w:pPr>
      <w:widowControl/>
      <w:snapToGrid w:val="0"/>
      <w:jc w:val="left"/>
    </w:pPr>
    <w:rPr>
      <w:rFonts w:ascii="Arial" w:hAnsi="Arial" w:eastAsia="宋体" w:cs="Arial"/>
      <w:szCs w:val="24"/>
      <w:lang w:eastAsia="en-US"/>
    </w:rPr>
  </w:style>
  <w:style w:type="paragraph" w:styleId="33">
    <w:name w:val="Balloon Text"/>
    <w:basedOn w:val="1"/>
    <w:link w:val="72"/>
    <w:autoRedefine/>
    <w:unhideWhenUsed/>
    <w:qFormat/>
    <w:uiPriority w:val="0"/>
    <w:rPr>
      <w:sz w:val="18"/>
      <w:szCs w:val="18"/>
    </w:rPr>
  </w:style>
  <w:style w:type="paragraph" w:styleId="34">
    <w:name w:val="footer"/>
    <w:basedOn w:val="1"/>
    <w:link w:val="65"/>
    <w:autoRedefine/>
    <w:unhideWhenUsed/>
    <w:qFormat/>
    <w:uiPriority w:val="0"/>
    <w:pPr>
      <w:tabs>
        <w:tab w:val="center" w:pos="4153"/>
        <w:tab w:val="right" w:pos="8306"/>
      </w:tabs>
      <w:snapToGrid w:val="0"/>
      <w:jc w:val="left"/>
    </w:pPr>
    <w:rPr>
      <w:sz w:val="18"/>
      <w:szCs w:val="18"/>
    </w:rPr>
  </w:style>
  <w:style w:type="paragraph" w:styleId="35">
    <w:name w:val="header"/>
    <w:basedOn w:val="1"/>
    <w:link w:val="66"/>
    <w:unhideWhenUsed/>
    <w:qFormat/>
    <w:uiPriority w:val="0"/>
    <w:pPr>
      <w:pBdr>
        <w:bottom w:val="single" w:color="auto" w:sz="6" w:space="1"/>
      </w:pBdr>
      <w:tabs>
        <w:tab w:val="center" w:pos="4153"/>
        <w:tab w:val="right" w:pos="8306"/>
      </w:tabs>
      <w:snapToGrid w:val="0"/>
      <w:jc w:val="center"/>
    </w:pPr>
    <w:rPr>
      <w:sz w:val="18"/>
      <w:szCs w:val="18"/>
    </w:rPr>
  </w:style>
  <w:style w:type="paragraph" w:styleId="36">
    <w:name w:val="toc 1"/>
    <w:basedOn w:val="1"/>
    <w:next w:val="1"/>
    <w:qFormat/>
    <w:uiPriority w:val="39"/>
    <w:pPr>
      <w:tabs>
        <w:tab w:val="right" w:leader="dot" w:pos="8608"/>
      </w:tabs>
      <w:spacing w:line="480" w:lineRule="exact"/>
      <w:jc w:val="distribute"/>
    </w:pPr>
    <w:rPr>
      <w:rFonts w:ascii="宋体" w:hAnsi="宋体" w:eastAsia="宋体" w:cs="Times New Roman"/>
      <w:b/>
      <w:bCs/>
      <w:caps/>
      <w:color w:val="000000"/>
      <w:kern w:val="44"/>
      <w:sz w:val="24"/>
      <w:szCs w:val="20"/>
      <w:lang w:val="zh-CN"/>
    </w:rPr>
  </w:style>
  <w:style w:type="paragraph" w:styleId="37">
    <w:name w:val="toc 4"/>
    <w:basedOn w:val="1"/>
    <w:next w:val="1"/>
    <w:qFormat/>
    <w:uiPriority w:val="0"/>
    <w:pPr>
      <w:ind w:left="1260" w:leftChars="600"/>
    </w:pPr>
    <w:rPr>
      <w:rFonts w:ascii="Times New Roman" w:hAnsi="Times New Roman" w:eastAsia="宋体" w:cs="Times New Roman"/>
      <w:szCs w:val="20"/>
    </w:rPr>
  </w:style>
  <w:style w:type="paragraph" w:styleId="38">
    <w:name w:val="Subtitle"/>
    <w:basedOn w:val="1"/>
    <w:link w:val="87"/>
    <w:autoRedefine/>
    <w:qFormat/>
    <w:uiPriority w:val="0"/>
    <w:pPr>
      <w:widowControl/>
      <w:jc w:val="center"/>
    </w:pPr>
    <w:rPr>
      <w:rFonts w:ascii="Times New Roman" w:hAnsi="Times New Roman" w:eastAsia="宋体" w:cs="Times New Roman"/>
      <w:szCs w:val="24"/>
      <w:u w:val="single"/>
      <w:lang w:eastAsia="en-US"/>
    </w:rPr>
  </w:style>
  <w:style w:type="paragraph" w:styleId="39">
    <w:name w:val="footnote text"/>
    <w:basedOn w:val="1"/>
    <w:link w:val="88"/>
    <w:qFormat/>
    <w:uiPriority w:val="0"/>
    <w:pPr>
      <w:widowControl/>
      <w:snapToGrid w:val="0"/>
      <w:jc w:val="left"/>
    </w:pPr>
    <w:rPr>
      <w:rFonts w:ascii="Arial" w:hAnsi="Arial" w:eastAsia="宋体" w:cs="Arial"/>
      <w:sz w:val="18"/>
      <w:szCs w:val="18"/>
      <w:lang w:eastAsia="en-US"/>
    </w:rPr>
  </w:style>
  <w:style w:type="paragraph" w:styleId="40">
    <w:name w:val="toc 6"/>
    <w:basedOn w:val="1"/>
    <w:next w:val="1"/>
    <w:autoRedefine/>
    <w:qFormat/>
    <w:uiPriority w:val="0"/>
    <w:pPr>
      <w:ind w:left="2100" w:leftChars="1000"/>
    </w:pPr>
    <w:rPr>
      <w:rFonts w:ascii="Times New Roman" w:hAnsi="Times New Roman" w:eastAsia="宋体" w:cs="Times New Roman"/>
      <w:szCs w:val="20"/>
    </w:rPr>
  </w:style>
  <w:style w:type="paragraph" w:styleId="41">
    <w:name w:val="Body Text Indent 3"/>
    <w:basedOn w:val="1"/>
    <w:link w:val="89"/>
    <w:qFormat/>
    <w:uiPriority w:val="0"/>
    <w:pPr>
      <w:spacing w:line="360" w:lineRule="auto"/>
      <w:ind w:firstLine="280" w:firstLineChars="100"/>
    </w:pPr>
    <w:rPr>
      <w:rFonts w:ascii="宋体" w:hAnsi="宋体" w:eastAsia="宋体" w:cs="Times New Roman"/>
      <w:sz w:val="28"/>
      <w:szCs w:val="28"/>
    </w:rPr>
  </w:style>
  <w:style w:type="paragraph" w:styleId="42">
    <w:name w:val="table of figures"/>
    <w:basedOn w:val="1"/>
    <w:next w:val="1"/>
    <w:qFormat/>
    <w:uiPriority w:val="0"/>
    <w:pPr>
      <w:ind w:left="200" w:leftChars="200" w:hanging="200" w:hangingChars="200"/>
    </w:pPr>
    <w:rPr>
      <w:rFonts w:ascii="Times New Roman" w:hAnsi="Times New Roman" w:eastAsia="宋体" w:cs="Times New Roman"/>
      <w:szCs w:val="20"/>
    </w:rPr>
  </w:style>
  <w:style w:type="paragraph" w:styleId="43">
    <w:name w:val="toc 2"/>
    <w:basedOn w:val="1"/>
    <w:next w:val="1"/>
    <w:autoRedefine/>
    <w:qFormat/>
    <w:uiPriority w:val="39"/>
    <w:pPr>
      <w:ind w:left="420" w:leftChars="200"/>
    </w:pPr>
    <w:rPr>
      <w:rFonts w:ascii="Times New Roman" w:hAnsi="Times New Roman" w:eastAsia="宋体" w:cs="Times New Roman"/>
      <w:szCs w:val="20"/>
    </w:rPr>
  </w:style>
  <w:style w:type="paragraph" w:styleId="44">
    <w:name w:val="toc 9"/>
    <w:basedOn w:val="1"/>
    <w:next w:val="1"/>
    <w:autoRedefine/>
    <w:qFormat/>
    <w:uiPriority w:val="0"/>
    <w:pPr>
      <w:ind w:left="3360" w:leftChars="1600"/>
    </w:pPr>
    <w:rPr>
      <w:rFonts w:ascii="Times New Roman" w:hAnsi="Times New Roman" w:eastAsia="宋体" w:cs="Times New Roman"/>
      <w:szCs w:val="20"/>
    </w:rPr>
  </w:style>
  <w:style w:type="paragraph" w:styleId="45">
    <w:name w:val="Body Text 2"/>
    <w:basedOn w:val="1"/>
    <w:link w:val="90"/>
    <w:qFormat/>
    <w:uiPriority w:val="0"/>
    <w:rPr>
      <w:rFonts w:ascii="Times New Roman" w:hAnsi="Times New Roman" w:eastAsia="宋体" w:cs="Times New Roman"/>
      <w:i/>
      <w:iCs/>
      <w:sz w:val="26"/>
      <w:szCs w:val="24"/>
    </w:rPr>
  </w:style>
  <w:style w:type="paragraph" w:styleId="46">
    <w:name w:val="HTML Preformatted"/>
    <w:basedOn w:val="1"/>
    <w:link w:val="9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sz w:val="24"/>
      <w:szCs w:val="24"/>
    </w:rPr>
  </w:style>
  <w:style w:type="paragraph" w:styleId="47">
    <w:name w:val="Normal (Web)"/>
    <w:basedOn w:val="1"/>
    <w:qFormat/>
    <w:uiPriority w:val="0"/>
    <w:pPr>
      <w:widowControl/>
      <w:spacing w:before="100" w:beforeAutospacing="1" w:after="100" w:afterAutospacing="1"/>
      <w:jc w:val="left"/>
    </w:pPr>
    <w:rPr>
      <w:rFonts w:ascii="宋体" w:hAnsi="宋体" w:eastAsia="宋体" w:cs="宋体"/>
      <w:kern w:val="0"/>
      <w:sz w:val="24"/>
      <w:szCs w:val="20"/>
    </w:rPr>
  </w:style>
  <w:style w:type="paragraph" w:styleId="48">
    <w:name w:val="index 1"/>
    <w:basedOn w:val="1"/>
    <w:next w:val="1"/>
    <w:autoRedefine/>
    <w:qFormat/>
    <w:uiPriority w:val="0"/>
    <w:pPr>
      <w:spacing w:line="220" w:lineRule="exact"/>
      <w:jc w:val="center"/>
    </w:pPr>
    <w:rPr>
      <w:rFonts w:ascii="仿宋_GB2312" w:hAnsi="Times New Roman" w:eastAsia="仿宋_GB2312" w:cs="Times New Roman"/>
      <w:szCs w:val="21"/>
    </w:rPr>
  </w:style>
  <w:style w:type="paragraph" w:styleId="49">
    <w:name w:val="Title"/>
    <w:basedOn w:val="1"/>
    <w:link w:val="92"/>
    <w:autoRedefine/>
    <w:qFormat/>
    <w:uiPriority w:val="0"/>
    <w:pPr>
      <w:widowControl/>
      <w:jc w:val="center"/>
    </w:pPr>
    <w:rPr>
      <w:rFonts w:ascii="Times New Roman" w:hAnsi="Times New Roman" w:eastAsia="宋体" w:cs="Times New Roman"/>
      <w:szCs w:val="24"/>
      <w:u w:val="single"/>
      <w:lang w:eastAsia="en-US"/>
    </w:rPr>
  </w:style>
  <w:style w:type="paragraph" w:styleId="50">
    <w:name w:val="annotation subject"/>
    <w:basedOn w:val="17"/>
    <w:next w:val="17"/>
    <w:link w:val="71"/>
    <w:unhideWhenUsed/>
    <w:qFormat/>
    <w:uiPriority w:val="0"/>
    <w:rPr>
      <w:b/>
      <w:bCs/>
    </w:rPr>
  </w:style>
  <w:style w:type="paragraph" w:styleId="51">
    <w:name w:val="Body Text First Indent"/>
    <w:basedOn w:val="20"/>
    <w:link w:val="265"/>
    <w:autoRedefine/>
    <w:qFormat/>
    <w:uiPriority w:val="0"/>
    <w:pPr>
      <w:spacing w:after="120"/>
      <w:ind w:firstLine="420" w:firstLineChars="100"/>
    </w:pPr>
    <w:rPr>
      <w:rFonts w:ascii="Times New Roman" w:eastAsia="宋体"/>
      <w:sz w:val="21"/>
    </w:rPr>
  </w:style>
  <w:style w:type="paragraph" w:styleId="52">
    <w:name w:val="Body Text First Indent 2"/>
    <w:basedOn w:val="21"/>
    <w:link w:val="93"/>
    <w:qFormat/>
    <w:uiPriority w:val="0"/>
    <w:pPr>
      <w:spacing w:after="120"/>
      <w:ind w:left="420" w:leftChars="200" w:firstLine="420"/>
    </w:pPr>
  </w:style>
  <w:style w:type="table" w:styleId="54">
    <w:name w:val="Table Grid"/>
    <w:basedOn w:val="5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6">
    <w:name w:val="Strong"/>
    <w:autoRedefine/>
    <w:qFormat/>
    <w:uiPriority w:val="0"/>
    <w:rPr>
      <w:rFonts w:ascii="宋体" w:eastAsia="仿宋_GB2312" w:cs="宋体"/>
      <w:b/>
      <w:bCs/>
      <w:sz w:val="28"/>
      <w:szCs w:val="28"/>
    </w:rPr>
  </w:style>
  <w:style w:type="character" w:styleId="57">
    <w:name w:val="endnote reference"/>
    <w:autoRedefine/>
    <w:qFormat/>
    <w:uiPriority w:val="0"/>
    <w:rPr>
      <w:rFonts w:ascii="宋体" w:eastAsia="仿宋_GB2312" w:cs="宋体"/>
      <w:sz w:val="28"/>
      <w:szCs w:val="28"/>
      <w:vertAlign w:val="superscript"/>
    </w:rPr>
  </w:style>
  <w:style w:type="character" w:styleId="58">
    <w:name w:val="page number"/>
    <w:basedOn w:val="55"/>
    <w:unhideWhenUsed/>
    <w:qFormat/>
    <w:uiPriority w:val="0"/>
  </w:style>
  <w:style w:type="character" w:styleId="59">
    <w:name w:val="FollowedHyperlink"/>
    <w:basedOn w:val="55"/>
    <w:qFormat/>
    <w:uiPriority w:val="0"/>
    <w:rPr>
      <w:color w:val="800080"/>
      <w:u w:val="single"/>
    </w:rPr>
  </w:style>
  <w:style w:type="character" w:styleId="60">
    <w:name w:val="Emphasis"/>
    <w:qFormat/>
    <w:uiPriority w:val="0"/>
    <w:rPr>
      <w:i/>
      <w:iCs/>
    </w:rPr>
  </w:style>
  <w:style w:type="character" w:styleId="61">
    <w:name w:val="Hyperlink"/>
    <w:qFormat/>
    <w:uiPriority w:val="99"/>
    <w:rPr>
      <w:rFonts w:ascii="宋体" w:eastAsia="仿宋_GB2312" w:cs="宋体"/>
      <w:color w:val="0000FF"/>
      <w:sz w:val="28"/>
      <w:szCs w:val="28"/>
      <w:u w:val="single"/>
    </w:rPr>
  </w:style>
  <w:style w:type="character" w:styleId="62">
    <w:name w:val="annotation reference"/>
    <w:basedOn w:val="55"/>
    <w:unhideWhenUsed/>
    <w:qFormat/>
    <w:uiPriority w:val="0"/>
    <w:rPr>
      <w:sz w:val="21"/>
      <w:szCs w:val="21"/>
    </w:rPr>
  </w:style>
  <w:style w:type="character" w:styleId="63">
    <w:name w:val="footnote reference"/>
    <w:qFormat/>
    <w:uiPriority w:val="0"/>
    <w:rPr>
      <w:rFonts w:ascii="宋体" w:eastAsia="仿宋_GB2312" w:cs="宋体"/>
      <w:sz w:val="28"/>
      <w:szCs w:val="28"/>
      <w:vertAlign w:val="superscript"/>
    </w:rPr>
  </w:style>
  <w:style w:type="paragraph" w:customStyle="1" w:styleId="64">
    <w:name w:val="列出段落1"/>
    <w:basedOn w:val="1"/>
    <w:qFormat/>
    <w:uiPriority w:val="0"/>
    <w:pPr>
      <w:ind w:firstLine="420" w:firstLineChars="200"/>
    </w:pPr>
  </w:style>
  <w:style w:type="character" w:customStyle="1" w:styleId="65">
    <w:name w:val="页脚 Char"/>
    <w:basedOn w:val="55"/>
    <w:link w:val="34"/>
    <w:qFormat/>
    <w:uiPriority w:val="0"/>
    <w:rPr>
      <w:sz w:val="18"/>
      <w:szCs w:val="18"/>
    </w:rPr>
  </w:style>
  <w:style w:type="character" w:customStyle="1" w:styleId="66">
    <w:name w:val="页眉 Char"/>
    <w:basedOn w:val="55"/>
    <w:link w:val="35"/>
    <w:qFormat/>
    <w:uiPriority w:val="0"/>
    <w:rPr>
      <w:sz w:val="18"/>
      <w:szCs w:val="18"/>
    </w:rPr>
  </w:style>
  <w:style w:type="character" w:customStyle="1" w:styleId="67">
    <w:name w:val="标题 1 Char"/>
    <w:basedOn w:val="55"/>
    <w:link w:val="2"/>
    <w:qFormat/>
    <w:uiPriority w:val="0"/>
    <w:rPr>
      <w:rFonts w:ascii="等线" w:hAnsi="等线" w:eastAsia="等线" w:cs="黑体"/>
      <w:b/>
      <w:bCs/>
      <w:kern w:val="44"/>
      <w:sz w:val="44"/>
      <w:szCs w:val="44"/>
    </w:rPr>
  </w:style>
  <w:style w:type="character" w:customStyle="1" w:styleId="68">
    <w:name w:val="标题 2 Char"/>
    <w:basedOn w:val="55"/>
    <w:link w:val="3"/>
    <w:qFormat/>
    <w:uiPriority w:val="0"/>
    <w:rPr>
      <w:rFonts w:asciiTheme="majorHAnsi" w:hAnsiTheme="majorHAnsi" w:eastAsiaTheme="majorEastAsia" w:cstheme="majorBidi"/>
      <w:b/>
      <w:bCs/>
      <w:kern w:val="2"/>
      <w:sz w:val="32"/>
      <w:szCs w:val="32"/>
    </w:rPr>
  </w:style>
  <w:style w:type="character" w:customStyle="1" w:styleId="69">
    <w:name w:val="标题 3 Char"/>
    <w:basedOn w:val="55"/>
    <w:link w:val="4"/>
    <w:qFormat/>
    <w:uiPriority w:val="0"/>
    <w:rPr>
      <w:rFonts w:ascii="等线" w:hAnsi="等线" w:eastAsia="等线" w:cs="黑体"/>
      <w:b/>
      <w:bCs/>
      <w:kern w:val="2"/>
      <w:sz w:val="32"/>
      <w:szCs w:val="32"/>
    </w:rPr>
  </w:style>
  <w:style w:type="character" w:customStyle="1" w:styleId="70">
    <w:name w:val="批注文字 Char"/>
    <w:basedOn w:val="55"/>
    <w:link w:val="17"/>
    <w:qFormat/>
    <w:uiPriority w:val="0"/>
    <w:rPr>
      <w:rFonts w:ascii="等线" w:hAnsi="等线" w:eastAsia="等线" w:cs="黑体"/>
      <w:kern w:val="2"/>
      <w:sz w:val="21"/>
      <w:szCs w:val="22"/>
    </w:rPr>
  </w:style>
  <w:style w:type="character" w:customStyle="1" w:styleId="71">
    <w:name w:val="批注主题 Char"/>
    <w:basedOn w:val="70"/>
    <w:link w:val="50"/>
    <w:qFormat/>
    <w:uiPriority w:val="0"/>
    <w:rPr>
      <w:rFonts w:ascii="等线" w:hAnsi="等线" w:eastAsia="等线" w:cs="黑体"/>
      <w:b/>
      <w:bCs/>
      <w:kern w:val="2"/>
      <w:sz w:val="21"/>
      <w:szCs w:val="22"/>
    </w:rPr>
  </w:style>
  <w:style w:type="character" w:customStyle="1" w:styleId="72">
    <w:name w:val="批注框文本 Char"/>
    <w:basedOn w:val="55"/>
    <w:link w:val="33"/>
    <w:qFormat/>
    <w:uiPriority w:val="0"/>
    <w:rPr>
      <w:rFonts w:ascii="等线" w:hAnsi="等线" w:eastAsia="等线" w:cs="黑体"/>
      <w:kern w:val="2"/>
      <w:sz w:val="18"/>
      <w:szCs w:val="18"/>
    </w:rPr>
  </w:style>
  <w:style w:type="character" w:customStyle="1" w:styleId="73">
    <w:name w:val="正文文本 Char"/>
    <w:basedOn w:val="55"/>
    <w:link w:val="20"/>
    <w:qFormat/>
    <w:uiPriority w:val="0"/>
    <w:rPr>
      <w:rFonts w:ascii="仿宋_GB2312" w:eastAsia="仿宋_GB2312"/>
      <w:kern w:val="2"/>
      <w:sz w:val="32"/>
      <w:szCs w:val="24"/>
    </w:rPr>
  </w:style>
  <w:style w:type="character" w:customStyle="1" w:styleId="74">
    <w:name w:val="标题 4 Char"/>
    <w:basedOn w:val="55"/>
    <w:link w:val="5"/>
    <w:qFormat/>
    <w:uiPriority w:val="0"/>
    <w:rPr>
      <w:rFonts w:ascii="宋体" w:hAnsi="宋体" w:cs="宋体"/>
      <w:b/>
      <w:bCs/>
      <w:kern w:val="2"/>
      <w:sz w:val="24"/>
      <w:szCs w:val="24"/>
    </w:rPr>
  </w:style>
  <w:style w:type="character" w:customStyle="1" w:styleId="75">
    <w:name w:val="标题 5 Char"/>
    <w:basedOn w:val="55"/>
    <w:link w:val="6"/>
    <w:qFormat/>
    <w:uiPriority w:val="0"/>
    <w:rPr>
      <w:rFonts w:ascii="宋体" w:hAnsi="宋体" w:cs="宋体"/>
      <w:b/>
      <w:bCs/>
      <w:kern w:val="2"/>
      <w:sz w:val="21"/>
    </w:rPr>
  </w:style>
  <w:style w:type="character" w:customStyle="1" w:styleId="76">
    <w:name w:val="标题 6 Char"/>
    <w:basedOn w:val="55"/>
    <w:link w:val="7"/>
    <w:qFormat/>
    <w:uiPriority w:val="0"/>
    <w:rPr>
      <w:rFonts w:hAnsi="Arial" w:eastAsia="仿宋_GB2312"/>
      <w:sz w:val="30"/>
    </w:rPr>
  </w:style>
  <w:style w:type="character" w:customStyle="1" w:styleId="77">
    <w:name w:val="标题 7 Char"/>
    <w:basedOn w:val="55"/>
    <w:link w:val="9"/>
    <w:qFormat/>
    <w:uiPriority w:val="0"/>
    <w:rPr>
      <w:rFonts w:eastAsia="仿宋_GB2312"/>
      <w:kern w:val="2"/>
      <w:sz w:val="30"/>
    </w:rPr>
  </w:style>
  <w:style w:type="character" w:customStyle="1" w:styleId="78">
    <w:name w:val="标题 8 Char"/>
    <w:basedOn w:val="55"/>
    <w:link w:val="10"/>
    <w:qFormat/>
    <w:uiPriority w:val="0"/>
    <w:rPr>
      <w:rFonts w:hAnsi="Arial" w:eastAsia="仿宋_GB2312"/>
      <w:kern w:val="2"/>
      <w:sz w:val="30"/>
    </w:rPr>
  </w:style>
  <w:style w:type="character" w:customStyle="1" w:styleId="79">
    <w:name w:val="标题 9 Char"/>
    <w:basedOn w:val="55"/>
    <w:link w:val="11"/>
    <w:qFormat/>
    <w:uiPriority w:val="0"/>
    <w:rPr>
      <w:rFonts w:eastAsia="仿宋_GB2312"/>
      <w:kern w:val="2"/>
      <w:sz w:val="30"/>
    </w:rPr>
  </w:style>
  <w:style w:type="character" w:customStyle="1" w:styleId="80">
    <w:name w:val="文档结构图 Char"/>
    <w:basedOn w:val="55"/>
    <w:link w:val="16"/>
    <w:qFormat/>
    <w:uiPriority w:val="0"/>
    <w:rPr>
      <w:kern w:val="2"/>
      <w:sz w:val="21"/>
      <w:szCs w:val="24"/>
      <w:shd w:val="clear" w:color="auto" w:fill="000080"/>
    </w:rPr>
  </w:style>
  <w:style w:type="character" w:customStyle="1" w:styleId="81">
    <w:name w:val="正文文本 3 Char"/>
    <w:basedOn w:val="55"/>
    <w:link w:val="18"/>
    <w:qFormat/>
    <w:uiPriority w:val="0"/>
    <w:rPr>
      <w:kern w:val="2"/>
      <w:sz w:val="16"/>
      <w:szCs w:val="16"/>
    </w:rPr>
  </w:style>
  <w:style w:type="character" w:customStyle="1" w:styleId="82">
    <w:name w:val="正文文本缩进 Char"/>
    <w:basedOn w:val="55"/>
    <w:link w:val="21"/>
    <w:qFormat/>
    <w:uiPriority w:val="0"/>
    <w:rPr>
      <w:kern w:val="2"/>
      <w:sz w:val="21"/>
      <w:szCs w:val="24"/>
    </w:rPr>
  </w:style>
  <w:style w:type="character" w:customStyle="1" w:styleId="83">
    <w:name w:val="纯文本 Char"/>
    <w:basedOn w:val="55"/>
    <w:link w:val="27"/>
    <w:qFormat/>
    <w:uiPriority w:val="0"/>
    <w:rPr>
      <w:rFonts w:ascii="宋体" w:hAnsi="Courier New" w:cs="Courier New"/>
      <w:kern w:val="2"/>
      <w:sz w:val="21"/>
      <w:szCs w:val="21"/>
    </w:rPr>
  </w:style>
  <w:style w:type="character" w:customStyle="1" w:styleId="84">
    <w:name w:val="日期 Char"/>
    <w:basedOn w:val="55"/>
    <w:link w:val="30"/>
    <w:qFormat/>
    <w:uiPriority w:val="0"/>
    <w:rPr>
      <w:kern w:val="2"/>
      <w:sz w:val="21"/>
      <w:szCs w:val="24"/>
    </w:rPr>
  </w:style>
  <w:style w:type="character" w:customStyle="1" w:styleId="85">
    <w:name w:val="正文文本缩进 2 Char"/>
    <w:basedOn w:val="55"/>
    <w:link w:val="31"/>
    <w:qFormat/>
    <w:uiPriority w:val="0"/>
    <w:rPr>
      <w:kern w:val="2"/>
      <w:sz w:val="28"/>
      <w:szCs w:val="24"/>
    </w:rPr>
  </w:style>
  <w:style w:type="character" w:customStyle="1" w:styleId="86">
    <w:name w:val="尾注文本 Char"/>
    <w:basedOn w:val="55"/>
    <w:link w:val="32"/>
    <w:qFormat/>
    <w:uiPriority w:val="0"/>
    <w:rPr>
      <w:rFonts w:ascii="Arial" w:hAnsi="Arial" w:cs="Arial"/>
      <w:kern w:val="2"/>
      <w:sz w:val="21"/>
      <w:szCs w:val="24"/>
      <w:lang w:eastAsia="en-US"/>
    </w:rPr>
  </w:style>
  <w:style w:type="character" w:customStyle="1" w:styleId="87">
    <w:name w:val="副标题 Char"/>
    <w:basedOn w:val="55"/>
    <w:link w:val="38"/>
    <w:qFormat/>
    <w:uiPriority w:val="0"/>
    <w:rPr>
      <w:kern w:val="2"/>
      <w:sz w:val="21"/>
      <w:szCs w:val="24"/>
      <w:u w:val="single"/>
      <w:lang w:eastAsia="en-US"/>
    </w:rPr>
  </w:style>
  <w:style w:type="character" w:customStyle="1" w:styleId="88">
    <w:name w:val="脚注文本 Char"/>
    <w:basedOn w:val="55"/>
    <w:link w:val="39"/>
    <w:qFormat/>
    <w:uiPriority w:val="0"/>
    <w:rPr>
      <w:rFonts w:ascii="Arial" w:hAnsi="Arial" w:cs="Arial"/>
      <w:kern w:val="2"/>
      <w:sz w:val="18"/>
      <w:szCs w:val="18"/>
      <w:lang w:eastAsia="en-US"/>
    </w:rPr>
  </w:style>
  <w:style w:type="character" w:customStyle="1" w:styleId="89">
    <w:name w:val="正文文本缩进 3 Char"/>
    <w:basedOn w:val="55"/>
    <w:link w:val="41"/>
    <w:qFormat/>
    <w:uiPriority w:val="0"/>
    <w:rPr>
      <w:rFonts w:ascii="宋体" w:hAnsi="宋体"/>
      <w:kern w:val="2"/>
      <w:sz w:val="28"/>
      <w:szCs w:val="28"/>
    </w:rPr>
  </w:style>
  <w:style w:type="character" w:customStyle="1" w:styleId="90">
    <w:name w:val="正文文本 2 Char"/>
    <w:basedOn w:val="55"/>
    <w:link w:val="45"/>
    <w:qFormat/>
    <w:uiPriority w:val="0"/>
    <w:rPr>
      <w:i/>
      <w:iCs/>
      <w:kern w:val="2"/>
      <w:sz w:val="26"/>
      <w:szCs w:val="24"/>
    </w:rPr>
  </w:style>
  <w:style w:type="character" w:customStyle="1" w:styleId="91">
    <w:name w:val="HTML 预设格式 Char"/>
    <w:basedOn w:val="55"/>
    <w:link w:val="46"/>
    <w:qFormat/>
    <w:uiPriority w:val="0"/>
    <w:rPr>
      <w:rFonts w:ascii="宋体" w:hAnsi="宋体" w:cs="宋体"/>
      <w:color w:val="000000"/>
      <w:kern w:val="2"/>
      <w:sz w:val="24"/>
      <w:szCs w:val="24"/>
    </w:rPr>
  </w:style>
  <w:style w:type="character" w:customStyle="1" w:styleId="92">
    <w:name w:val="标题 Char"/>
    <w:basedOn w:val="55"/>
    <w:link w:val="49"/>
    <w:qFormat/>
    <w:uiPriority w:val="0"/>
    <w:rPr>
      <w:kern w:val="2"/>
      <w:sz w:val="21"/>
      <w:szCs w:val="24"/>
      <w:u w:val="single"/>
      <w:lang w:eastAsia="en-US"/>
    </w:rPr>
  </w:style>
  <w:style w:type="character" w:customStyle="1" w:styleId="93">
    <w:name w:val="正文首行缩进 2 Char"/>
    <w:basedOn w:val="82"/>
    <w:link w:val="52"/>
    <w:qFormat/>
    <w:uiPriority w:val="0"/>
    <w:rPr>
      <w:kern w:val="2"/>
      <w:sz w:val="21"/>
      <w:szCs w:val="24"/>
    </w:rPr>
  </w:style>
  <w:style w:type="character" w:customStyle="1" w:styleId="94">
    <w:name w:val="已访问的超链接1"/>
    <w:qFormat/>
    <w:uiPriority w:val="0"/>
    <w:rPr>
      <w:rFonts w:ascii="宋体" w:eastAsia="仿宋_GB2312" w:cs="宋体"/>
      <w:color w:val="800080"/>
      <w:sz w:val="28"/>
      <w:szCs w:val="28"/>
      <w:u w:val="single"/>
    </w:rPr>
  </w:style>
  <w:style w:type="character" w:customStyle="1" w:styleId="95">
    <w:name w:val="标题5 Char Char"/>
    <w:link w:val="96"/>
    <w:qFormat/>
    <w:uiPriority w:val="0"/>
    <w:rPr>
      <w:rFonts w:ascii="Arial" w:hAnsi="Arial"/>
      <w:b/>
      <w:sz w:val="32"/>
    </w:rPr>
  </w:style>
  <w:style w:type="paragraph" w:customStyle="1" w:styleId="96">
    <w:name w:val="标题5"/>
    <w:basedOn w:val="4"/>
    <w:link w:val="95"/>
    <w:qFormat/>
    <w:uiPriority w:val="0"/>
    <w:pPr>
      <w:adjustRightInd w:val="0"/>
      <w:snapToGrid w:val="0"/>
      <w:spacing w:before="0" w:after="0" w:line="413" w:lineRule="auto"/>
      <w:jc w:val="center"/>
    </w:pPr>
    <w:rPr>
      <w:rFonts w:ascii="Arial" w:hAnsi="Arial" w:eastAsia="宋体" w:cs="Times New Roman"/>
      <w:bCs w:val="0"/>
      <w:kern w:val="0"/>
      <w:szCs w:val="20"/>
    </w:rPr>
  </w:style>
  <w:style w:type="character" w:customStyle="1" w:styleId="97">
    <w:name w:val="Char Char56"/>
    <w:qFormat/>
    <w:uiPriority w:val="0"/>
    <w:rPr>
      <w:rFonts w:ascii="Arial" w:hAnsi="Arial" w:eastAsia="黑体" w:cs="Times New Roman"/>
      <w:b/>
      <w:bCs/>
      <w:kern w:val="2"/>
      <w:sz w:val="32"/>
      <w:szCs w:val="32"/>
      <w:lang w:val="en-US" w:eastAsia="zh-CN" w:bidi="ar-SA"/>
    </w:rPr>
  </w:style>
  <w:style w:type="character" w:customStyle="1" w:styleId="98">
    <w:name w:val="Char Char22"/>
    <w:qFormat/>
    <w:uiPriority w:val="0"/>
    <w:rPr>
      <w:rFonts w:ascii="宋体" w:eastAsia="仿宋_GB2312" w:cs="宋体"/>
      <w:b/>
      <w:bCs/>
      <w:kern w:val="2"/>
      <w:sz w:val="32"/>
      <w:szCs w:val="32"/>
    </w:rPr>
  </w:style>
  <w:style w:type="character" w:customStyle="1" w:styleId="99">
    <w:name w:val="Char Char6"/>
    <w:qFormat/>
    <w:uiPriority w:val="0"/>
    <w:rPr>
      <w:rFonts w:ascii="宋体" w:hAnsi="宋体" w:eastAsia="仿宋_GB2312" w:cs="宋体"/>
      <w:kern w:val="2"/>
      <w:sz w:val="28"/>
      <w:szCs w:val="28"/>
    </w:rPr>
  </w:style>
  <w:style w:type="character" w:customStyle="1" w:styleId="100">
    <w:name w:val="ca-141"/>
    <w:qFormat/>
    <w:uiPriority w:val="0"/>
    <w:rPr>
      <w:rFonts w:hint="eastAsia" w:ascii="仿宋_GB2312" w:eastAsia="仿宋_GB2312" w:cs="宋体"/>
      <w:sz w:val="21"/>
      <w:szCs w:val="21"/>
    </w:rPr>
  </w:style>
  <w:style w:type="character" w:customStyle="1" w:styleId="101">
    <w:name w:val="Char Char40"/>
    <w:qFormat/>
    <w:uiPriority w:val="0"/>
    <w:rPr>
      <w:rFonts w:ascii="宋体" w:hAnsi="宋体" w:eastAsia="宋体" w:cs="Times New Roman"/>
      <w:kern w:val="2"/>
      <w:sz w:val="24"/>
      <w:szCs w:val="24"/>
      <w:lang w:val="en-US" w:eastAsia="zh-CN" w:bidi="ar-SA"/>
    </w:rPr>
  </w:style>
  <w:style w:type="character" w:customStyle="1" w:styleId="102">
    <w:name w:val="ss16"/>
    <w:qFormat/>
    <w:uiPriority w:val="0"/>
    <w:rPr>
      <w:rFonts w:hint="eastAsia" w:ascii="宋体" w:hAnsi="宋体" w:eastAsia="宋体" w:cs="宋体"/>
      <w:color w:val="000000"/>
      <w:sz w:val="9"/>
      <w:szCs w:val="9"/>
    </w:rPr>
  </w:style>
  <w:style w:type="character" w:customStyle="1" w:styleId="103">
    <w:name w:val="标题4 Char Char"/>
    <w:link w:val="104"/>
    <w:qFormat/>
    <w:uiPriority w:val="0"/>
    <w:rPr>
      <w:rFonts w:ascii="Arial" w:hAnsi="Arial"/>
      <w:b/>
      <w:sz w:val="32"/>
    </w:rPr>
  </w:style>
  <w:style w:type="paragraph" w:customStyle="1" w:styleId="104">
    <w:name w:val="标题4"/>
    <w:basedOn w:val="3"/>
    <w:next w:val="24"/>
    <w:link w:val="103"/>
    <w:qFormat/>
    <w:uiPriority w:val="0"/>
    <w:pPr>
      <w:adjustRightInd w:val="0"/>
      <w:snapToGrid w:val="0"/>
      <w:spacing w:line="413" w:lineRule="auto"/>
    </w:pPr>
    <w:rPr>
      <w:rFonts w:ascii="Arial" w:hAnsi="Arial" w:eastAsia="宋体" w:cs="Times New Roman"/>
      <w:bCs w:val="0"/>
      <w:kern w:val="0"/>
      <w:szCs w:val="20"/>
    </w:rPr>
  </w:style>
  <w:style w:type="character" w:customStyle="1" w:styleId="105">
    <w:name w:val="Quote Char1"/>
    <w:link w:val="106"/>
    <w:qFormat/>
    <w:uiPriority w:val="0"/>
    <w:rPr>
      <w:rFonts w:ascii="Calibri" w:hAnsi="Calibri" w:cs="宋体"/>
      <w:i/>
      <w:iCs/>
      <w:color w:val="000000"/>
      <w:sz w:val="22"/>
    </w:rPr>
  </w:style>
  <w:style w:type="paragraph" w:customStyle="1" w:styleId="106">
    <w:name w:val="引用1"/>
    <w:basedOn w:val="1"/>
    <w:next w:val="1"/>
    <w:link w:val="105"/>
    <w:qFormat/>
    <w:uiPriority w:val="0"/>
    <w:rPr>
      <w:rFonts w:ascii="Calibri" w:hAnsi="Calibri" w:eastAsia="宋体" w:cs="宋体"/>
      <w:i/>
      <w:iCs/>
      <w:color w:val="000000"/>
      <w:kern w:val="0"/>
      <w:sz w:val="22"/>
      <w:szCs w:val="20"/>
    </w:rPr>
  </w:style>
  <w:style w:type="character" w:customStyle="1" w:styleId="107">
    <w:name w:val="正文文字4 Char Char"/>
    <w:qFormat/>
    <w:uiPriority w:val="0"/>
    <w:rPr>
      <w:rFonts w:ascii="宋体" w:eastAsia="仿宋_GB2312" w:cs="宋体"/>
      <w:kern w:val="2"/>
      <w:sz w:val="21"/>
      <w:szCs w:val="24"/>
    </w:rPr>
  </w:style>
  <w:style w:type="character" w:customStyle="1" w:styleId="108">
    <w:name w:val="Char Char57"/>
    <w:qFormat/>
    <w:uiPriority w:val="0"/>
    <w:rPr>
      <w:rFonts w:ascii="宋体" w:eastAsia="宋体" w:cs="Times New Roman"/>
      <w:b/>
      <w:bCs/>
      <w:kern w:val="44"/>
      <w:sz w:val="44"/>
      <w:szCs w:val="44"/>
      <w:lang w:val="en-US" w:eastAsia="zh-CN" w:bidi="ar-SA"/>
    </w:rPr>
  </w:style>
  <w:style w:type="character" w:customStyle="1" w:styleId="109">
    <w:name w:val="Char Char85"/>
    <w:qFormat/>
    <w:uiPriority w:val="0"/>
    <w:rPr>
      <w:rFonts w:ascii="Arial" w:hAnsi="Arial" w:eastAsia="黑体" w:cs="Times New Roman"/>
      <w:b/>
      <w:bCs/>
      <w:kern w:val="2"/>
      <w:sz w:val="32"/>
      <w:szCs w:val="32"/>
      <w:lang w:val="en-US" w:eastAsia="zh-CN" w:bidi="ar-SA"/>
    </w:rPr>
  </w:style>
  <w:style w:type="character" w:customStyle="1" w:styleId="110">
    <w:name w:val="Char Char54"/>
    <w:qFormat/>
    <w:uiPriority w:val="0"/>
    <w:rPr>
      <w:rFonts w:ascii="Arial" w:hAnsi="Arial" w:eastAsia="黑体" w:cs="Times New Roman"/>
      <w:b/>
      <w:bCs/>
      <w:kern w:val="2"/>
      <w:sz w:val="28"/>
      <w:szCs w:val="28"/>
      <w:lang w:val="en-US" w:eastAsia="zh-CN" w:bidi="ar-SA"/>
    </w:rPr>
  </w:style>
  <w:style w:type="character" w:customStyle="1" w:styleId="111">
    <w:name w:val="样式3 Char Char"/>
    <w:qFormat/>
    <w:uiPriority w:val="0"/>
    <w:rPr>
      <w:rFonts w:ascii="宋体" w:hAnsi="宋体" w:eastAsia="仿宋_GB2312" w:cs="Times New Roman"/>
      <w:b/>
      <w:bCs/>
      <w:kern w:val="2"/>
      <w:sz w:val="32"/>
      <w:szCs w:val="32"/>
      <w:lang w:val="en-US" w:eastAsia="zh-CN" w:bidi="ar-SA"/>
    </w:rPr>
  </w:style>
  <w:style w:type="character" w:customStyle="1" w:styleId="112">
    <w:name w:val="Char Char64"/>
    <w:qFormat/>
    <w:uiPriority w:val="0"/>
    <w:rPr>
      <w:rFonts w:ascii="宋体" w:hAnsi="宋体" w:eastAsia="宋体" w:cs="宋体"/>
      <w:color w:val="000000"/>
      <w:sz w:val="24"/>
      <w:szCs w:val="24"/>
      <w:lang w:val="en-US" w:eastAsia="zh-CN" w:bidi="ar-SA"/>
    </w:rPr>
  </w:style>
  <w:style w:type="character" w:customStyle="1" w:styleId="113">
    <w:name w:val="Char Char81"/>
    <w:qFormat/>
    <w:uiPriority w:val="0"/>
    <w:rPr>
      <w:rFonts w:ascii="Arial" w:hAnsi="Arial" w:eastAsia="黑体" w:cs="Times New Roman"/>
      <w:b/>
      <w:bCs/>
      <w:kern w:val="2"/>
      <w:sz w:val="24"/>
      <w:szCs w:val="24"/>
      <w:lang w:val="en-US" w:eastAsia="zh-CN" w:bidi="ar-SA"/>
    </w:rPr>
  </w:style>
  <w:style w:type="character" w:customStyle="1" w:styleId="114">
    <w:name w:val="Char Char84"/>
    <w:qFormat/>
    <w:uiPriority w:val="0"/>
    <w:rPr>
      <w:rFonts w:ascii="宋体" w:eastAsia="宋体" w:cs="Times New Roman"/>
      <w:b/>
      <w:bCs/>
      <w:kern w:val="2"/>
      <w:sz w:val="32"/>
      <w:szCs w:val="32"/>
      <w:lang w:val="en-US" w:eastAsia="zh-CN" w:bidi="ar-SA"/>
    </w:rPr>
  </w:style>
  <w:style w:type="character" w:customStyle="1" w:styleId="115">
    <w:name w:val="Char Char37"/>
    <w:qFormat/>
    <w:uiPriority w:val="0"/>
    <w:rPr>
      <w:rFonts w:ascii="宋体" w:eastAsia="仿宋_GB2312" w:cs="Times New Roman"/>
      <w:kern w:val="2"/>
      <w:sz w:val="24"/>
      <w:szCs w:val="24"/>
    </w:rPr>
  </w:style>
  <w:style w:type="character" w:customStyle="1" w:styleId="116">
    <w:name w:val="Char Char8"/>
    <w:qFormat/>
    <w:uiPriority w:val="0"/>
    <w:rPr>
      <w:rFonts w:ascii="宋体" w:eastAsia="仿宋_GB2312" w:cs="宋体"/>
      <w:kern w:val="2"/>
      <w:sz w:val="18"/>
      <w:szCs w:val="18"/>
    </w:rPr>
  </w:style>
  <w:style w:type="character" w:customStyle="1" w:styleId="117">
    <w:name w:val="Char Char5"/>
    <w:qFormat/>
    <w:uiPriority w:val="0"/>
    <w:rPr>
      <w:rFonts w:ascii="宋体" w:eastAsia="仿宋_GB2312" w:cs="宋体"/>
      <w:sz w:val="28"/>
      <w:szCs w:val="24"/>
      <w:u w:val="single"/>
      <w:lang w:eastAsia="en-US"/>
    </w:rPr>
  </w:style>
  <w:style w:type="character" w:customStyle="1" w:styleId="118">
    <w:name w:val="Char Char86"/>
    <w:qFormat/>
    <w:uiPriority w:val="0"/>
    <w:rPr>
      <w:rFonts w:ascii="宋体" w:eastAsia="宋体" w:cs="Times New Roman"/>
      <w:b/>
      <w:bCs/>
      <w:kern w:val="44"/>
      <w:sz w:val="44"/>
      <w:szCs w:val="44"/>
      <w:lang w:val="en-US" w:eastAsia="zh-CN" w:bidi="ar-SA"/>
    </w:rPr>
  </w:style>
  <w:style w:type="character" w:customStyle="1" w:styleId="119">
    <w:name w:val="Char Char3"/>
    <w:qFormat/>
    <w:uiPriority w:val="0"/>
    <w:rPr>
      <w:rFonts w:ascii="Arial" w:hAnsi="Arial" w:eastAsia="仿宋_GB2312" w:cs="Arial"/>
      <w:sz w:val="18"/>
      <w:szCs w:val="18"/>
      <w:lang w:eastAsia="en-US"/>
    </w:rPr>
  </w:style>
  <w:style w:type="character" w:customStyle="1" w:styleId="120">
    <w:name w:val="Char Char78"/>
    <w:qFormat/>
    <w:uiPriority w:val="0"/>
    <w:rPr>
      <w:rFonts w:ascii="Arial" w:hAnsi="Arial" w:eastAsia="黑体" w:cs="Times New Roman"/>
      <w:kern w:val="2"/>
      <w:sz w:val="21"/>
      <w:szCs w:val="21"/>
      <w:lang w:val="en-US" w:eastAsia="zh-CN" w:bidi="ar-SA"/>
    </w:rPr>
  </w:style>
  <w:style w:type="character" w:customStyle="1" w:styleId="121">
    <w:name w:val="Char Char71"/>
    <w:qFormat/>
    <w:uiPriority w:val="0"/>
    <w:rPr>
      <w:rFonts w:ascii="宋体" w:eastAsia="宋体" w:cs="Times New Roman"/>
      <w:sz w:val="24"/>
      <w:szCs w:val="28"/>
      <w:lang w:val="en-US" w:eastAsia="zh-CN" w:bidi="ar-SA"/>
    </w:rPr>
  </w:style>
  <w:style w:type="character" w:customStyle="1" w:styleId="122">
    <w:name w:val="Char Char33"/>
    <w:qFormat/>
    <w:uiPriority w:val="0"/>
    <w:rPr>
      <w:rFonts w:ascii="宋体" w:hAnsi="Courier New" w:eastAsia="宋体" w:cs="Times New Roman"/>
      <w:kern w:val="2"/>
      <w:sz w:val="21"/>
      <w:szCs w:val="21"/>
      <w:lang w:val="en-US" w:eastAsia="zh-CN" w:bidi="ar-SA"/>
    </w:rPr>
  </w:style>
  <w:style w:type="character" w:customStyle="1" w:styleId="123">
    <w:name w:val="Char Char4"/>
    <w:qFormat/>
    <w:uiPriority w:val="0"/>
    <w:rPr>
      <w:rFonts w:ascii="宋体" w:eastAsia="仿宋_GB2312" w:cs="宋体"/>
      <w:sz w:val="28"/>
      <w:szCs w:val="24"/>
      <w:u w:val="single"/>
      <w:lang w:eastAsia="en-US"/>
    </w:rPr>
  </w:style>
  <w:style w:type="character" w:customStyle="1" w:styleId="124">
    <w:name w:val="font161"/>
    <w:qFormat/>
    <w:uiPriority w:val="0"/>
    <w:rPr>
      <w:rFonts w:ascii="宋体" w:eastAsia="仿宋_GB2312" w:cs="宋体"/>
      <w:b/>
      <w:bCs/>
      <w:sz w:val="32"/>
      <w:szCs w:val="32"/>
    </w:rPr>
  </w:style>
  <w:style w:type="character" w:customStyle="1" w:styleId="125">
    <w:name w:val="0d1471"/>
    <w:qFormat/>
    <w:uiPriority w:val="0"/>
    <w:rPr>
      <w:rFonts w:ascii="宋体" w:eastAsia="仿宋_GB2312" w:cs="宋体"/>
      <w:color w:val="000000"/>
      <w:sz w:val="11"/>
      <w:szCs w:val="11"/>
      <w:u w:val="none"/>
    </w:rPr>
  </w:style>
  <w:style w:type="character" w:customStyle="1" w:styleId="126">
    <w:name w:val="Char Char48"/>
    <w:basedOn w:val="101"/>
    <w:qFormat/>
    <w:uiPriority w:val="0"/>
    <w:rPr>
      <w:rFonts w:ascii="宋体" w:hAnsi="宋体" w:eastAsia="宋体" w:cs="Times New Roman"/>
      <w:kern w:val="2"/>
      <w:sz w:val="24"/>
      <w:szCs w:val="24"/>
      <w:lang w:val="en-US" w:eastAsia="zh-CN" w:bidi="ar-SA"/>
    </w:rPr>
  </w:style>
  <w:style w:type="character" w:customStyle="1" w:styleId="127">
    <w:name w:val="Char Char46"/>
    <w:qFormat/>
    <w:uiPriority w:val="0"/>
    <w:rPr>
      <w:rFonts w:ascii="宋体" w:eastAsia="宋体" w:cs="Times New Roman"/>
      <w:sz w:val="24"/>
      <w:szCs w:val="28"/>
      <w:lang w:val="en-US" w:eastAsia="zh-CN" w:bidi="ar-SA"/>
    </w:rPr>
  </w:style>
  <w:style w:type="character" w:customStyle="1" w:styleId="128">
    <w:name w:val="Char Char44"/>
    <w:qFormat/>
    <w:uiPriority w:val="0"/>
    <w:rPr>
      <w:rFonts w:ascii="宋体" w:eastAsia="宋体" w:cs="Times New Roman"/>
      <w:sz w:val="24"/>
      <w:szCs w:val="24"/>
      <w:u w:val="single"/>
      <w:lang w:val="en-US" w:eastAsia="en-US" w:bidi="ar-SA"/>
    </w:rPr>
  </w:style>
  <w:style w:type="character" w:customStyle="1" w:styleId="129">
    <w:name w:val="Endnote Text Char1"/>
    <w:qFormat/>
    <w:uiPriority w:val="0"/>
    <w:rPr>
      <w:rFonts w:ascii="宋体" w:eastAsia="仿宋_GB2312" w:cs="Times New Roman"/>
      <w:kern w:val="2"/>
      <w:sz w:val="24"/>
      <w:szCs w:val="24"/>
    </w:rPr>
  </w:style>
  <w:style w:type="character" w:customStyle="1" w:styleId="130">
    <w:name w:val="Char Char26"/>
    <w:qFormat/>
    <w:uiPriority w:val="0"/>
    <w:rPr>
      <w:rFonts w:ascii="宋体" w:eastAsia="宋体" w:cs="Times New Roman"/>
      <w:b/>
      <w:bCs/>
      <w:kern w:val="2"/>
      <w:sz w:val="32"/>
      <w:szCs w:val="32"/>
      <w:lang w:val="en-US" w:eastAsia="zh-CN" w:bidi="ar-SA"/>
    </w:rPr>
  </w:style>
  <w:style w:type="character" w:customStyle="1" w:styleId="131">
    <w:name w:val="批注主题 Char Char"/>
    <w:qFormat/>
    <w:uiPriority w:val="0"/>
    <w:rPr>
      <w:rFonts w:ascii="宋体" w:hAnsi="宋体" w:eastAsia="宋体" w:cs="宋体"/>
      <w:kern w:val="2"/>
      <w:sz w:val="24"/>
      <w:szCs w:val="28"/>
      <w:lang w:val="en-US" w:eastAsia="zh-CN" w:bidi="ar-SA"/>
    </w:rPr>
  </w:style>
  <w:style w:type="character" w:customStyle="1" w:styleId="132">
    <w:name w:val="Char Char47"/>
    <w:qFormat/>
    <w:uiPriority w:val="0"/>
    <w:rPr>
      <w:rFonts w:ascii="宋体" w:eastAsia="宋体" w:cs="Times New Roman"/>
      <w:sz w:val="24"/>
      <w:szCs w:val="24"/>
      <w:u w:val="single"/>
      <w:lang w:val="en-US" w:eastAsia="en-US" w:bidi="ar-SA"/>
    </w:rPr>
  </w:style>
  <w:style w:type="character" w:customStyle="1" w:styleId="133">
    <w:name w:val="Char Char59"/>
    <w:qFormat/>
    <w:uiPriority w:val="0"/>
    <w:rPr>
      <w:rFonts w:ascii="宋体" w:eastAsia="宋体" w:cs="Times New Roman"/>
      <w:sz w:val="24"/>
      <w:szCs w:val="28"/>
      <w:lang w:val="en-US" w:eastAsia="zh-CN" w:bidi="ar-SA"/>
    </w:rPr>
  </w:style>
  <w:style w:type="character" w:customStyle="1" w:styleId="134">
    <w:name w:val="Char Char39"/>
    <w:qFormat/>
    <w:uiPriority w:val="0"/>
    <w:rPr>
      <w:rFonts w:ascii="宋体" w:eastAsia="宋体" w:cs="Times New Roman"/>
      <w:kern w:val="2"/>
      <w:sz w:val="18"/>
      <w:szCs w:val="18"/>
      <w:lang w:val="en-US" w:eastAsia="zh-CN" w:bidi="ar-SA"/>
    </w:rPr>
  </w:style>
  <w:style w:type="character" w:customStyle="1" w:styleId="135">
    <w:name w:val="Char Char65"/>
    <w:qFormat/>
    <w:uiPriority w:val="0"/>
    <w:rPr>
      <w:rFonts w:ascii="宋体" w:eastAsia="宋体" w:cs="Times New Roman"/>
      <w:b/>
      <w:bCs/>
      <w:kern w:val="2"/>
      <w:sz w:val="24"/>
      <w:szCs w:val="24"/>
      <w:lang w:val="en-US" w:eastAsia="zh-CN" w:bidi="ar-SA"/>
    </w:rPr>
  </w:style>
  <w:style w:type="character" w:customStyle="1" w:styleId="136">
    <w:name w:val="Char Char28"/>
    <w:uiPriority w:val="0"/>
    <w:rPr>
      <w:rFonts w:ascii="宋体" w:eastAsia="宋体" w:cs="Times New Roman"/>
      <w:b/>
      <w:bCs/>
      <w:kern w:val="44"/>
      <w:sz w:val="44"/>
      <w:szCs w:val="44"/>
      <w:lang w:val="en-US" w:eastAsia="zh-CN" w:bidi="ar-SA"/>
    </w:rPr>
  </w:style>
  <w:style w:type="character" w:customStyle="1" w:styleId="137">
    <w:name w:val="Char Char42"/>
    <w:qFormat/>
    <w:uiPriority w:val="0"/>
    <w:rPr>
      <w:rFonts w:ascii="宋体" w:eastAsia="宋体" w:cs="Times New Roman"/>
      <w:sz w:val="24"/>
      <w:szCs w:val="28"/>
      <w:lang w:val="en-US" w:eastAsia="zh-CN" w:bidi="ar-SA"/>
    </w:rPr>
  </w:style>
  <w:style w:type="character" w:customStyle="1" w:styleId="138">
    <w:name w:val="Char Char25"/>
    <w:uiPriority w:val="0"/>
    <w:rPr>
      <w:rFonts w:ascii="Arial" w:hAnsi="Arial" w:eastAsia="黑体" w:cs="Times New Roman"/>
      <w:b/>
      <w:bCs/>
      <w:kern w:val="2"/>
      <w:sz w:val="28"/>
      <w:szCs w:val="28"/>
      <w:lang w:val="en-US" w:eastAsia="zh-CN" w:bidi="ar-SA"/>
    </w:rPr>
  </w:style>
  <w:style w:type="character" w:customStyle="1" w:styleId="139">
    <w:name w:val="Char Char41"/>
    <w:uiPriority w:val="0"/>
    <w:rPr>
      <w:rFonts w:ascii="宋体" w:eastAsia="宋体" w:cs="Times New Roman"/>
      <w:kern w:val="2"/>
      <w:sz w:val="18"/>
      <w:szCs w:val="18"/>
      <w:lang w:val="en-US" w:eastAsia="zh-CN" w:bidi="ar-SA"/>
    </w:rPr>
  </w:style>
  <w:style w:type="character" w:customStyle="1" w:styleId="140">
    <w:name w:val="Char Char58"/>
    <w:uiPriority w:val="0"/>
    <w:rPr>
      <w:rFonts w:ascii="宋体" w:eastAsia="仿宋_GB2312" w:cs="Times New Roman"/>
      <w:kern w:val="2"/>
      <w:sz w:val="16"/>
      <w:szCs w:val="16"/>
    </w:rPr>
  </w:style>
  <w:style w:type="character" w:customStyle="1" w:styleId="141">
    <w:name w:val="Char Char16"/>
    <w:qFormat/>
    <w:uiPriority w:val="0"/>
    <w:rPr>
      <w:rFonts w:ascii="宋体" w:eastAsia="仿宋_GB2312" w:cs="宋体"/>
      <w:sz w:val="30"/>
      <w:szCs w:val="28"/>
    </w:rPr>
  </w:style>
  <w:style w:type="character" w:customStyle="1" w:styleId="142">
    <w:name w:val="Char Char13"/>
    <w:uiPriority w:val="0"/>
    <w:rPr>
      <w:rFonts w:ascii="宋体" w:eastAsia="仿宋_GB2312" w:cs="宋体"/>
      <w:kern w:val="2"/>
      <w:sz w:val="18"/>
      <w:szCs w:val="18"/>
    </w:rPr>
  </w:style>
  <w:style w:type="character" w:customStyle="1" w:styleId="143">
    <w:name w:val="Char Char62"/>
    <w:qFormat/>
    <w:uiPriority w:val="0"/>
    <w:rPr>
      <w:rFonts w:ascii="宋体" w:hAnsi="Courier New" w:eastAsia="宋体" w:cs="Times New Roman"/>
      <w:kern w:val="2"/>
      <w:sz w:val="21"/>
      <w:szCs w:val="21"/>
      <w:lang w:val="en-US" w:eastAsia="zh-CN" w:bidi="ar-SA"/>
    </w:rPr>
  </w:style>
  <w:style w:type="character" w:customStyle="1" w:styleId="144">
    <w:name w:val="main_tdbg_7601"/>
    <w:qFormat/>
    <w:uiPriority w:val="0"/>
    <w:rPr>
      <w:rFonts w:ascii="宋体" w:eastAsia="仿宋_GB2312" w:cs="宋体"/>
      <w:sz w:val="14"/>
      <w:szCs w:val="14"/>
    </w:rPr>
  </w:style>
  <w:style w:type="character" w:customStyle="1" w:styleId="145">
    <w:name w:val="Char Char9"/>
    <w:qFormat/>
    <w:uiPriority w:val="0"/>
    <w:rPr>
      <w:rFonts w:ascii="宋体" w:eastAsia="仿宋_GB2312" w:cs="宋体"/>
      <w:b/>
      <w:bCs/>
      <w:kern w:val="2"/>
      <w:sz w:val="21"/>
      <w:szCs w:val="24"/>
    </w:rPr>
  </w:style>
  <w:style w:type="character" w:customStyle="1" w:styleId="146">
    <w:name w:val="style21"/>
    <w:qFormat/>
    <w:uiPriority w:val="0"/>
    <w:rPr>
      <w:rFonts w:ascii="宋体" w:eastAsia="仿宋_GB2312" w:cs="宋体"/>
      <w:b/>
      <w:bCs/>
      <w:sz w:val="28"/>
      <w:szCs w:val="28"/>
    </w:rPr>
  </w:style>
  <w:style w:type="character" w:customStyle="1" w:styleId="147">
    <w:name w:val="样式1 Char Char"/>
    <w:link w:val="148"/>
    <w:qFormat/>
    <w:uiPriority w:val="0"/>
    <w:rPr>
      <w:rFonts w:ascii="宋体" w:hAnsi="宋体"/>
      <w:b/>
      <w:bCs/>
      <w:szCs w:val="21"/>
    </w:rPr>
  </w:style>
  <w:style w:type="paragraph" w:customStyle="1" w:styleId="148">
    <w:name w:val="样式1"/>
    <w:basedOn w:val="1"/>
    <w:next w:val="5"/>
    <w:link w:val="147"/>
    <w:qFormat/>
    <w:uiPriority w:val="0"/>
    <w:pPr>
      <w:spacing w:line="360" w:lineRule="auto"/>
      <w:ind w:firstLine="420" w:firstLineChars="200"/>
    </w:pPr>
    <w:rPr>
      <w:rFonts w:ascii="宋体" w:hAnsi="宋体" w:eastAsia="宋体" w:cs="Times New Roman"/>
      <w:b/>
      <w:bCs/>
      <w:kern w:val="0"/>
      <w:sz w:val="20"/>
      <w:szCs w:val="21"/>
    </w:rPr>
  </w:style>
  <w:style w:type="character" w:customStyle="1" w:styleId="149">
    <w:name w:val="Char Char1"/>
    <w:qFormat/>
    <w:uiPriority w:val="0"/>
    <w:rPr>
      <w:rFonts w:ascii="宋体" w:eastAsia="仿宋_GB2312" w:cs="宋体"/>
      <w:kern w:val="2"/>
      <w:sz w:val="16"/>
      <w:szCs w:val="16"/>
    </w:rPr>
  </w:style>
  <w:style w:type="character" w:customStyle="1" w:styleId="150">
    <w:name w:val="Char Char111"/>
    <w:qFormat/>
    <w:uiPriority w:val="0"/>
    <w:rPr>
      <w:rFonts w:ascii="宋体" w:eastAsia="宋体" w:cs="Times New Roman"/>
      <w:kern w:val="2"/>
      <w:sz w:val="18"/>
      <w:szCs w:val="18"/>
      <w:lang w:val="en-US" w:eastAsia="zh-CN" w:bidi="ar-SA"/>
    </w:rPr>
  </w:style>
  <w:style w:type="character" w:customStyle="1" w:styleId="151">
    <w:name w:val="Char Char11"/>
    <w:qFormat/>
    <w:uiPriority w:val="0"/>
    <w:rPr>
      <w:rFonts w:ascii="宋体" w:eastAsia="黑体" w:cs="宋体"/>
      <w:kern w:val="2"/>
      <w:sz w:val="44"/>
      <w:szCs w:val="44"/>
      <w:lang w:val="en-US" w:eastAsia="zh-CN" w:bidi="ar-SA"/>
    </w:rPr>
  </w:style>
  <w:style w:type="character" w:customStyle="1" w:styleId="152">
    <w:name w:val="手改 Char Char"/>
    <w:qFormat/>
    <w:uiPriority w:val="0"/>
    <w:rPr>
      <w:rFonts w:ascii="宋体" w:eastAsia="仿宋_GB2312" w:cs="宋体"/>
      <w:kern w:val="2"/>
      <w:sz w:val="21"/>
      <w:szCs w:val="24"/>
    </w:rPr>
  </w:style>
  <w:style w:type="character" w:customStyle="1" w:styleId="153">
    <w:name w:val="Char Char82"/>
    <w:qFormat/>
    <w:uiPriority w:val="0"/>
    <w:rPr>
      <w:rFonts w:ascii="宋体" w:eastAsia="宋体" w:cs="Times New Roman"/>
      <w:b/>
      <w:bCs/>
      <w:kern w:val="2"/>
      <w:sz w:val="28"/>
      <w:szCs w:val="28"/>
      <w:lang w:val="en-US" w:eastAsia="zh-CN" w:bidi="ar-SA"/>
    </w:rPr>
  </w:style>
  <w:style w:type="character" w:customStyle="1" w:styleId="154">
    <w:name w:val="color_red1"/>
    <w:qFormat/>
    <w:uiPriority w:val="0"/>
    <w:rPr>
      <w:rFonts w:ascii="宋体" w:eastAsia="仿宋_GB2312" w:cs="宋体"/>
      <w:color w:val="FA0004"/>
      <w:sz w:val="28"/>
      <w:szCs w:val="28"/>
    </w:rPr>
  </w:style>
  <w:style w:type="character" w:customStyle="1" w:styleId="155">
    <w:name w:val="Char Char Char"/>
    <w:uiPriority w:val="0"/>
    <w:rPr>
      <w:rFonts w:ascii="宋体" w:eastAsia="仿宋_GB2312" w:cs="宋体"/>
      <w:kern w:val="2"/>
      <w:sz w:val="21"/>
      <w:szCs w:val="24"/>
      <w:shd w:val="clear" w:color="auto" w:fill="000080"/>
    </w:rPr>
  </w:style>
  <w:style w:type="character" w:customStyle="1" w:styleId="156">
    <w:name w:val="Char Char50"/>
    <w:uiPriority w:val="0"/>
    <w:rPr>
      <w:rFonts w:ascii="Arial" w:hAnsi="Arial" w:eastAsia="黑体" w:cs="Times New Roman"/>
      <w:kern w:val="2"/>
      <w:sz w:val="24"/>
      <w:szCs w:val="24"/>
      <w:lang w:val="en-US" w:eastAsia="zh-CN" w:bidi="ar-SA"/>
    </w:rPr>
  </w:style>
  <w:style w:type="character" w:customStyle="1" w:styleId="157">
    <w:name w:val="Char Char60"/>
    <w:uiPriority w:val="0"/>
    <w:rPr>
      <w:rFonts w:ascii="宋体" w:eastAsia="宋体" w:cs="Times New Roman"/>
      <w:kern w:val="2"/>
      <w:sz w:val="18"/>
      <w:szCs w:val="18"/>
      <w:lang w:val="en-US" w:eastAsia="zh-CN" w:bidi="ar-SA"/>
    </w:rPr>
  </w:style>
  <w:style w:type="character" w:customStyle="1" w:styleId="158">
    <w:name w:val="14t1"/>
    <w:qFormat/>
    <w:uiPriority w:val="0"/>
    <w:rPr>
      <w:rFonts w:hint="eastAsia" w:ascii="宋体" w:hAnsi="宋体" w:eastAsia="宋体" w:cs="宋体"/>
      <w:sz w:val="11"/>
      <w:szCs w:val="11"/>
    </w:rPr>
  </w:style>
  <w:style w:type="character" w:customStyle="1" w:styleId="159">
    <w:name w:val="Char Char20"/>
    <w:qFormat/>
    <w:uiPriority w:val="0"/>
    <w:rPr>
      <w:rFonts w:ascii="宋体" w:hAnsi="宋体" w:eastAsia="仿宋_GB2312" w:cs="宋体"/>
      <w:b/>
      <w:bCs/>
      <w:sz w:val="28"/>
      <w:szCs w:val="28"/>
    </w:rPr>
  </w:style>
  <w:style w:type="character" w:customStyle="1" w:styleId="160">
    <w:name w:val="标题 3 Char Char"/>
    <w:uiPriority w:val="0"/>
    <w:rPr>
      <w:rFonts w:ascii="宋体" w:eastAsia="宋体" w:cs="Times New Roman"/>
      <w:b/>
      <w:bCs/>
      <w:kern w:val="2"/>
      <w:sz w:val="32"/>
      <w:szCs w:val="32"/>
      <w:lang w:val="en-US" w:eastAsia="zh-CN" w:bidi="ar-SA"/>
    </w:rPr>
  </w:style>
  <w:style w:type="character" w:customStyle="1" w:styleId="161">
    <w:name w:val="Char Char75"/>
    <w:qFormat/>
    <w:uiPriority w:val="0"/>
    <w:rPr>
      <w:rFonts w:ascii="宋体" w:eastAsia="宋体" w:cs="Times New Roman"/>
      <w:sz w:val="24"/>
      <w:szCs w:val="28"/>
      <w:lang w:val="en-US" w:eastAsia="zh-CN" w:bidi="ar-SA"/>
    </w:rPr>
  </w:style>
  <w:style w:type="character" w:customStyle="1" w:styleId="162">
    <w:name w:val="Char Char73"/>
    <w:qFormat/>
    <w:uiPriority w:val="0"/>
    <w:rPr>
      <w:rFonts w:ascii="宋体" w:eastAsia="宋体" w:cs="Times New Roman"/>
      <w:sz w:val="24"/>
      <w:szCs w:val="24"/>
      <w:u w:val="single"/>
      <w:lang w:val="en-US" w:eastAsia="en-US" w:bidi="ar-SA"/>
    </w:rPr>
  </w:style>
  <w:style w:type="character" w:customStyle="1" w:styleId="163">
    <w:name w:val="Char Char15"/>
    <w:qFormat/>
    <w:uiPriority w:val="0"/>
    <w:rPr>
      <w:rFonts w:ascii="宋体" w:eastAsia="仿宋_GB2312" w:cs="宋体"/>
      <w:kern w:val="2"/>
      <w:sz w:val="21"/>
      <w:szCs w:val="24"/>
    </w:rPr>
  </w:style>
  <w:style w:type="character" w:customStyle="1" w:styleId="164">
    <w:name w:val="Char Char52"/>
    <w:qFormat/>
    <w:uiPriority w:val="0"/>
    <w:rPr>
      <w:rFonts w:ascii="Arial" w:hAnsi="Arial" w:eastAsia="黑体" w:cs="Times New Roman"/>
      <w:b/>
      <w:bCs/>
      <w:kern w:val="2"/>
      <w:sz w:val="24"/>
      <w:szCs w:val="24"/>
      <w:lang w:val="en-US" w:eastAsia="zh-CN" w:bidi="ar-SA"/>
    </w:rPr>
  </w:style>
  <w:style w:type="character" w:customStyle="1" w:styleId="165">
    <w:name w:val="Char Char45"/>
    <w:uiPriority w:val="0"/>
    <w:rPr>
      <w:rFonts w:ascii="宋体" w:eastAsia="宋体" w:cs="Times New Roman"/>
      <w:kern w:val="2"/>
      <w:sz w:val="24"/>
      <w:szCs w:val="24"/>
      <w:lang w:val="en-US" w:eastAsia="zh-CN" w:bidi="ar-SA"/>
    </w:rPr>
  </w:style>
  <w:style w:type="character" w:customStyle="1" w:styleId="166">
    <w:name w:val="Char Char51"/>
    <w:qFormat/>
    <w:uiPriority w:val="0"/>
    <w:rPr>
      <w:rFonts w:ascii="宋体" w:eastAsia="宋体" w:cs="Times New Roman"/>
      <w:b/>
      <w:bCs/>
      <w:kern w:val="2"/>
      <w:sz w:val="24"/>
      <w:szCs w:val="24"/>
      <w:lang w:val="en-US" w:eastAsia="zh-CN" w:bidi="ar-SA"/>
    </w:rPr>
  </w:style>
  <w:style w:type="character" w:customStyle="1" w:styleId="167">
    <w:name w:val="Char Char17"/>
    <w:uiPriority w:val="0"/>
    <w:rPr>
      <w:rFonts w:ascii="宋体" w:hAnsi="Arial" w:eastAsia="仿宋_GB2312" w:cs="宋体"/>
      <w:sz w:val="30"/>
      <w:szCs w:val="28"/>
    </w:rPr>
  </w:style>
  <w:style w:type="character" w:customStyle="1" w:styleId="168">
    <w:name w:val="Char Char76"/>
    <w:qFormat/>
    <w:uiPriority w:val="0"/>
    <w:rPr>
      <w:rFonts w:ascii="宋体" w:eastAsia="宋体" w:cs="Times New Roman"/>
      <w:sz w:val="24"/>
      <w:szCs w:val="24"/>
      <w:u w:val="single"/>
      <w:lang w:val="en-US" w:eastAsia="en-US" w:bidi="ar-SA"/>
    </w:rPr>
  </w:style>
  <w:style w:type="character" w:customStyle="1" w:styleId="169">
    <w:name w:val="Char Char14"/>
    <w:qFormat/>
    <w:uiPriority w:val="0"/>
    <w:rPr>
      <w:rFonts w:ascii="宋体" w:eastAsia="仿宋_GB2312" w:cs="宋体"/>
      <w:kern w:val="2"/>
      <w:sz w:val="18"/>
      <w:szCs w:val="18"/>
    </w:rPr>
  </w:style>
  <w:style w:type="character" w:customStyle="1" w:styleId="170">
    <w:name w:val="Char Char61"/>
    <w:qFormat/>
    <w:uiPriority w:val="0"/>
    <w:rPr>
      <w:rFonts w:ascii="宋体" w:hAnsi="宋体" w:eastAsia="宋体" w:cs="Times New Roman"/>
      <w:kern w:val="2"/>
      <w:sz w:val="24"/>
      <w:szCs w:val="24"/>
      <w:lang w:val="en-US" w:eastAsia="zh-CN" w:bidi="ar-SA"/>
    </w:rPr>
  </w:style>
  <w:style w:type="character" w:customStyle="1" w:styleId="171">
    <w:name w:val="Char Char32"/>
    <w:qFormat/>
    <w:uiPriority w:val="0"/>
    <w:rPr>
      <w:rFonts w:ascii="宋体" w:hAnsi="宋体" w:eastAsia="宋体" w:cs="Times New Roman"/>
      <w:kern w:val="2"/>
      <w:sz w:val="24"/>
      <w:szCs w:val="24"/>
      <w:lang w:val="en-US" w:eastAsia="zh-CN" w:bidi="ar-SA"/>
    </w:rPr>
  </w:style>
  <w:style w:type="character" w:customStyle="1" w:styleId="172">
    <w:name w:val="Char Char31"/>
    <w:qFormat/>
    <w:uiPriority w:val="0"/>
    <w:rPr>
      <w:rFonts w:ascii="宋体" w:eastAsia="宋体" w:cs="Times New Roman"/>
      <w:kern w:val="2"/>
      <w:sz w:val="18"/>
      <w:szCs w:val="18"/>
      <w:lang w:val="en-US" w:eastAsia="zh-CN" w:bidi="ar-SA"/>
    </w:rPr>
  </w:style>
  <w:style w:type="character" w:customStyle="1" w:styleId="173">
    <w:name w:val="Char Char74"/>
    <w:qFormat/>
    <w:uiPriority w:val="0"/>
    <w:rPr>
      <w:rFonts w:ascii="宋体" w:eastAsia="宋体" w:cs="Times New Roman"/>
      <w:kern w:val="2"/>
      <w:sz w:val="24"/>
      <w:szCs w:val="24"/>
      <w:lang w:val="en-US" w:eastAsia="zh-CN" w:bidi="ar-SA"/>
    </w:rPr>
  </w:style>
  <w:style w:type="character" w:customStyle="1" w:styleId="174">
    <w:name w:val="Document Map Char1"/>
    <w:qFormat/>
    <w:uiPriority w:val="0"/>
    <w:rPr>
      <w:rFonts w:ascii="宋体" w:eastAsia="仿宋_GB2312" w:cs="Times New Roman"/>
      <w:kern w:val="2"/>
      <w:sz w:val="2"/>
      <w:szCs w:val="28"/>
    </w:rPr>
  </w:style>
  <w:style w:type="character" w:customStyle="1" w:styleId="175">
    <w:name w:val="Char Char2"/>
    <w:qFormat/>
    <w:uiPriority w:val="0"/>
    <w:rPr>
      <w:rFonts w:ascii="Arial" w:hAnsi="Arial" w:eastAsia="仿宋_GB2312" w:cs="Arial"/>
      <w:sz w:val="28"/>
      <w:szCs w:val="24"/>
      <w:lang w:eastAsia="en-US"/>
    </w:rPr>
  </w:style>
  <w:style w:type="character" w:customStyle="1" w:styleId="176">
    <w:name w:val="Char Char69"/>
    <w:qFormat/>
    <w:uiPriority w:val="0"/>
    <w:rPr>
      <w:rFonts w:ascii="宋体" w:hAnsi="宋体" w:eastAsia="宋体" w:cs="Times New Roman"/>
      <w:kern w:val="2"/>
      <w:sz w:val="24"/>
      <w:szCs w:val="24"/>
      <w:lang w:val="en-US" w:eastAsia="zh-CN" w:bidi="ar-SA"/>
    </w:rPr>
  </w:style>
  <w:style w:type="character" w:customStyle="1" w:styleId="177">
    <w:name w:val="intel3"/>
    <w:basedOn w:val="55"/>
    <w:qFormat/>
    <w:uiPriority w:val="0"/>
    <w:rPr>
      <w:rFonts w:ascii="宋体" w:eastAsia="仿宋_GB2312" w:cs="宋体"/>
      <w:sz w:val="28"/>
      <w:szCs w:val="28"/>
    </w:rPr>
  </w:style>
  <w:style w:type="character" w:customStyle="1" w:styleId="178">
    <w:name w:val="ht1"/>
    <w:qFormat/>
    <w:uiPriority w:val="0"/>
    <w:rPr>
      <w:rFonts w:ascii="黑体" w:eastAsia="黑体" w:cs="宋体"/>
      <w:b/>
      <w:bCs/>
      <w:sz w:val="28"/>
      <w:szCs w:val="28"/>
    </w:rPr>
  </w:style>
  <w:style w:type="character" w:customStyle="1" w:styleId="179">
    <w:name w:val="Plain Text Char"/>
    <w:qFormat/>
    <w:uiPriority w:val="0"/>
    <w:rPr>
      <w:rFonts w:ascii="宋体" w:hAnsi="Courier New" w:eastAsia="仿宋_GB2312" w:cs="Courier New"/>
      <w:kern w:val="2"/>
      <w:sz w:val="21"/>
      <w:szCs w:val="21"/>
    </w:rPr>
  </w:style>
  <w:style w:type="character" w:customStyle="1" w:styleId="180">
    <w:name w:val="Char Char70"/>
    <w:qFormat/>
    <w:uiPriority w:val="0"/>
    <w:rPr>
      <w:rFonts w:ascii="宋体" w:eastAsia="宋体" w:cs="Times New Roman"/>
      <w:kern w:val="2"/>
      <w:sz w:val="18"/>
      <w:szCs w:val="18"/>
      <w:lang w:val="en-US" w:eastAsia="zh-CN" w:bidi="ar-SA"/>
    </w:rPr>
  </w:style>
  <w:style w:type="character" w:customStyle="1" w:styleId="181">
    <w:name w:val="Char Char19"/>
    <w:qFormat/>
    <w:uiPriority w:val="0"/>
    <w:rPr>
      <w:rFonts w:ascii="宋体" w:hAnsi="Arial" w:eastAsia="仿宋_GB2312" w:cs="宋体"/>
      <w:sz w:val="30"/>
      <w:szCs w:val="28"/>
    </w:rPr>
  </w:style>
  <w:style w:type="character" w:customStyle="1" w:styleId="182">
    <w:name w:val="style121"/>
    <w:qFormat/>
    <w:uiPriority w:val="0"/>
    <w:rPr>
      <w:rFonts w:hint="eastAsia" w:ascii="宋体" w:hAnsi="宋体" w:eastAsia="宋体" w:cs="宋体"/>
      <w:sz w:val="18"/>
      <w:szCs w:val="18"/>
    </w:rPr>
  </w:style>
  <w:style w:type="character" w:customStyle="1" w:styleId="183">
    <w:name w:val="Char Char12"/>
    <w:qFormat/>
    <w:uiPriority w:val="0"/>
    <w:rPr>
      <w:rFonts w:ascii="宋体" w:hAnsi="Courier New" w:eastAsia="仿宋_GB2312" w:cs="Courier New"/>
      <w:kern w:val="2"/>
      <w:sz w:val="21"/>
      <w:szCs w:val="21"/>
    </w:rPr>
  </w:style>
  <w:style w:type="character" w:customStyle="1" w:styleId="184">
    <w:name w:val="Char Char53"/>
    <w:qFormat/>
    <w:uiPriority w:val="0"/>
    <w:rPr>
      <w:rFonts w:ascii="宋体" w:eastAsia="宋体" w:cs="Times New Roman"/>
      <w:b/>
      <w:bCs/>
      <w:kern w:val="2"/>
      <w:sz w:val="28"/>
      <w:szCs w:val="28"/>
      <w:lang w:val="en-US" w:eastAsia="zh-CN" w:bidi="ar-SA"/>
    </w:rPr>
  </w:style>
  <w:style w:type="character" w:customStyle="1" w:styleId="185">
    <w:name w:val="Char Char63"/>
    <w:qFormat/>
    <w:uiPriority w:val="0"/>
    <w:rPr>
      <w:rFonts w:ascii="宋体" w:eastAsia="宋体" w:cs="Times New Roman"/>
      <w:kern w:val="2"/>
      <w:sz w:val="18"/>
      <w:szCs w:val="18"/>
      <w:lang w:val="en-US" w:eastAsia="zh-CN" w:bidi="ar-SA"/>
    </w:rPr>
  </w:style>
  <w:style w:type="character" w:customStyle="1" w:styleId="186">
    <w:name w:val="title11"/>
    <w:qFormat/>
    <w:uiPriority w:val="0"/>
    <w:rPr>
      <w:rFonts w:ascii="宋体" w:eastAsia="仿宋_GB2312" w:cs="宋体"/>
      <w:b/>
      <w:bCs/>
      <w:color w:val="FFFFFF"/>
      <w:sz w:val="11"/>
      <w:szCs w:val="11"/>
    </w:rPr>
  </w:style>
  <w:style w:type="character" w:customStyle="1" w:styleId="187">
    <w:name w:val="Char Char29"/>
    <w:qFormat/>
    <w:uiPriority w:val="0"/>
    <w:rPr>
      <w:rFonts w:ascii="宋体" w:eastAsia="仿宋_GB2312" w:cs="Times New Roman"/>
      <w:kern w:val="2"/>
      <w:sz w:val="16"/>
      <w:szCs w:val="16"/>
    </w:rPr>
  </w:style>
  <w:style w:type="character" w:customStyle="1" w:styleId="188">
    <w:name w:val="Char Char49"/>
    <w:qFormat/>
    <w:uiPriority w:val="0"/>
    <w:rPr>
      <w:rFonts w:ascii="Arial" w:hAnsi="Arial" w:eastAsia="黑体" w:cs="Times New Roman"/>
      <w:kern w:val="2"/>
      <w:sz w:val="21"/>
      <w:szCs w:val="21"/>
      <w:lang w:val="en-US" w:eastAsia="zh-CN" w:bidi="ar-SA"/>
    </w:rPr>
  </w:style>
  <w:style w:type="character" w:customStyle="1" w:styleId="189">
    <w:name w:val="Char Char79"/>
    <w:qFormat/>
    <w:uiPriority w:val="0"/>
    <w:rPr>
      <w:rFonts w:ascii="Arial" w:hAnsi="Arial" w:eastAsia="黑体" w:cs="Times New Roman"/>
      <w:kern w:val="2"/>
      <w:sz w:val="24"/>
      <w:szCs w:val="24"/>
      <w:lang w:val="en-US" w:eastAsia="zh-CN" w:bidi="ar-SA"/>
    </w:rPr>
  </w:style>
  <w:style w:type="character" w:customStyle="1" w:styleId="190">
    <w:name w:val="style161"/>
    <w:qFormat/>
    <w:uiPriority w:val="0"/>
    <w:rPr>
      <w:rFonts w:ascii="宋体" w:eastAsia="仿宋_GB2312" w:cs="宋体"/>
      <w:b/>
      <w:bCs/>
      <w:color w:val="333333"/>
      <w:sz w:val="28"/>
      <w:szCs w:val="28"/>
    </w:rPr>
  </w:style>
  <w:style w:type="character" w:customStyle="1" w:styleId="191">
    <w:name w:val="Char Char10"/>
    <w:qFormat/>
    <w:uiPriority w:val="0"/>
    <w:rPr>
      <w:rFonts w:ascii="宋体" w:eastAsia="仿宋_GB2312" w:cs="宋体"/>
      <w:kern w:val="2"/>
      <w:sz w:val="21"/>
      <w:szCs w:val="24"/>
    </w:rPr>
  </w:style>
  <w:style w:type="character" w:customStyle="1" w:styleId="192">
    <w:name w:val="apple-converted-space"/>
    <w:basedOn w:val="55"/>
    <w:qFormat/>
    <w:uiPriority w:val="0"/>
    <w:rPr>
      <w:rFonts w:ascii="宋体" w:eastAsia="仿宋_GB2312" w:cs="宋体"/>
      <w:sz w:val="28"/>
      <w:szCs w:val="28"/>
    </w:rPr>
  </w:style>
  <w:style w:type="character" w:customStyle="1" w:styleId="193">
    <w:name w:val="Char Char18"/>
    <w:qFormat/>
    <w:uiPriority w:val="0"/>
    <w:rPr>
      <w:rFonts w:ascii="宋体" w:eastAsia="仿宋_GB2312" w:cs="宋体"/>
      <w:sz w:val="30"/>
      <w:szCs w:val="28"/>
    </w:rPr>
  </w:style>
  <w:style w:type="character" w:customStyle="1" w:styleId="194">
    <w:name w:val="Char Char7"/>
    <w:qFormat/>
    <w:uiPriority w:val="0"/>
    <w:rPr>
      <w:rFonts w:ascii="宋体" w:eastAsia="仿宋_GB2312" w:cs="宋体"/>
      <w:sz w:val="28"/>
      <w:szCs w:val="24"/>
    </w:rPr>
  </w:style>
  <w:style w:type="character" w:customStyle="1" w:styleId="195">
    <w:name w:val="Char Char35"/>
    <w:qFormat/>
    <w:uiPriority w:val="0"/>
    <w:rPr>
      <w:rFonts w:ascii="宋体" w:hAnsi="宋体" w:eastAsia="宋体" w:cs="宋体"/>
      <w:color w:val="000000"/>
      <w:sz w:val="24"/>
      <w:szCs w:val="24"/>
      <w:lang w:val="en-US" w:eastAsia="zh-CN" w:bidi="ar-SA"/>
    </w:rPr>
  </w:style>
  <w:style w:type="character" w:customStyle="1" w:styleId="196">
    <w:name w:val="Char Char21"/>
    <w:qFormat/>
    <w:uiPriority w:val="0"/>
    <w:rPr>
      <w:rFonts w:ascii="宋体" w:hAnsi="宋体" w:eastAsia="仿宋_GB2312" w:cs="宋体"/>
      <w:b/>
      <w:bCs/>
      <w:sz w:val="24"/>
      <w:szCs w:val="24"/>
    </w:rPr>
  </w:style>
  <w:style w:type="character" w:customStyle="1" w:styleId="197">
    <w:name w:val="Char Char27"/>
    <w:qFormat/>
    <w:uiPriority w:val="0"/>
    <w:rPr>
      <w:rFonts w:ascii="Arial" w:hAnsi="Arial" w:eastAsia="黑体" w:cs="Times New Roman"/>
      <w:b/>
      <w:bCs/>
      <w:kern w:val="2"/>
      <w:sz w:val="32"/>
      <w:szCs w:val="32"/>
      <w:lang w:val="en-US" w:eastAsia="zh-CN" w:bidi="ar-SA"/>
    </w:rPr>
  </w:style>
  <w:style w:type="character" w:customStyle="1" w:styleId="198">
    <w:name w:val="Char Char23"/>
    <w:qFormat/>
    <w:uiPriority w:val="0"/>
    <w:rPr>
      <w:rFonts w:ascii="Cambria" w:hAnsi="Cambria" w:eastAsia="宋体" w:cs="Times New Roman"/>
      <w:b/>
      <w:bCs/>
      <w:kern w:val="2"/>
      <w:sz w:val="32"/>
      <w:szCs w:val="32"/>
    </w:rPr>
  </w:style>
  <w:style w:type="character" w:customStyle="1" w:styleId="199">
    <w:name w:val="Char Char43"/>
    <w:qFormat/>
    <w:uiPriority w:val="0"/>
    <w:rPr>
      <w:rFonts w:ascii="宋体" w:eastAsia="宋体" w:cs="Times New Roman"/>
      <w:kern w:val="2"/>
      <w:sz w:val="24"/>
      <w:szCs w:val="24"/>
      <w:lang w:val="en-US" w:eastAsia="zh-CN" w:bidi="ar-SA"/>
    </w:rPr>
  </w:style>
  <w:style w:type="character" w:customStyle="1" w:styleId="200">
    <w:name w:val="Char Char83"/>
    <w:qFormat/>
    <w:uiPriority w:val="0"/>
    <w:rPr>
      <w:rFonts w:ascii="Arial" w:hAnsi="Arial" w:eastAsia="黑体" w:cs="Times New Roman"/>
      <w:b/>
      <w:bCs/>
      <w:kern w:val="2"/>
      <w:sz w:val="28"/>
      <w:szCs w:val="28"/>
      <w:lang w:val="en-US" w:eastAsia="zh-CN" w:bidi="ar-SA"/>
    </w:rPr>
  </w:style>
  <w:style w:type="character" w:customStyle="1" w:styleId="201">
    <w:name w:val="Char Char30"/>
    <w:qFormat/>
    <w:uiPriority w:val="0"/>
    <w:rPr>
      <w:rFonts w:ascii="宋体" w:eastAsia="宋体" w:cs="Times New Roman"/>
      <w:sz w:val="24"/>
      <w:szCs w:val="28"/>
      <w:lang w:val="en-US" w:eastAsia="zh-CN" w:bidi="ar-SA"/>
    </w:rPr>
  </w:style>
  <w:style w:type="character" w:customStyle="1" w:styleId="202">
    <w:name w:val="Char Char80"/>
    <w:qFormat/>
    <w:uiPriority w:val="0"/>
    <w:rPr>
      <w:rFonts w:ascii="宋体" w:eastAsia="宋体" w:cs="Times New Roman"/>
      <w:b/>
      <w:bCs/>
      <w:kern w:val="2"/>
      <w:sz w:val="24"/>
      <w:szCs w:val="24"/>
      <w:lang w:val="en-US" w:eastAsia="zh-CN" w:bidi="ar-SA"/>
    </w:rPr>
  </w:style>
  <w:style w:type="character" w:customStyle="1" w:styleId="203">
    <w:name w:val="l1"/>
    <w:basedOn w:val="55"/>
    <w:qFormat/>
    <w:uiPriority w:val="0"/>
    <w:rPr>
      <w:rFonts w:ascii="宋体" w:eastAsia="仿宋_GB2312" w:cs="宋体"/>
      <w:sz w:val="28"/>
      <w:szCs w:val="28"/>
    </w:rPr>
  </w:style>
  <w:style w:type="character" w:customStyle="1" w:styleId="204">
    <w:name w:val="unnamed1"/>
    <w:basedOn w:val="55"/>
    <w:qFormat/>
    <w:uiPriority w:val="0"/>
    <w:rPr>
      <w:rFonts w:ascii="宋体" w:eastAsia="仿宋_GB2312" w:cs="宋体"/>
      <w:sz w:val="28"/>
      <w:szCs w:val="28"/>
    </w:rPr>
  </w:style>
  <w:style w:type="character" w:customStyle="1" w:styleId="205">
    <w:name w:val="Char Char24"/>
    <w:qFormat/>
    <w:uiPriority w:val="0"/>
    <w:rPr>
      <w:rFonts w:ascii="宋体" w:eastAsia="仿宋_GB2312" w:cs="宋体"/>
      <w:b/>
      <w:bCs/>
      <w:kern w:val="44"/>
      <w:sz w:val="44"/>
      <w:szCs w:val="44"/>
    </w:rPr>
  </w:style>
  <w:style w:type="character" w:customStyle="1" w:styleId="206">
    <w:name w:val="style31"/>
    <w:qFormat/>
    <w:uiPriority w:val="0"/>
    <w:rPr>
      <w:rFonts w:ascii="宋体" w:eastAsia="仿宋_GB2312" w:cs="宋体"/>
      <w:sz w:val="10"/>
      <w:szCs w:val="10"/>
    </w:rPr>
  </w:style>
  <w:style w:type="character" w:customStyle="1" w:styleId="207">
    <w:name w:val="Char Char36"/>
    <w:qFormat/>
    <w:uiPriority w:val="0"/>
    <w:rPr>
      <w:rFonts w:ascii="宋体" w:eastAsia="宋体" w:cs="Times New Roman"/>
      <w:b/>
      <w:bCs/>
      <w:kern w:val="2"/>
      <w:sz w:val="24"/>
      <w:szCs w:val="24"/>
      <w:lang w:val="en-US" w:eastAsia="zh-CN" w:bidi="ar-SA"/>
    </w:rPr>
  </w:style>
  <w:style w:type="character" w:customStyle="1" w:styleId="208">
    <w:name w:val="Char Char34"/>
    <w:qFormat/>
    <w:uiPriority w:val="0"/>
    <w:rPr>
      <w:rFonts w:ascii="宋体" w:eastAsia="宋体" w:cs="Times New Roman"/>
      <w:kern w:val="2"/>
      <w:sz w:val="18"/>
      <w:szCs w:val="18"/>
      <w:lang w:val="en-US" w:eastAsia="zh-CN" w:bidi="ar-SA"/>
    </w:rPr>
  </w:style>
  <w:style w:type="character" w:customStyle="1" w:styleId="209">
    <w:name w:val="Footnote Text Char1"/>
    <w:qFormat/>
    <w:uiPriority w:val="0"/>
    <w:rPr>
      <w:rFonts w:ascii="宋体" w:eastAsia="仿宋_GB2312" w:cs="Times New Roman"/>
      <w:kern w:val="2"/>
      <w:sz w:val="18"/>
      <w:szCs w:val="18"/>
    </w:rPr>
  </w:style>
  <w:style w:type="character" w:customStyle="1" w:styleId="210">
    <w:name w:val="Intense Quote Char1"/>
    <w:link w:val="211"/>
    <w:qFormat/>
    <w:uiPriority w:val="0"/>
    <w:rPr>
      <w:rFonts w:ascii="Calibri" w:hAnsi="Calibri" w:cs="宋体"/>
      <w:b/>
      <w:bCs/>
      <w:i/>
      <w:iCs/>
      <w:color w:val="4F81BD"/>
      <w:sz w:val="22"/>
    </w:rPr>
  </w:style>
  <w:style w:type="paragraph" w:customStyle="1" w:styleId="211">
    <w:name w:val="明显引用1"/>
    <w:basedOn w:val="1"/>
    <w:next w:val="1"/>
    <w:link w:val="210"/>
    <w:qFormat/>
    <w:uiPriority w:val="0"/>
    <w:pPr>
      <w:pBdr>
        <w:bottom w:val="single" w:color="4F81BD" w:sz="4" w:space="4"/>
      </w:pBdr>
      <w:spacing w:before="200" w:after="280"/>
      <w:ind w:left="936" w:right="936"/>
    </w:pPr>
    <w:rPr>
      <w:rFonts w:ascii="Calibri" w:hAnsi="Calibri" w:eastAsia="宋体" w:cs="宋体"/>
      <w:b/>
      <w:bCs/>
      <w:i/>
      <w:iCs/>
      <w:color w:val="4F81BD"/>
      <w:kern w:val="0"/>
      <w:sz w:val="22"/>
      <w:szCs w:val="20"/>
    </w:rPr>
  </w:style>
  <w:style w:type="character" w:customStyle="1" w:styleId="212">
    <w:name w:val="Char Char67"/>
    <w:qFormat/>
    <w:uiPriority w:val="0"/>
    <w:rPr>
      <w:rFonts w:ascii="宋体" w:eastAsia="宋体" w:cs="Times New Roman"/>
      <w:kern w:val="2"/>
      <w:sz w:val="24"/>
      <w:szCs w:val="24"/>
      <w:lang w:val="en-US" w:eastAsia="zh-CN" w:bidi="ar-SA"/>
    </w:rPr>
  </w:style>
  <w:style w:type="character" w:customStyle="1" w:styleId="213">
    <w:name w:val="Char Char112"/>
    <w:qFormat/>
    <w:uiPriority w:val="0"/>
    <w:rPr>
      <w:rFonts w:ascii="宋体" w:hAnsi="宋体" w:eastAsia="仿宋_GB2312" w:cs="宋体"/>
      <w:color w:val="000000"/>
      <w:sz w:val="24"/>
      <w:szCs w:val="24"/>
    </w:rPr>
  </w:style>
  <w:style w:type="character" w:customStyle="1" w:styleId="214">
    <w:name w:val="docpro"/>
    <w:basedOn w:val="55"/>
    <w:qFormat/>
    <w:uiPriority w:val="0"/>
    <w:rPr>
      <w:rFonts w:ascii="宋体" w:eastAsia="仿宋_GB2312" w:cs="宋体"/>
      <w:sz w:val="28"/>
      <w:szCs w:val="28"/>
    </w:rPr>
  </w:style>
  <w:style w:type="character" w:customStyle="1" w:styleId="215">
    <w:name w:val="Char Char38"/>
    <w:qFormat/>
    <w:uiPriority w:val="0"/>
    <w:rPr>
      <w:rFonts w:ascii="宋体" w:eastAsia="宋体" w:cs="Times New Roman"/>
      <w:kern w:val="2"/>
      <w:sz w:val="24"/>
      <w:szCs w:val="24"/>
      <w:lang w:val="en-US" w:eastAsia="zh-CN" w:bidi="ar-SA"/>
    </w:rPr>
  </w:style>
  <w:style w:type="character" w:customStyle="1" w:styleId="216">
    <w:name w:val="Char Char72"/>
    <w:qFormat/>
    <w:uiPriority w:val="0"/>
    <w:rPr>
      <w:rFonts w:ascii="宋体" w:eastAsia="宋体" w:cs="Times New Roman"/>
      <w:kern w:val="2"/>
      <w:sz w:val="24"/>
      <w:szCs w:val="24"/>
      <w:lang w:val="en-US" w:eastAsia="zh-CN" w:bidi="ar-SA"/>
    </w:rPr>
  </w:style>
  <w:style w:type="character" w:customStyle="1" w:styleId="217">
    <w:name w:val="Char Char68"/>
    <w:qFormat/>
    <w:uiPriority w:val="0"/>
    <w:rPr>
      <w:rFonts w:ascii="宋体" w:eastAsia="宋体" w:cs="Times New Roman"/>
      <w:kern w:val="2"/>
      <w:sz w:val="18"/>
      <w:szCs w:val="18"/>
      <w:lang w:val="en-US" w:eastAsia="zh-CN" w:bidi="ar-SA"/>
    </w:rPr>
  </w:style>
  <w:style w:type="character" w:customStyle="1" w:styleId="218">
    <w:name w:val="normaltext1"/>
    <w:qFormat/>
    <w:uiPriority w:val="0"/>
    <w:rPr>
      <w:rFonts w:hint="default" w:ascii="ˎ̥" w:hAnsi="ˎ̥" w:eastAsia="仿宋_GB2312" w:cs="宋体"/>
      <w:sz w:val="9"/>
      <w:szCs w:val="9"/>
    </w:rPr>
  </w:style>
  <w:style w:type="character" w:customStyle="1" w:styleId="219">
    <w:name w:val="Char Char55"/>
    <w:qFormat/>
    <w:uiPriority w:val="0"/>
    <w:rPr>
      <w:rFonts w:ascii="宋体" w:eastAsia="宋体" w:cs="Times New Roman"/>
      <w:b/>
      <w:bCs/>
      <w:kern w:val="2"/>
      <w:sz w:val="32"/>
      <w:szCs w:val="32"/>
      <w:lang w:val="en-US" w:eastAsia="zh-CN" w:bidi="ar-SA"/>
    </w:rPr>
  </w:style>
  <w:style w:type="paragraph" w:customStyle="1" w:styleId="220">
    <w:name w:val="样式 标题 1 + 黑体 三号 非加粗 居中 段前: 6 磅 段后: 6 磅 行距: 固定值 20 磅"/>
    <w:basedOn w:val="2"/>
    <w:qFormat/>
    <w:uiPriority w:val="0"/>
    <w:pPr>
      <w:spacing w:before="120" w:after="120" w:line="400" w:lineRule="exact"/>
      <w:jc w:val="center"/>
    </w:pPr>
    <w:rPr>
      <w:rFonts w:ascii="黑体" w:hAnsi="黑体" w:eastAsia="黑体" w:cs="宋体"/>
      <w:b w:val="0"/>
      <w:bCs w:val="0"/>
      <w:sz w:val="32"/>
      <w:szCs w:val="20"/>
    </w:rPr>
  </w:style>
  <w:style w:type="paragraph" w:customStyle="1" w:styleId="221">
    <w:name w:val="mtitle"/>
    <w:basedOn w:val="1"/>
    <w:qFormat/>
    <w:uiPriority w:val="0"/>
    <w:pPr>
      <w:widowControl/>
      <w:spacing w:before="30"/>
      <w:jc w:val="center"/>
    </w:pPr>
    <w:rPr>
      <w:rFonts w:ascii="方正小标宋简体" w:hAnsi="宋体" w:eastAsia="方正小标宋简体" w:cs="Times New Roman"/>
      <w:color w:val="000000"/>
      <w:kern w:val="0"/>
      <w:sz w:val="44"/>
      <w:szCs w:val="44"/>
    </w:rPr>
  </w:style>
  <w:style w:type="paragraph" w:customStyle="1" w:styleId="222">
    <w:name w:val="表格内容"/>
    <w:basedOn w:val="1"/>
    <w:qFormat/>
    <w:uiPriority w:val="0"/>
    <w:pPr>
      <w:suppressLineNumbers/>
      <w:suppressAutoHyphens/>
    </w:pPr>
    <w:rPr>
      <w:rFonts w:ascii="Times New Roman" w:hAnsi="Times New Roman" w:eastAsia="宋体" w:cs="Times New Roman"/>
      <w:szCs w:val="20"/>
    </w:rPr>
  </w:style>
  <w:style w:type="paragraph" w:customStyle="1" w:styleId="223">
    <w:name w:val="TOC 标题1"/>
    <w:basedOn w:val="2"/>
    <w:next w:val="1"/>
    <w:qFormat/>
    <w:uiPriority w:val="0"/>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4">
    <w:name w:val="6'"/>
    <w:basedOn w:val="1"/>
    <w:qFormat/>
    <w:uiPriority w:val="0"/>
    <w:pPr>
      <w:autoSpaceDE w:val="0"/>
      <w:autoSpaceDN w:val="0"/>
      <w:adjustRightInd w:val="0"/>
      <w:snapToGrid w:val="0"/>
      <w:spacing w:line="320" w:lineRule="exact"/>
      <w:jc w:val="center"/>
      <w:textAlignment w:val="baseline"/>
    </w:pPr>
    <w:rPr>
      <w:rFonts w:ascii="Times New Roman" w:hAnsi="Times New Roman" w:eastAsia="宋体" w:cs="Times New Roman"/>
      <w:spacing w:val="20"/>
      <w:kern w:val="28"/>
      <w:szCs w:val="20"/>
    </w:rPr>
  </w:style>
  <w:style w:type="paragraph" w:customStyle="1" w:styleId="225">
    <w:name w:val="表格文字"/>
    <w:basedOn w:val="1"/>
    <w:qFormat/>
    <w:uiPriority w:val="0"/>
    <w:pPr>
      <w:adjustRightInd w:val="0"/>
      <w:spacing w:line="420" w:lineRule="atLeast"/>
      <w:jc w:val="left"/>
      <w:textAlignment w:val="baseline"/>
    </w:pPr>
    <w:rPr>
      <w:rFonts w:ascii="Times New Roman" w:hAnsi="Times New Roman" w:eastAsia="宋体" w:cs="Times New Roman"/>
      <w:kern w:val="0"/>
      <w:szCs w:val="20"/>
    </w:rPr>
  </w:style>
  <w:style w:type="paragraph" w:customStyle="1" w:styleId="226">
    <w:name w:val="表格"/>
    <w:basedOn w:val="1"/>
    <w:qFormat/>
    <w:uiPriority w:val="0"/>
    <w:pPr>
      <w:jc w:val="center"/>
      <w:textAlignment w:val="center"/>
    </w:pPr>
    <w:rPr>
      <w:rFonts w:ascii="华文细黑" w:hAnsi="华文细黑" w:eastAsia="宋体" w:cs="Times New Roman"/>
      <w:kern w:val="0"/>
      <w:szCs w:val="20"/>
    </w:rPr>
  </w:style>
  <w:style w:type="paragraph" w:customStyle="1" w:styleId="227">
    <w:name w:val="l-2"/>
    <w:basedOn w:val="1"/>
    <w:qFormat/>
    <w:uiPriority w:val="0"/>
    <w:pPr>
      <w:widowControl/>
      <w:spacing w:before="100" w:beforeAutospacing="1" w:after="100" w:afterAutospacing="1"/>
      <w:jc w:val="left"/>
    </w:pPr>
    <w:rPr>
      <w:rFonts w:ascii="宋体" w:hAnsi="宋体" w:eastAsia="宋体" w:cs="宋体"/>
      <w:b/>
      <w:bCs/>
      <w:color w:val="000000"/>
      <w:kern w:val="0"/>
      <w:sz w:val="13"/>
      <w:szCs w:val="13"/>
    </w:rPr>
  </w:style>
  <w:style w:type="paragraph" w:customStyle="1" w:styleId="228">
    <w:name w:val="style12"/>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29">
    <w:name w:val="样式 标题 2 + Times New Roman 四号 非加粗 段前: 5 磅 段后: 0 磅 行距: 固定值 20..."/>
    <w:basedOn w:val="3"/>
    <w:qFormat/>
    <w:uiPriority w:val="0"/>
    <w:pPr>
      <w:adjustRightInd w:val="0"/>
      <w:snapToGrid w:val="0"/>
      <w:spacing w:before="100" w:after="0" w:line="400" w:lineRule="exact"/>
    </w:pPr>
    <w:rPr>
      <w:rFonts w:ascii="Times New Roman" w:hAnsi="Times New Roman" w:eastAsia="黑体" w:cs="宋体"/>
      <w:b w:val="0"/>
      <w:bCs w:val="0"/>
      <w:sz w:val="28"/>
      <w:szCs w:val="20"/>
    </w:rPr>
  </w:style>
  <w:style w:type="paragraph" w:customStyle="1" w:styleId="230">
    <w:name w:val="intel1"/>
    <w:basedOn w:val="1"/>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231">
    <w:name w:val="样式 标题 3 + (中文) 黑体 小四 非加粗 段前: 7.8 磅 段后: 0 磅 行距: 固定值 20 磅"/>
    <w:basedOn w:val="4"/>
    <w:next w:val="1"/>
    <w:qFormat/>
    <w:uiPriority w:val="0"/>
    <w:pPr>
      <w:adjustRightInd w:val="0"/>
      <w:snapToGrid w:val="0"/>
      <w:spacing w:before="0" w:after="0" w:line="400" w:lineRule="exact"/>
      <w:jc w:val="center"/>
    </w:pPr>
    <w:rPr>
      <w:rFonts w:ascii="Times New Roman" w:hAnsi="Times New Roman" w:eastAsia="黑体" w:cs="宋体"/>
      <w:b w:val="0"/>
      <w:bCs w:val="0"/>
      <w:sz w:val="24"/>
      <w:szCs w:val="20"/>
    </w:rPr>
  </w:style>
  <w:style w:type="paragraph" w:customStyle="1" w:styleId="232">
    <w:name w:val="样式 标题 1 + (西文) 宋体 非加粗 黑色 两端对齐 左侧:  0 厘米 首行缩进:  0.89 厘米"/>
    <w:basedOn w:val="2"/>
    <w:qFormat/>
    <w:uiPriority w:val="0"/>
    <w:pPr>
      <w:keepLines w:val="0"/>
      <w:tabs>
        <w:tab w:val="left" w:pos="1140"/>
      </w:tabs>
      <w:adjustRightInd w:val="0"/>
      <w:snapToGrid w:val="0"/>
      <w:spacing w:before="0" w:after="0" w:line="360" w:lineRule="auto"/>
      <w:ind w:left="1140" w:hanging="720"/>
      <w:jc w:val="center"/>
      <w:textAlignment w:val="baseline"/>
    </w:pPr>
    <w:rPr>
      <w:rFonts w:ascii="宋体" w:hAnsi="宋体" w:eastAsia="黑体" w:cs="Times New Roman"/>
      <w:bCs w:val="0"/>
      <w:color w:val="000000"/>
      <w:kern w:val="0"/>
      <w:sz w:val="30"/>
      <w:szCs w:val="30"/>
    </w:rPr>
  </w:style>
  <w:style w:type="paragraph" w:customStyle="1" w:styleId="233">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234">
    <w:name w:val="ly"/>
    <w:basedOn w:val="1"/>
    <w:qFormat/>
    <w:uiPriority w:val="0"/>
    <w:pPr>
      <w:widowControl/>
      <w:spacing w:before="30"/>
      <w:jc w:val="right"/>
    </w:pPr>
    <w:rPr>
      <w:rFonts w:ascii="方正书宋简体" w:hAnsi="宋体" w:eastAsia="方正书宋简体" w:cs="Times New Roman"/>
      <w:color w:val="000000"/>
      <w:kern w:val="0"/>
      <w:szCs w:val="21"/>
    </w:rPr>
  </w:style>
  <w:style w:type="paragraph" w:customStyle="1" w:styleId="235">
    <w:name w:val="正文小标题"/>
    <w:basedOn w:val="1"/>
    <w:qFormat/>
    <w:uiPriority w:val="0"/>
    <w:pPr>
      <w:tabs>
        <w:tab w:val="left" w:pos="1140"/>
      </w:tabs>
      <w:overflowPunct w:val="0"/>
      <w:autoSpaceDE w:val="0"/>
      <w:autoSpaceDN w:val="0"/>
      <w:adjustRightInd w:val="0"/>
      <w:spacing w:line="360" w:lineRule="auto"/>
      <w:ind w:left="1140" w:hanging="720"/>
      <w:textAlignment w:val="baseline"/>
    </w:pPr>
    <w:rPr>
      <w:rFonts w:ascii="仿宋_GB2312" w:hAnsi="Arial" w:eastAsia="宋体" w:cs="Times New Roman"/>
      <w:kern w:val="0"/>
      <w:sz w:val="24"/>
      <w:szCs w:val="20"/>
    </w:rPr>
  </w:style>
  <w:style w:type="paragraph" w:customStyle="1" w:styleId="236">
    <w:name w:val="正  文"/>
    <w:basedOn w:val="1"/>
    <w:qFormat/>
    <w:uiPriority w:val="0"/>
    <w:pPr>
      <w:spacing w:line="360" w:lineRule="auto"/>
      <w:ind w:firstLine="200" w:firstLineChars="200"/>
    </w:pPr>
    <w:rPr>
      <w:rFonts w:ascii="宋体" w:hAnsi="Times New Roman" w:eastAsia="宋体" w:cs="Times New Roman"/>
      <w:sz w:val="24"/>
      <w:szCs w:val="20"/>
    </w:rPr>
  </w:style>
  <w:style w:type="paragraph" w:customStyle="1" w:styleId="237">
    <w:name w:val="Char Char Char Char Char Char Char Char Char Char Char Char Char Char Char Char Char Char Char Char Char Char"/>
    <w:basedOn w:val="1"/>
    <w:qFormat/>
    <w:uiPriority w:val="0"/>
    <w:pPr>
      <w:widowControl/>
      <w:spacing w:line="400" w:lineRule="exact"/>
      <w:jc w:val="center"/>
    </w:pPr>
    <w:rPr>
      <w:rFonts w:ascii="Times New Roman" w:hAnsi="Times New Roman" w:eastAsia="宋体" w:cs="Times New Roman"/>
      <w:szCs w:val="20"/>
    </w:rPr>
  </w:style>
  <w:style w:type="paragraph" w:customStyle="1" w:styleId="238">
    <w:name w:val="g3"/>
    <w:basedOn w:val="1"/>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239">
    <w:name w:val="1"/>
    <w:basedOn w:val="1"/>
    <w:qFormat/>
    <w:uiPriority w:val="0"/>
    <w:pPr>
      <w:widowControl/>
      <w:spacing w:before="100" w:beforeAutospacing="1" w:after="100" w:afterAutospacing="1"/>
      <w:jc w:val="left"/>
    </w:pPr>
    <w:rPr>
      <w:rFonts w:ascii="ˎ̥" w:hAnsi="ˎ̥" w:eastAsia="宋体" w:cs="宋体"/>
      <w:kern w:val="0"/>
      <w:sz w:val="24"/>
      <w:szCs w:val="20"/>
    </w:rPr>
  </w:style>
  <w:style w:type="paragraph" w:customStyle="1" w:styleId="240">
    <w:name w:val="样式3"/>
    <w:basedOn w:val="4"/>
    <w:qFormat/>
    <w:uiPriority w:val="0"/>
    <w:pPr>
      <w:autoSpaceDE w:val="0"/>
      <w:autoSpaceDN w:val="0"/>
      <w:adjustRightInd w:val="0"/>
      <w:snapToGrid w:val="0"/>
      <w:spacing w:before="0" w:after="0" w:line="360" w:lineRule="auto"/>
      <w:ind w:left="119" w:right="-23"/>
      <w:jc w:val="left"/>
    </w:pPr>
    <w:rPr>
      <w:rFonts w:ascii="宋体" w:hAnsi="宋体" w:eastAsia="仿宋_GB2312" w:cs="Times New Roman"/>
      <w:kern w:val="0"/>
      <w:sz w:val="24"/>
    </w:rPr>
  </w:style>
  <w:style w:type="paragraph" w:customStyle="1" w:styleId="241">
    <w:name w:val="标题1"/>
    <w:basedOn w:val="1"/>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242">
    <w:name w:val="Char Char1 Char Char Char Char Char Char Char"/>
    <w:basedOn w:val="1"/>
    <w:qFormat/>
    <w:uiPriority w:val="0"/>
    <w:pPr>
      <w:pageBreakBefore/>
    </w:pPr>
    <w:rPr>
      <w:rFonts w:ascii="Calibri" w:hAnsi="Calibri" w:eastAsia="宋体" w:cs="Calibri"/>
      <w:szCs w:val="20"/>
    </w:rPr>
  </w:style>
  <w:style w:type="paragraph" w:customStyle="1" w:styleId="243">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244">
    <w:name w:val="rw"/>
    <w:basedOn w:val="1"/>
    <w:qFormat/>
    <w:uiPriority w:val="0"/>
    <w:pPr>
      <w:widowControl/>
      <w:spacing w:before="30"/>
      <w:ind w:left="100" w:right="100"/>
      <w:jc w:val="right"/>
    </w:pPr>
    <w:rPr>
      <w:rFonts w:ascii="方正仿宋简体" w:hAnsi="宋体" w:eastAsia="方正仿宋简体" w:cs="Times New Roman"/>
      <w:color w:val="000000"/>
      <w:kern w:val="0"/>
      <w:szCs w:val="21"/>
    </w:rPr>
  </w:style>
  <w:style w:type="paragraph" w:customStyle="1" w:styleId="245">
    <w:name w:val="Char2 Char Char Char Char Char Char Char Char Char Char Char Char"/>
    <w:basedOn w:val="1"/>
    <w:qFormat/>
    <w:uiPriority w:val="0"/>
    <w:pPr>
      <w:spacing w:line="360" w:lineRule="auto"/>
      <w:ind w:firstLine="200" w:firstLineChars="200"/>
    </w:pPr>
    <w:rPr>
      <w:rFonts w:ascii="Tahoma" w:hAnsi="Tahoma" w:eastAsia="宋体" w:cs="Times New Roman"/>
      <w:sz w:val="24"/>
      <w:szCs w:val="20"/>
    </w:rPr>
  </w:style>
  <w:style w:type="paragraph" w:customStyle="1" w:styleId="246">
    <w:name w:val="pa-27"/>
    <w:basedOn w:val="1"/>
    <w:qFormat/>
    <w:uiPriority w:val="0"/>
    <w:pPr>
      <w:widowControl/>
      <w:spacing w:line="360" w:lineRule="atLeast"/>
      <w:ind w:firstLine="420"/>
    </w:pPr>
    <w:rPr>
      <w:rFonts w:ascii="宋体" w:hAnsi="宋体" w:eastAsia="宋体" w:cs="宋体"/>
      <w:kern w:val="0"/>
      <w:sz w:val="24"/>
      <w:szCs w:val="20"/>
    </w:rPr>
  </w:style>
  <w:style w:type="paragraph" w:customStyle="1" w:styleId="247">
    <w:name w:val="Char2 Char Char Char Char Char Char Char Char Char Char Char Char1"/>
    <w:basedOn w:val="1"/>
    <w:qFormat/>
    <w:uiPriority w:val="0"/>
    <w:pPr>
      <w:spacing w:line="360" w:lineRule="auto"/>
      <w:ind w:firstLine="200" w:firstLineChars="200"/>
    </w:pPr>
    <w:rPr>
      <w:rFonts w:ascii="Tahoma" w:hAnsi="Tahoma" w:eastAsia="宋体" w:cs="Times New Roman"/>
      <w:sz w:val="24"/>
      <w:szCs w:val="20"/>
    </w:rPr>
  </w:style>
  <w:style w:type="paragraph" w:customStyle="1" w:styleId="248">
    <w:name w:val="Char"/>
    <w:basedOn w:val="1"/>
    <w:qFormat/>
    <w:uiPriority w:val="0"/>
    <w:rPr>
      <w:rFonts w:ascii="Times New Roman" w:hAnsi="Times New Roman" w:eastAsia="宋体" w:cs="Times New Roman"/>
      <w:szCs w:val="20"/>
    </w:rPr>
  </w:style>
  <w:style w:type="paragraph" w:customStyle="1" w:styleId="249">
    <w:name w:val="Char1"/>
    <w:basedOn w:val="1"/>
    <w:qFormat/>
    <w:uiPriority w:val="0"/>
    <w:pPr>
      <w:spacing w:beforeLines="50" w:afterLines="50"/>
      <w:ind w:firstLine="200" w:firstLineChars="200"/>
    </w:pPr>
    <w:rPr>
      <w:rFonts w:ascii="宋体" w:hAnsi="宋体" w:eastAsia="宋体" w:cs="Courier New"/>
      <w:spacing w:val="-2"/>
      <w:sz w:val="22"/>
      <w:szCs w:val="32"/>
    </w:rPr>
  </w:style>
  <w:style w:type="paragraph" w:customStyle="1" w:styleId="250">
    <w:name w:val="zz"/>
    <w:basedOn w:val="1"/>
    <w:qFormat/>
    <w:uiPriority w:val="0"/>
    <w:pPr>
      <w:widowControl/>
      <w:spacing w:before="30"/>
      <w:jc w:val="right"/>
    </w:pPr>
    <w:rPr>
      <w:rFonts w:ascii="方正书宋简体" w:hAnsi="宋体" w:eastAsia="方正书宋简体" w:cs="Times New Roman"/>
      <w:color w:val="000000"/>
      <w:kern w:val="0"/>
      <w:szCs w:val="21"/>
    </w:rPr>
  </w:style>
  <w:style w:type="paragraph" w:customStyle="1" w:styleId="251">
    <w:name w:val="pa-34"/>
    <w:basedOn w:val="1"/>
    <w:qFormat/>
    <w:uiPriority w:val="0"/>
    <w:pPr>
      <w:widowControl/>
      <w:spacing w:line="360" w:lineRule="atLeast"/>
      <w:ind w:firstLine="420"/>
      <w:jc w:val="left"/>
    </w:pPr>
    <w:rPr>
      <w:rFonts w:ascii="宋体" w:hAnsi="宋体" w:eastAsia="宋体" w:cs="宋体"/>
      <w:kern w:val="0"/>
      <w:sz w:val="24"/>
      <w:szCs w:val="20"/>
    </w:rPr>
  </w:style>
  <w:style w:type="paragraph" w:customStyle="1" w:styleId="252">
    <w:name w:val="正文 New New New"/>
    <w:qFormat/>
    <w:uiPriority w:val="0"/>
    <w:pPr>
      <w:widowControl w:val="0"/>
      <w:jc w:val="both"/>
    </w:pPr>
    <w:rPr>
      <w:rFonts w:ascii="Times New Roman" w:hAnsi="Times New Roman" w:eastAsia="方正仿宋_GBK" w:cs="Times New Roman"/>
      <w:kern w:val="2"/>
      <w:sz w:val="21"/>
      <w:lang w:val="en-US" w:eastAsia="zh-CN" w:bidi="ar-SA"/>
    </w:rPr>
  </w:style>
  <w:style w:type="paragraph" w:customStyle="1" w:styleId="253">
    <w:name w:val="Char Char Char Char Char Char Char"/>
    <w:basedOn w:val="1"/>
    <w:qFormat/>
    <w:uiPriority w:val="0"/>
    <w:rPr>
      <w:rFonts w:ascii="Times New Roman" w:hAnsi="Times New Roman" w:eastAsia="宋体" w:cs="Times New Roman"/>
      <w:snapToGrid w:val="0"/>
      <w:color w:val="000000"/>
      <w:spacing w:val="16"/>
      <w:sz w:val="22"/>
    </w:rPr>
  </w:style>
  <w:style w:type="paragraph" w:customStyle="1" w:styleId="254">
    <w:name w:val="rr"/>
    <w:basedOn w:val="1"/>
    <w:qFormat/>
    <w:uiPriority w:val="0"/>
    <w:pPr>
      <w:widowControl/>
      <w:spacing w:before="100" w:beforeAutospacing="1" w:after="100" w:afterAutospacing="1"/>
      <w:jc w:val="left"/>
    </w:pPr>
    <w:rPr>
      <w:rFonts w:hint="eastAsia" w:ascii="宋体" w:hAnsi="宋体" w:eastAsia="宋体" w:cs="Times New Roman"/>
      <w:kern w:val="0"/>
      <w:szCs w:val="21"/>
    </w:rPr>
  </w:style>
  <w:style w:type="paragraph" w:customStyle="1" w:styleId="255">
    <w:name w:val="p0"/>
    <w:basedOn w:val="1"/>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256">
    <w:name w:val="自定样式1"/>
    <w:basedOn w:val="1"/>
    <w:qFormat/>
    <w:uiPriority w:val="0"/>
    <w:pPr>
      <w:suppressAutoHyphens/>
      <w:jc w:val="center"/>
    </w:pPr>
    <w:rPr>
      <w:rFonts w:ascii="宋体" w:hAnsi="宋体" w:eastAsia="宋体" w:cs="Times New Roman"/>
      <w:color w:val="000000"/>
      <w:sz w:val="18"/>
      <w:szCs w:val="20"/>
    </w:rPr>
  </w:style>
  <w:style w:type="paragraph" w:customStyle="1" w:styleId="257">
    <w:name w:val="zw"/>
    <w:basedOn w:val="1"/>
    <w:qFormat/>
    <w:uiPriority w:val="0"/>
    <w:pPr>
      <w:widowControl/>
      <w:spacing w:before="30"/>
      <w:ind w:left="100" w:right="100"/>
    </w:pPr>
    <w:rPr>
      <w:rFonts w:ascii="方正书宋简体" w:hAnsi="宋体" w:eastAsia="方正书宋简体" w:cs="Times New Roman"/>
      <w:color w:val="000000"/>
      <w:kern w:val="0"/>
      <w:szCs w:val="21"/>
    </w:rPr>
  </w:style>
  <w:style w:type="paragraph" w:customStyle="1" w:styleId="258">
    <w:name w:val="WW-表格内容"/>
    <w:basedOn w:val="1"/>
    <w:qFormat/>
    <w:uiPriority w:val="0"/>
    <w:pPr>
      <w:suppressLineNumbers/>
      <w:suppressAutoHyphens/>
    </w:pPr>
    <w:rPr>
      <w:rFonts w:ascii="Times New Roman" w:hAnsi="Times New Roman" w:eastAsia="宋体" w:cs="Times New Roman"/>
      <w:szCs w:val="20"/>
    </w:rPr>
  </w:style>
  <w:style w:type="paragraph" w:customStyle="1" w:styleId="259">
    <w:name w:val="目录"/>
    <w:basedOn w:val="1"/>
    <w:qFormat/>
    <w:uiPriority w:val="0"/>
    <w:pPr>
      <w:widowControl/>
      <w:jc w:val="center"/>
    </w:pPr>
    <w:rPr>
      <w:rFonts w:ascii="宋体" w:hAnsi="Times New Roman" w:eastAsia="宋体" w:cs="Times New Roman"/>
      <w:b/>
      <w:kern w:val="0"/>
      <w:sz w:val="36"/>
      <w:szCs w:val="20"/>
    </w:rPr>
  </w:style>
  <w:style w:type="paragraph" w:customStyle="1" w:styleId="260">
    <w:name w:val="Char9"/>
    <w:basedOn w:val="16"/>
    <w:qFormat/>
    <w:uiPriority w:val="0"/>
    <w:pPr>
      <w:spacing w:line="360" w:lineRule="auto"/>
      <w:ind w:firstLine="200" w:firstLineChars="200"/>
    </w:pPr>
    <w:rPr>
      <w:rFonts w:ascii="Tahoma" w:hAnsi="Tahoma"/>
      <w:sz w:val="24"/>
    </w:rPr>
  </w:style>
  <w:style w:type="paragraph" w:customStyle="1" w:styleId="261">
    <w:name w:val="样式2"/>
    <w:basedOn w:val="3"/>
    <w:qFormat/>
    <w:uiPriority w:val="0"/>
    <w:pPr>
      <w:autoSpaceDE w:val="0"/>
      <w:autoSpaceDN w:val="0"/>
      <w:adjustRightInd w:val="0"/>
      <w:snapToGrid w:val="0"/>
      <w:spacing w:line="300" w:lineRule="exact"/>
      <w:ind w:left="220" w:right="-20"/>
      <w:jc w:val="center"/>
    </w:pPr>
    <w:rPr>
      <w:rFonts w:ascii="宋体" w:hAnsi="宋体" w:eastAsia="仿宋_GB2312" w:cs="Times New Roman"/>
      <w:w w:val="99"/>
      <w:kern w:val="0"/>
      <w:sz w:val="28"/>
      <w:szCs w:val="28"/>
    </w:rPr>
  </w:style>
  <w:style w:type="paragraph" w:customStyle="1" w:styleId="262">
    <w:name w:val="表格标题"/>
    <w:basedOn w:val="222"/>
    <w:qFormat/>
    <w:uiPriority w:val="0"/>
  </w:style>
  <w:style w:type="paragraph" w:customStyle="1" w:styleId="263">
    <w:name w:val="WW-表格标题"/>
    <w:basedOn w:val="258"/>
    <w:qFormat/>
    <w:uiPriority w:val="0"/>
  </w:style>
  <w:style w:type="paragraph" w:customStyle="1" w:styleId="264">
    <w:name w:val="正文缩进1"/>
    <w:basedOn w:val="1"/>
    <w:qFormat/>
    <w:uiPriority w:val="0"/>
    <w:pPr>
      <w:adjustRightInd w:val="0"/>
      <w:spacing w:line="480" w:lineRule="atLeast"/>
      <w:ind w:firstLine="600"/>
      <w:textAlignment w:val="baseline"/>
    </w:pPr>
    <w:rPr>
      <w:rFonts w:ascii="Times New Roman" w:hAnsi="Times New Roman" w:eastAsia="仿宋_GB2312" w:cs="Times New Roman"/>
      <w:kern w:val="0"/>
      <w:sz w:val="30"/>
      <w:szCs w:val="20"/>
    </w:rPr>
  </w:style>
  <w:style w:type="character" w:customStyle="1" w:styleId="265">
    <w:name w:val="正文首行缩进 Char"/>
    <w:basedOn w:val="73"/>
    <w:link w:val="51"/>
    <w:uiPriority w:val="0"/>
    <w:rPr>
      <w:rFonts w:ascii="仿宋_GB2312" w:eastAsia="仿宋_GB2312"/>
      <w:kern w:val="2"/>
      <w:sz w:val="21"/>
      <w:szCs w:val="24"/>
    </w:rPr>
  </w:style>
  <w:style w:type="character" w:customStyle="1" w:styleId="266">
    <w:name w:val="尾注文本 Char1"/>
    <w:basedOn w:val="55"/>
    <w:qFormat/>
    <w:uiPriority w:val="0"/>
    <w:rPr>
      <w:rFonts w:ascii="Arial" w:hAnsi="Arial" w:eastAsia="宋体" w:cs="Arial"/>
      <w:szCs w:val="24"/>
      <w:lang w:eastAsia="en-US"/>
    </w:rPr>
  </w:style>
  <w:style w:type="character" w:customStyle="1" w:styleId="267">
    <w:name w:val="页脚 Char1"/>
    <w:basedOn w:val="55"/>
    <w:qFormat/>
    <w:uiPriority w:val="0"/>
    <w:rPr>
      <w:rFonts w:ascii="Times New Roman" w:hAnsi="Times New Roman" w:eastAsia="宋体" w:cs="Times New Roman"/>
      <w:sz w:val="18"/>
      <w:szCs w:val="18"/>
    </w:rPr>
  </w:style>
  <w:style w:type="character" w:customStyle="1" w:styleId="268">
    <w:name w:val="页眉 Char1"/>
    <w:basedOn w:val="55"/>
    <w:qFormat/>
    <w:uiPriority w:val="0"/>
    <w:rPr>
      <w:rFonts w:ascii="Times New Roman" w:hAnsi="Times New Roman" w:eastAsia="宋体" w:cs="Times New Roman"/>
      <w:sz w:val="18"/>
      <w:szCs w:val="18"/>
    </w:rPr>
  </w:style>
  <w:style w:type="character" w:customStyle="1" w:styleId="269">
    <w:name w:val="副标题 Char1"/>
    <w:basedOn w:val="55"/>
    <w:qFormat/>
    <w:uiPriority w:val="0"/>
    <w:rPr>
      <w:rFonts w:ascii="Times New Roman" w:hAnsi="Times New Roman" w:eastAsia="宋体" w:cs="Times New Roman"/>
      <w:szCs w:val="24"/>
      <w:u w:val="single"/>
      <w:lang w:eastAsia="en-US"/>
    </w:rPr>
  </w:style>
  <w:style w:type="character" w:customStyle="1" w:styleId="270">
    <w:name w:val="脚注文本 Char1"/>
    <w:basedOn w:val="55"/>
    <w:qFormat/>
    <w:uiPriority w:val="0"/>
    <w:rPr>
      <w:rFonts w:ascii="Arial" w:hAnsi="Arial" w:eastAsia="宋体" w:cs="Arial"/>
      <w:sz w:val="18"/>
      <w:szCs w:val="18"/>
      <w:lang w:eastAsia="en-US"/>
    </w:rPr>
  </w:style>
  <w:style w:type="character" w:customStyle="1" w:styleId="271">
    <w:name w:val="标题 Char1"/>
    <w:basedOn w:val="55"/>
    <w:qFormat/>
    <w:uiPriority w:val="0"/>
    <w:rPr>
      <w:rFonts w:ascii="Times New Roman" w:hAnsi="Times New Roman" w:eastAsia="宋体" w:cs="Times New Roman"/>
      <w:szCs w:val="24"/>
      <w:u w:val="single"/>
      <w:lang w:eastAsia="en-US"/>
    </w:rPr>
  </w:style>
  <w:style w:type="paragraph" w:customStyle="1" w:styleId="272">
    <w:name w:val="文档结构图1"/>
    <w:basedOn w:val="1"/>
    <w:link w:val="273"/>
    <w:qFormat/>
    <w:uiPriority w:val="0"/>
    <w:pPr>
      <w:shd w:val="clear" w:color="auto" w:fill="000080"/>
    </w:pPr>
    <w:rPr>
      <w:rFonts w:ascii="Times New Roman" w:hAnsi="Times New Roman" w:eastAsia="宋体" w:cs="Times New Roman"/>
      <w:szCs w:val="24"/>
      <w:shd w:val="clear" w:color="auto" w:fill="000080"/>
    </w:rPr>
  </w:style>
  <w:style w:type="character" w:customStyle="1" w:styleId="273">
    <w:name w:val="文档结构图 Char2"/>
    <w:basedOn w:val="55"/>
    <w:link w:val="272"/>
    <w:qFormat/>
    <w:uiPriority w:val="0"/>
    <w:rPr>
      <w:kern w:val="2"/>
      <w:sz w:val="21"/>
      <w:szCs w:val="24"/>
      <w:shd w:val="clear" w:color="auto" w:fill="000080"/>
    </w:rPr>
  </w:style>
  <w:style w:type="paragraph" w:customStyle="1" w:styleId="274">
    <w:name w:val="正文文本 31"/>
    <w:basedOn w:val="1"/>
    <w:link w:val="275"/>
    <w:qFormat/>
    <w:uiPriority w:val="0"/>
    <w:pPr>
      <w:spacing w:after="120"/>
    </w:pPr>
    <w:rPr>
      <w:rFonts w:ascii="Times New Roman" w:hAnsi="Times New Roman" w:eastAsia="宋体" w:cs="Times New Roman"/>
      <w:sz w:val="16"/>
      <w:szCs w:val="16"/>
    </w:rPr>
  </w:style>
  <w:style w:type="character" w:customStyle="1" w:styleId="275">
    <w:name w:val="正文文本 3 Char1"/>
    <w:basedOn w:val="55"/>
    <w:link w:val="274"/>
    <w:qFormat/>
    <w:uiPriority w:val="0"/>
    <w:rPr>
      <w:kern w:val="2"/>
      <w:sz w:val="16"/>
      <w:szCs w:val="16"/>
    </w:rPr>
  </w:style>
  <w:style w:type="paragraph" w:customStyle="1" w:styleId="276">
    <w:name w:val="正文文本缩进1"/>
    <w:basedOn w:val="1"/>
    <w:link w:val="277"/>
    <w:qFormat/>
    <w:uiPriority w:val="0"/>
    <w:pPr>
      <w:ind w:firstLine="407" w:firstLineChars="200"/>
    </w:pPr>
    <w:rPr>
      <w:rFonts w:ascii="Times New Roman" w:hAnsi="Times New Roman" w:eastAsia="宋体" w:cs="Times New Roman"/>
      <w:szCs w:val="24"/>
    </w:rPr>
  </w:style>
  <w:style w:type="character" w:customStyle="1" w:styleId="277">
    <w:name w:val="正文文本缩进 Char1"/>
    <w:basedOn w:val="55"/>
    <w:link w:val="276"/>
    <w:qFormat/>
    <w:uiPriority w:val="0"/>
    <w:rPr>
      <w:kern w:val="2"/>
      <w:sz w:val="21"/>
      <w:szCs w:val="24"/>
    </w:rPr>
  </w:style>
  <w:style w:type="paragraph" w:customStyle="1" w:styleId="278">
    <w:name w:val="纯文本1"/>
    <w:basedOn w:val="1"/>
    <w:link w:val="279"/>
    <w:qFormat/>
    <w:uiPriority w:val="0"/>
    <w:rPr>
      <w:rFonts w:ascii="宋体" w:hAnsi="Courier New" w:eastAsia="宋体" w:cs="Courier New"/>
      <w:szCs w:val="21"/>
    </w:rPr>
  </w:style>
  <w:style w:type="character" w:customStyle="1" w:styleId="279">
    <w:name w:val="纯文本 Char1"/>
    <w:basedOn w:val="55"/>
    <w:link w:val="278"/>
    <w:qFormat/>
    <w:uiPriority w:val="0"/>
    <w:rPr>
      <w:rFonts w:ascii="宋体" w:hAnsi="Courier New" w:cs="Courier New"/>
      <w:kern w:val="2"/>
      <w:sz w:val="21"/>
      <w:szCs w:val="21"/>
    </w:rPr>
  </w:style>
  <w:style w:type="paragraph" w:customStyle="1" w:styleId="280">
    <w:name w:val="日期1"/>
    <w:basedOn w:val="1"/>
    <w:next w:val="1"/>
    <w:link w:val="281"/>
    <w:qFormat/>
    <w:uiPriority w:val="0"/>
    <w:pPr>
      <w:ind w:left="100" w:leftChars="2500"/>
    </w:pPr>
    <w:rPr>
      <w:rFonts w:ascii="Times New Roman" w:hAnsi="Times New Roman" w:eastAsia="宋体" w:cs="Times New Roman"/>
      <w:szCs w:val="24"/>
    </w:rPr>
  </w:style>
  <w:style w:type="character" w:customStyle="1" w:styleId="281">
    <w:name w:val="日期 Char2"/>
    <w:basedOn w:val="55"/>
    <w:link w:val="280"/>
    <w:qFormat/>
    <w:uiPriority w:val="0"/>
    <w:rPr>
      <w:kern w:val="2"/>
      <w:sz w:val="21"/>
      <w:szCs w:val="24"/>
    </w:rPr>
  </w:style>
  <w:style w:type="paragraph" w:customStyle="1" w:styleId="282">
    <w:name w:val="正文文本缩进 21"/>
    <w:basedOn w:val="1"/>
    <w:link w:val="283"/>
    <w:qFormat/>
    <w:uiPriority w:val="0"/>
    <w:pPr>
      <w:widowControl/>
      <w:spacing w:line="480" w:lineRule="auto"/>
      <w:ind w:firstLine="560"/>
      <w:jc w:val="left"/>
    </w:pPr>
    <w:rPr>
      <w:rFonts w:ascii="Times New Roman" w:hAnsi="Times New Roman" w:eastAsia="宋体" w:cs="Times New Roman"/>
      <w:sz w:val="28"/>
      <w:szCs w:val="24"/>
    </w:rPr>
  </w:style>
  <w:style w:type="character" w:customStyle="1" w:styleId="283">
    <w:name w:val="正文文本缩进 2 Char1"/>
    <w:basedOn w:val="55"/>
    <w:link w:val="282"/>
    <w:qFormat/>
    <w:uiPriority w:val="0"/>
    <w:rPr>
      <w:kern w:val="2"/>
      <w:sz w:val="28"/>
      <w:szCs w:val="24"/>
    </w:rPr>
  </w:style>
  <w:style w:type="paragraph" w:customStyle="1" w:styleId="284">
    <w:name w:val="正文文本缩进 31"/>
    <w:basedOn w:val="1"/>
    <w:link w:val="285"/>
    <w:qFormat/>
    <w:uiPriority w:val="0"/>
    <w:pPr>
      <w:spacing w:line="360" w:lineRule="auto"/>
      <w:ind w:firstLine="280" w:firstLineChars="100"/>
    </w:pPr>
    <w:rPr>
      <w:rFonts w:ascii="宋体" w:hAnsi="宋体" w:eastAsia="宋体" w:cs="Times New Roman"/>
      <w:sz w:val="28"/>
      <w:szCs w:val="28"/>
    </w:rPr>
  </w:style>
  <w:style w:type="character" w:customStyle="1" w:styleId="285">
    <w:name w:val="正文文本缩进 3 Char1"/>
    <w:basedOn w:val="55"/>
    <w:link w:val="284"/>
    <w:qFormat/>
    <w:uiPriority w:val="0"/>
    <w:rPr>
      <w:rFonts w:ascii="宋体" w:hAnsi="宋体"/>
      <w:kern w:val="2"/>
      <w:sz w:val="28"/>
      <w:szCs w:val="28"/>
    </w:rPr>
  </w:style>
  <w:style w:type="paragraph" w:customStyle="1" w:styleId="286">
    <w:name w:val="正文文本 21"/>
    <w:basedOn w:val="1"/>
    <w:qFormat/>
    <w:uiPriority w:val="0"/>
    <w:rPr>
      <w:rFonts w:ascii="Times New Roman" w:hAnsi="Times New Roman" w:eastAsia="宋体" w:cs="Times New Roman"/>
      <w:i/>
      <w:iCs/>
      <w:sz w:val="26"/>
      <w:szCs w:val="24"/>
    </w:rPr>
  </w:style>
  <w:style w:type="paragraph" w:customStyle="1" w:styleId="287">
    <w:name w:val="HTML 预设格式1"/>
    <w:basedOn w:val="1"/>
    <w:link w:val="288"/>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color w:val="000000"/>
      <w:sz w:val="24"/>
      <w:szCs w:val="24"/>
    </w:rPr>
  </w:style>
  <w:style w:type="character" w:customStyle="1" w:styleId="288">
    <w:name w:val="HTML 预设格式 Char1"/>
    <w:basedOn w:val="55"/>
    <w:link w:val="287"/>
    <w:qFormat/>
    <w:uiPriority w:val="0"/>
    <w:rPr>
      <w:rFonts w:ascii="宋体" w:hAnsi="宋体" w:cs="宋体"/>
      <w:color w:val="000000"/>
      <w:kern w:val="2"/>
      <w:sz w:val="24"/>
      <w:szCs w:val="24"/>
    </w:rPr>
  </w:style>
  <w:style w:type="character" w:customStyle="1" w:styleId="289">
    <w:name w:val="批注主题 Char Char Char"/>
    <w:qFormat/>
    <w:uiPriority w:val="0"/>
    <w:rPr>
      <w:rFonts w:ascii="宋体" w:hAnsi="宋体" w:eastAsia="宋体" w:cs="Times New Roman"/>
      <w:sz w:val="24"/>
      <w:szCs w:val="28"/>
    </w:rPr>
  </w:style>
  <w:style w:type="paragraph" w:customStyle="1" w:styleId="290">
    <w:name w:val="文本块1"/>
    <w:basedOn w:val="1"/>
    <w:link w:val="291"/>
    <w:qFormat/>
    <w:uiPriority w:val="0"/>
    <w:pPr>
      <w:autoSpaceDE w:val="0"/>
      <w:autoSpaceDN w:val="0"/>
      <w:adjustRightInd w:val="0"/>
      <w:spacing w:line="1270" w:lineRule="exact"/>
      <w:ind w:left="2160" w:right="-20" w:hanging="2160" w:hangingChars="300"/>
      <w:jc w:val="left"/>
    </w:pPr>
    <w:rPr>
      <w:rFonts w:ascii="Times New Roman" w:hAnsi="Times New Roman" w:eastAsia="宋体" w:cs="Times New Roman"/>
      <w:i/>
      <w:iCs/>
      <w:color w:val="000000" w:themeColor="text1"/>
      <w:szCs w:val="24"/>
      <w14:textFill>
        <w14:solidFill>
          <w14:schemeClr w14:val="tx1"/>
        </w14:solidFill>
      </w14:textFill>
    </w:rPr>
  </w:style>
  <w:style w:type="character" w:customStyle="1" w:styleId="291">
    <w:name w:val="引用 Char2"/>
    <w:basedOn w:val="55"/>
    <w:link w:val="290"/>
    <w:qFormat/>
    <w:uiPriority w:val="0"/>
    <w:rPr>
      <w:i/>
      <w:iCs/>
      <w:color w:val="000000" w:themeColor="text1"/>
      <w:kern w:val="2"/>
      <w:sz w:val="21"/>
      <w:szCs w:val="24"/>
      <w14:textFill>
        <w14:solidFill>
          <w14:schemeClr w14:val="tx1"/>
        </w14:solidFill>
      </w14:textFill>
    </w:rPr>
  </w:style>
  <w:style w:type="paragraph" w:customStyle="1" w:styleId="292">
    <w:name w:val="批注框文本 Char Char"/>
    <w:basedOn w:val="1"/>
    <w:link w:val="293"/>
    <w:qFormat/>
    <w:uiPriority w:val="0"/>
    <w:rPr>
      <w:rFonts w:ascii="Times New Roman" w:hAnsi="Times New Roman" w:eastAsia="宋体" w:cs="Times New Roman"/>
      <w:sz w:val="18"/>
      <w:szCs w:val="18"/>
    </w:rPr>
  </w:style>
  <w:style w:type="character" w:customStyle="1" w:styleId="293">
    <w:name w:val="批注框文本 Char2"/>
    <w:basedOn w:val="55"/>
    <w:link w:val="292"/>
    <w:qFormat/>
    <w:uiPriority w:val="0"/>
    <w:rPr>
      <w:kern w:val="2"/>
      <w:sz w:val="18"/>
      <w:szCs w:val="18"/>
    </w:rPr>
  </w:style>
  <w:style w:type="paragraph" w:customStyle="1" w:styleId="294">
    <w:name w:val="_Style 10"/>
    <w:next w:val="1"/>
    <w:qFormat/>
    <w:uiPriority w:val="0"/>
    <w:pPr>
      <w:widowControl w:val="0"/>
      <w:jc w:val="both"/>
    </w:pPr>
    <w:rPr>
      <w:rFonts w:ascii="Times New Roman" w:hAnsi="Times New Roman" w:eastAsia="宋体" w:cs="Times New Roman"/>
      <w:szCs w:val="24"/>
      <w:lang w:val="en-US" w:eastAsia="zh-CN" w:bidi="ar-SA"/>
    </w:rPr>
  </w:style>
  <w:style w:type="paragraph" w:customStyle="1" w:styleId="295">
    <w:name w:val="flNote"/>
    <w:basedOn w:val="1"/>
    <w:qFormat/>
    <w:uiPriority w:val="0"/>
    <w:pPr>
      <w:adjustRightInd w:val="0"/>
      <w:spacing w:before="320" w:after="160" w:line="360" w:lineRule="atLeast"/>
      <w:jc w:val="center"/>
      <w:textAlignment w:val="baseline"/>
    </w:pPr>
    <w:rPr>
      <w:rFonts w:ascii="Arial" w:hAnsi="Times New Roman" w:eastAsia="黑体" w:cs="Times New Roman"/>
      <w:kern w:val="0"/>
      <w:sz w:val="30"/>
      <w:szCs w:val="20"/>
    </w:rPr>
  </w:style>
  <w:style w:type="paragraph" w:customStyle="1" w:styleId="296">
    <w:name w:val="普通(网站)1"/>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97">
    <w:name w:val="空半行"/>
    <w:basedOn w:val="1"/>
    <w:qFormat/>
    <w:uiPriority w:val="0"/>
    <w:pPr>
      <w:adjustRightInd w:val="0"/>
      <w:spacing w:line="120" w:lineRule="exact"/>
      <w:textAlignment w:val="baseline"/>
    </w:pPr>
    <w:rPr>
      <w:rFonts w:ascii="Times New Roman" w:hAnsi="Times New Roman" w:eastAsia="仿宋_GB2312" w:cs="Times New Roman"/>
      <w:color w:val="FFFFFF"/>
      <w:kern w:val="0"/>
      <w:sz w:val="30"/>
      <w:szCs w:val="20"/>
    </w:rPr>
  </w:style>
  <w:style w:type="paragraph" w:customStyle="1" w:styleId="298">
    <w:name w:val="p16"/>
    <w:qFormat/>
    <w:uiPriority w:val="0"/>
    <w:pPr>
      <w:snapToGrid w:val="0"/>
    </w:pPr>
    <w:rPr>
      <w:rFonts w:ascii="宋体" w:hAnsi="宋体" w:eastAsia="宋体" w:cs="宋体"/>
      <w:sz w:val="24"/>
      <w:lang w:val="en-US" w:eastAsia="zh-CN" w:bidi="ar-SA"/>
    </w:rPr>
  </w:style>
  <w:style w:type="paragraph" w:customStyle="1" w:styleId="299">
    <w:name w:val="批注主题1"/>
    <w:basedOn w:val="17"/>
    <w:next w:val="17"/>
    <w:link w:val="300"/>
    <w:qFormat/>
    <w:uiPriority w:val="0"/>
    <w:rPr>
      <w:rFonts w:ascii="Times New Roman" w:hAnsi="Times New Roman" w:eastAsia="宋体" w:cs="Times New Roman"/>
      <w:b/>
      <w:bCs/>
      <w:szCs w:val="24"/>
    </w:rPr>
  </w:style>
  <w:style w:type="character" w:customStyle="1" w:styleId="300">
    <w:name w:val="批注主题 Char2"/>
    <w:basedOn w:val="301"/>
    <w:link w:val="299"/>
    <w:qFormat/>
    <w:uiPriority w:val="0"/>
    <w:rPr>
      <w:rFonts w:ascii="Times New Roman" w:hAnsi="Times New Roman" w:eastAsia="宋体" w:cs="Times New Roman"/>
      <w:b/>
      <w:bCs/>
      <w:kern w:val="2"/>
      <w:sz w:val="21"/>
      <w:szCs w:val="24"/>
    </w:rPr>
  </w:style>
  <w:style w:type="character" w:customStyle="1" w:styleId="301">
    <w:name w:val="批注文字 Char1"/>
    <w:basedOn w:val="55"/>
    <w:semiHidden/>
    <w:qFormat/>
    <w:uiPriority w:val="0"/>
    <w:rPr>
      <w:rFonts w:ascii="Times New Roman" w:hAnsi="Times New Roman" w:eastAsia="宋体" w:cs="Times New Roman"/>
      <w:szCs w:val="24"/>
    </w:rPr>
  </w:style>
  <w:style w:type="character" w:customStyle="1" w:styleId="302">
    <w:name w:val="明显引用 Char2"/>
    <w:basedOn w:val="55"/>
    <w:qFormat/>
    <w:uiPriority w:val="0"/>
    <w:rPr>
      <w:rFonts w:ascii="Times New Roman" w:hAnsi="Times New Roman" w:eastAsia="宋体" w:cs="Times New Roman"/>
      <w:b/>
      <w:bCs/>
      <w:i/>
      <w:iCs/>
      <w:color w:val="4F81BD"/>
      <w:szCs w:val="24"/>
    </w:rPr>
  </w:style>
  <w:style w:type="paragraph" w:customStyle="1" w:styleId="303">
    <w:name w:val="索引 11"/>
    <w:basedOn w:val="1"/>
    <w:next w:val="1"/>
    <w:qFormat/>
    <w:uiPriority w:val="0"/>
    <w:pPr>
      <w:spacing w:line="220" w:lineRule="exact"/>
      <w:jc w:val="center"/>
    </w:pPr>
    <w:rPr>
      <w:rFonts w:ascii="仿宋_GB2312" w:hAnsi="Times New Roman" w:eastAsia="仿宋_GB2312" w:cs="Times New Roman"/>
      <w:szCs w:val="21"/>
    </w:rPr>
  </w:style>
  <w:style w:type="paragraph" w:customStyle="1" w:styleId="304">
    <w:name w:val="无间隔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5">
    <w:name w:val="索引 41"/>
    <w:basedOn w:val="1"/>
    <w:next w:val="1"/>
    <w:qFormat/>
    <w:uiPriority w:val="0"/>
    <w:pPr>
      <w:ind w:left="600" w:leftChars="600"/>
    </w:pPr>
    <w:rPr>
      <w:rFonts w:ascii="Times New Roman" w:hAnsi="Times New Roman" w:eastAsia="宋体" w:cs="Times New Roman"/>
      <w:szCs w:val="24"/>
    </w:rPr>
  </w:style>
  <w:style w:type="paragraph" w:customStyle="1" w:styleId="306">
    <w:name w:val="修订1"/>
    <w:qFormat/>
    <w:uiPriority w:val="0"/>
    <w:rPr>
      <w:rFonts w:ascii="Times New Roman" w:hAnsi="Times New Roman" w:eastAsia="宋体" w:cs="Times New Roman"/>
      <w:szCs w:val="24"/>
      <w:lang w:val="en-US" w:eastAsia="zh-CN" w:bidi="ar-SA"/>
    </w:rPr>
  </w:style>
  <w:style w:type="paragraph" w:customStyle="1" w:styleId="307">
    <w:name w:val="p21"/>
    <w:basedOn w:val="1"/>
    <w:qFormat/>
    <w:uiPriority w:val="0"/>
    <w:pPr>
      <w:widowControl/>
      <w:spacing w:line="360" w:lineRule="auto"/>
      <w:ind w:left="210"/>
      <w:jc w:val="left"/>
    </w:pPr>
    <w:rPr>
      <w:rFonts w:ascii="Times New Roman" w:hAnsi="Times New Roman" w:eastAsia="宋体" w:cs="Times New Roman"/>
      <w:smallCaps/>
      <w:kern w:val="0"/>
      <w:sz w:val="24"/>
      <w:szCs w:val="24"/>
    </w:rPr>
  </w:style>
  <w:style w:type="character" w:customStyle="1" w:styleId="308">
    <w:name w:val="页码1"/>
    <w:basedOn w:val="55"/>
    <w:qFormat/>
    <w:uiPriority w:val="0"/>
  </w:style>
  <w:style w:type="character" w:customStyle="1" w:styleId="309">
    <w:name w:val="批注文字 Char Char"/>
    <w:qFormat/>
    <w:uiPriority w:val="0"/>
    <w:rPr>
      <w:rFonts w:ascii="宋体" w:hAnsi="Times New Roman" w:eastAsia="宋体" w:cs="Times New Roman"/>
      <w:sz w:val="28"/>
      <w:szCs w:val="20"/>
    </w:rPr>
  </w:style>
  <w:style w:type="character" w:customStyle="1" w:styleId="310">
    <w:name w:val="日期 Char1"/>
    <w:qFormat/>
    <w:uiPriority w:val="0"/>
    <w:rPr>
      <w:kern w:val="2"/>
      <w:sz w:val="21"/>
      <w:szCs w:val="22"/>
    </w:rPr>
  </w:style>
  <w:style w:type="character" w:customStyle="1" w:styleId="311">
    <w:name w:val="文档结构图 Char1"/>
    <w:qFormat/>
    <w:uiPriority w:val="0"/>
    <w:rPr>
      <w:rFonts w:ascii="宋体"/>
      <w:kern w:val="2"/>
      <w:sz w:val="18"/>
      <w:szCs w:val="18"/>
    </w:rPr>
  </w:style>
  <w:style w:type="character" w:customStyle="1" w:styleId="312">
    <w:name w:val="批注引用1"/>
    <w:qFormat/>
    <w:uiPriority w:val="0"/>
    <w:rPr>
      <w:sz w:val="21"/>
      <w:szCs w:val="21"/>
    </w:rPr>
  </w:style>
  <w:style w:type="character" w:customStyle="1" w:styleId="313">
    <w:name w:val="明显引用 Char"/>
    <w:link w:val="314"/>
    <w:qFormat/>
    <w:uiPriority w:val="0"/>
    <w:rPr>
      <w:b/>
      <w:bCs/>
      <w:i/>
      <w:iCs/>
      <w:color w:val="4F81BD"/>
    </w:rPr>
  </w:style>
  <w:style w:type="paragraph" w:styleId="314">
    <w:name w:val="Intense Quote"/>
    <w:basedOn w:val="1"/>
    <w:next w:val="1"/>
    <w:link w:val="313"/>
    <w:qFormat/>
    <w:uiPriority w:val="0"/>
    <w:pPr>
      <w:pBdr>
        <w:bottom w:val="single" w:color="4F81BD" w:sz="4" w:space="4"/>
      </w:pBdr>
      <w:spacing w:before="200" w:after="280"/>
      <w:ind w:left="936" w:right="936"/>
    </w:pPr>
    <w:rPr>
      <w:rFonts w:ascii="Times New Roman" w:hAnsi="Times New Roman" w:eastAsia="宋体" w:cs="Times New Roman"/>
      <w:b/>
      <w:bCs/>
      <w:i/>
      <w:iCs/>
      <w:color w:val="4F81BD"/>
      <w:kern w:val="0"/>
      <w:sz w:val="20"/>
      <w:szCs w:val="20"/>
    </w:rPr>
  </w:style>
  <w:style w:type="character" w:customStyle="1" w:styleId="315">
    <w:name w:val="明显引用 Char1"/>
    <w:basedOn w:val="55"/>
    <w:qFormat/>
    <w:uiPriority w:val="0"/>
    <w:rPr>
      <w:rFonts w:ascii="等线" w:hAnsi="等线" w:eastAsia="等线" w:cs="黑体"/>
      <w:b/>
      <w:bCs/>
      <w:i/>
      <w:iCs/>
      <w:color w:val="4F81BD" w:themeColor="accent1"/>
      <w:kern w:val="2"/>
      <w:sz w:val="21"/>
      <w:szCs w:val="22"/>
      <w14:textFill>
        <w14:solidFill>
          <w14:schemeClr w14:val="accent1"/>
        </w14:solidFill>
      </w14:textFill>
    </w:rPr>
  </w:style>
  <w:style w:type="character" w:customStyle="1" w:styleId="316">
    <w:name w:val="批注主题 Char1"/>
    <w:qFormat/>
    <w:uiPriority w:val="0"/>
    <w:rPr>
      <w:b/>
      <w:bCs/>
      <w:szCs w:val="24"/>
    </w:rPr>
  </w:style>
  <w:style w:type="character" w:customStyle="1" w:styleId="317">
    <w:name w:val="明显强调1"/>
    <w:qFormat/>
    <w:uiPriority w:val="0"/>
    <w:rPr>
      <w:b/>
      <w:bCs/>
      <w:i/>
      <w:iCs/>
      <w:color w:val="4F81BD"/>
    </w:rPr>
  </w:style>
  <w:style w:type="character" w:customStyle="1" w:styleId="318">
    <w:name w:val="批注框文本 Char1"/>
    <w:qFormat/>
    <w:uiPriority w:val="0"/>
    <w:rPr>
      <w:kern w:val="2"/>
      <w:sz w:val="18"/>
      <w:szCs w:val="18"/>
    </w:rPr>
  </w:style>
  <w:style w:type="character" w:customStyle="1" w:styleId="319">
    <w:name w:val="不明显参考1"/>
    <w:qFormat/>
    <w:uiPriority w:val="0"/>
    <w:rPr>
      <w:smallCaps/>
      <w:color w:val="C0504D"/>
      <w:u w:val="single"/>
    </w:rPr>
  </w:style>
  <w:style w:type="character" w:customStyle="1" w:styleId="320">
    <w:name w:val="书籍标题1"/>
    <w:qFormat/>
    <w:uiPriority w:val="0"/>
    <w:rPr>
      <w:b/>
      <w:bCs/>
      <w:smallCaps/>
      <w:spacing w:val="5"/>
    </w:rPr>
  </w:style>
  <w:style w:type="character" w:customStyle="1" w:styleId="321">
    <w:name w:val="引用 Char1"/>
    <w:qFormat/>
    <w:uiPriority w:val="0"/>
    <w:rPr>
      <w:i/>
      <w:iCs/>
      <w:color w:val="000000"/>
      <w:kern w:val="2"/>
      <w:sz w:val="21"/>
      <w:szCs w:val="24"/>
    </w:rPr>
  </w:style>
  <w:style w:type="character" w:customStyle="1" w:styleId="322">
    <w:name w:val="明显参考1"/>
    <w:qFormat/>
    <w:uiPriority w:val="0"/>
    <w:rPr>
      <w:b/>
      <w:bCs/>
      <w:smallCaps/>
      <w:color w:val="C0504D"/>
      <w:spacing w:val="5"/>
      <w:u w:val="single"/>
    </w:rPr>
  </w:style>
  <w:style w:type="character" w:customStyle="1" w:styleId="323">
    <w:name w:val="引用 Char"/>
    <w:link w:val="324"/>
    <w:qFormat/>
    <w:uiPriority w:val="0"/>
    <w:rPr>
      <w:i/>
      <w:iCs/>
      <w:color w:val="000000"/>
    </w:rPr>
  </w:style>
  <w:style w:type="paragraph" w:styleId="324">
    <w:name w:val="Quote"/>
    <w:basedOn w:val="1"/>
    <w:next w:val="1"/>
    <w:link w:val="323"/>
    <w:qFormat/>
    <w:uiPriority w:val="0"/>
    <w:rPr>
      <w:rFonts w:ascii="Times New Roman" w:hAnsi="Times New Roman" w:eastAsia="宋体" w:cs="Times New Roman"/>
      <w:i/>
      <w:iCs/>
      <w:color w:val="000000"/>
      <w:kern w:val="0"/>
      <w:sz w:val="20"/>
      <w:szCs w:val="20"/>
    </w:rPr>
  </w:style>
  <w:style w:type="character" w:customStyle="1" w:styleId="325">
    <w:name w:val="引用 Char3"/>
    <w:basedOn w:val="55"/>
    <w:qFormat/>
    <w:uiPriority w:val="99"/>
    <w:rPr>
      <w:rFonts w:ascii="等线" w:hAnsi="等线" w:eastAsia="等线" w:cs="黑体"/>
      <w:i/>
      <w:iCs/>
      <w:color w:val="000000" w:themeColor="text1"/>
      <w:kern w:val="2"/>
      <w:sz w:val="21"/>
      <w:szCs w:val="22"/>
      <w14:textFill>
        <w14:solidFill>
          <w14:schemeClr w14:val="tx1"/>
        </w14:solidFill>
      </w14:textFill>
    </w:rPr>
  </w:style>
  <w:style w:type="character" w:customStyle="1" w:styleId="326">
    <w:name w:val="不明显强调1"/>
    <w:qFormat/>
    <w:uiPriority w:val="0"/>
    <w:rPr>
      <w:i/>
      <w:iCs/>
      <w:color w:val="808080"/>
    </w:rPr>
  </w:style>
  <w:style w:type="character" w:customStyle="1" w:styleId="327">
    <w:name w:val="正文文本 Char1"/>
    <w:qFormat/>
    <w:uiPriority w:val="0"/>
    <w:rPr>
      <w:kern w:val="2"/>
      <w:sz w:val="21"/>
      <w:szCs w:val="22"/>
    </w:rPr>
  </w:style>
  <w:style w:type="character" w:customStyle="1" w:styleId="328">
    <w:name w:val="textcontents"/>
    <w:qFormat/>
    <w:uiPriority w:val="0"/>
    <w:rPr>
      <w:rFonts w:cs="Times New Roman"/>
    </w:rPr>
  </w:style>
  <w:style w:type="character" w:customStyle="1" w:styleId="329">
    <w:name w:val="标题 3 Char1"/>
    <w:qFormat/>
    <w:uiPriority w:val="0"/>
    <w:rPr>
      <w:b/>
      <w:bCs/>
      <w:kern w:val="2"/>
      <w:sz w:val="32"/>
      <w:szCs w:val="32"/>
    </w:rPr>
  </w:style>
  <w:style w:type="character" w:customStyle="1" w:styleId="330">
    <w:name w:val="15"/>
    <w:qFormat/>
    <w:uiPriority w:val="0"/>
    <w:rPr>
      <w:rFonts w:hint="default" w:ascii="Times New Roman" w:hAnsi="Times New Roman" w:cs="Times New Roman"/>
    </w:rPr>
  </w:style>
  <w:style w:type="character" w:customStyle="1" w:styleId="331">
    <w:name w:val="10"/>
    <w:qFormat/>
    <w:uiPriority w:val="0"/>
    <w:rPr>
      <w:rFonts w:hint="default" w:ascii="Times New Roman" w:hAnsi="Times New Roman" w:cs="Times New Roman"/>
    </w:rPr>
  </w:style>
  <w:style w:type="character" w:customStyle="1" w:styleId="332">
    <w:name w:val="脚注文本 字符"/>
    <w:qFormat/>
    <w:uiPriority w:val="0"/>
    <w:rPr>
      <w:rFonts w:ascii="Arial" w:hAnsi="Arial" w:eastAsia="宋体" w:cs="Arial"/>
      <w:sz w:val="18"/>
      <w:szCs w:val="18"/>
      <w:lang w:val="en-US" w:eastAsia="en-US" w:bidi="ar-SA"/>
    </w:rPr>
  </w:style>
  <w:style w:type="character" w:customStyle="1" w:styleId="333">
    <w:name w:val="不明显强调2"/>
    <w:qFormat/>
    <w:uiPriority w:val="0"/>
    <w:rPr>
      <w:i/>
      <w:iCs/>
      <w:color w:val="808080"/>
    </w:rPr>
  </w:style>
  <w:style w:type="character" w:customStyle="1" w:styleId="334">
    <w:name w:val="明显参考2"/>
    <w:qFormat/>
    <w:uiPriority w:val="0"/>
    <w:rPr>
      <w:b/>
      <w:bCs/>
      <w:smallCaps/>
      <w:color w:val="C0504D"/>
      <w:spacing w:val="5"/>
      <w:u w:val="single"/>
    </w:rPr>
  </w:style>
  <w:style w:type="character" w:customStyle="1" w:styleId="335">
    <w:name w:val="书籍标题2"/>
    <w:qFormat/>
    <w:uiPriority w:val="0"/>
    <w:rPr>
      <w:b/>
      <w:bCs/>
      <w:smallCaps/>
      <w:spacing w:val="5"/>
    </w:rPr>
  </w:style>
  <w:style w:type="character" w:customStyle="1" w:styleId="336">
    <w:name w:val="明显强调2"/>
    <w:qFormat/>
    <w:uiPriority w:val="0"/>
    <w:rPr>
      <w:b/>
      <w:bCs/>
      <w:i/>
      <w:iCs/>
      <w:color w:val="4F81BD"/>
    </w:rPr>
  </w:style>
  <w:style w:type="character" w:customStyle="1" w:styleId="337">
    <w:name w:val="不明显参考2"/>
    <w:qFormat/>
    <w:uiPriority w:val="0"/>
    <w:rPr>
      <w:smallCaps/>
      <w:color w:val="C0504D"/>
      <w:u w:val="single"/>
    </w:rPr>
  </w:style>
  <w:style w:type="paragraph" w:customStyle="1" w:styleId="338">
    <w:name w:val="修订2"/>
    <w:qFormat/>
    <w:uiPriority w:val="0"/>
    <w:rPr>
      <w:rFonts w:ascii="Times New Roman" w:hAnsi="Times New Roman" w:eastAsia="宋体" w:cs="Times New Roman"/>
      <w:kern w:val="2"/>
      <w:sz w:val="21"/>
      <w:szCs w:val="24"/>
      <w:lang w:val="en-US" w:eastAsia="zh-CN" w:bidi="ar-SA"/>
    </w:rPr>
  </w:style>
  <w:style w:type="character" w:customStyle="1" w:styleId="339">
    <w:name w:val="批注框文本 Char3"/>
    <w:basedOn w:val="55"/>
    <w:qFormat/>
    <w:uiPriority w:val="0"/>
    <w:rPr>
      <w:kern w:val="2"/>
      <w:sz w:val="18"/>
      <w:szCs w:val="18"/>
    </w:rPr>
  </w:style>
  <w:style w:type="character" w:customStyle="1" w:styleId="340">
    <w:name w:val="批注主题 Char3"/>
    <w:basedOn w:val="301"/>
    <w:qFormat/>
    <w:uiPriority w:val="0"/>
    <w:rPr>
      <w:rFonts w:ascii="Times New Roman" w:hAnsi="Times New Roman" w:eastAsia="宋体" w:cs="Times New Roman"/>
      <w:b/>
      <w:bCs/>
      <w:kern w:val="2"/>
      <w:sz w:val="21"/>
      <w:szCs w:val="24"/>
    </w:rPr>
  </w:style>
  <w:style w:type="character" w:customStyle="1" w:styleId="341">
    <w:name w:val="文档结构图 Char3"/>
    <w:basedOn w:val="55"/>
    <w:qFormat/>
    <w:uiPriority w:val="0"/>
    <w:rPr>
      <w:rFonts w:ascii="宋体"/>
      <w:kern w:val="2"/>
      <w:sz w:val="18"/>
      <w:szCs w:val="18"/>
    </w:rPr>
  </w:style>
  <w:style w:type="character" w:customStyle="1" w:styleId="342">
    <w:name w:val="日期 Char3"/>
    <w:basedOn w:val="55"/>
    <w:qFormat/>
    <w:uiPriority w:val="0"/>
    <w:rPr>
      <w:kern w:val="2"/>
      <w:sz w:val="21"/>
      <w:szCs w:val="24"/>
    </w:rPr>
  </w:style>
  <w:style w:type="paragraph" w:customStyle="1" w:styleId="343">
    <w:name w:val="TOC 标题2"/>
    <w:basedOn w:val="2"/>
    <w:next w:val="1"/>
    <w:qFormat/>
    <w:uiPriority w:val="0"/>
    <w:pPr>
      <w:spacing w:line="576" w:lineRule="auto"/>
      <w:outlineLvl w:val="9"/>
    </w:pPr>
    <w:rPr>
      <w:rFonts w:ascii="Calibri" w:hAnsi="Calibri" w:eastAsia="宋体" w:cs="Times New Roman"/>
    </w:rPr>
  </w:style>
  <w:style w:type="paragraph" w:styleId="344">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345">
    <w:name w:val="List Paragraph"/>
    <w:basedOn w:val="1"/>
    <w:qFormat/>
    <w:uiPriority w:val="0"/>
    <w:pPr>
      <w:ind w:firstLine="420" w:firstLineChars="200"/>
    </w:pPr>
    <w:rPr>
      <w:rFonts w:ascii="Calibri" w:hAnsi="Calibri" w:eastAsia="宋体" w:cs="Times New Roman"/>
    </w:rPr>
  </w:style>
  <w:style w:type="paragraph" w:customStyle="1" w:styleId="346">
    <w:name w:val="列出段落2"/>
    <w:basedOn w:val="1"/>
    <w:qFormat/>
    <w:uiPriority w:val="0"/>
    <w:pPr>
      <w:ind w:firstLine="420" w:firstLineChars="200"/>
    </w:pPr>
    <w:rPr>
      <w:rFonts w:hint="eastAsia"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6F8A8-5290-4405-AC74-3714081F2BE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71</Pages>
  <Words>14714</Words>
  <Characters>15408</Characters>
  <Lines>260</Lines>
  <Paragraphs>73</Paragraphs>
  <TotalTime>21</TotalTime>
  <ScaleCrop>false</ScaleCrop>
  <LinksUpToDate>false</LinksUpToDate>
  <CharactersWithSpaces>16398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2018-11-12T04:13:00Z</dcterms:created>
  <dc:creator>admin</dc:creator>
  <cp:lastModifiedBy>李玉</cp:lastModifiedBy>
  <cp:lastPrinted>2019-10-14T07:34:00Z</cp:lastPrinted>
  <dcterms:modified xsi:type="dcterms:W3CDTF">2024-10-23T02:26:24Z</dcterms:modified>
  <dc:title>竞争性谈判</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B8D3F387DF454533A912F433EF82BBF4_13</vt:lpwstr>
  </property>
</Properties>
</file>