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CF6ECB">
      <w:pPr>
        <w:pStyle w:val="3"/>
        <w:spacing w:line="240" w:lineRule="auto"/>
        <w:jc w:val="center"/>
        <w:rPr>
          <w:rFonts w:ascii="方正小标宋_GBK" w:hAnsi="宋体" w:eastAsia="方正小标宋_GBK"/>
          <w:b w:val="0"/>
          <w:sz w:val="28"/>
          <w:szCs w:val="28"/>
        </w:rPr>
      </w:pPr>
      <w:r>
        <w:rPr>
          <w:rFonts w:hint="eastAsia" w:ascii="方正小标宋_GBK" w:hAnsi="宋体" w:eastAsia="方正小标宋_GBK"/>
          <w:b w:val="0"/>
          <w:sz w:val="28"/>
          <w:szCs w:val="28"/>
        </w:rPr>
        <w:t>研学项目射击馆改造工程竞争性谈判邀请书</w:t>
      </w:r>
    </w:p>
    <w:p w14:paraId="4722196B">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重庆佳宏招标代理有限公司（以下简称：采购代理机构）接受重庆市射击运动学校的委托，对研学项目射击馆改造工程项目进行竞争性谈判采购。欢迎有资格的供应商前来参加谈判。</w:t>
      </w:r>
    </w:p>
    <w:p w14:paraId="30D1742B">
      <w:pPr>
        <w:pStyle w:val="5"/>
        <w:spacing w:line="360" w:lineRule="exact"/>
        <w:rPr>
          <w:rFonts w:ascii="方正仿宋_GBK" w:eastAsia="方正仿宋_GBK"/>
          <w:sz w:val="24"/>
          <w:szCs w:val="24"/>
        </w:rPr>
      </w:pPr>
      <w:bookmarkStart w:id="0" w:name="_Toc313893526"/>
      <w:bookmarkStart w:id="1" w:name="_Toc13321"/>
      <w:bookmarkStart w:id="2" w:name="_Toc317775175"/>
      <w:r>
        <w:rPr>
          <w:rFonts w:hint="eastAsia" w:ascii="方正仿宋_GBK" w:eastAsia="方正仿宋_GBK"/>
          <w:sz w:val="24"/>
          <w:szCs w:val="24"/>
        </w:rPr>
        <w:t>一、竞争性谈判内容</w:t>
      </w:r>
      <w:bookmarkEnd w:id="0"/>
      <w:bookmarkEnd w:id="1"/>
      <w:bookmarkEnd w:id="2"/>
    </w:p>
    <w:tbl>
      <w:tblPr>
        <w:tblStyle w:val="9"/>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18"/>
        <w:gridCol w:w="1586"/>
        <w:gridCol w:w="1237"/>
        <w:gridCol w:w="1827"/>
        <w:gridCol w:w="1719"/>
      </w:tblGrid>
      <w:tr w14:paraId="01BC6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2918" w:type="dxa"/>
            <w:tcBorders>
              <w:top w:val="single" w:color="auto" w:sz="4" w:space="0"/>
              <w:left w:val="single" w:color="auto" w:sz="4" w:space="0"/>
              <w:right w:val="single" w:color="auto" w:sz="4" w:space="0"/>
            </w:tcBorders>
            <w:noWrap/>
            <w:vAlign w:val="center"/>
          </w:tcPr>
          <w:p w14:paraId="5234283F">
            <w:pPr>
              <w:widowControl/>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项目名称</w:t>
            </w:r>
          </w:p>
        </w:tc>
        <w:tc>
          <w:tcPr>
            <w:tcW w:w="1586" w:type="dxa"/>
            <w:tcBorders>
              <w:top w:val="single" w:color="auto" w:sz="4" w:space="0"/>
              <w:left w:val="single" w:color="auto" w:sz="4" w:space="0"/>
              <w:right w:val="single" w:color="auto" w:sz="4" w:space="0"/>
            </w:tcBorders>
            <w:noWrap/>
            <w:vAlign w:val="center"/>
          </w:tcPr>
          <w:p w14:paraId="0E89AA41">
            <w:pPr>
              <w:pStyle w:val="6"/>
              <w:spacing w:line="360" w:lineRule="exact"/>
              <w:ind w:left="0"/>
              <w:jc w:val="center"/>
              <w:outlineLvl w:val="0"/>
              <w:rPr>
                <w:rFonts w:ascii="方正仿宋_GBK" w:hAnsi="宋体" w:eastAsia="方正仿宋_GBK"/>
                <w:b/>
                <w:sz w:val="24"/>
                <w:szCs w:val="24"/>
              </w:rPr>
            </w:pPr>
            <w:bookmarkStart w:id="3" w:name="_Toc8286"/>
            <w:r>
              <w:rPr>
                <w:rFonts w:hint="eastAsia" w:ascii="方正仿宋_GBK" w:hAnsi="宋体" w:eastAsia="方正仿宋_GBK"/>
                <w:b/>
                <w:sz w:val="24"/>
                <w:szCs w:val="24"/>
              </w:rPr>
              <w:t>最高限价</w:t>
            </w:r>
            <w:bookmarkEnd w:id="3"/>
          </w:p>
          <w:p w14:paraId="453DEF8A">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b/>
                <w:sz w:val="24"/>
                <w:szCs w:val="24"/>
              </w:rPr>
              <w:t>（万元）</w:t>
            </w:r>
          </w:p>
        </w:tc>
        <w:tc>
          <w:tcPr>
            <w:tcW w:w="1237" w:type="dxa"/>
            <w:tcBorders>
              <w:top w:val="single" w:color="auto" w:sz="4" w:space="0"/>
              <w:left w:val="single" w:color="auto" w:sz="4" w:space="0"/>
              <w:right w:val="single" w:color="auto" w:sz="4" w:space="0"/>
            </w:tcBorders>
            <w:noWrap/>
          </w:tcPr>
          <w:p w14:paraId="310B95E9">
            <w:pPr>
              <w:widowControl/>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保证金</w:t>
            </w:r>
          </w:p>
          <w:p w14:paraId="45026094">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（万元）</w:t>
            </w:r>
          </w:p>
        </w:tc>
        <w:tc>
          <w:tcPr>
            <w:tcW w:w="1827" w:type="dxa"/>
            <w:tcBorders>
              <w:top w:val="single" w:color="auto" w:sz="4" w:space="0"/>
              <w:left w:val="single" w:color="auto" w:sz="4" w:space="0"/>
              <w:right w:val="single" w:color="auto" w:sz="4" w:space="0"/>
            </w:tcBorders>
            <w:noWrap/>
          </w:tcPr>
          <w:p w14:paraId="4A099422">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成交供应商</w:t>
            </w:r>
          </w:p>
          <w:p w14:paraId="20C0A812">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（个）</w:t>
            </w:r>
          </w:p>
        </w:tc>
        <w:tc>
          <w:tcPr>
            <w:tcW w:w="1719" w:type="dxa"/>
            <w:tcBorders>
              <w:top w:val="single" w:color="auto" w:sz="4" w:space="0"/>
              <w:left w:val="single" w:color="auto" w:sz="4" w:space="0"/>
              <w:right w:val="single" w:color="auto" w:sz="4" w:space="0"/>
            </w:tcBorders>
            <w:noWrap/>
            <w:vAlign w:val="center"/>
          </w:tcPr>
          <w:p w14:paraId="7FB1CDB1">
            <w:pPr>
              <w:spacing w:line="360" w:lineRule="exact"/>
              <w:jc w:val="center"/>
              <w:rPr>
                <w:rFonts w:ascii="方正仿宋_GBK" w:hAnsi="宋体" w:eastAsia="方正仿宋_GBK" w:cs="宋体"/>
                <w:b/>
                <w:bCs/>
                <w:kern w:val="0"/>
                <w:sz w:val="24"/>
                <w:szCs w:val="24"/>
              </w:rPr>
            </w:pPr>
            <w:r>
              <w:rPr>
                <w:rFonts w:hint="eastAsia" w:ascii="方正仿宋_GBK" w:hAnsi="宋体" w:eastAsia="方正仿宋_GBK" w:cs="宋体"/>
                <w:b/>
                <w:bCs/>
                <w:kern w:val="0"/>
                <w:sz w:val="24"/>
                <w:szCs w:val="24"/>
              </w:rPr>
              <w:t>备注</w:t>
            </w:r>
          </w:p>
        </w:tc>
      </w:tr>
      <w:tr w14:paraId="7577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2918" w:type="dxa"/>
            <w:tcBorders>
              <w:top w:val="single" w:color="auto" w:sz="4" w:space="0"/>
              <w:left w:val="single" w:color="auto" w:sz="4" w:space="0"/>
              <w:bottom w:val="single" w:color="auto" w:sz="4" w:space="0"/>
              <w:right w:val="single" w:color="auto" w:sz="4" w:space="0"/>
            </w:tcBorders>
            <w:noWrap/>
            <w:vAlign w:val="center"/>
          </w:tcPr>
          <w:p w14:paraId="61D21DA5">
            <w:pPr>
              <w:widowControl/>
              <w:spacing w:line="360" w:lineRule="exact"/>
              <w:jc w:val="center"/>
              <w:rPr>
                <w:rFonts w:ascii="方正仿宋_GBK" w:hAnsi="宋体" w:eastAsia="方正仿宋_GBK" w:cs="宋体"/>
                <w:kern w:val="0"/>
                <w:sz w:val="24"/>
                <w:szCs w:val="24"/>
              </w:rPr>
            </w:pPr>
            <w:bookmarkStart w:id="4" w:name="_Hlk344477914"/>
            <w:r>
              <w:rPr>
                <w:rFonts w:hint="eastAsia" w:ascii="方正仿宋_GBK" w:hAnsi="宋体" w:eastAsia="方正仿宋_GBK" w:cs="宋体"/>
                <w:kern w:val="0"/>
                <w:sz w:val="24"/>
                <w:szCs w:val="24"/>
              </w:rPr>
              <w:t>研学项目射击馆改造工程</w:t>
            </w:r>
          </w:p>
        </w:tc>
        <w:tc>
          <w:tcPr>
            <w:tcW w:w="1586" w:type="dxa"/>
            <w:tcBorders>
              <w:top w:val="single" w:color="auto" w:sz="4" w:space="0"/>
              <w:left w:val="single" w:color="auto" w:sz="4" w:space="0"/>
              <w:bottom w:val="single" w:color="auto" w:sz="4" w:space="0"/>
              <w:right w:val="single" w:color="auto" w:sz="4" w:space="0"/>
            </w:tcBorders>
            <w:noWrap/>
            <w:vAlign w:val="center"/>
          </w:tcPr>
          <w:p w14:paraId="7AB00EB5">
            <w:pPr>
              <w:spacing w:line="360" w:lineRule="exact"/>
              <w:jc w:val="center"/>
              <w:rPr>
                <w:rFonts w:ascii="方正仿宋_GBK" w:hAnsi="宋体" w:eastAsia="方正仿宋_GBK" w:cs="宋体"/>
                <w:kern w:val="0"/>
                <w:sz w:val="24"/>
                <w:szCs w:val="24"/>
              </w:rPr>
            </w:pPr>
            <w:r>
              <w:rPr>
                <w:rFonts w:hint="eastAsia" w:ascii="方正仿宋_GBK" w:hAnsi="宋体" w:eastAsia="方正仿宋_GBK" w:cs="宋体"/>
                <w:kern w:val="0"/>
                <w:sz w:val="24"/>
                <w:szCs w:val="24"/>
              </w:rPr>
              <w:t>41.020231</w:t>
            </w:r>
          </w:p>
        </w:tc>
        <w:tc>
          <w:tcPr>
            <w:tcW w:w="1237" w:type="dxa"/>
            <w:tcBorders>
              <w:top w:val="single" w:color="auto" w:sz="4" w:space="0"/>
              <w:left w:val="single" w:color="auto" w:sz="4" w:space="0"/>
              <w:bottom w:val="single" w:color="auto" w:sz="4" w:space="0"/>
              <w:right w:val="single" w:color="auto" w:sz="4" w:space="0"/>
            </w:tcBorders>
            <w:noWrap/>
            <w:vAlign w:val="center"/>
          </w:tcPr>
          <w:p w14:paraId="019211DB">
            <w:pPr>
              <w:spacing w:line="360" w:lineRule="exact"/>
              <w:jc w:val="center"/>
              <w:rPr>
                <w:rFonts w:ascii="方正仿宋_GBK" w:hAnsi="宋体" w:eastAsia="方正仿宋_GBK"/>
                <w:sz w:val="24"/>
                <w:szCs w:val="24"/>
              </w:rPr>
            </w:pPr>
            <w:r>
              <w:rPr>
                <w:rFonts w:hint="eastAsia" w:ascii="方正仿宋_GBK" w:hAnsi="宋体" w:eastAsia="方正仿宋_GBK"/>
                <w:sz w:val="24"/>
                <w:szCs w:val="24"/>
              </w:rPr>
              <w:t>0.8</w:t>
            </w:r>
          </w:p>
        </w:tc>
        <w:tc>
          <w:tcPr>
            <w:tcW w:w="1827" w:type="dxa"/>
            <w:tcBorders>
              <w:top w:val="single" w:color="auto" w:sz="4" w:space="0"/>
              <w:left w:val="single" w:color="auto" w:sz="4" w:space="0"/>
              <w:bottom w:val="single" w:color="auto" w:sz="4" w:space="0"/>
              <w:right w:val="single" w:color="auto" w:sz="4" w:space="0"/>
            </w:tcBorders>
            <w:noWrap/>
            <w:vAlign w:val="center"/>
          </w:tcPr>
          <w:p w14:paraId="6F3B26B5">
            <w:pPr>
              <w:spacing w:line="360" w:lineRule="exact"/>
              <w:jc w:val="center"/>
              <w:rPr>
                <w:rFonts w:ascii="方正仿宋_GBK" w:hAnsi="宋体" w:eastAsia="方正仿宋_GBK"/>
                <w:sz w:val="24"/>
                <w:szCs w:val="24"/>
              </w:rPr>
            </w:pPr>
            <w:r>
              <w:rPr>
                <w:rFonts w:hint="eastAsia" w:ascii="方正仿宋_GBK" w:hAnsi="宋体" w:eastAsia="方正仿宋_GBK"/>
                <w:sz w:val="24"/>
                <w:szCs w:val="24"/>
              </w:rPr>
              <w:t>1</w:t>
            </w:r>
          </w:p>
        </w:tc>
        <w:tc>
          <w:tcPr>
            <w:tcW w:w="1719" w:type="dxa"/>
            <w:tcBorders>
              <w:top w:val="single" w:color="auto" w:sz="4" w:space="0"/>
              <w:left w:val="single" w:color="auto" w:sz="4" w:space="0"/>
              <w:bottom w:val="single" w:color="auto" w:sz="4" w:space="0"/>
              <w:right w:val="single" w:color="auto" w:sz="4" w:space="0"/>
            </w:tcBorders>
            <w:noWrap/>
            <w:vAlign w:val="center"/>
          </w:tcPr>
          <w:p w14:paraId="7D0B861A">
            <w:pPr>
              <w:spacing w:line="360" w:lineRule="exact"/>
              <w:jc w:val="center"/>
              <w:rPr>
                <w:rFonts w:ascii="方正仿宋_GBK" w:hAnsi="宋体" w:eastAsia="方正仿宋_GBK"/>
                <w:b/>
                <w:sz w:val="24"/>
                <w:szCs w:val="24"/>
              </w:rPr>
            </w:pPr>
          </w:p>
        </w:tc>
      </w:tr>
      <w:bookmarkEnd w:id="4"/>
    </w:tbl>
    <w:p w14:paraId="43371232">
      <w:pPr>
        <w:pStyle w:val="5"/>
        <w:spacing w:line="360" w:lineRule="exact"/>
        <w:rPr>
          <w:rFonts w:ascii="方正仿宋_GBK" w:eastAsia="方正仿宋_GBK"/>
          <w:sz w:val="24"/>
          <w:szCs w:val="24"/>
        </w:rPr>
      </w:pPr>
      <w:bookmarkStart w:id="5" w:name="_Toc28023"/>
      <w:bookmarkStart w:id="6" w:name="_Toc373860293"/>
      <w:bookmarkStart w:id="7" w:name="_Toc317775178"/>
      <w:r>
        <w:rPr>
          <w:rFonts w:hint="eastAsia" w:ascii="方正仿宋_GBK" w:eastAsia="方正仿宋_GBK"/>
          <w:sz w:val="24"/>
          <w:szCs w:val="24"/>
        </w:rPr>
        <w:t>二、资金来源</w:t>
      </w:r>
      <w:bookmarkEnd w:id="5"/>
    </w:p>
    <w:p w14:paraId="4BC39070">
      <w:pPr>
        <w:spacing w:line="360" w:lineRule="exact"/>
        <w:ind w:firstLine="480" w:firstLineChars="200"/>
        <w:rPr>
          <w:rFonts w:ascii="方正仿宋_GBK" w:hAnsi="宋体" w:eastAsia="方正仿宋_GBK"/>
          <w:sz w:val="24"/>
          <w:szCs w:val="24"/>
        </w:rPr>
      </w:pPr>
      <w:r>
        <w:rPr>
          <w:rFonts w:hint="eastAsia" w:ascii="方正仿宋_GBK" w:hAnsi="仿宋" w:eastAsia="方正仿宋_GBK"/>
          <w:sz w:val="24"/>
          <w:szCs w:val="24"/>
        </w:rPr>
        <w:t>业主自筹资金，</w:t>
      </w:r>
      <w:r>
        <w:rPr>
          <w:rFonts w:hint="eastAsia" w:ascii="方正仿宋_GBK" w:hAnsi="宋体" w:eastAsia="方正仿宋_GBK"/>
          <w:sz w:val="24"/>
          <w:szCs w:val="24"/>
        </w:rPr>
        <w:t>采购预算为42万元</w:t>
      </w:r>
      <w:r>
        <w:rPr>
          <w:rFonts w:hint="eastAsia" w:ascii="方正仿宋_GBK" w:hAnsi="仿宋" w:eastAsia="方正仿宋_GBK"/>
          <w:sz w:val="24"/>
          <w:szCs w:val="24"/>
        </w:rPr>
        <w:t>。</w:t>
      </w:r>
    </w:p>
    <w:p w14:paraId="1AB4900C">
      <w:pPr>
        <w:pStyle w:val="5"/>
        <w:spacing w:line="360" w:lineRule="exact"/>
        <w:rPr>
          <w:rFonts w:ascii="方正仿宋_GBK" w:eastAsia="方正仿宋_GBK"/>
          <w:sz w:val="24"/>
          <w:szCs w:val="24"/>
        </w:rPr>
      </w:pPr>
      <w:bookmarkStart w:id="8" w:name="_Toc29806"/>
      <w:r>
        <w:rPr>
          <w:rFonts w:hint="eastAsia" w:ascii="方正仿宋_GBK" w:eastAsia="方正仿宋_GBK"/>
          <w:sz w:val="24"/>
          <w:szCs w:val="24"/>
        </w:rPr>
        <w:t>三、谈判资格</w:t>
      </w:r>
      <w:bookmarkEnd w:id="8"/>
    </w:p>
    <w:p w14:paraId="2AED5ECE">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谈判供应商是指向采购人提供货物、工程或者服务的法人、其他组织或者自然人。以下简称供应商。合格的供应商应首先符合政府采购法第二十二条规定的基本条件，同时符合根据该项目特殊要求设置的特定资格条件。</w:t>
      </w:r>
    </w:p>
    <w:p w14:paraId="48CB515D">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（一）一般资格条件</w:t>
      </w:r>
    </w:p>
    <w:p w14:paraId="41FBB03C">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1.具有独立承担民事责任的能力；</w:t>
      </w:r>
    </w:p>
    <w:p w14:paraId="1DDB1727">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2.具有良好的商业信誉和健全的财务会计制度；</w:t>
      </w:r>
    </w:p>
    <w:p w14:paraId="34A3D510">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3.具有履行合同所必需的设备和专业技术能力；</w:t>
      </w:r>
    </w:p>
    <w:p w14:paraId="2DB7911A">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4.有依法缴纳税收和社会保障资金的良好记录；</w:t>
      </w:r>
    </w:p>
    <w:p w14:paraId="7C927BF9">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5.参加政府采购活动前三年内，在经营活动中没有重大违法记录；</w:t>
      </w:r>
    </w:p>
    <w:p w14:paraId="34836A3D">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6.法律、行政法规规定的其他条件。</w:t>
      </w:r>
    </w:p>
    <w:p w14:paraId="225504C1">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（二）特定资格条件</w:t>
      </w:r>
    </w:p>
    <w:p w14:paraId="10974E2A">
      <w:pPr>
        <w:spacing w:line="360" w:lineRule="exact"/>
        <w:ind w:firstLine="480" w:firstLineChars="200"/>
        <w:rPr>
          <w:rFonts w:eastAsia="方正仿宋_GBK"/>
          <w:sz w:val="24"/>
          <w:szCs w:val="24"/>
          <w:lang w:val="zh-CN"/>
        </w:rPr>
      </w:pPr>
      <w:r>
        <w:rPr>
          <w:rFonts w:hint="eastAsia" w:eastAsia="方正仿宋_GBK"/>
          <w:sz w:val="24"/>
          <w:szCs w:val="24"/>
          <w:lang w:val="zh-CN"/>
        </w:rPr>
        <w:t>供应商须具备行政主管部门颁发的建筑工程施工总承包三级及以上资质或建筑装修装饰工程专业承包二级及以上资质，并在人员、设备、资金等方面具有相应的施工能力。（提供证书复印件并加盖供应商公章）。</w:t>
      </w:r>
    </w:p>
    <w:p w14:paraId="1E0AA7F2">
      <w:pPr>
        <w:pStyle w:val="5"/>
        <w:spacing w:line="360" w:lineRule="exact"/>
        <w:rPr>
          <w:rFonts w:ascii="方正仿宋_GBK" w:eastAsia="方正仿宋_GBK"/>
          <w:sz w:val="24"/>
          <w:szCs w:val="24"/>
        </w:rPr>
      </w:pPr>
      <w:bookmarkStart w:id="9" w:name="_Toc17906"/>
      <w:r>
        <w:rPr>
          <w:rFonts w:hint="eastAsia" w:ascii="方正仿宋_GBK" w:eastAsia="方正仿宋_GBK"/>
          <w:sz w:val="24"/>
          <w:szCs w:val="24"/>
        </w:rPr>
        <w:t>四、谈判有关说明</w:t>
      </w:r>
      <w:bookmarkEnd w:id="6"/>
      <w:bookmarkEnd w:id="9"/>
    </w:p>
    <w:p w14:paraId="26FC44DD">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（一）报名及谈判文件发售</w:t>
      </w:r>
    </w:p>
    <w:p w14:paraId="1139C0A4">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1.报名和谈判文件发售期：2019年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3 </w:t>
      </w:r>
      <w:r>
        <w:rPr>
          <w:rFonts w:hint="eastAsia" w:ascii="方正仿宋_GBK" w:hAnsi="宋体" w:eastAsia="方正仿宋_GBK"/>
          <w:sz w:val="24"/>
          <w:szCs w:val="24"/>
        </w:rPr>
        <w:t>日-2019年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4 </w:t>
      </w:r>
      <w:r>
        <w:rPr>
          <w:rFonts w:hint="eastAsia" w:ascii="方正仿宋_GBK" w:hAnsi="宋体" w:eastAsia="方正仿宋_GBK"/>
          <w:sz w:val="24"/>
          <w:szCs w:val="24"/>
        </w:rPr>
        <w:t>日期间，上午9时～12时，14 时～17时，法定公休日、法定节假日除外）（工作时间）到</w:t>
      </w:r>
      <w:r>
        <w:rPr>
          <w:rFonts w:hint="eastAsia" w:ascii="方正仿宋_GBK" w:hAnsi="宋体" w:eastAsia="方正仿宋_GBK"/>
          <w:sz w:val="24"/>
          <w:szCs w:val="24"/>
          <w:u w:val="single"/>
        </w:rPr>
        <w:t>重庆佳宏招标代理有限公司（重庆市渝北区红锦大道611号13-1、2、3、4、5）</w:t>
      </w:r>
      <w:r>
        <w:rPr>
          <w:rFonts w:hint="eastAsia" w:ascii="方正仿宋_GBK" w:hAnsi="宋体" w:eastAsia="方正仿宋_GBK"/>
          <w:sz w:val="24"/>
          <w:szCs w:val="24"/>
        </w:rPr>
        <w:t>报名并购买招标文件。</w:t>
      </w:r>
    </w:p>
    <w:p w14:paraId="47833F76">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2.谈判文件售价：人民币300元/份（售后不退）</w:t>
      </w:r>
    </w:p>
    <w:p w14:paraId="35DCAC7E">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2.1谈判文件购买方式</w:t>
      </w:r>
    </w:p>
    <w:p w14:paraId="4ACB4CFB">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2.1.1现金购买</w:t>
      </w:r>
    </w:p>
    <w:p w14:paraId="7E3EC1E1">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在谈判文件发售期内，供应商到</w:t>
      </w:r>
      <w:r>
        <w:rPr>
          <w:rFonts w:hint="eastAsia" w:ascii="方正仿宋_GBK" w:hAnsi="宋体" w:eastAsia="方正仿宋_GBK"/>
          <w:sz w:val="24"/>
          <w:szCs w:val="24"/>
          <w:u w:val="single"/>
        </w:rPr>
        <w:t>重庆佳宏招标代理有限公司（重庆市渝北区红锦大道611号13-1、2、3、4、5 ）</w:t>
      </w:r>
      <w:r>
        <w:rPr>
          <w:rFonts w:hint="eastAsia" w:ascii="方正仿宋_GBK" w:hAnsi="宋体" w:eastAsia="方正仿宋_GBK"/>
          <w:sz w:val="24"/>
          <w:szCs w:val="24"/>
        </w:rPr>
        <w:t>，递交须持有效企业法人营业执照副本原件【如不是三证合一的新版营业执照，还须附税务（国、地）登记证副本（原件）、组织机构代码证副本（原件）（分支机构无须提供）】、基本</w:t>
      </w:r>
      <w:r>
        <w:rPr>
          <w:rFonts w:hint="eastAsia" w:ascii="方正仿宋_GBK" w:hAnsi="宋体" w:eastAsia="方正仿宋_GBK"/>
          <w:sz w:val="24"/>
          <w:szCs w:val="24"/>
          <w:lang w:eastAsia="zh-CN"/>
        </w:rPr>
        <w:t>账户</w:t>
      </w:r>
      <w:r>
        <w:rPr>
          <w:rFonts w:hint="eastAsia" w:ascii="方正仿宋_GBK" w:hAnsi="宋体" w:eastAsia="方正仿宋_GBK"/>
          <w:sz w:val="24"/>
          <w:szCs w:val="24"/>
        </w:rPr>
        <w:t>开户许可证（原件）、法人授权代表书、经办人二代身份证（原件）及上述资料复印件（加盖单位公章）一套。并购买谈判文件。</w:t>
      </w:r>
    </w:p>
    <w:p w14:paraId="3BF4CBD8">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3.在报名和谈判文件发售期内购买了谈判文件的供应商，其报名才被接收。</w:t>
      </w:r>
    </w:p>
    <w:p w14:paraId="146D3902">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（四）谈判地点：重庆市射击运动学校（重庆市九龙坡区临海兰村11组105号）。</w:t>
      </w:r>
    </w:p>
    <w:p w14:paraId="2CB49591">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（五）提交响应文件截止时间：2019年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日北京时间10:00</w:t>
      </w:r>
    </w:p>
    <w:p w14:paraId="27E01F41">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（六）谈判开始时间：2019年</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月</w:t>
      </w:r>
      <w:r>
        <w:rPr>
          <w:rFonts w:hint="eastAsia" w:ascii="方正仿宋_GBK" w:hAnsi="宋体" w:eastAsia="方正仿宋_GBK"/>
          <w:sz w:val="24"/>
          <w:szCs w:val="24"/>
          <w:u w:val="single"/>
        </w:rPr>
        <w:t xml:space="preserve"> 9 </w:t>
      </w:r>
      <w:r>
        <w:rPr>
          <w:rFonts w:hint="eastAsia" w:ascii="方正仿宋_GBK" w:hAnsi="宋体" w:eastAsia="方正仿宋_GBK"/>
          <w:sz w:val="24"/>
          <w:szCs w:val="24"/>
        </w:rPr>
        <w:t>日北京时间10:00</w:t>
      </w:r>
    </w:p>
    <w:bookmarkEnd w:id="7"/>
    <w:p w14:paraId="4A0594FB">
      <w:pPr>
        <w:pStyle w:val="5"/>
        <w:spacing w:line="360" w:lineRule="exact"/>
        <w:rPr>
          <w:rFonts w:ascii="方正仿宋_GBK" w:eastAsia="方正仿宋_GBK"/>
          <w:sz w:val="24"/>
          <w:szCs w:val="24"/>
        </w:rPr>
      </w:pPr>
      <w:bookmarkStart w:id="10" w:name="_Toc525047161"/>
      <w:bookmarkStart w:id="11" w:name="_Toc521053053"/>
      <w:bookmarkStart w:id="12" w:name="_Toc23962"/>
      <w:bookmarkStart w:id="13" w:name="_Toc373860294"/>
      <w:r>
        <w:rPr>
          <w:rFonts w:hint="eastAsia" w:ascii="方正仿宋_GBK" w:eastAsia="方正仿宋_GBK"/>
          <w:sz w:val="24"/>
          <w:szCs w:val="24"/>
        </w:rPr>
        <w:t>五、保证金</w:t>
      </w:r>
      <w:bookmarkEnd w:id="10"/>
      <w:bookmarkEnd w:id="11"/>
      <w:bookmarkEnd w:id="12"/>
      <w:bookmarkEnd w:id="13"/>
    </w:p>
    <w:p w14:paraId="250C5888">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（一）保证金金额：捌仟元整（￥8000元）。</w:t>
      </w:r>
    </w:p>
    <w:p w14:paraId="11008BA7">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（二）缴纳采购保证金方式</w:t>
      </w:r>
      <w:bookmarkStart w:id="21" w:name="_GoBack"/>
      <w:bookmarkEnd w:id="21"/>
    </w:p>
    <w:p w14:paraId="2BC493E9">
      <w:pPr>
        <w:snapToGrid w:val="0"/>
        <w:spacing w:line="360" w:lineRule="exact"/>
        <w:ind w:firstLine="480" w:firstLineChars="200"/>
        <w:rPr>
          <w:rFonts w:ascii="方正仿宋_GBK" w:hAnsi="宋体" w:eastAsia="方正仿宋_GBK"/>
          <w:sz w:val="24"/>
          <w:szCs w:val="24"/>
        </w:rPr>
      </w:pPr>
      <w:bookmarkStart w:id="14" w:name="_Toc525047163"/>
      <w:bookmarkStart w:id="15" w:name="_Toc521053055"/>
      <w:r>
        <w:rPr>
          <w:rFonts w:hint="eastAsia" w:ascii="方正仿宋_GBK" w:hAnsi="宋体" w:eastAsia="方正仿宋_GBK"/>
          <w:sz w:val="24"/>
          <w:szCs w:val="24"/>
        </w:rPr>
        <w:t>供应商从企业的基本账户（开户行）在采购截止时间前通过转账支票直接划付或以电汇方式直接划付至下面指定的采购保证金账户，否则，采购保证金无效。供应商自行考虑汇入时间风险，如同城汇入、异地汇入、跨行汇入的时间要求。</w:t>
      </w:r>
    </w:p>
    <w:p w14:paraId="143D8659">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 xml:space="preserve">（三）采购保证金账户及账号：  </w:t>
      </w:r>
    </w:p>
    <w:p w14:paraId="5B2E6F44">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户名：重庆佳宏招标代理有限公司</w:t>
      </w:r>
    </w:p>
    <w:p w14:paraId="4D49F292">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开户行：中国民生银行江北支行</w:t>
      </w:r>
    </w:p>
    <w:p w14:paraId="2C872E5D">
      <w:pPr>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采购保证金账号：1104014210007211</w:t>
      </w:r>
    </w:p>
    <w:p w14:paraId="04650172">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（四）供应商必须在付款凭证备注栏中注明是“</w:t>
      </w:r>
      <w:r>
        <w:rPr>
          <w:rFonts w:hint="eastAsia" w:ascii="方正仿宋_GBK" w:hAnsi="宋体" w:eastAsia="方正仿宋_GBK"/>
          <w:sz w:val="24"/>
          <w:szCs w:val="24"/>
          <w:u w:val="single"/>
        </w:rPr>
        <w:t xml:space="preserve">   （项目名称）   采购</w:t>
      </w:r>
      <w:r>
        <w:rPr>
          <w:rFonts w:hint="eastAsia" w:ascii="方正仿宋_GBK" w:hAnsi="宋体" w:eastAsia="方正仿宋_GBK"/>
          <w:sz w:val="24"/>
          <w:szCs w:val="24"/>
        </w:rPr>
        <w:t>保证金”（可简写）。</w:t>
      </w:r>
    </w:p>
    <w:p w14:paraId="7F11CA61">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（五）采购保证金有效期与采购有效期一致。</w:t>
      </w:r>
    </w:p>
    <w:p w14:paraId="7597BC1A">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（六）保证金退还方式：</w:t>
      </w:r>
    </w:p>
    <w:p w14:paraId="50FE7BCB">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采购人应当在法定时间内确定中标人，向中标人发出中标通知书，同时向除中标候选人以外的其他供应商退还采购保证金，采购人应于开标结束后5日内退还。中标人及其他中标候选人的采购保证金，在中标人与采购人签订合同后，采购人应于5日内退还。</w:t>
      </w:r>
    </w:p>
    <w:p w14:paraId="4EA535C5">
      <w:pPr>
        <w:pStyle w:val="5"/>
        <w:spacing w:line="360" w:lineRule="exact"/>
        <w:rPr>
          <w:rFonts w:ascii="方正仿宋_GBK" w:eastAsia="方正仿宋_GBK"/>
          <w:sz w:val="24"/>
          <w:szCs w:val="24"/>
        </w:rPr>
      </w:pPr>
      <w:bookmarkStart w:id="16" w:name="_Toc29621"/>
      <w:r>
        <w:rPr>
          <w:rFonts w:hint="eastAsia" w:ascii="方正仿宋_GBK" w:eastAsia="方正仿宋_GBK"/>
          <w:sz w:val="24"/>
          <w:szCs w:val="24"/>
        </w:rPr>
        <w:t>六、其它有关规定</w:t>
      </w:r>
      <w:bookmarkEnd w:id="14"/>
      <w:bookmarkEnd w:id="15"/>
      <w:bookmarkEnd w:id="16"/>
    </w:p>
    <w:p w14:paraId="281E8F3D">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（一）单位负责人为同一人或者存在直接控股、管理关系的不同供应商，</w:t>
      </w:r>
      <w:r>
        <w:rPr>
          <w:rFonts w:ascii="方正仿宋_GBK" w:hAnsi="宋体" w:eastAsia="方正仿宋_GBK"/>
          <w:sz w:val="24"/>
          <w:szCs w:val="24"/>
        </w:rPr>
        <w:t>不得参加同一合同项</w:t>
      </w:r>
      <w:r>
        <w:rPr>
          <w:rFonts w:hint="eastAsia" w:ascii="方正仿宋_GBK" w:hAnsi="宋体" w:eastAsia="方正仿宋_GBK"/>
          <w:sz w:val="24"/>
          <w:szCs w:val="24"/>
        </w:rPr>
        <w:t>（分包）</w:t>
      </w:r>
      <w:r>
        <w:rPr>
          <w:rFonts w:ascii="方正仿宋_GBK" w:hAnsi="宋体" w:eastAsia="方正仿宋_GBK"/>
          <w:sz w:val="24"/>
          <w:szCs w:val="24"/>
        </w:rPr>
        <w:t>下的政府采购活动</w:t>
      </w:r>
      <w:r>
        <w:rPr>
          <w:rFonts w:hint="eastAsia" w:ascii="方正仿宋_GBK" w:hAnsi="宋体" w:eastAsia="方正仿宋_GBK"/>
          <w:sz w:val="24"/>
          <w:szCs w:val="24"/>
        </w:rPr>
        <w:t>，否则均为无效谈判。</w:t>
      </w:r>
    </w:p>
    <w:p w14:paraId="785BD0AF">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（二）本项目的补遗文件（如果有）一律通过QQ邮箱发送至各投标人处，请各供应商注意下载或到采购代理机构领取；无论供应商下载或领取与否，均视同供应商已知晓本项目补遗文件（如果有）的内容。</w:t>
      </w:r>
    </w:p>
    <w:p w14:paraId="4191D855">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（三）超过响应文件截止时间递交的响应文件，恕不接收。</w:t>
      </w:r>
    </w:p>
    <w:p w14:paraId="47E96B58">
      <w:pPr>
        <w:snapToGrid w:val="0"/>
        <w:spacing w:line="360" w:lineRule="exact"/>
        <w:ind w:firstLine="360" w:firstLineChars="150"/>
        <w:rPr>
          <w:rFonts w:ascii="方正仿宋_GBK" w:hAnsi="宋体" w:eastAsia="方正仿宋_GBK"/>
          <w:sz w:val="24"/>
          <w:szCs w:val="24"/>
        </w:rPr>
      </w:pPr>
      <w:r>
        <w:rPr>
          <w:rFonts w:hint="eastAsia" w:ascii="方正仿宋_GBK" w:hAnsi="宋体" w:eastAsia="方正仿宋_GBK"/>
          <w:sz w:val="24"/>
          <w:szCs w:val="24"/>
        </w:rPr>
        <w:t>（四）谈判费用：无论谈判结果如何，供应商参与本项目谈判的所有费用均应由供应商自行承担。</w:t>
      </w:r>
    </w:p>
    <w:p w14:paraId="7FADFE03">
      <w:pPr>
        <w:snapToGrid w:val="0"/>
        <w:spacing w:line="360" w:lineRule="exact"/>
        <w:ind w:firstLine="361" w:firstLineChars="150"/>
        <w:rPr>
          <w:rFonts w:ascii="方正仿宋_GBK" w:hAnsi="宋体" w:eastAsia="方正仿宋_GBK"/>
          <w:b/>
          <w:sz w:val="24"/>
          <w:szCs w:val="24"/>
        </w:rPr>
      </w:pPr>
      <w:r>
        <w:rPr>
          <w:rFonts w:hint="eastAsia" w:ascii="方正仿宋_GBK" w:hAnsi="宋体" w:eastAsia="方正仿宋_GBK"/>
          <w:b/>
          <w:sz w:val="24"/>
          <w:szCs w:val="24"/>
        </w:rPr>
        <w:t>（五）本项目不接受联合体参与谈判。</w:t>
      </w:r>
    </w:p>
    <w:p w14:paraId="6324AEB6">
      <w:pPr>
        <w:pStyle w:val="5"/>
        <w:spacing w:line="360" w:lineRule="exact"/>
        <w:rPr>
          <w:rFonts w:ascii="方正仿宋_GBK" w:eastAsia="方正仿宋_GBK"/>
          <w:sz w:val="24"/>
          <w:szCs w:val="24"/>
        </w:rPr>
      </w:pPr>
      <w:bookmarkStart w:id="17" w:name="_Toc21791"/>
      <w:bookmarkStart w:id="18" w:name="_Toc521053056"/>
      <w:bookmarkStart w:id="19" w:name="_Toc525047164"/>
      <w:r>
        <w:rPr>
          <w:rFonts w:hint="eastAsia" w:ascii="方正仿宋_GBK" w:eastAsia="方正仿宋_GBK"/>
          <w:sz w:val="24"/>
          <w:szCs w:val="24"/>
        </w:rPr>
        <w:t>八、联系方式</w:t>
      </w:r>
      <w:bookmarkEnd w:id="17"/>
      <w:bookmarkEnd w:id="18"/>
      <w:bookmarkEnd w:id="19"/>
    </w:p>
    <w:p w14:paraId="6EDE1E94">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（一）采购人：重庆市射击运动学校</w:t>
      </w:r>
    </w:p>
    <w:p w14:paraId="6913ECC2">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 xml:space="preserve">联系人：熊老师 </w:t>
      </w:r>
    </w:p>
    <w:p w14:paraId="2484CCBD">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电  话：17783116285</w:t>
      </w:r>
    </w:p>
    <w:p w14:paraId="35A053F2">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 xml:space="preserve">地  址：重庆市九龙坡区临海兰村11组105号 </w:t>
      </w:r>
    </w:p>
    <w:p w14:paraId="32919BA9">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（二）采购代理机构：重庆佳宏招标代理有限公司</w:t>
      </w:r>
    </w:p>
    <w:p w14:paraId="65719639">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联系人：张老师</w:t>
      </w:r>
    </w:p>
    <w:p w14:paraId="71B1100E">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电  话：18716264472</w:t>
      </w:r>
    </w:p>
    <w:p w14:paraId="219D9D30">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QQ邮箱：1051829914@qq.com</w:t>
      </w:r>
    </w:p>
    <w:p w14:paraId="16434B15">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地  址：重庆市渝北区红锦大道611号13-1、2、3、4、5</w:t>
      </w:r>
    </w:p>
    <w:p w14:paraId="6F9648E1">
      <w:pPr>
        <w:snapToGrid w:val="0"/>
        <w:spacing w:line="360" w:lineRule="exact"/>
        <w:rPr>
          <w:rFonts w:ascii="方正仿宋_GBK" w:eastAsia="方正仿宋_GBK"/>
          <w:b/>
          <w:bCs/>
          <w:sz w:val="24"/>
          <w:szCs w:val="24"/>
        </w:rPr>
      </w:pPr>
      <w:r>
        <w:rPr>
          <w:rFonts w:hint="eastAsia" w:ascii="方正仿宋_GBK" w:eastAsia="方正仿宋_GBK"/>
          <w:b/>
          <w:bCs/>
          <w:sz w:val="24"/>
          <w:szCs w:val="24"/>
        </w:rPr>
        <w:t>九、现场踏勘</w:t>
      </w:r>
    </w:p>
    <w:p w14:paraId="16AC1E36">
      <w:pPr>
        <w:snapToGrid w:val="0"/>
        <w:spacing w:line="360" w:lineRule="exact"/>
        <w:ind w:firstLine="480" w:firstLineChars="200"/>
        <w:rPr>
          <w:rFonts w:ascii="方正仿宋_GBK" w:hAnsi="宋体" w:eastAsia="方正仿宋_GBK"/>
          <w:sz w:val="24"/>
          <w:szCs w:val="24"/>
        </w:rPr>
      </w:pPr>
      <w:r>
        <w:rPr>
          <w:rFonts w:hint="eastAsia" w:ascii="方正仿宋_GBK" w:hAnsi="宋体" w:eastAsia="方正仿宋_GBK"/>
          <w:sz w:val="24"/>
          <w:szCs w:val="24"/>
        </w:rPr>
        <w:t>本项目不组织集中踏勘，供应商可自行前往现场踏勘。现场踏勘后视为已对本项目建设内容、设备 材料，施工要求等充分理解，供应商按谈判要求完成本项目实施，并自愿承担本项目的所有风险。</w:t>
      </w:r>
    </w:p>
    <w:p w14:paraId="794E1197">
      <w:pPr>
        <w:spacing w:line="360" w:lineRule="exact"/>
        <w:ind w:firstLine="240" w:firstLineChars="100"/>
        <w:rPr>
          <w:rFonts w:eastAsia="方正仿宋_GBK"/>
          <w:sz w:val="24"/>
          <w:szCs w:val="24"/>
          <w:lang w:val="zh-CN"/>
        </w:rPr>
      </w:pPr>
      <w:r>
        <w:rPr>
          <w:rFonts w:hint="eastAsia" w:eastAsia="方正仿宋_GBK"/>
          <w:sz w:val="24"/>
          <w:szCs w:val="24"/>
          <w:lang w:val="zh-CN"/>
        </w:rPr>
        <w:t>现场踏勘联系人：</w:t>
      </w:r>
      <w:r>
        <w:rPr>
          <w:rFonts w:hint="eastAsia" w:ascii="方正仿宋_GBK" w:hAnsi="宋体" w:eastAsia="方正仿宋_GBK"/>
          <w:sz w:val="24"/>
          <w:szCs w:val="24"/>
        </w:rPr>
        <w:t>熊老师</w:t>
      </w:r>
    </w:p>
    <w:p w14:paraId="361E676A">
      <w:pPr>
        <w:spacing w:line="360" w:lineRule="exact"/>
        <w:ind w:firstLine="240" w:firstLineChars="100"/>
        <w:rPr>
          <w:rFonts w:eastAsia="方正仿宋_GBK"/>
          <w:sz w:val="24"/>
          <w:szCs w:val="24"/>
          <w:lang w:val="zh-CN"/>
        </w:rPr>
      </w:pPr>
      <w:r>
        <w:rPr>
          <w:rFonts w:hint="eastAsia" w:eastAsia="方正仿宋_GBK"/>
          <w:sz w:val="24"/>
          <w:szCs w:val="24"/>
          <w:lang w:val="zh-CN"/>
        </w:rPr>
        <w:t>联系电话：</w:t>
      </w:r>
      <w:r>
        <w:rPr>
          <w:rFonts w:hint="eastAsia" w:ascii="方正仿宋_GBK" w:hAnsi="宋体" w:eastAsia="方正仿宋_GBK"/>
          <w:sz w:val="24"/>
          <w:szCs w:val="24"/>
        </w:rPr>
        <w:t>17783116285</w:t>
      </w:r>
    </w:p>
    <w:p w14:paraId="0B027DD0">
      <w:pPr>
        <w:snapToGrid w:val="0"/>
        <w:spacing w:line="360" w:lineRule="exact"/>
        <w:ind w:firstLine="480" w:firstLineChars="200"/>
        <w:rPr>
          <w:rFonts w:eastAsia="方正仿宋_GBK"/>
          <w:sz w:val="24"/>
          <w:szCs w:val="24"/>
          <w:lang w:val="zh-CN"/>
        </w:rPr>
      </w:pPr>
      <w:r>
        <w:rPr>
          <w:rFonts w:hint="eastAsia" w:eastAsia="方正仿宋_GBK"/>
          <w:sz w:val="24"/>
          <w:szCs w:val="24"/>
          <w:lang w:val="zh-CN"/>
        </w:rPr>
        <w:t>注：参与现场踏勘的供应商必须是本单位的法定代表人或者是授权委托人（若是法定代表人参与现场踏勘，提供法定代表人身份证明原件；若是授权委托人参与现场踏勘，提供法定代表人身份证明原件及授权委托书原件）。</w:t>
      </w:r>
    </w:p>
    <w:p w14:paraId="4CAF5520">
      <w:pPr>
        <w:pStyle w:val="2"/>
        <w:spacing w:line="360" w:lineRule="exact"/>
        <w:jc w:val="both"/>
        <w:rPr>
          <w:rFonts w:eastAsia="方正仿宋_GBK"/>
          <w:b/>
          <w:bCs/>
          <w:sz w:val="24"/>
          <w:szCs w:val="24"/>
          <w:lang w:val="zh-CN"/>
        </w:rPr>
      </w:pPr>
      <w:r>
        <w:rPr>
          <w:rFonts w:hint="eastAsia" w:eastAsia="方正仿宋_GBK"/>
          <w:b/>
          <w:bCs/>
          <w:sz w:val="24"/>
          <w:szCs w:val="24"/>
          <w:lang w:val="zh-CN"/>
        </w:rPr>
        <w:t>十、发布公告的媒介</w:t>
      </w:r>
    </w:p>
    <w:p w14:paraId="096DBFBB">
      <w:pPr>
        <w:pStyle w:val="2"/>
        <w:spacing w:line="360" w:lineRule="exact"/>
        <w:ind w:firstLine="480" w:firstLineChars="200"/>
        <w:jc w:val="both"/>
        <w:rPr>
          <w:sz w:val="24"/>
          <w:szCs w:val="24"/>
          <w:lang w:val="zh-CN"/>
        </w:rPr>
      </w:pPr>
      <w:r>
        <w:rPr>
          <w:rFonts w:hint="eastAsia" w:eastAsia="方正仿宋_GBK"/>
          <w:sz w:val="24"/>
          <w:szCs w:val="24"/>
          <w:lang w:val="zh-CN"/>
        </w:rPr>
        <w:t>本次采购公告同时在《中国采购与招标网》（http://www.chinabidding.com.cn/）和《重庆市体育局》（http://tyj.cq.gov.cn/）发布。</w:t>
      </w:r>
    </w:p>
    <w:p w14:paraId="7E340E9F">
      <w:pPr>
        <w:pStyle w:val="5"/>
        <w:spacing w:line="360" w:lineRule="exact"/>
        <w:rPr>
          <w:rFonts w:ascii="方正仿宋_GBK" w:eastAsia="方正仿宋_GBK"/>
          <w:sz w:val="24"/>
          <w:szCs w:val="24"/>
        </w:rPr>
      </w:pPr>
      <w:bookmarkStart w:id="20" w:name="_Toc21731"/>
      <w:r>
        <w:rPr>
          <w:rFonts w:hint="eastAsia" w:ascii="方正仿宋_GBK" w:eastAsia="方正仿宋_GBK"/>
          <w:sz w:val="24"/>
          <w:szCs w:val="24"/>
        </w:rPr>
        <w:t>十一、相关监督机构</w:t>
      </w:r>
      <w:bookmarkEnd w:id="20"/>
    </w:p>
    <w:p w14:paraId="76B69AE7">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重庆市体育局系统基建维修和政府采购项目业务公开监督电话：023-61665134</w:t>
      </w:r>
    </w:p>
    <w:p w14:paraId="6EAA687A">
      <w:pPr>
        <w:snapToGrid w:val="0"/>
        <w:spacing w:line="360" w:lineRule="exact"/>
        <w:ind w:firstLine="240" w:firstLineChars="100"/>
        <w:rPr>
          <w:rFonts w:ascii="方正仿宋_GBK" w:hAnsi="宋体" w:eastAsia="方正仿宋_GBK"/>
          <w:sz w:val="24"/>
          <w:szCs w:val="24"/>
        </w:rPr>
      </w:pPr>
      <w:r>
        <w:rPr>
          <w:rFonts w:hint="eastAsia" w:ascii="方正仿宋_GBK" w:hAnsi="宋体" w:eastAsia="方正仿宋_GBK"/>
          <w:sz w:val="24"/>
          <w:szCs w:val="24"/>
        </w:rPr>
        <w:t>重庆市体育局系统基建维修和政府采购项目纪检监督电话：023-61665193</w:t>
      </w:r>
    </w:p>
    <w:p w14:paraId="74789E12">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w:t>
      </w:r>
      <w:r>
        <w:fldChar w:fldCharType="begin"/>
      </w:r>
      <w:r>
        <w:instrText xml:space="preserve"> HYPERLINK "mailto:市体育局系统基建维修和政府采购项目业务监督邮箱cqtyjjcc@163.com" </w:instrText>
      </w:r>
      <w:r>
        <w:fldChar w:fldCharType="separate"/>
      </w:r>
      <w:r>
        <w:rPr>
          <w:rStyle w:val="11"/>
          <w:rFonts w:hint="eastAsia" w:ascii="方正仿宋_GBK" w:hAnsi="宋体" w:eastAsia="方正仿宋_GBK"/>
          <w:color w:val="auto"/>
          <w:sz w:val="24"/>
          <w:szCs w:val="24"/>
          <w:u w:val="none"/>
        </w:rPr>
        <w:t>市体育局系统基建维修和政府采购项目业务监督邮箱：cqtyjjcc@163.com</w:t>
      </w:r>
      <w:r>
        <w:rPr>
          <w:rStyle w:val="11"/>
          <w:rFonts w:hint="eastAsia" w:ascii="方正仿宋_GBK" w:hAnsi="宋体" w:eastAsia="方正仿宋_GBK"/>
          <w:color w:val="auto"/>
          <w:sz w:val="24"/>
          <w:szCs w:val="24"/>
          <w:u w:val="none"/>
        </w:rPr>
        <w:fldChar w:fldCharType="end"/>
      </w:r>
    </w:p>
    <w:p w14:paraId="6491D687">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重庆市体育局系统基建维修和政府采购项目纪检监督邮箱：cqtyjjw@163.com</w:t>
      </w:r>
    </w:p>
    <w:p w14:paraId="1C469546">
      <w:pPr>
        <w:snapToGrid w:val="0"/>
        <w:spacing w:line="360" w:lineRule="exact"/>
        <w:ind w:firstLine="240" w:firstLineChars="100"/>
        <w:jc w:val="left"/>
        <w:rPr>
          <w:rFonts w:ascii="方正仿宋_GBK" w:hAnsi="宋体" w:eastAsia="方正仿宋_GBK"/>
          <w:sz w:val="24"/>
          <w:szCs w:val="24"/>
        </w:rPr>
      </w:pPr>
      <w:r>
        <w:rPr>
          <w:rFonts w:hint="eastAsia" w:ascii="方正仿宋_GBK" w:hAnsi="宋体" w:eastAsia="方正仿宋_GBK"/>
          <w:sz w:val="24"/>
          <w:szCs w:val="24"/>
        </w:rPr>
        <w:t>重庆市射击运动学校监督电话：68585979</w:t>
      </w:r>
    </w:p>
    <w:p w14:paraId="4155C926">
      <w:pPr>
        <w:snapToGrid w:val="0"/>
        <w:spacing w:line="360" w:lineRule="exact"/>
        <w:ind w:firstLine="480" w:firstLineChars="200"/>
        <w:rPr>
          <w:rFonts w:ascii="方正仿宋_GBK" w:hAnsi="宋体" w:eastAsia="方正仿宋_GBK"/>
          <w:sz w:val="24"/>
          <w:szCs w:val="24"/>
        </w:rPr>
      </w:pPr>
    </w:p>
    <w:p w14:paraId="01CB89A0">
      <w:pPr>
        <w:pStyle w:val="2"/>
        <w:spacing w:line="360" w:lineRule="exact"/>
        <w:jc w:val="right"/>
      </w:pPr>
      <w:r>
        <w:rPr>
          <w:rFonts w:hint="eastAsia" w:ascii="方正仿宋_GBK" w:hAnsi="宋体" w:eastAsia="方正仿宋_GBK"/>
          <w:sz w:val="24"/>
          <w:szCs w:val="24"/>
        </w:rPr>
        <w:t xml:space="preserve"> 2019年</w:t>
      </w:r>
      <w:r>
        <w:rPr>
          <w:rFonts w:hint="eastAsia" w:ascii="方正仿宋_GBK" w:hAnsi="宋体" w:eastAsia="方正仿宋_GBK"/>
          <w:sz w:val="24"/>
          <w:szCs w:val="24"/>
          <w:u w:val="single"/>
        </w:rPr>
        <w:t>9</w:t>
      </w:r>
      <w:r>
        <w:rPr>
          <w:rFonts w:hint="eastAsia" w:ascii="方正仿宋_GBK" w:hAnsi="宋体" w:eastAsia="方正仿宋_GBK"/>
          <w:sz w:val="24"/>
          <w:szCs w:val="24"/>
        </w:rPr>
        <w:t>月</w:t>
      </w:r>
      <w:r>
        <w:rPr>
          <w:rFonts w:hint="eastAsia" w:ascii="方正仿宋_GBK" w:hAnsi="宋体" w:eastAsia="方正仿宋_GBK"/>
          <w:sz w:val="24"/>
          <w:szCs w:val="24"/>
          <w:u w:val="single"/>
        </w:rPr>
        <w:t>2</w:t>
      </w:r>
      <w:r>
        <w:rPr>
          <w:rFonts w:hint="eastAsia" w:ascii="方正仿宋_GBK" w:hAnsi="宋体" w:eastAsia="方正仿宋_GBK"/>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Q4ODQwNThiYTg4YTBlNDhkZDRmNGNiNWM5NWE1YzAifQ=="/>
  </w:docVars>
  <w:rsids>
    <w:rsidRoot w:val="1D1D44BD"/>
    <w:rsid w:val="00021CDE"/>
    <w:rsid w:val="005D2CB8"/>
    <w:rsid w:val="008D53C2"/>
    <w:rsid w:val="00C67D97"/>
    <w:rsid w:val="00F81DF0"/>
    <w:rsid w:val="1D1D44BD"/>
    <w:rsid w:val="27EF6E37"/>
    <w:rsid w:val="359E754A"/>
    <w:rsid w:val="543F5E82"/>
    <w:rsid w:val="697E6FD0"/>
    <w:rsid w:val="70DD62D7"/>
    <w:rsid w:val="7B3003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keepLines/>
      <w:spacing w:line="576" w:lineRule="auto"/>
      <w:outlineLvl w:val="0"/>
    </w:pPr>
    <w:rPr>
      <w:b/>
      <w:kern w:val="44"/>
      <w:sz w:val="44"/>
    </w:rPr>
  </w:style>
  <w:style w:type="paragraph" w:styleId="4">
    <w:name w:val="heading 2"/>
    <w:basedOn w:val="1"/>
    <w:next w:val="1"/>
    <w:qFormat/>
    <w:uiPriority w:val="0"/>
    <w:pPr>
      <w:keepNext/>
      <w:keepLines/>
      <w:spacing w:line="413" w:lineRule="auto"/>
      <w:outlineLvl w:val="1"/>
    </w:pPr>
    <w:rPr>
      <w:rFonts w:ascii="Arial" w:hAnsi="Arial" w:eastAsia="黑体"/>
      <w:b/>
      <w:sz w:val="32"/>
    </w:rPr>
  </w:style>
  <w:style w:type="paragraph" w:styleId="5">
    <w:name w:val="heading 3"/>
    <w:basedOn w:val="1"/>
    <w:next w:val="1"/>
    <w:qFormat/>
    <w:uiPriority w:val="0"/>
    <w:pPr>
      <w:keepNext/>
      <w:keepLines/>
      <w:spacing w:line="413" w:lineRule="auto"/>
      <w:outlineLvl w:val="2"/>
    </w:pPr>
    <w:rPr>
      <w:b/>
      <w:sz w:val="32"/>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0"/>
    <w:pPr>
      <w:spacing w:line="180" w:lineRule="auto"/>
      <w:jc w:val="center"/>
    </w:pPr>
    <w:rPr>
      <w:sz w:val="30"/>
    </w:rPr>
  </w:style>
  <w:style w:type="paragraph" w:styleId="6">
    <w:name w:val="Body Text Indent"/>
    <w:basedOn w:val="1"/>
    <w:uiPriority w:val="0"/>
    <w:pPr>
      <w:spacing w:line="700" w:lineRule="exact"/>
      <w:ind w:left="960"/>
    </w:pPr>
    <w:rPr>
      <w:sz w:val="44"/>
    </w:rPr>
  </w:style>
  <w:style w:type="paragraph" w:styleId="7">
    <w:name w:val="footer"/>
    <w:basedOn w:val="1"/>
    <w:link w:val="13"/>
    <w:qFormat/>
    <w:uiPriority w:val="0"/>
    <w:pPr>
      <w:tabs>
        <w:tab w:val="center" w:pos="4153"/>
        <w:tab w:val="right" w:pos="8306"/>
      </w:tabs>
      <w:snapToGrid w:val="0"/>
      <w:jc w:val="left"/>
    </w:pPr>
    <w:rPr>
      <w:sz w:val="18"/>
      <w:szCs w:val="18"/>
    </w:rPr>
  </w:style>
  <w:style w:type="paragraph" w:styleId="8">
    <w:name w:val="header"/>
    <w:basedOn w:val="1"/>
    <w:link w:val="12"/>
    <w:uiPriority w:val="0"/>
    <w:pPr>
      <w:pBdr>
        <w:bottom w:val="single" w:color="auto" w:sz="6" w:space="1"/>
      </w:pBdr>
      <w:tabs>
        <w:tab w:val="center" w:pos="4153"/>
        <w:tab w:val="right" w:pos="8306"/>
      </w:tabs>
      <w:snapToGrid w:val="0"/>
      <w:jc w:val="center"/>
    </w:pPr>
    <w:rPr>
      <w:sz w:val="18"/>
      <w:szCs w:val="18"/>
    </w:rPr>
  </w:style>
  <w:style w:type="character" w:styleId="11">
    <w:name w:val="Hyperlink"/>
    <w:qFormat/>
    <w:uiPriority w:val="99"/>
    <w:rPr>
      <w:color w:val="0000FF"/>
      <w:u w:val="single"/>
    </w:rPr>
  </w:style>
  <w:style w:type="character" w:customStyle="1" w:styleId="12">
    <w:name w:val="页眉 Char"/>
    <w:basedOn w:val="10"/>
    <w:link w:val="8"/>
    <w:uiPriority w:val="0"/>
    <w:rPr>
      <w:kern w:val="2"/>
      <w:sz w:val="18"/>
      <w:szCs w:val="18"/>
    </w:rPr>
  </w:style>
  <w:style w:type="character" w:customStyle="1" w:styleId="13">
    <w:name w:val="页脚 Char"/>
    <w:basedOn w:val="10"/>
    <w:link w:val="7"/>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重庆市射击运动学校</Company>
  <Pages>3</Pages>
  <Words>2103</Words>
  <Characters>2353</Characters>
  <Lines>3</Lines>
  <Paragraphs>5</Paragraphs>
  <TotalTime>6</TotalTime>
  <ScaleCrop>false</ScaleCrop>
  <LinksUpToDate>false</LinksUpToDate>
  <CharactersWithSpaces>2391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2019-09-02T06:26:00Z</dcterms:created>
  <dc:creator>sunshine</dc:creator>
  <cp:lastModifiedBy>DELL0108</cp:lastModifiedBy>
  <dcterms:modified xsi:type="dcterms:W3CDTF">2025-05-08T03:21:51Z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3A7847EF8FFE44B38889FF062D75C73E_12</vt:lpwstr>
  </property>
  <property fmtid="{D5CDD505-2E9C-101B-9397-08002B2CF9AE}" pid="4" name="KSOTemplateDocerSaveRecord">
    <vt:lpwstr>eyJoZGlkIjoiNmMyN2VmMzI0N2RhNjNkYjFiZmM2ZWY4MDVhZDNiY2IiLCJ1c2VySWQiOiIyNDI2ODUwMzIifQ==</vt:lpwstr>
  </property>
</Properties>
</file>