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华文中宋" w:hAnsi="华文中宋" w:eastAsia="华文中宋"/>
          <w:sz w:val="44"/>
          <w:szCs w:val="44"/>
          <w:lang w:eastAsia="zh-CN"/>
        </w:rPr>
      </w:pPr>
    </w:p>
    <w:p>
      <w:pPr>
        <w:pStyle w:val="2"/>
        <w:ind w:left="0" w:leftChars="0" w:firstLine="0" w:firstLineChars="0"/>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重庆市运动技术学院</w:t>
      </w:r>
    </w:p>
    <w:p>
      <w:pPr>
        <w:pStyle w:val="2"/>
        <w:ind w:left="0" w:leftChars="0" w:firstLine="0" w:firstLineChars="0"/>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询价采购文件</w:t>
      </w:r>
    </w:p>
    <w:p>
      <w:pPr>
        <w:pStyle w:val="2"/>
        <w:ind w:left="0" w:leftChars="0" w:firstLine="0" w:firstLineChars="0"/>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(第二次）</w:t>
      </w:r>
    </w:p>
    <w:p>
      <w:pPr>
        <w:pStyle w:val="5"/>
        <w:spacing w:line="500" w:lineRule="exact"/>
        <w:ind w:left="0"/>
        <w:jc w:val="center"/>
        <w:rPr>
          <w:rFonts w:hint="eastAsia" w:asciiTheme="majorEastAsia" w:hAnsiTheme="majorEastAsia" w:eastAsiaTheme="majorEastAsia" w:cstheme="majorEastAsia"/>
          <w:b w:val="0"/>
          <w:bCs w:val="0"/>
          <w:sz w:val="32"/>
        </w:rPr>
      </w:pPr>
    </w:p>
    <w:p>
      <w:pPr>
        <w:pStyle w:val="5"/>
        <w:spacing w:line="500" w:lineRule="exact"/>
        <w:ind w:left="0"/>
        <w:jc w:val="center"/>
        <w:rPr>
          <w:rFonts w:hint="eastAsia" w:asciiTheme="majorEastAsia" w:hAnsiTheme="majorEastAsia" w:eastAsiaTheme="majorEastAsia" w:cstheme="majorEastAsia"/>
          <w:b w:val="0"/>
          <w:bCs w:val="0"/>
          <w:sz w:val="32"/>
        </w:rPr>
      </w:pPr>
    </w:p>
    <w:p>
      <w:pPr>
        <w:pStyle w:val="5"/>
        <w:spacing w:line="500" w:lineRule="exact"/>
        <w:ind w:left="0"/>
        <w:jc w:val="center"/>
        <w:rPr>
          <w:rFonts w:hint="eastAsia" w:asciiTheme="majorEastAsia" w:hAnsiTheme="majorEastAsia" w:eastAsiaTheme="majorEastAsia" w:cstheme="majorEastAsia"/>
          <w:b w:val="0"/>
          <w:bCs w:val="0"/>
          <w:sz w:val="32"/>
        </w:rPr>
      </w:pPr>
    </w:p>
    <w:p>
      <w:pPr>
        <w:pStyle w:val="5"/>
        <w:spacing w:line="500" w:lineRule="exact"/>
        <w:ind w:left="0"/>
        <w:jc w:val="center"/>
        <w:rPr>
          <w:rFonts w:hint="eastAsia" w:asciiTheme="majorEastAsia" w:hAnsiTheme="majorEastAsia" w:eastAsiaTheme="majorEastAsia" w:cstheme="majorEastAsia"/>
          <w:b w:val="0"/>
          <w:bCs w:val="0"/>
          <w:sz w:val="32"/>
        </w:rPr>
      </w:pPr>
    </w:p>
    <w:p>
      <w:pPr>
        <w:pStyle w:val="5"/>
        <w:spacing w:line="500" w:lineRule="exact"/>
        <w:ind w:left="0"/>
        <w:jc w:val="center"/>
        <w:rPr>
          <w:rFonts w:hint="eastAsia" w:asciiTheme="majorEastAsia" w:hAnsiTheme="majorEastAsia" w:eastAsiaTheme="majorEastAsia" w:cstheme="majorEastAsia"/>
          <w:b w:val="0"/>
          <w:bCs w:val="0"/>
          <w:sz w:val="32"/>
        </w:rPr>
      </w:pPr>
    </w:p>
    <w:p>
      <w:pPr>
        <w:spacing w:line="500" w:lineRule="exact"/>
        <w:outlineLvl w:val="0"/>
        <w:rPr>
          <w:rFonts w:hint="eastAsia" w:asciiTheme="majorEastAsia" w:hAnsiTheme="majorEastAsia" w:eastAsiaTheme="majorEastAsia" w:cstheme="majorEastAsia"/>
          <w:b w:val="0"/>
          <w:bCs w:val="0"/>
          <w:sz w:val="32"/>
        </w:rPr>
      </w:pPr>
    </w:p>
    <w:p>
      <w:pPr>
        <w:spacing w:line="500" w:lineRule="exact"/>
        <w:jc w:val="center"/>
        <w:outlineLvl w:val="0"/>
        <w:rPr>
          <w:rFonts w:hint="eastAsia" w:asciiTheme="majorEastAsia" w:hAnsiTheme="majorEastAsia" w:eastAsiaTheme="majorEastAsia" w:cstheme="majorEastAsia"/>
          <w:b w:val="0"/>
          <w:bCs w:val="0"/>
          <w:color w:val="000000"/>
          <w:sz w:val="28"/>
          <w:szCs w:val="30"/>
          <w:u w:val="single"/>
        </w:rPr>
      </w:pPr>
      <w:r>
        <w:rPr>
          <w:rFonts w:hint="eastAsia" w:asciiTheme="majorEastAsia" w:hAnsiTheme="majorEastAsia" w:eastAsiaTheme="majorEastAsia" w:cstheme="majorEastAsia"/>
          <w:b w:val="0"/>
          <w:bCs w:val="0"/>
          <w:sz w:val="32"/>
          <w:szCs w:val="32"/>
          <w:lang w:eastAsia="zh-CN"/>
        </w:rPr>
        <w:t>招标项目名称：</w:t>
      </w:r>
      <w:r>
        <w:rPr>
          <w:rFonts w:hint="eastAsia" w:asciiTheme="majorEastAsia" w:hAnsiTheme="majorEastAsia" w:eastAsiaTheme="majorEastAsia" w:cstheme="majorEastAsia"/>
          <w:b w:val="0"/>
          <w:bCs w:val="0"/>
          <w:sz w:val="32"/>
          <w:szCs w:val="32"/>
        </w:rPr>
        <w:t>2019全国青少年体育冬夏令营</w:t>
      </w:r>
      <w:r>
        <w:rPr>
          <w:rFonts w:hint="eastAsia" w:asciiTheme="majorEastAsia" w:hAnsiTheme="majorEastAsia" w:eastAsiaTheme="majorEastAsia" w:cstheme="majorEastAsia"/>
          <w:b w:val="0"/>
          <w:bCs w:val="0"/>
          <w:sz w:val="32"/>
          <w:szCs w:val="32"/>
          <w:lang w:eastAsia="zh-CN"/>
        </w:rPr>
        <w:t>，</w:t>
      </w:r>
      <w:r>
        <w:rPr>
          <w:rFonts w:hint="eastAsia" w:asciiTheme="majorEastAsia" w:hAnsiTheme="majorEastAsia" w:eastAsiaTheme="majorEastAsia" w:cstheme="majorEastAsia"/>
          <w:b w:val="0"/>
          <w:bCs w:val="0"/>
          <w:sz w:val="32"/>
          <w:szCs w:val="32"/>
        </w:rPr>
        <w:t>重庆皮划艇冬夏令营</w:t>
      </w:r>
      <w:r>
        <w:rPr>
          <w:rFonts w:hint="eastAsia" w:asciiTheme="majorEastAsia" w:hAnsiTheme="majorEastAsia" w:eastAsiaTheme="majorEastAsia" w:cstheme="majorEastAsia"/>
          <w:b w:val="0"/>
          <w:bCs w:val="0"/>
          <w:sz w:val="32"/>
          <w:szCs w:val="32"/>
          <w:lang w:eastAsia="zh-CN"/>
        </w:rPr>
        <w:t>服务外包</w:t>
      </w:r>
      <w:r>
        <w:rPr>
          <w:rFonts w:hint="eastAsia" w:asciiTheme="majorEastAsia" w:hAnsiTheme="majorEastAsia" w:eastAsiaTheme="majorEastAsia" w:cstheme="majorEastAsia"/>
          <w:b w:val="0"/>
          <w:bCs w:val="0"/>
          <w:sz w:val="32"/>
          <w:szCs w:val="22"/>
        </w:rPr>
        <w:t xml:space="preserve">      </w:t>
      </w:r>
    </w:p>
    <w:p>
      <w:pPr>
        <w:pStyle w:val="5"/>
        <w:spacing w:line="500" w:lineRule="exact"/>
        <w:ind w:left="0"/>
        <w:jc w:val="center"/>
        <w:outlineLvl w:val="0"/>
        <w:rPr>
          <w:rFonts w:hint="eastAsia" w:asciiTheme="majorEastAsia" w:hAnsiTheme="majorEastAsia" w:eastAsiaTheme="majorEastAsia" w:cstheme="majorEastAsia"/>
          <w:b w:val="0"/>
          <w:bCs w:val="0"/>
          <w:sz w:val="32"/>
        </w:rPr>
      </w:pPr>
    </w:p>
    <w:p>
      <w:pPr>
        <w:pStyle w:val="5"/>
        <w:spacing w:line="500" w:lineRule="exact"/>
        <w:ind w:left="0"/>
        <w:jc w:val="center"/>
        <w:rPr>
          <w:rFonts w:hint="eastAsia" w:asciiTheme="majorEastAsia" w:hAnsiTheme="majorEastAsia" w:eastAsiaTheme="majorEastAsia" w:cstheme="majorEastAsia"/>
          <w:b w:val="0"/>
          <w:bCs w:val="0"/>
          <w:sz w:val="32"/>
        </w:rPr>
      </w:pPr>
    </w:p>
    <w:p>
      <w:pPr>
        <w:pStyle w:val="5"/>
        <w:spacing w:line="500" w:lineRule="exact"/>
        <w:ind w:left="0"/>
        <w:jc w:val="center"/>
        <w:rPr>
          <w:rFonts w:hint="eastAsia" w:asciiTheme="majorEastAsia" w:hAnsiTheme="majorEastAsia" w:eastAsiaTheme="majorEastAsia" w:cstheme="majorEastAsia"/>
          <w:b w:val="0"/>
          <w:bCs w:val="0"/>
          <w:sz w:val="32"/>
        </w:rPr>
      </w:pPr>
    </w:p>
    <w:p>
      <w:pPr>
        <w:pStyle w:val="5"/>
        <w:spacing w:line="500" w:lineRule="exact"/>
        <w:ind w:left="0"/>
        <w:jc w:val="center"/>
        <w:rPr>
          <w:rFonts w:hint="eastAsia" w:asciiTheme="majorEastAsia" w:hAnsiTheme="majorEastAsia" w:eastAsiaTheme="majorEastAsia" w:cstheme="majorEastAsia"/>
          <w:b w:val="0"/>
          <w:bCs w:val="0"/>
          <w:sz w:val="32"/>
        </w:rPr>
      </w:pPr>
    </w:p>
    <w:p>
      <w:pPr>
        <w:pStyle w:val="5"/>
        <w:spacing w:line="500" w:lineRule="exact"/>
        <w:ind w:left="0"/>
        <w:jc w:val="center"/>
        <w:rPr>
          <w:rFonts w:hint="eastAsia" w:asciiTheme="majorEastAsia" w:hAnsiTheme="majorEastAsia" w:eastAsiaTheme="majorEastAsia" w:cstheme="majorEastAsia"/>
          <w:b w:val="0"/>
          <w:bCs w:val="0"/>
          <w:sz w:val="32"/>
        </w:rPr>
      </w:pPr>
    </w:p>
    <w:p>
      <w:pPr>
        <w:spacing w:line="500" w:lineRule="exact"/>
        <w:jc w:val="center"/>
        <w:rPr>
          <w:rFonts w:hint="eastAsia" w:asciiTheme="majorEastAsia" w:hAnsiTheme="majorEastAsia" w:eastAsiaTheme="majorEastAsia" w:cstheme="majorEastAsia"/>
          <w:b w:val="0"/>
          <w:bCs w:val="0"/>
          <w:sz w:val="32"/>
        </w:rPr>
      </w:pPr>
    </w:p>
    <w:p>
      <w:pPr>
        <w:spacing w:line="500" w:lineRule="exact"/>
        <w:jc w:val="center"/>
        <w:rPr>
          <w:rFonts w:hint="eastAsia" w:asciiTheme="majorEastAsia" w:hAnsiTheme="majorEastAsia" w:eastAsiaTheme="majorEastAsia" w:cstheme="majorEastAsia"/>
          <w:b w:val="0"/>
          <w:bCs w:val="0"/>
          <w:sz w:val="32"/>
        </w:rPr>
      </w:pPr>
    </w:p>
    <w:p>
      <w:pPr>
        <w:spacing w:line="500" w:lineRule="exact"/>
        <w:jc w:val="center"/>
        <w:rPr>
          <w:rFonts w:hint="eastAsia" w:asciiTheme="majorEastAsia" w:hAnsiTheme="majorEastAsia" w:eastAsiaTheme="majorEastAsia" w:cstheme="majorEastAsia"/>
          <w:b w:val="0"/>
          <w:bCs w:val="0"/>
          <w:sz w:val="32"/>
        </w:rPr>
      </w:pPr>
    </w:p>
    <w:p>
      <w:pPr>
        <w:spacing w:line="500" w:lineRule="exact"/>
        <w:jc w:val="center"/>
        <w:outlineLvl w:val="0"/>
        <w:rPr>
          <w:rFonts w:hint="eastAsia" w:asciiTheme="majorEastAsia" w:hAnsiTheme="majorEastAsia" w:eastAsiaTheme="majorEastAsia" w:cstheme="majorEastAsia"/>
          <w:b w:val="0"/>
          <w:bCs w:val="0"/>
          <w:sz w:val="36"/>
        </w:rPr>
      </w:pPr>
      <w:r>
        <w:rPr>
          <w:rFonts w:hint="eastAsia" w:asciiTheme="majorEastAsia" w:hAnsiTheme="majorEastAsia" w:eastAsiaTheme="majorEastAsia" w:cstheme="majorEastAsia"/>
          <w:b w:val="0"/>
          <w:bCs w:val="0"/>
          <w:sz w:val="36"/>
          <w:lang w:eastAsia="zh-CN"/>
        </w:rPr>
        <w:t>采购人：重庆市运动技术学院</w:t>
      </w:r>
      <w:r>
        <w:rPr>
          <w:rFonts w:hint="eastAsia" w:asciiTheme="majorEastAsia" w:hAnsiTheme="majorEastAsia" w:eastAsiaTheme="majorEastAsia" w:cstheme="majorEastAsia"/>
          <w:b w:val="0"/>
          <w:bCs w:val="0"/>
          <w:sz w:val="36"/>
        </w:rPr>
        <w:t xml:space="preserve"> </w:t>
      </w:r>
    </w:p>
    <w:p>
      <w:pPr>
        <w:snapToGrid w:val="0"/>
        <w:spacing w:line="500" w:lineRule="exact"/>
        <w:jc w:val="center"/>
        <w:rPr>
          <w:rFonts w:hint="eastAsia" w:asciiTheme="majorEastAsia" w:hAnsiTheme="majorEastAsia" w:eastAsiaTheme="majorEastAsia" w:cstheme="majorEastAsia"/>
          <w:b w:val="0"/>
          <w:bCs w:val="0"/>
          <w:sz w:val="36"/>
        </w:rPr>
      </w:pPr>
    </w:p>
    <w:p>
      <w:pPr>
        <w:snapToGrid w:val="0"/>
        <w:spacing w:line="500" w:lineRule="exact"/>
        <w:jc w:val="center"/>
        <w:rPr>
          <w:rFonts w:hint="eastAsia" w:asciiTheme="majorEastAsia" w:hAnsiTheme="majorEastAsia" w:eastAsiaTheme="majorEastAsia" w:cstheme="majorEastAsia"/>
          <w:b w:val="0"/>
          <w:bCs w:val="0"/>
          <w:sz w:val="44"/>
        </w:rPr>
      </w:pPr>
      <w:r>
        <w:rPr>
          <w:rFonts w:hint="eastAsia" w:asciiTheme="majorEastAsia" w:hAnsiTheme="majorEastAsia" w:eastAsiaTheme="majorEastAsia" w:cstheme="majorEastAsia"/>
          <w:b w:val="0"/>
          <w:bCs w:val="0"/>
          <w:sz w:val="44"/>
        </w:rPr>
        <w:t>二○一</w:t>
      </w:r>
      <w:r>
        <w:rPr>
          <w:rFonts w:hint="eastAsia" w:asciiTheme="majorEastAsia" w:hAnsiTheme="majorEastAsia" w:eastAsiaTheme="majorEastAsia" w:cstheme="majorEastAsia"/>
          <w:b w:val="0"/>
          <w:bCs w:val="0"/>
          <w:sz w:val="44"/>
          <w:lang w:eastAsia="zh-CN"/>
        </w:rPr>
        <w:t>九</w:t>
      </w:r>
      <w:r>
        <w:rPr>
          <w:rFonts w:hint="eastAsia" w:asciiTheme="majorEastAsia" w:hAnsiTheme="majorEastAsia" w:eastAsiaTheme="majorEastAsia" w:cstheme="majorEastAsia"/>
          <w:b w:val="0"/>
          <w:bCs w:val="0"/>
          <w:sz w:val="44"/>
        </w:rPr>
        <w:t>年</w:t>
      </w:r>
      <w:r>
        <w:rPr>
          <w:rFonts w:hint="eastAsia" w:asciiTheme="majorEastAsia" w:hAnsiTheme="majorEastAsia" w:eastAsiaTheme="majorEastAsia" w:cstheme="majorEastAsia"/>
          <w:b w:val="0"/>
          <w:bCs w:val="0"/>
          <w:sz w:val="44"/>
          <w:lang w:eastAsia="zh-CN"/>
        </w:rPr>
        <w:t>四</w:t>
      </w:r>
      <w:r>
        <w:rPr>
          <w:rFonts w:hint="eastAsia" w:asciiTheme="majorEastAsia" w:hAnsiTheme="majorEastAsia" w:eastAsiaTheme="majorEastAsia" w:cstheme="majorEastAsia"/>
          <w:b w:val="0"/>
          <w:bCs w:val="0"/>
          <w:sz w:val="44"/>
        </w:rPr>
        <w:t>月</w:t>
      </w:r>
    </w:p>
    <w:p>
      <w:pPr>
        <w:snapToGrid w:val="0"/>
        <w:spacing w:line="500" w:lineRule="exact"/>
        <w:rPr>
          <w:rFonts w:hint="eastAsia" w:ascii="华文中宋" w:hAnsi="华文中宋" w:eastAsia="华文中宋"/>
          <w:sz w:val="44"/>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pPr>
        <w:pStyle w:val="3"/>
        <w:keepNext w:val="0"/>
        <w:numPr>
          <w:ilvl w:val="0"/>
          <w:numId w:val="1"/>
        </w:numPr>
        <w:spacing w:before="0" w:beforeLines="0" w:after="0" w:afterLines="0" w:line="360" w:lineRule="auto"/>
        <w:ind w:left="1531" w:hanging="1531"/>
        <w:rPr>
          <w:rFonts w:hint="eastAsia" w:ascii="华文中宋" w:hAnsi="华文中宋" w:eastAsia="华文中宋"/>
          <w:b/>
        </w:rPr>
      </w:pPr>
      <w:bookmarkStart w:id="0" w:name="_Toc475604102"/>
      <w:r>
        <w:rPr>
          <w:rFonts w:hint="eastAsia" w:ascii="华文中宋" w:hAnsi="华文中宋" w:eastAsia="华文中宋"/>
          <w:b/>
        </w:rPr>
        <w:t>投标邀请书</w:t>
      </w:r>
      <w:bookmarkEnd w:id="0"/>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重庆市运动技术学院对2019全国青少年体育冬夏令营</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重庆皮划艇冬夏令营 项目公开招标，欢迎有资格的供应商参加投标。</w:t>
      </w:r>
    </w:p>
    <w:p>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bookmarkStart w:id="1" w:name="_Toc475604103"/>
      <w:r>
        <w:rPr>
          <w:rFonts w:hint="eastAsia" w:asciiTheme="majorEastAsia" w:hAnsiTheme="majorEastAsia" w:eastAsiaTheme="majorEastAsia" w:cstheme="majorEastAsia"/>
          <w:b w:val="0"/>
          <w:bCs w:val="0"/>
          <w:sz w:val="28"/>
          <w:szCs w:val="28"/>
        </w:rPr>
        <w:t>一、招标项目内容</w:t>
      </w:r>
      <w:bookmarkEnd w:id="1"/>
    </w:p>
    <w:tbl>
      <w:tblPr>
        <w:tblStyle w:val="1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645"/>
        <w:gridCol w:w="214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363" w:type="dxa"/>
            <w:noWrap w:val="0"/>
            <w:vAlign w:val="center"/>
          </w:tcPr>
          <w:p>
            <w:pPr>
              <w:pStyle w:val="5"/>
              <w:spacing w:line="240" w:lineRule="atLeast"/>
              <w:ind w:left="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项目名称</w:t>
            </w:r>
          </w:p>
        </w:tc>
        <w:tc>
          <w:tcPr>
            <w:tcW w:w="1645" w:type="dxa"/>
            <w:noWrap w:val="0"/>
            <w:vAlign w:val="center"/>
          </w:tcPr>
          <w:p>
            <w:pPr>
              <w:pStyle w:val="5"/>
              <w:spacing w:line="240" w:lineRule="atLeast"/>
              <w:ind w:left="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最高限价</w:t>
            </w:r>
          </w:p>
          <w:p>
            <w:pPr>
              <w:pStyle w:val="5"/>
              <w:spacing w:line="240" w:lineRule="atLeast"/>
              <w:ind w:left="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（万元）</w:t>
            </w:r>
          </w:p>
        </w:tc>
        <w:tc>
          <w:tcPr>
            <w:tcW w:w="2140" w:type="dxa"/>
            <w:noWrap w:val="0"/>
            <w:vAlign w:val="center"/>
          </w:tcPr>
          <w:p>
            <w:pPr>
              <w:pStyle w:val="5"/>
              <w:spacing w:line="240" w:lineRule="atLeast"/>
              <w:ind w:left="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采购方式</w:t>
            </w:r>
          </w:p>
        </w:tc>
        <w:tc>
          <w:tcPr>
            <w:tcW w:w="1932" w:type="dxa"/>
            <w:noWrap w:val="0"/>
            <w:vAlign w:val="center"/>
          </w:tcPr>
          <w:p>
            <w:pPr>
              <w:pStyle w:val="5"/>
              <w:spacing w:line="240" w:lineRule="atLeast"/>
              <w:ind w:left="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63" w:type="dxa"/>
            <w:noWrap w:val="0"/>
            <w:vAlign w:val="center"/>
          </w:tcPr>
          <w:p>
            <w:pPr>
              <w:pStyle w:val="2"/>
              <w:spacing w:line="400" w:lineRule="exact"/>
              <w:ind w:firstLine="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2019全国青少年</w:t>
            </w:r>
            <w:r>
              <w:rPr>
                <w:rFonts w:hint="eastAsia" w:asciiTheme="majorEastAsia" w:hAnsiTheme="majorEastAsia" w:eastAsiaTheme="majorEastAsia" w:cstheme="majorEastAsia"/>
                <w:b w:val="0"/>
                <w:bCs w:val="0"/>
                <w:sz w:val="28"/>
                <w:szCs w:val="28"/>
                <w:lang w:val="en-US" w:eastAsia="zh-CN"/>
              </w:rPr>
              <w:br w:type="textWrapping"/>
            </w:r>
            <w:r>
              <w:rPr>
                <w:rFonts w:hint="eastAsia" w:asciiTheme="majorEastAsia" w:hAnsiTheme="majorEastAsia" w:eastAsiaTheme="majorEastAsia" w:cstheme="majorEastAsia"/>
                <w:b w:val="0"/>
                <w:bCs w:val="0"/>
                <w:sz w:val="28"/>
                <w:szCs w:val="28"/>
                <w:lang w:val="en-US" w:eastAsia="zh-CN"/>
              </w:rPr>
              <w:t>体育冬夏令营·重庆皮划艇冬夏令营</w:t>
            </w:r>
          </w:p>
        </w:tc>
        <w:tc>
          <w:tcPr>
            <w:tcW w:w="1645" w:type="dxa"/>
            <w:noWrap w:val="0"/>
            <w:vAlign w:val="center"/>
          </w:tcPr>
          <w:p>
            <w:pPr>
              <w:pStyle w:val="2"/>
              <w:spacing w:line="400" w:lineRule="exact"/>
              <w:ind w:firstLine="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4万 </w:t>
            </w:r>
          </w:p>
        </w:tc>
        <w:tc>
          <w:tcPr>
            <w:tcW w:w="2140" w:type="dxa"/>
            <w:noWrap w:val="0"/>
            <w:vAlign w:val="center"/>
          </w:tcPr>
          <w:p>
            <w:pPr>
              <w:pStyle w:val="2"/>
              <w:spacing w:line="400" w:lineRule="exact"/>
              <w:ind w:firstLine="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询价</w:t>
            </w:r>
          </w:p>
        </w:tc>
        <w:tc>
          <w:tcPr>
            <w:tcW w:w="1932" w:type="dxa"/>
            <w:noWrap w:val="0"/>
            <w:vAlign w:val="center"/>
          </w:tcPr>
          <w:p>
            <w:pPr>
              <w:pStyle w:val="2"/>
              <w:spacing w:line="400" w:lineRule="exact"/>
              <w:ind w:firstLine="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项目总包干价</w:t>
            </w:r>
          </w:p>
        </w:tc>
      </w:tr>
    </w:tbl>
    <w:p>
      <w:pPr>
        <w:snapToGrid w:val="0"/>
        <w:spacing w:line="400" w:lineRule="exac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eastAsia="zh-CN"/>
        </w:rPr>
        <w:t>费用说明：招标费用主要用于</w:t>
      </w:r>
      <w:r>
        <w:rPr>
          <w:rFonts w:hint="eastAsia" w:asciiTheme="majorEastAsia" w:hAnsiTheme="majorEastAsia" w:eastAsiaTheme="majorEastAsia" w:cstheme="majorEastAsia"/>
          <w:b w:val="0"/>
          <w:bCs w:val="0"/>
          <w:sz w:val="28"/>
          <w:szCs w:val="28"/>
        </w:rPr>
        <w:t>2019全国青少年体育冬夏令营</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重庆皮划艇冬夏令营</w:t>
      </w:r>
      <w:r>
        <w:rPr>
          <w:rFonts w:hint="eastAsia" w:asciiTheme="majorEastAsia" w:hAnsiTheme="majorEastAsia" w:eastAsiaTheme="majorEastAsia" w:cstheme="majorEastAsia"/>
          <w:b w:val="0"/>
          <w:bCs w:val="0"/>
          <w:sz w:val="28"/>
          <w:szCs w:val="28"/>
          <w:lang w:eastAsia="zh-CN"/>
        </w:rPr>
        <w:t>培训水域场地使用、水上器材使用、教练费用等。全年培训学员不低于</w:t>
      </w:r>
      <w:r>
        <w:rPr>
          <w:rFonts w:hint="eastAsia" w:asciiTheme="majorEastAsia" w:hAnsiTheme="majorEastAsia" w:eastAsiaTheme="majorEastAsia" w:cstheme="majorEastAsia"/>
          <w:b w:val="0"/>
          <w:bCs w:val="0"/>
          <w:sz w:val="28"/>
          <w:szCs w:val="28"/>
          <w:lang w:val="en-US" w:eastAsia="zh-CN"/>
        </w:rPr>
        <w:t>600人。</w:t>
      </w:r>
    </w:p>
    <w:p>
      <w:pPr>
        <w:pStyle w:val="4"/>
        <w:keepNext w:val="0"/>
        <w:spacing w:line="500" w:lineRule="exac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 xml:space="preserve"> </w:t>
      </w:r>
    </w:p>
    <w:p>
      <w:pPr>
        <w:pStyle w:val="4"/>
        <w:keepNext w:val="0"/>
        <w:spacing w:line="500" w:lineRule="exac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 xml:space="preserve"> </w:t>
      </w:r>
      <w:bookmarkStart w:id="2" w:name="_Toc475604104"/>
      <w:r>
        <w:rPr>
          <w:rFonts w:hint="eastAsia" w:asciiTheme="majorEastAsia" w:hAnsiTheme="majorEastAsia" w:eastAsiaTheme="majorEastAsia" w:cstheme="majorEastAsia"/>
          <w:b w:val="0"/>
          <w:bCs w:val="0"/>
          <w:sz w:val="28"/>
          <w:szCs w:val="28"/>
          <w:lang w:val="en-US" w:eastAsia="zh-CN"/>
        </w:rPr>
        <w:t xml:space="preserve">   </w:t>
      </w:r>
      <w:r>
        <w:rPr>
          <w:rFonts w:hint="eastAsia" w:asciiTheme="majorEastAsia" w:hAnsiTheme="majorEastAsia" w:eastAsiaTheme="majorEastAsia" w:cstheme="majorEastAsia"/>
          <w:b w:val="0"/>
          <w:bCs w:val="0"/>
          <w:sz w:val="28"/>
          <w:szCs w:val="28"/>
        </w:rPr>
        <w:t>二、资金来源</w:t>
      </w:r>
      <w:bookmarkEnd w:id="2"/>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财政预算资金。</w:t>
      </w:r>
    </w:p>
    <w:p>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bookmarkStart w:id="3" w:name="_Toc475604105"/>
      <w:r>
        <w:rPr>
          <w:rFonts w:hint="eastAsia" w:asciiTheme="majorEastAsia" w:hAnsiTheme="majorEastAsia" w:eastAsiaTheme="majorEastAsia" w:cstheme="majorEastAsia"/>
          <w:b w:val="0"/>
          <w:bCs w:val="0"/>
          <w:sz w:val="28"/>
          <w:szCs w:val="28"/>
        </w:rPr>
        <w:t>三、投标人资格要求</w:t>
      </w:r>
      <w:bookmarkEnd w:id="3"/>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合格投标人应首先符合政府采购法第二十二条规定的基本条件，同时符合根据该项目特点设置的特定资格条件。</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（一）基本资格条件</w:t>
      </w:r>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1、具有独立承担民事责任的能力；</w:t>
      </w:r>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2、具有良好的商业信誉和健全的财务会计制度；</w:t>
      </w:r>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3、具有履行合同所必需的设备和专业技术能力；</w:t>
      </w:r>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4、</w:t>
      </w:r>
      <w:r>
        <w:rPr>
          <w:rFonts w:hint="eastAsia" w:asciiTheme="majorEastAsia" w:hAnsiTheme="majorEastAsia" w:eastAsiaTheme="majorEastAsia" w:cstheme="majorEastAsia"/>
          <w:b w:val="0"/>
          <w:bCs w:val="0"/>
          <w:sz w:val="28"/>
          <w:szCs w:val="28"/>
          <w:lang w:eastAsia="zh-CN"/>
        </w:rPr>
        <w:t>具备较好的新闻宣传渠道和体育活动推广能力</w:t>
      </w:r>
      <w:r>
        <w:rPr>
          <w:rFonts w:hint="eastAsia" w:asciiTheme="majorEastAsia" w:hAnsiTheme="majorEastAsia" w:eastAsiaTheme="majorEastAsia" w:cstheme="majorEastAsia"/>
          <w:b w:val="0"/>
          <w:bCs w:val="0"/>
          <w:sz w:val="28"/>
          <w:szCs w:val="28"/>
        </w:rPr>
        <w:t>；</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5、参加政府采购活动前三年内，在经营活动中没有重大违法记录；</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6、法律、行政法规规定的其他条件。</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（二）特定资格条件</w:t>
      </w:r>
    </w:p>
    <w:p>
      <w:pPr>
        <w:spacing w:line="480" w:lineRule="exact"/>
        <w:ind w:firstLine="560" w:firstLineChars="200"/>
        <w:rPr>
          <w:rFonts w:hint="eastAsia" w:asciiTheme="majorEastAsia" w:hAnsiTheme="majorEastAsia" w:eastAsiaTheme="majorEastAsia" w:cstheme="majorEastAsia"/>
          <w:b w:val="0"/>
          <w:bCs w:val="0"/>
          <w:sz w:val="28"/>
          <w:szCs w:val="28"/>
        </w:rPr>
      </w:pPr>
      <w:bookmarkStart w:id="4" w:name="_Toc475604106"/>
      <w:r>
        <w:rPr>
          <w:rFonts w:hint="eastAsia" w:asciiTheme="majorEastAsia" w:hAnsiTheme="majorEastAsia" w:eastAsiaTheme="majorEastAsia" w:cstheme="majorEastAsia"/>
          <w:b w:val="0"/>
          <w:bCs w:val="0"/>
          <w:sz w:val="28"/>
          <w:szCs w:val="28"/>
        </w:rPr>
        <w:t>1.投标人须具有</w:t>
      </w:r>
      <w:r>
        <w:rPr>
          <w:rFonts w:hint="eastAsia" w:asciiTheme="majorEastAsia" w:hAnsiTheme="majorEastAsia" w:eastAsiaTheme="majorEastAsia" w:cstheme="majorEastAsia"/>
          <w:b w:val="0"/>
          <w:bCs w:val="0"/>
          <w:sz w:val="28"/>
          <w:szCs w:val="28"/>
          <w:lang w:eastAsia="zh-CN"/>
        </w:rPr>
        <w:t>从事青少年冬夏令营活动的服务经验和适合皮划艇等水上运动项目的培训场地（</w:t>
      </w:r>
      <w:r>
        <w:rPr>
          <w:rFonts w:hint="eastAsia" w:asciiTheme="majorEastAsia" w:hAnsiTheme="majorEastAsia" w:eastAsiaTheme="majorEastAsia" w:cstheme="majorEastAsia"/>
          <w:b w:val="0"/>
          <w:bCs w:val="0"/>
          <w:sz w:val="28"/>
          <w:szCs w:val="28"/>
          <w:lang w:val="en-US" w:eastAsia="zh-CN"/>
        </w:rPr>
        <w:t>附场地租赁合同或其他证明</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w:t>
      </w:r>
    </w:p>
    <w:p>
      <w:pPr>
        <w:pStyle w:val="2"/>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2.投标人须具备从事青少年水上运动培训资质的专业人员（附资格证书）。</w:t>
      </w:r>
    </w:p>
    <w:p>
      <w:pPr>
        <w:pStyle w:val="2"/>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3.投标人须提供本次冬夏令营活动执行方案及安全预案。</w:t>
      </w:r>
    </w:p>
    <w:p>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四、投标、开标有关说明</w:t>
      </w:r>
      <w:bookmarkEnd w:id="4"/>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（一）凡有意参加投标的供应商，请到重庆市运动技术学院总务处领取本项目招标文件以及图纸、补遗等开标前公布的所有项目资料，无论投标人领取与否，均视为已知晓所有招标内容。</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（二）招标文件公告期限：自招标公告发布之日（201</w:t>
      </w:r>
      <w:r>
        <w:rPr>
          <w:rFonts w:hint="eastAsia" w:asciiTheme="majorEastAsia" w:hAnsiTheme="majorEastAsia" w:eastAsiaTheme="majorEastAsia" w:cstheme="majorEastAsia"/>
          <w:b w:val="0"/>
          <w:bCs w:val="0"/>
          <w:sz w:val="28"/>
          <w:szCs w:val="28"/>
          <w:lang w:val="en-US" w:eastAsia="zh-CN"/>
        </w:rPr>
        <w:t>9</w:t>
      </w:r>
      <w:r>
        <w:rPr>
          <w:rFonts w:hint="eastAsia" w:asciiTheme="majorEastAsia" w:hAnsiTheme="majorEastAsia" w:eastAsiaTheme="majorEastAsia" w:cstheme="majorEastAsia"/>
          <w:b w:val="0"/>
          <w:bCs w:val="0"/>
          <w:sz w:val="28"/>
          <w:szCs w:val="28"/>
        </w:rPr>
        <w:t>年</w:t>
      </w: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rPr>
        <w:t>月</w:t>
      </w:r>
      <w:r>
        <w:rPr>
          <w:rFonts w:hint="eastAsia" w:asciiTheme="majorEastAsia" w:hAnsiTheme="majorEastAsia" w:eastAsiaTheme="majorEastAsia" w:cstheme="majorEastAsia"/>
          <w:b w:val="0"/>
          <w:bCs w:val="0"/>
          <w:sz w:val="28"/>
          <w:szCs w:val="28"/>
          <w:lang w:val="en-US" w:eastAsia="zh-CN"/>
        </w:rPr>
        <w:t>8</w:t>
      </w:r>
      <w:r>
        <w:rPr>
          <w:rFonts w:hint="eastAsia" w:asciiTheme="majorEastAsia" w:hAnsiTheme="majorEastAsia" w:eastAsiaTheme="majorEastAsia" w:cstheme="majorEastAsia"/>
          <w:b w:val="0"/>
          <w:bCs w:val="0"/>
          <w:sz w:val="28"/>
          <w:szCs w:val="28"/>
        </w:rPr>
        <w:t>日）起三个工作日。</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（三）供应商须满足以下两种要件，其投标才被接受：</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1、按时递交了投标文件；</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2、招标公告发布截至日期前，</w:t>
      </w:r>
      <w:r>
        <w:rPr>
          <w:rFonts w:hint="eastAsia" w:asciiTheme="majorEastAsia" w:hAnsiTheme="majorEastAsia" w:eastAsiaTheme="majorEastAsia" w:cstheme="majorEastAsia"/>
          <w:b w:val="0"/>
          <w:bCs w:val="0"/>
          <w:sz w:val="28"/>
          <w:szCs w:val="28"/>
          <w:lang w:eastAsia="zh-CN"/>
        </w:rPr>
        <w:t>拟定了本次青少年皮划艇冬夏令营活动实施方案</w:t>
      </w:r>
      <w:r>
        <w:rPr>
          <w:rFonts w:hint="eastAsia" w:asciiTheme="majorEastAsia" w:hAnsiTheme="majorEastAsia" w:eastAsiaTheme="majorEastAsia" w:cstheme="majorEastAsia"/>
          <w:b w:val="0"/>
          <w:bCs w:val="0"/>
          <w:sz w:val="28"/>
          <w:szCs w:val="28"/>
          <w:lang w:val="en-US" w:eastAsia="zh-CN"/>
        </w:rPr>
        <w:t>及安全预案</w:t>
      </w:r>
      <w:r>
        <w:rPr>
          <w:rFonts w:hint="eastAsia" w:asciiTheme="majorEastAsia" w:hAnsiTheme="majorEastAsia" w:eastAsiaTheme="majorEastAsia" w:cstheme="majorEastAsia"/>
          <w:b w:val="0"/>
          <w:bCs w:val="0"/>
          <w:sz w:val="28"/>
          <w:szCs w:val="28"/>
        </w:rPr>
        <w:t>。</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（四）投标地点：重庆市运动技术学院总务处。</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（五）投标截止时间：201</w:t>
      </w:r>
      <w:r>
        <w:rPr>
          <w:rFonts w:hint="eastAsia" w:asciiTheme="majorEastAsia" w:hAnsiTheme="majorEastAsia" w:eastAsiaTheme="majorEastAsia" w:cstheme="majorEastAsia"/>
          <w:b w:val="0"/>
          <w:bCs w:val="0"/>
          <w:sz w:val="28"/>
          <w:szCs w:val="28"/>
          <w:lang w:val="en-US" w:eastAsia="zh-CN"/>
        </w:rPr>
        <w:t>9</w:t>
      </w:r>
      <w:r>
        <w:rPr>
          <w:rFonts w:hint="eastAsia" w:asciiTheme="majorEastAsia" w:hAnsiTheme="majorEastAsia" w:eastAsiaTheme="majorEastAsia" w:cstheme="majorEastAsia"/>
          <w:b w:val="0"/>
          <w:bCs w:val="0"/>
          <w:sz w:val="28"/>
          <w:szCs w:val="28"/>
        </w:rPr>
        <w:t>年</w:t>
      </w: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rPr>
        <w:t>月</w:t>
      </w:r>
      <w:r>
        <w:rPr>
          <w:rFonts w:hint="eastAsia" w:asciiTheme="majorEastAsia" w:hAnsiTheme="majorEastAsia" w:eastAsiaTheme="majorEastAsia" w:cstheme="majorEastAsia"/>
          <w:b w:val="0"/>
          <w:bCs w:val="0"/>
          <w:sz w:val="28"/>
          <w:szCs w:val="28"/>
          <w:lang w:val="en-US" w:eastAsia="zh-CN"/>
        </w:rPr>
        <w:t>11</w:t>
      </w:r>
      <w:r>
        <w:rPr>
          <w:rFonts w:hint="eastAsia" w:asciiTheme="majorEastAsia" w:hAnsiTheme="majorEastAsia" w:eastAsiaTheme="majorEastAsia" w:cstheme="majorEastAsia"/>
          <w:b w:val="0"/>
          <w:bCs w:val="0"/>
          <w:sz w:val="28"/>
          <w:szCs w:val="28"/>
        </w:rPr>
        <w:t>日北京时间</w:t>
      </w:r>
      <w:r>
        <w:rPr>
          <w:rFonts w:hint="eastAsia" w:asciiTheme="majorEastAsia" w:hAnsiTheme="majorEastAsia" w:eastAsiaTheme="majorEastAsia" w:cstheme="majorEastAsia"/>
          <w:b w:val="0"/>
          <w:bCs w:val="0"/>
          <w:sz w:val="28"/>
          <w:szCs w:val="28"/>
          <w:lang w:val="en-US" w:eastAsia="zh-CN"/>
        </w:rPr>
        <w:t>10</w:t>
      </w:r>
      <w:r>
        <w:rPr>
          <w:rFonts w:hint="eastAsia" w:asciiTheme="majorEastAsia" w:hAnsiTheme="majorEastAsia" w:eastAsiaTheme="majorEastAsia" w:cstheme="majorEastAsia"/>
          <w:b w:val="0"/>
          <w:bCs w:val="0"/>
          <w:sz w:val="28"/>
          <w:szCs w:val="28"/>
        </w:rPr>
        <w:t>:30。</w:t>
      </w:r>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（六）开标时间：201</w:t>
      </w:r>
      <w:r>
        <w:rPr>
          <w:rFonts w:hint="eastAsia" w:asciiTheme="majorEastAsia" w:hAnsiTheme="majorEastAsia" w:eastAsiaTheme="majorEastAsia" w:cstheme="majorEastAsia"/>
          <w:b w:val="0"/>
          <w:bCs w:val="0"/>
          <w:sz w:val="28"/>
          <w:szCs w:val="28"/>
          <w:lang w:val="en-US" w:eastAsia="zh-CN"/>
        </w:rPr>
        <w:t>9</w:t>
      </w:r>
      <w:r>
        <w:rPr>
          <w:rFonts w:hint="eastAsia" w:asciiTheme="majorEastAsia" w:hAnsiTheme="majorEastAsia" w:eastAsiaTheme="majorEastAsia" w:cstheme="majorEastAsia"/>
          <w:b w:val="0"/>
          <w:bCs w:val="0"/>
          <w:sz w:val="28"/>
          <w:szCs w:val="28"/>
        </w:rPr>
        <w:t>年</w:t>
      </w: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rPr>
        <w:t>月</w:t>
      </w:r>
      <w:r>
        <w:rPr>
          <w:rFonts w:hint="eastAsia" w:asciiTheme="majorEastAsia" w:hAnsiTheme="majorEastAsia" w:eastAsiaTheme="majorEastAsia" w:cstheme="majorEastAsia"/>
          <w:b w:val="0"/>
          <w:bCs w:val="0"/>
          <w:sz w:val="28"/>
          <w:szCs w:val="28"/>
          <w:lang w:val="en-US" w:eastAsia="zh-CN"/>
        </w:rPr>
        <w:t>11</w:t>
      </w:r>
      <w:r>
        <w:rPr>
          <w:rFonts w:hint="eastAsia" w:asciiTheme="majorEastAsia" w:hAnsiTheme="majorEastAsia" w:eastAsiaTheme="majorEastAsia" w:cstheme="majorEastAsia"/>
          <w:b w:val="0"/>
          <w:bCs w:val="0"/>
          <w:sz w:val="28"/>
          <w:szCs w:val="28"/>
        </w:rPr>
        <w:t>日北京时间</w:t>
      </w:r>
      <w:r>
        <w:rPr>
          <w:rFonts w:hint="eastAsia" w:asciiTheme="majorEastAsia" w:hAnsiTheme="majorEastAsia" w:eastAsiaTheme="majorEastAsia" w:cstheme="majorEastAsia"/>
          <w:b w:val="0"/>
          <w:bCs w:val="0"/>
          <w:sz w:val="28"/>
          <w:szCs w:val="28"/>
          <w:lang w:val="en-US" w:eastAsia="zh-CN"/>
        </w:rPr>
        <w:t>10</w:t>
      </w:r>
      <w:r>
        <w:rPr>
          <w:rFonts w:hint="eastAsia" w:asciiTheme="majorEastAsia" w:hAnsiTheme="majorEastAsia" w:eastAsiaTheme="majorEastAsia" w:cstheme="majorEastAsia"/>
          <w:b w:val="0"/>
          <w:bCs w:val="0"/>
          <w:sz w:val="28"/>
          <w:szCs w:val="28"/>
        </w:rPr>
        <w:t>:30。</w:t>
      </w:r>
    </w:p>
    <w:p>
      <w:pPr>
        <w:spacing w:line="400" w:lineRule="exact"/>
        <w:ind w:firstLine="560" w:firstLine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t>（七）开标地点：</w:t>
      </w:r>
      <w:r>
        <w:rPr>
          <w:rFonts w:hint="eastAsia" w:asciiTheme="majorEastAsia" w:hAnsiTheme="majorEastAsia" w:eastAsiaTheme="majorEastAsia" w:cstheme="majorEastAsia"/>
          <w:b w:val="0"/>
          <w:bCs w:val="0"/>
          <w:sz w:val="28"/>
          <w:szCs w:val="28"/>
          <w:lang w:eastAsia="zh-CN"/>
        </w:rPr>
        <w:t>重庆市运动技术学院会议室</w:t>
      </w:r>
    </w:p>
    <w:p>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bookmarkStart w:id="5" w:name="_Toc475604107"/>
      <w:r>
        <w:rPr>
          <w:rFonts w:hint="eastAsia" w:asciiTheme="majorEastAsia" w:hAnsiTheme="majorEastAsia" w:eastAsiaTheme="majorEastAsia" w:cstheme="majorEastAsia"/>
          <w:b w:val="0"/>
          <w:bCs w:val="0"/>
          <w:sz w:val="28"/>
          <w:szCs w:val="28"/>
        </w:rPr>
        <w:t>五、投标保证金</w:t>
      </w:r>
      <w:bookmarkEnd w:id="5"/>
    </w:p>
    <w:p>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本项目不收取保证金。</w:t>
      </w:r>
    </w:p>
    <w:p>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bookmarkStart w:id="6" w:name="_Toc475604108"/>
      <w:r>
        <w:rPr>
          <w:rFonts w:hint="eastAsia" w:asciiTheme="majorEastAsia" w:hAnsiTheme="majorEastAsia" w:eastAsiaTheme="majorEastAsia" w:cstheme="majorEastAsia"/>
          <w:b w:val="0"/>
          <w:bCs w:val="0"/>
          <w:sz w:val="28"/>
          <w:szCs w:val="28"/>
        </w:rPr>
        <w:t>六、投标有关规定</w:t>
      </w:r>
      <w:bookmarkEnd w:id="6"/>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（一）单位负责人为同一人或者存在直接控股、管理关系的不同供应商，不得参加同一合同项（分包）下的政府采购活动。</w:t>
      </w:r>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（二）超过投标截止时间递交的投标文件，恕不接收。</w:t>
      </w:r>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（三 ）列入失信被执行人、重大税收违法案件当事人名单、政府采购严重违法失信行为记录名单及其他不符合《中华人民共和国政府采购法》第二十二条规定条件的供应商，将拒绝其参与政府采购活动。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w:t>
      </w:r>
      <w:r>
        <w:rPr>
          <w:rFonts w:hint="eastAsia" w:asciiTheme="majorEastAsia" w:hAnsiTheme="majorEastAsia" w:eastAsiaTheme="majorEastAsia" w:cstheme="majorEastAsia"/>
          <w:b w:val="0"/>
          <w:bCs w:val="0"/>
          <w:sz w:val="28"/>
          <w:szCs w:val="28"/>
          <w:lang w:eastAsia="zh-CN"/>
        </w:rPr>
        <w:t>四</w:t>
      </w:r>
      <w:r>
        <w:rPr>
          <w:rFonts w:hint="eastAsia" w:asciiTheme="majorEastAsia" w:hAnsiTheme="majorEastAsia" w:eastAsiaTheme="majorEastAsia" w:cstheme="majorEastAsia"/>
          <w:b w:val="0"/>
          <w:bCs w:val="0"/>
          <w:sz w:val="28"/>
          <w:szCs w:val="28"/>
        </w:rPr>
        <w:t>）本项目不接受联合体投标。</w:t>
      </w:r>
    </w:p>
    <w:p>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bookmarkStart w:id="7" w:name="_Toc475604109"/>
      <w:r>
        <w:rPr>
          <w:rFonts w:hint="eastAsia" w:asciiTheme="majorEastAsia" w:hAnsiTheme="majorEastAsia" w:eastAsiaTheme="majorEastAsia" w:cstheme="majorEastAsia"/>
          <w:b w:val="0"/>
          <w:bCs w:val="0"/>
          <w:sz w:val="28"/>
          <w:szCs w:val="28"/>
        </w:rPr>
        <w:t>七、联系方式</w:t>
      </w:r>
      <w:bookmarkEnd w:id="7"/>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采购人：重庆市运动技术学院</w:t>
      </w:r>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联系人： 蒋老师</w:t>
      </w:r>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电  话： 13647662805</w:t>
      </w:r>
    </w:p>
    <w:p>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地  址： 重庆市渝中区体育路22号</w:t>
      </w:r>
    </w:p>
    <w:p/>
    <w:p>
      <w:pPr>
        <w:pStyle w:val="3"/>
        <w:spacing w:beforeLines="0" w:afterLines="0"/>
        <w:ind w:firstLine="1320" w:firstLineChars="300"/>
        <w:jc w:val="both"/>
        <w:rPr>
          <w:sz w:val="48"/>
        </w:rPr>
      </w:pPr>
      <w:r>
        <w:rPr>
          <w:rFonts w:hint="eastAsia"/>
          <w:lang w:val="en-US" w:eastAsia="zh-CN"/>
        </w:rPr>
        <w:t xml:space="preserve">   </w:t>
      </w:r>
      <w:r>
        <w:rPr>
          <w:rFonts w:hint="eastAsia"/>
          <w:lang w:eastAsia="zh-CN"/>
        </w:rPr>
        <w:t>第二篇</w:t>
      </w:r>
      <w:r>
        <w:rPr>
          <w:rFonts w:hint="eastAsia"/>
          <w:lang w:val="en-US" w:eastAsia="zh-CN"/>
        </w:rPr>
        <w:t xml:space="preserve">  项目要求</w:t>
      </w:r>
    </w:p>
    <w:p>
      <w:pPr>
        <w:pStyle w:val="3"/>
        <w:numPr>
          <w:ilvl w:val="0"/>
          <w:numId w:val="0"/>
        </w:numPr>
        <w:spacing w:beforeLines="0" w:afterLines="0"/>
        <w:ind w:leftChars="0"/>
        <w:jc w:val="both"/>
        <w:rPr>
          <w:rFonts w:hint="eastAsia"/>
          <w:lang w:val="en-US" w:eastAsia="zh-CN"/>
        </w:rPr>
      </w:pPr>
    </w:p>
    <w:p>
      <w:pPr>
        <w:rPr>
          <w:rFonts w:hint="eastAsia"/>
          <w:lang w:val="en-US" w:eastAsia="zh-CN"/>
        </w:rPr>
      </w:pPr>
    </w:p>
    <w:p>
      <w:pPr>
        <w:numPr>
          <w:ilvl w:val="0"/>
          <w:numId w:val="0"/>
        </w:numPr>
        <w:rPr>
          <w:rFonts w:hint="eastAsia"/>
          <w:sz w:val="28"/>
          <w:szCs w:val="28"/>
          <w:lang w:val="en-US" w:eastAsia="zh-CN"/>
        </w:rPr>
      </w:pPr>
      <w:r>
        <w:rPr>
          <w:rFonts w:hint="eastAsia"/>
          <w:sz w:val="28"/>
          <w:szCs w:val="28"/>
          <w:lang w:val="en-US" w:eastAsia="zh-CN"/>
        </w:rPr>
        <w:t>一、服务地点：采购方指定地点</w:t>
      </w:r>
    </w:p>
    <w:p>
      <w:pPr>
        <w:pStyle w:val="2"/>
        <w:numPr>
          <w:ilvl w:val="0"/>
          <w:numId w:val="0"/>
        </w:numPr>
        <w:rPr>
          <w:rFonts w:hint="eastAsia"/>
          <w:sz w:val="28"/>
          <w:szCs w:val="28"/>
          <w:lang w:val="en-US" w:eastAsia="zh-CN"/>
        </w:rPr>
      </w:pPr>
      <w:r>
        <w:rPr>
          <w:rFonts w:hint="eastAsia"/>
          <w:sz w:val="28"/>
          <w:szCs w:val="28"/>
          <w:lang w:val="en-US" w:eastAsia="zh-CN"/>
        </w:rPr>
        <w:t>二、项目内容：</w:t>
      </w:r>
    </w:p>
    <w:p>
      <w:pPr>
        <w:pStyle w:val="2"/>
        <w:numPr>
          <w:ilvl w:val="0"/>
          <w:numId w:val="2"/>
        </w:numPr>
        <w:rPr>
          <w:rFonts w:hint="eastAsia"/>
          <w:sz w:val="28"/>
          <w:szCs w:val="28"/>
          <w:lang w:val="en-US" w:eastAsia="zh-CN"/>
        </w:rPr>
      </w:pPr>
      <w:r>
        <w:rPr>
          <w:rFonts w:hint="eastAsia"/>
          <w:sz w:val="28"/>
          <w:szCs w:val="28"/>
          <w:lang w:val="en-US" w:eastAsia="zh-CN"/>
        </w:rPr>
        <w:t>冬夏令营对外宣传招募服务：通过自媒体等平台对冬夏令营进行宣传推广。</w:t>
      </w:r>
    </w:p>
    <w:p>
      <w:pPr>
        <w:pStyle w:val="2"/>
        <w:numPr>
          <w:ilvl w:val="0"/>
          <w:numId w:val="2"/>
        </w:numPr>
        <w:rPr>
          <w:rFonts w:hint="eastAsia"/>
          <w:sz w:val="28"/>
          <w:szCs w:val="28"/>
          <w:lang w:val="en-US" w:eastAsia="zh-CN"/>
        </w:rPr>
      </w:pPr>
      <w:r>
        <w:rPr>
          <w:rFonts w:hint="eastAsia"/>
          <w:sz w:val="28"/>
          <w:szCs w:val="28"/>
          <w:lang w:val="en-US" w:eastAsia="zh-CN"/>
        </w:rPr>
        <w:t>冬夏令营培训场地提供：为本次冬夏令营培训提供符合专业要求的训练场地等硬件服务（含场地使用费）。</w:t>
      </w:r>
    </w:p>
    <w:p>
      <w:pPr>
        <w:pStyle w:val="2"/>
        <w:numPr>
          <w:ilvl w:val="0"/>
          <w:numId w:val="2"/>
        </w:numPr>
        <w:rPr>
          <w:rFonts w:hint="eastAsia"/>
          <w:sz w:val="28"/>
          <w:szCs w:val="28"/>
          <w:lang w:val="en-US" w:eastAsia="zh-CN"/>
        </w:rPr>
      </w:pPr>
      <w:r>
        <w:rPr>
          <w:rFonts w:hint="eastAsia"/>
          <w:sz w:val="28"/>
          <w:szCs w:val="28"/>
          <w:lang w:val="en-US" w:eastAsia="zh-CN"/>
        </w:rPr>
        <w:t>冬夏令营培训教练和工作人员保障：为本次冬夏令营培训提供专业的皮划艇等水上项目培训教练和工作人员保障服务（含工资、伙食、交通费）。</w:t>
      </w:r>
    </w:p>
    <w:p>
      <w:pPr>
        <w:pStyle w:val="2"/>
        <w:numPr>
          <w:ilvl w:val="0"/>
          <w:numId w:val="3"/>
        </w:numPr>
        <w:rPr>
          <w:rFonts w:hint="eastAsia"/>
          <w:sz w:val="28"/>
          <w:szCs w:val="28"/>
          <w:lang w:val="en-US" w:eastAsia="zh-CN"/>
        </w:rPr>
      </w:pPr>
      <w:r>
        <w:rPr>
          <w:rFonts w:hint="eastAsia"/>
          <w:sz w:val="28"/>
          <w:szCs w:val="28"/>
          <w:lang w:val="en-US" w:eastAsia="zh-CN"/>
        </w:rPr>
        <w:t>服务期限：2019年1月-12月</w:t>
      </w: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jc w:val="center"/>
        <w:rPr>
          <w:rFonts w:hint="eastAsia"/>
          <w:b/>
          <w:bCs/>
          <w:sz w:val="44"/>
          <w:szCs w:val="44"/>
          <w:lang w:val="en-US" w:eastAsia="zh-CN"/>
        </w:rPr>
      </w:pPr>
      <w:r>
        <w:rPr>
          <w:rFonts w:hint="eastAsia"/>
          <w:b/>
          <w:bCs/>
          <w:sz w:val="44"/>
          <w:szCs w:val="44"/>
          <w:lang w:val="en-US" w:eastAsia="zh-CN"/>
        </w:rPr>
        <w:t>第三篇 项目商务要求</w:t>
      </w:r>
    </w:p>
    <w:p>
      <w:pPr>
        <w:numPr>
          <w:ilvl w:val="0"/>
          <w:numId w:val="0"/>
        </w:numPr>
        <w:ind w:leftChars="0"/>
      </w:pPr>
    </w:p>
    <w:p>
      <w:pPr>
        <w:pStyle w:val="2"/>
        <w:numPr>
          <w:ilvl w:val="0"/>
          <w:numId w:val="4"/>
        </w:numPr>
        <w:rPr>
          <w:rFonts w:hint="eastAsia"/>
          <w:lang w:eastAsia="zh-CN"/>
        </w:rPr>
      </w:pPr>
      <w:r>
        <w:rPr>
          <w:rFonts w:hint="eastAsia"/>
          <w:lang w:eastAsia="zh-CN"/>
        </w:rPr>
        <w:t>服务期、地点及验收方式</w:t>
      </w:r>
    </w:p>
    <w:p>
      <w:pPr>
        <w:pStyle w:val="2"/>
        <w:numPr>
          <w:ilvl w:val="0"/>
          <w:numId w:val="5"/>
        </w:numPr>
        <w:rPr>
          <w:rFonts w:hint="eastAsia"/>
          <w:lang w:val="en-US" w:eastAsia="zh-CN"/>
        </w:rPr>
      </w:pPr>
      <w:r>
        <w:rPr>
          <w:rFonts w:hint="eastAsia"/>
          <w:lang w:eastAsia="zh-CN"/>
        </w:rPr>
        <w:t>、服务期：</w:t>
      </w:r>
      <w:r>
        <w:rPr>
          <w:rFonts w:hint="eastAsia"/>
          <w:lang w:val="en-US" w:eastAsia="zh-CN"/>
        </w:rPr>
        <w:t>2019年1月-12月</w:t>
      </w:r>
    </w:p>
    <w:p>
      <w:pPr>
        <w:pStyle w:val="2"/>
        <w:numPr>
          <w:ilvl w:val="0"/>
          <w:numId w:val="5"/>
        </w:numPr>
        <w:rPr>
          <w:rFonts w:hint="eastAsia"/>
          <w:lang w:val="en-US" w:eastAsia="zh-CN"/>
        </w:rPr>
      </w:pPr>
      <w:r>
        <w:rPr>
          <w:rFonts w:hint="eastAsia"/>
          <w:lang w:val="en-US" w:eastAsia="zh-CN"/>
        </w:rPr>
        <w:t>服务地点：采购方指定地点</w:t>
      </w:r>
    </w:p>
    <w:p>
      <w:pPr>
        <w:pStyle w:val="2"/>
        <w:numPr>
          <w:ilvl w:val="0"/>
          <w:numId w:val="5"/>
        </w:numPr>
        <w:rPr>
          <w:rFonts w:hint="eastAsia"/>
          <w:lang w:val="en-US" w:eastAsia="zh-CN"/>
        </w:rPr>
      </w:pPr>
      <w:r>
        <w:rPr>
          <w:rFonts w:hint="eastAsia"/>
          <w:lang w:val="en-US" w:eastAsia="zh-CN"/>
        </w:rPr>
        <w:t>验收方式：冬夏令营举办完成后，采购方进行活动绩效评估</w:t>
      </w:r>
    </w:p>
    <w:p>
      <w:pPr>
        <w:pStyle w:val="2"/>
        <w:numPr>
          <w:ilvl w:val="0"/>
          <w:numId w:val="4"/>
        </w:numPr>
        <w:ind w:left="0" w:leftChars="0" w:firstLine="420" w:firstLineChars="0"/>
        <w:rPr>
          <w:rFonts w:hint="eastAsia"/>
          <w:lang w:val="en-US" w:eastAsia="zh-CN"/>
        </w:rPr>
      </w:pPr>
      <w:r>
        <w:rPr>
          <w:rFonts w:hint="eastAsia"/>
          <w:lang w:val="en-US" w:eastAsia="zh-CN"/>
        </w:rPr>
        <w:t>付款方式</w:t>
      </w:r>
    </w:p>
    <w:p>
      <w:pPr>
        <w:pStyle w:val="2"/>
        <w:numPr>
          <w:ilvl w:val="0"/>
          <w:numId w:val="0"/>
        </w:numPr>
        <w:ind w:left="420" w:leftChars="0" w:firstLine="480" w:firstLineChars="200"/>
        <w:rPr>
          <w:rFonts w:hint="eastAsia"/>
          <w:lang w:val="en-US" w:eastAsia="zh-CN"/>
        </w:rPr>
      </w:pPr>
      <w:r>
        <w:rPr>
          <w:rFonts w:hint="eastAsia"/>
          <w:lang w:val="en-US" w:eastAsia="zh-CN"/>
        </w:rPr>
        <w:t>合同签订后，成交供应商制定冬夏令营执行方案，经采购人审定后，按合同金额支付80%，冬夏令营举办完成，采购方进行评估活动绩效后，再支付20%。</w:t>
      </w:r>
    </w:p>
    <w:p>
      <w:pPr>
        <w:pStyle w:val="2"/>
        <w:numPr>
          <w:ilvl w:val="0"/>
          <w:numId w:val="4"/>
        </w:numPr>
        <w:ind w:left="0" w:leftChars="0" w:firstLine="420" w:firstLineChars="0"/>
        <w:rPr>
          <w:rFonts w:hint="eastAsia"/>
          <w:lang w:val="en-US" w:eastAsia="zh-CN"/>
        </w:rPr>
      </w:pPr>
      <w:r>
        <w:rPr>
          <w:rFonts w:hint="eastAsia"/>
          <w:lang w:val="en-US" w:eastAsia="zh-CN"/>
        </w:rPr>
        <w:t>知识产权</w:t>
      </w:r>
    </w:p>
    <w:p>
      <w:pPr>
        <w:pStyle w:val="2"/>
        <w:numPr>
          <w:ilvl w:val="0"/>
          <w:numId w:val="0"/>
        </w:numPr>
        <w:ind w:left="420" w:leftChars="0"/>
        <w:rPr>
          <w:rFonts w:hint="eastAsia"/>
          <w:lang w:val="en-US" w:eastAsia="zh-CN"/>
        </w:rPr>
      </w:pPr>
      <w:r>
        <w:rPr>
          <w:rFonts w:hint="eastAsia"/>
          <w:lang w:val="en-US" w:eastAsia="zh-CN"/>
        </w:rPr>
        <w:t xml:space="preserve">    采购人在中华</w:t>
      </w:r>
      <w:bookmarkStart w:id="37" w:name="_GoBack"/>
      <w:bookmarkEnd w:id="37"/>
      <w:r>
        <w:rPr>
          <w:rFonts w:hint="eastAsia"/>
          <w:lang w:val="en-US" w:eastAsia="zh-CN"/>
        </w:rPr>
        <w:t>人民共和国境内使用成交供应商提供的货物及服务时免受第三方提出的侵权其专利或其他知识产权的起诉。如果第三方提出侵权指控，成交供应商应承担由此而引起的一切法律责任和费用。</w:t>
      </w: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rPr>
          <w:rFonts w:hint="eastAsia"/>
          <w:lang w:eastAsia="zh-CN"/>
        </w:rPr>
      </w:pPr>
    </w:p>
    <w:p>
      <w:pPr>
        <w:pStyle w:val="3"/>
        <w:keepNext w:val="0"/>
        <w:spacing w:before="0" w:beforeLines="0" w:after="0" w:afterLines="0" w:line="240" w:lineRule="auto"/>
        <w:rPr>
          <w:rFonts w:hint="eastAsia" w:ascii="华文中宋" w:hAnsi="华文中宋" w:eastAsia="华文中宋"/>
          <w:b/>
        </w:rPr>
      </w:pPr>
      <w:bookmarkStart w:id="8" w:name="_Toc475604121"/>
    </w:p>
    <w:p>
      <w:pPr>
        <w:pStyle w:val="3"/>
        <w:keepNext w:val="0"/>
        <w:spacing w:before="0" w:beforeLines="0" w:after="0" w:afterLines="0" w:line="240" w:lineRule="auto"/>
        <w:rPr>
          <w:rFonts w:hint="eastAsia" w:ascii="华文中宋" w:hAnsi="华文中宋" w:eastAsia="华文中宋"/>
          <w:b/>
        </w:rPr>
      </w:pPr>
    </w:p>
    <w:p>
      <w:pPr>
        <w:pStyle w:val="3"/>
        <w:keepNext w:val="0"/>
        <w:spacing w:before="0" w:beforeLines="0" w:after="0" w:afterLines="0" w:line="240" w:lineRule="auto"/>
        <w:rPr>
          <w:rFonts w:hint="eastAsia" w:ascii="华文中宋" w:hAnsi="华文中宋" w:eastAsia="华文中宋"/>
          <w:b/>
        </w:rPr>
      </w:pPr>
    </w:p>
    <w:p>
      <w:pPr>
        <w:pStyle w:val="3"/>
        <w:keepNext w:val="0"/>
        <w:spacing w:before="0" w:beforeLines="0" w:after="0" w:afterLines="0" w:line="240" w:lineRule="auto"/>
        <w:rPr>
          <w:rFonts w:hint="eastAsia" w:ascii="华文中宋" w:hAnsi="华文中宋" w:eastAsia="华文中宋"/>
          <w:b/>
        </w:rPr>
      </w:pPr>
    </w:p>
    <w:p>
      <w:pPr>
        <w:pStyle w:val="3"/>
        <w:keepNext w:val="0"/>
        <w:spacing w:before="0" w:beforeLines="0" w:after="0" w:afterLines="0" w:line="240" w:lineRule="auto"/>
        <w:rPr>
          <w:rFonts w:hint="eastAsia" w:ascii="华文中宋" w:hAnsi="华文中宋" w:eastAsia="华文中宋"/>
          <w:b/>
        </w:rPr>
      </w:pPr>
    </w:p>
    <w:p>
      <w:pPr>
        <w:pStyle w:val="3"/>
        <w:keepNext w:val="0"/>
        <w:spacing w:before="0" w:beforeLines="0" w:after="0" w:afterLines="0" w:line="240" w:lineRule="auto"/>
        <w:rPr>
          <w:rFonts w:hint="eastAsia" w:ascii="华文中宋" w:hAnsi="华文中宋" w:eastAsia="华文中宋"/>
          <w:b/>
        </w:rPr>
      </w:pPr>
    </w:p>
    <w:p>
      <w:pPr>
        <w:pStyle w:val="3"/>
        <w:keepNext w:val="0"/>
        <w:spacing w:before="0" w:beforeLines="0" w:after="0" w:afterLines="0" w:line="240" w:lineRule="auto"/>
        <w:rPr>
          <w:rFonts w:hint="eastAsia" w:ascii="华文中宋" w:hAnsi="华文中宋" w:eastAsia="华文中宋"/>
          <w:b/>
        </w:rPr>
      </w:pPr>
    </w:p>
    <w:p>
      <w:pPr>
        <w:pStyle w:val="3"/>
        <w:keepNext w:val="0"/>
        <w:spacing w:before="0" w:beforeLines="0" w:after="0" w:afterLines="0" w:line="240" w:lineRule="auto"/>
        <w:rPr>
          <w:rFonts w:hint="eastAsia" w:ascii="华文中宋" w:hAnsi="华文中宋" w:eastAsia="华文中宋"/>
          <w:b/>
        </w:rPr>
      </w:pPr>
    </w:p>
    <w:p>
      <w:pPr>
        <w:pStyle w:val="3"/>
        <w:keepNext w:val="0"/>
        <w:spacing w:before="0" w:beforeLines="0" w:after="0" w:afterLines="0" w:line="240" w:lineRule="auto"/>
        <w:rPr>
          <w:rFonts w:hint="eastAsia" w:ascii="华文中宋" w:hAnsi="华文中宋" w:eastAsia="华文中宋"/>
          <w:b/>
        </w:rPr>
      </w:pPr>
    </w:p>
    <w:p>
      <w:pPr>
        <w:pStyle w:val="3"/>
        <w:keepNext w:val="0"/>
        <w:spacing w:before="0" w:beforeLines="0" w:after="0" w:afterLines="0" w:line="240" w:lineRule="auto"/>
        <w:rPr>
          <w:rFonts w:hint="eastAsia" w:ascii="华文中宋" w:hAnsi="华文中宋" w:eastAsia="华文中宋"/>
          <w:b/>
        </w:rPr>
      </w:pPr>
    </w:p>
    <w:p>
      <w:pPr>
        <w:pStyle w:val="3"/>
        <w:keepNext w:val="0"/>
        <w:spacing w:before="0" w:beforeLines="0" w:after="0" w:afterLines="0" w:line="240" w:lineRule="auto"/>
        <w:rPr>
          <w:rFonts w:hint="eastAsia" w:ascii="华文中宋" w:hAnsi="华文中宋" w:eastAsia="华文中宋"/>
          <w:b/>
        </w:rPr>
      </w:pPr>
    </w:p>
    <w:p>
      <w:pPr>
        <w:pStyle w:val="3"/>
        <w:keepNext w:val="0"/>
        <w:spacing w:before="0" w:beforeLines="0" w:after="0" w:afterLines="0" w:line="240" w:lineRule="auto"/>
        <w:rPr>
          <w:rFonts w:hint="eastAsia" w:ascii="华文中宋" w:hAnsi="华文中宋" w:eastAsia="华文中宋"/>
          <w:b/>
        </w:rPr>
      </w:pPr>
      <w:r>
        <w:rPr>
          <w:rFonts w:hint="eastAsia" w:ascii="华文中宋" w:hAnsi="华文中宋" w:eastAsia="华文中宋"/>
          <w:b/>
        </w:rPr>
        <w:t>第四篇评标方法、无效投标条款和废标条款</w:t>
      </w:r>
      <w:bookmarkEnd w:id="8"/>
    </w:p>
    <w:p>
      <w:pPr>
        <w:rPr>
          <w:rFonts w:hint="eastAsia"/>
        </w:rPr>
      </w:pPr>
    </w:p>
    <w:p>
      <w:pPr>
        <w:pStyle w:val="4"/>
        <w:keepNext w:val="0"/>
        <w:spacing w:line="400" w:lineRule="exact"/>
        <w:ind w:firstLine="482" w:firstLineChars="200"/>
        <w:rPr>
          <w:rFonts w:hint="eastAsia" w:ascii="华文中宋" w:hAnsi="华文中宋" w:eastAsia="华文中宋"/>
          <w:b/>
          <w:sz w:val="24"/>
          <w:szCs w:val="24"/>
        </w:rPr>
      </w:pPr>
      <w:bookmarkStart w:id="9" w:name="_Toc475604122"/>
      <w:r>
        <w:rPr>
          <w:rFonts w:hint="eastAsia" w:ascii="华文中宋" w:hAnsi="华文中宋" w:eastAsia="华文中宋"/>
          <w:b/>
          <w:sz w:val="24"/>
          <w:szCs w:val="24"/>
        </w:rPr>
        <w:t>一、评标方法</w:t>
      </w:r>
      <w:bookmarkEnd w:id="9"/>
    </w:p>
    <w:p>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（一）评标方法定义</w:t>
      </w:r>
    </w:p>
    <w:p>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本项目采用询价采购法进行评标。</w:t>
      </w:r>
    </w:p>
    <w:p>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（二）评标程序</w:t>
      </w:r>
    </w:p>
    <w:p>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评标工作由采购方自行组织，具体评标事务由采购方组建的评标委员会负责。</w:t>
      </w:r>
    </w:p>
    <w:p>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评标委员会成员到位后，推举其中一位评审专家担任评审组长，并由评审组长牵头组织该项目评审工作。评标委员会按以下程序独立履行评审职责：</w:t>
      </w:r>
    </w:p>
    <w:p>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1、资格性检查。依据法律法规和招标文件的规定，对投标文件中的资格证明进行审查，以确定投标人是否具备投标资格。资格性检查资料表如下：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序号</w:t>
            </w:r>
          </w:p>
        </w:tc>
        <w:tc>
          <w:tcPr>
            <w:tcW w:w="5388" w:type="dxa"/>
            <w:gridSpan w:val="2"/>
            <w:noWrap w:val="0"/>
            <w:vAlign w:val="center"/>
          </w:tcPr>
          <w:p>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检查因素</w:t>
            </w:r>
          </w:p>
        </w:tc>
        <w:tc>
          <w:tcPr>
            <w:tcW w:w="3564" w:type="dxa"/>
            <w:noWrap w:val="0"/>
            <w:vAlign w:val="center"/>
          </w:tcPr>
          <w:p>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pPr>
              <w:spacing w:line="240" w:lineRule="exact"/>
              <w:jc w:val="center"/>
              <w:rPr>
                <w:rFonts w:hint="eastAsia" w:ascii="华文中宋" w:hAnsi="华文中宋" w:eastAsia="华文中宋"/>
                <w:sz w:val="21"/>
                <w:szCs w:val="21"/>
              </w:rPr>
            </w:pPr>
            <w:r>
              <w:rPr>
                <w:rFonts w:hint="eastAsia" w:ascii="华文中宋" w:hAnsi="华文中宋" w:eastAsia="华文中宋"/>
                <w:sz w:val="21"/>
                <w:szCs w:val="21"/>
              </w:rPr>
              <w:t>1</w:t>
            </w:r>
          </w:p>
        </w:tc>
        <w:tc>
          <w:tcPr>
            <w:tcW w:w="709" w:type="dxa"/>
            <w:vMerge w:val="restart"/>
            <w:noWrap w:val="0"/>
            <w:vAlign w:val="center"/>
          </w:tcPr>
          <w:p>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仿宋_GB2312"/>
                <w:sz w:val="21"/>
                <w:szCs w:val="21"/>
                <w:lang w:val="zh-CN"/>
              </w:rPr>
              <w:t>投标人应符合的基本资格条件</w:t>
            </w:r>
          </w:p>
        </w:tc>
        <w:tc>
          <w:tcPr>
            <w:tcW w:w="4679" w:type="dxa"/>
            <w:noWrap w:val="0"/>
            <w:vAlign w:val="center"/>
          </w:tcPr>
          <w:p>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（1）具有独立承担民事责任的能力</w:t>
            </w:r>
          </w:p>
        </w:tc>
        <w:tc>
          <w:tcPr>
            <w:tcW w:w="3564" w:type="dxa"/>
            <w:noWrap w:val="0"/>
            <w:vAlign w:val="center"/>
          </w:tcPr>
          <w:p>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投标人法人营业执照（副本）或事业单位法人证书（副本）或个体工商户营业执照或有效的自然人身份证明、组织机构代码证复印件（注</w:t>
            </w:r>
            <w:r>
              <w:rPr>
                <w:rFonts w:hint="eastAsia" w:ascii="华文中宋" w:hAnsi="华文中宋" w:eastAsia="华文中宋"/>
                <w:sz w:val="21"/>
                <w:szCs w:val="21"/>
              </w:rPr>
              <w:fldChar w:fldCharType="begin"/>
            </w:r>
            <w:r>
              <w:rPr>
                <w:rFonts w:hint="eastAsia" w:ascii="华文中宋" w:hAnsi="华文中宋" w:eastAsia="华文中宋"/>
                <w:sz w:val="21"/>
                <w:szCs w:val="21"/>
              </w:rPr>
              <w:instrText xml:space="preserve"> eq \o\ac(○,</w:instrText>
            </w:r>
            <w:r>
              <w:rPr>
                <w:rFonts w:hint="eastAsia" w:ascii="华文中宋" w:hAnsi="华文中宋" w:eastAsia="华文中宋"/>
                <w:position w:val="2"/>
                <w:sz w:val="14"/>
                <w:szCs w:val="21"/>
              </w:rPr>
              <w:instrText xml:space="preserve">2</w:instrText>
            </w:r>
            <w:r>
              <w:rPr>
                <w:rFonts w:hint="eastAsia" w:ascii="华文中宋" w:hAnsi="华文中宋" w:eastAsia="华文中宋"/>
                <w:sz w:val="21"/>
                <w:szCs w:val="21"/>
              </w:rPr>
              <w:instrText xml:space="preserve">)</w:instrText>
            </w:r>
            <w:r>
              <w:rPr>
                <w:rFonts w:hint="eastAsia" w:ascii="华文中宋" w:hAnsi="华文中宋" w:eastAsia="华文中宋"/>
                <w:sz w:val="21"/>
                <w:szCs w:val="21"/>
              </w:rPr>
              <w:fldChar w:fldCharType="end"/>
            </w:r>
            <w:r>
              <w:rPr>
                <w:rFonts w:hint="eastAsia" w:ascii="华文中宋" w:hAnsi="华文中宋" w:eastAsia="华文中宋"/>
                <w:sz w:val="21"/>
                <w:szCs w:val="21"/>
              </w:rPr>
              <w:t xml:space="preserve">）； </w:t>
            </w:r>
          </w:p>
          <w:p>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投标人法定代表人身份证明和法定代表人授权代表委托书。</w:t>
            </w:r>
          </w:p>
          <w:p>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不具有独立法人的分公司、办事处等分支机构不能参加投标。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华文中宋" w:hAnsi="华文中宋" w:eastAsia="华文中宋"/>
                <w:sz w:val="21"/>
                <w:szCs w:val="21"/>
              </w:rPr>
            </w:pPr>
          </w:p>
        </w:tc>
        <w:tc>
          <w:tcPr>
            <w:tcW w:w="709" w:type="dxa"/>
            <w:vMerge w:val="continue"/>
            <w:noWrap w:val="0"/>
            <w:vAlign w:val="center"/>
          </w:tcPr>
          <w:p>
            <w:pPr>
              <w:spacing w:line="240" w:lineRule="exact"/>
              <w:rPr>
                <w:rFonts w:hint="eastAsia" w:ascii="华文中宋" w:hAnsi="华文中宋" w:eastAsia="华文中宋" w:cs="仿宋_GB2312"/>
                <w:sz w:val="21"/>
                <w:szCs w:val="21"/>
                <w:lang w:val="zh-CN"/>
              </w:rPr>
            </w:pPr>
          </w:p>
        </w:tc>
        <w:tc>
          <w:tcPr>
            <w:tcW w:w="4679" w:type="dxa"/>
            <w:noWrap w:val="0"/>
            <w:vAlign w:val="center"/>
          </w:tcPr>
          <w:p>
            <w:pPr>
              <w:spacing w:line="240" w:lineRule="exact"/>
              <w:rPr>
                <w:rFonts w:hint="eastAsia" w:ascii="华文中宋" w:hAnsi="华文中宋" w:eastAsia="华文中宋"/>
                <w:sz w:val="21"/>
                <w:szCs w:val="21"/>
                <w:lang w:eastAsia="zh-CN"/>
              </w:rPr>
            </w:pPr>
            <w:r>
              <w:rPr>
                <w:rFonts w:hint="eastAsia" w:ascii="华文中宋" w:hAnsi="华文中宋" w:eastAsia="华文中宋" w:cs="仿宋_GB2312"/>
                <w:sz w:val="21"/>
                <w:szCs w:val="21"/>
                <w:lang w:val="zh-CN"/>
              </w:rPr>
              <w:t>（2）</w:t>
            </w:r>
            <w:r>
              <w:rPr>
                <w:rFonts w:hint="eastAsia" w:ascii="华文中宋" w:hAnsi="华文中宋" w:eastAsia="华文中宋"/>
                <w:sz w:val="21"/>
                <w:szCs w:val="21"/>
              </w:rPr>
              <w:t>具有</w:t>
            </w:r>
            <w:r>
              <w:rPr>
                <w:rFonts w:hint="eastAsia" w:ascii="华文中宋" w:hAnsi="华文中宋" w:eastAsia="华文中宋"/>
                <w:sz w:val="21"/>
                <w:szCs w:val="21"/>
                <w:lang w:eastAsia="zh-CN"/>
              </w:rPr>
              <w:t>完整皮划艇课程体系、具备安全可靠培训服务能力</w:t>
            </w:r>
          </w:p>
        </w:tc>
        <w:tc>
          <w:tcPr>
            <w:tcW w:w="3564" w:type="dxa"/>
            <w:noWrap w:val="0"/>
            <w:vAlign w:val="center"/>
          </w:tcPr>
          <w:p>
            <w:pPr>
              <w:spacing w:line="240" w:lineRule="exact"/>
              <w:rPr>
                <w:rFonts w:hint="eastAsia" w:ascii="华文中宋" w:hAnsi="华文中宋" w:eastAsia="华文中宋"/>
                <w:sz w:val="21"/>
                <w:szCs w:val="21"/>
                <w:lang w:eastAsia="zh-CN"/>
              </w:rPr>
            </w:pPr>
            <w:r>
              <w:rPr>
                <w:rFonts w:hint="eastAsia" w:ascii="华文中宋" w:hAnsi="华文中宋" w:eastAsia="华文中宋"/>
                <w:sz w:val="21"/>
                <w:szCs w:val="21"/>
                <w:lang w:eastAsia="zh-CN"/>
              </w:rPr>
              <w:t>提供本次冬夏令营活动执行方案和专门的安全预案（</w:t>
            </w:r>
            <w:r>
              <w:rPr>
                <w:rFonts w:hint="eastAsia" w:ascii="华文中宋" w:hAnsi="华文中宋" w:eastAsia="华文中宋"/>
                <w:sz w:val="21"/>
                <w:szCs w:val="21"/>
              </w:rPr>
              <w:t>复印件</w:t>
            </w:r>
            <w:r>
              <w:rPr>
                <w:rFonts w:hint="eastAsia" w:ascii="华文中宋" w:hAnsi="华文中宋" w:eastAsia="华文中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noWrap w:val="0"/>
            <w:vAlign w:val="center"/>
          </w:tcPr>
          <w:p>
            <w:pPr>
              <w:spacing w:line="240" w:lineRule="exact"/>
              <w:jc w:val="center"/>
              <w:rPr>
                <w:rFonts w:hint="eastAsia" w:ascii="华文中宋" w:hAnsi="华文中宋" w:eastAsia="华文中宋"/>
                <w:sz w:val="21"/>
                <w:szCs w:val="21"/>
              </w:rPr>
            </w:pPr>
          </w:p>
        </w:tc>
        <w:tc>
          <w:tcPr>
            <w:tcW w:w="709" w:type="dxa"/>
            <w:vMerge w:val="continue"/>
            <w:noWrap w:val="0"/>
            <w:vAlign w:val="center"/>
          </w:tcPr>
          <w:p>
            <w:pPr>
              <w:spacing w:line="240" w:lineRule="exact"/>
              <w:rPr>
                <w:rFonts w:hint="eastAsia" w:ascii="华文中宋" w:hAnsi="华文中宋" w:eastAsia="华文中宋" w:cs="仿宋_GB2312"/>
                <w:sz w:val="21"/>
                <w:szCs w:val="21"/>
                <w:lang w:val="zh-CN"/>
              </w:rPr>
            </w:pPr>
          </w:p>
        </w:tc>
        <w:tc>
          <w:tcPr>
            <w:tcW w:w="4679" w:type="dxa"/>
            <w:noWrap w:val="0"/>
            <w:vAlign w:val="center"/>
          </w:tcPr>
          <w:p>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仿宋_GB2312"/>
                <w:sz w:val="21"/>
                <w:szCs w:val="21"/>
                <w:lang w:val="zh-CN"/>
              </w:rPr>
              <w:t>（3）具备适合皮划艇培训活动的场地</w:t>
            </w:r>
          </w:p>
        </w:tc>
        <w:tc>
          <w:tcPr>
            <w:tcW w:w="3564" w:type="dxa"/>
            <w:noWrap w:val="0"/>
            <w:vAlign w:val="center"/>
          </w:tcPr>
          <w:p>
            <w:pPr>
              <w:spacing w:line="240" w:lineRule="exact"/>
              <w:rPr>
                <w:rFonts w:hint="eastAsia" w:ascii="华文中宋" w:hAnsi="华文中宋" w:eastAsia="华文中宋"/>
                <w:sz w:val="21"/>
                <w:szCs w:val="21"/>
                <w:lang w:eastAsia="zh-CN"/>
              </w:rPr>
            </w:pPr>
            <w:r>
              <w:rPr>
                <w:rFonts w:hint="eastAsia" w:ascii="华文中宋" w:hAnsi="华文中宋" w:eastAsia="华文中宋"/>
                <w:sz w:val="21"/>
                <w:szCs w:val="21"/>
              </w:rPr>
              <w:t>投标人</w:t>
            </w:r>
            <w:r>
              <w:rPr>
                <w:rFonts w:hint="eastAsia" w:ascii="华文中宋" w:hAnsi="华文中宋" w:eastAsia="华文中宋"/>
                <w:sz w:val="21"/>
                <w:szCs w:val="21"/>
                <w:lang w:eastAsia="zh-CN"/>
              </w:rPr>
              <w:t>提供场地使用证明（复印件）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华文中宋" w:hAnsi="华文中宋" w:eastAsia="华文中宋"/>
                <w:sz w:val="21"/>
                <w:szCs w:val="21"/>
              </w:rPr>
            </w:pPr>
          </w:p>
        </w:tc>
        <w:tc>
          <w:tcPr>
            <w:tcW w:w="709" w:type="dxa"/>
            <w:vMerge w:val="continue"/>
            <w:noWrap w:val="0"/>
            <w:vAlign w:val="center"/>
          </w:tcPr>
          <w:p>
            <w:pPr>
              <w:spacing w:line="240" w:lineRule="exact"/>
              <w:rPr>
                <w:rFonts w:hint="eastAsia" w:ascii="华文中宋" w:hAnsi="华文中宋" w:eastAsia="华文中宋" w:cs="仿宋_GB2312"/>
                <w:sz w:val="21"/>
                <w:szCs w:val="21"/>
                <w:lang w:val="zh-CN"/>
              </w:rPr>
            </w:pPr>
          </w:p>
        </w:tc>
        <w:tc>
          <w:tcPr>
            <w:tcW w:w="4679" w:type="dxa"/>
            <w:noWrap w:val="0"/>
            <w:vAlign w:val="center"/>
          </w:tcPr>
          <w:p>
            <w:pPr>
              <w:spacing w:line="240" w:lineRule="exact"/>
              <w:rPr>
                <w:rFonts w:hint="eastAsia" w:ascii="华文中宋" w:hAnsi="华文中宋" w:eastAsia="华文中宋" w:cs="仿宋_GB2312"/>
                <w:sz w:val="21"/>
                <w:szCs w:val="21"/>
                <w:lang w:val="zh-CN"/>
              </w:rPr>
            </w:pPr>
          </w:p>
        </w:tc>
        <w:tc>
          <w:tcPr>
            <w:tcW w:w="3564" w:type="dxa"/>
            <w:noWrap w:val="0"/>
            <w:vAlign w:val="center"/>
          </w:tcPr>
          <w:p>
            <w:pPr>
              <w:spacing w:line="240" w:lineRule="exact"/>
              <w:rPr>
                <w:rFonts w:hint="eastAsia"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华文中宋" w:hAnsi="华文中宋" w:eastAsia="华文中宋"/>
                <w:sz w:val="21"/>
                <w:szCs w:val="21"/>
              </w:rPr>
            </w:pPr>
          </w:p>
        </w:tc>
        <w:tc>
          <w:tcPr>
            <w:tcW w:w="709" w:type="dxa"/>
            <w:vMerge w:val="continue"/>
            <w:noWrap w:val="0"/>
            <w:vAlign w:val="center"/>
          </w:tcPr>
          <w:p>
            <w:pPr>
              <w:spacing w:line="240" w:lineRule="exact"/>
              <w:rPr>
                <w:rFonts w:hint="eastAsia" w:ascii="华文中宋" w:hAnsi="华文中宋" w:eastAsia="华文中宋" w:cs="仿宋_GB2312"/>
                <w:sz w:val="21"/>
                <w:szCs w:val="21"/>
                <w:lang w:val="zh-CN"/>
              </w:rPr>
            </w:pPr>
          </w:p>
        </w:tc>
        <w:tc>
          <w:tcPr>
            <w:tcW w:w="4679" w:type="dxa"/>
            <w:noWrap w:val="0"/>
            <w:vAlign w:val="center"/>
          </w:tcPr>
          <w:p>
            <w:pPr>
              <w:spacing w:line="240" w:lineRule="exact"/>
              <w:rPr>
                <w:rFonts w:hint="eastAsia" w:ascii="华文中宋" w:hAnsi="华文中宋" w:eastAsia="华文中宋" w:cs="仿宋_GB2312"/>
                <w:sz w:val="21"/>
                <w:szCs w:val="21"/>
                <w:lang w:val="zh-CN" w:eastAsia="zh-CN"/>
              </w:rPr>
            </w:pPr>
            <w:r>
              <w:rPr>
                <w:rFonts w:hint="eastAsia" w:ascii="华文中宋" w:hAnsi="华文中宋" w:eastAsia="华文中宋"/>
                <w:sz w:val="21"/>
                <w:szCs w:val="21"/>
              </w:rPr>
              <w:t>（</w:t>
            </w:r>
            <w:r>
              <w:rPr>
                <w:rFonts w:hint="eastAsia" w:ascii="华文中宋" w:hAnsi="华文中宋" w:eastAsia="华文中宋"/>
                <w:sz w:val="21"/>
                <w:szCs w:val="21"/>
                <w:lang w:val="en-US" w:eastAsia="zh-CN"/>
              </w:rPr>
              <w:t>4</w:t>
            </w:r>
            <w:r>
              <w:rPr>
                <w:rFonts w:hint="eastAsia" w:ascii="华文中宋" w:hAnsi="华文中宋" w:eastAsia="华文中宋"/>
                <w:sz w:val="21"/>
                <w:szCs w:val="21"/>
              </w:rPr>
              <w:t>）</w:t>
            </w:r>
            <w:r>
              <w:rPr>
                <w:rFonts w:hint="eastAsia" w:ascii="华文中宋" w:hAnsi="华文中宋" w:eastAsia="华文中宋"/>
                <w:sz w:val="21"/>
                <w:szCs w:val="21"/>
                <w:lang w:eastAsia="zh-CN"/>
              </w:rPr>
              <w:t>具备皮划艇教练资质，有青少年冬夏令营运作经验的教学团队</w:t>
            </w:r>
          </w:p>
        </w:tc>
        <w:tc>
          <w:tcPr>
            <w:tcW w:w="3564" w:type="dxa"/>
            <w:noWrap w:val="0"/>
            <w:vAlign w:val="center"/>
          </w:tcPr>
          <w:p>
            <w:pPr>
              <w:spacing w:line="240" w:lineRule="exact"/>
              <w:rPr>
                <w:rFonts w:hint="eastAsia" w:ascii="华文中宋" w:hAnsi="华文中宋" w:eastAsia="华文中宋"/>
                <w:sz w:val="21"/>
                <w:szCs w:val="21"/>
                <w:lang w:eastAsia="zh-CN"/>
              </w:rPr>
            </w:pPr>
            <w:r>
              <w:rPr>
                <w:rFonts w:hint="eastAsia" w:ascii="华文中宋" w:hAnsi="华文中宋" w:eastAsia="华文中宋"/>
                <w:sz w:val="21"/>
                <w:szCs w:val="21"/>
              </w:rPr>
              <w:t>1.投标人提供</w:t>
            </w:r>
            <w:r>
              <w:rPr>
                <w:rFonts w:hint="eastAsia" w:ascii="华文中宋" w:hAnsi="华文中宋" w:eastAsia="华文中宋"/>
                <w:sz w:val="21"/>
                <w:szCs w:val="21"/>
                <w:lang w:eastAsia="zh-CN"/>
              </w:rPr>
              <w:t>教练专业资质证明（复印件）</w:t>
            </w:r>
          </w:p>
          <w:p>
            <w:pPr>
              <w:spacing w:line="240" w:lineRule="exact"/>
              <w:rPr>
                <w:rFonts w:hint="eastAsia" w:ascii="华文中宋" w:hAnsi="华文中宋" w:eastAsia="华文中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noWrap w:val="0"/>
            <w:vAlign w:val="center"/>
          </w:tcPr>
          <w:p>
            <w:pPr>
              <w:spacing w:line="240" w:lineRule="exact"/>
              <w:jc w:val="center"/>
              <w:rPr>
                <w:rFonts w:hint="eastAsia" w:ascii="华文中宋" w:hAnsi="华文中宋" w:eastAsia="华文中宋"/>
                <w:sz w:val="21"/>
                <w:szCs w:val="21"/>
              </w:rPr>
            </w:pPr>
          </w:p>
        </w:tc>
        <w:tc>
          <w:tcPr>
            <w:tcW w:w="709" w:type="dxa"/>
            <w:vMerge w:val="continue"/>
            <w:noWrap w:val="0"/>
            <w:vAlign w:val="center"/>
          </w:tcPr>
          <w:p>
            <w:pPr>
              <w:spacing w:line="240" w:lineRule="exact"/>
              <w:rPr>
                <w:rFonts w:hint="eastAsia" w:ascii="华文中宋" w:hAnsi="华文中宋" w:eastAsia="华文中宋" w:cs="仿宋_GB2312"/>
                <w:sz w:val="21"/>
                <w:szCs w:val="21"/>
                <w:lang w:val="zh-CN"/>
              </w:rPr>
            </w:pPr>
          </w:p>
        </w:tc>
        <w:tc>
          <w:tcPr>
            <w:tcW w:w="4679" w:type="dxa"/>
            <w:noWrap w:val="0"/>
            <w:vAlign w:val="center"/>
          </w:tcPr>
          <w:p>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w:t>
            </w:r>
            <w:r>
              <w:rPr>
                <w:rFonts w:hint="eastAsia" w:ascii="华文中宋" w:hAnsi="华文中宋" w:eastAsia="华文中宋"/>
                <w:sz w:val="21"/>
                <w:szCs w:val="21"/>
                <w:lang w:val="en-US" w:eastAsia="zh-CN"/>
              </w:rPr>
              <w:t>5</w:t>
            </w:r>
            <w:r>
              <w:rPr>
                <w:rFonts w:hint="eastAsia" w:ascii="华文中宋" w:hAnsi="华文中宋" w:eastAsia="华文中宋"/>
                <w:sz w:val="21"/>
                <w:szCs w:val="21"/>
              </w:rPr>
              <w:t>）法律、行政法规规定的其他条件</w:t>
            </w:r>
          </w:p>
        </w:tc>
        <w:tc>
          <w:tcPr>
            <w:tcW w:w="3564" w:type="dxa"/>
            <w:noWrap w:val="0"/>
            <w:vAlign w:val="center"/>
          </w:tcPr>
          <w:p>
            <w:pPr>
              <w:spacing w:line="240" w:lineRule="exact"/>
              <w:rPr>
                <w:rFonts w:hint="eastAsia"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6" w:type="dxa"/>
            <w:noWrap w:val="0"/>
            <w:vAlign w:val="center"/>
          </w:tcPr>
          <w:p>
            <w:pPr>
              <w:spacing w:line="240" w:lineRule="exact"/>
              <w:jc w:val="center"/>
              <w:rPr>
                <w:rFonts w:hint="eastAsia" w:ascii="华文中宋" w:hAnsi="华文中宋" w:eastAsia="华文中宋"/>
                <w:sz w:val="21"/>
                <w:szCs w:val="21"/>
              </w:rPr>
            </w:pPr>
            <w:r>
              <w:rPr>
                <w:rFonts w:hint="eastAsia" w:ascii="华文中宋" w:hAnsi="华文中宋" w:eastAsia="华文中宋"/>
                <w:sz w:val="21"/>
                <w:szCs w:val="21"/>
              </w:rPr>
              <w:t>2</w:t>
            </w:r>
          </w:p>
        </w:tc>
        <w:tc>
          <w:tcPr>
            <w:tcW w:w="5388" w:type="dxa"/>
            <w:gridSpan w:val="2"/>
            <w:noWrap w:val="0"/>
            <w:vAlign w:val="center"/>
          </w:tcPr>
          <w:p>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特定资格条件</w:t>
            </w:r>
          </w:p>
        </w:tc>
        <w:tc>
          <w:tcPr>
            <w:tcW w:w="3564" w:type="dxa"/>
            <w:noWrap w:val="0"/>
            <w:vAlign w:val="center"/>
          </w:tcPr>
          <w:p>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证明材料的复印件</w:t>
            </w:r>
          </w:p>
        </w:tc>
      </w:tr>
    </w:tbl>
    <w:p>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注：</w:t>
      </w:r>
    </w:p>
    <w:p>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fldChar w:fldCharType="begin"/>
      </w:r>
      <w:r>
        <w:rPr>
          <w:rFonts w:hint="eastAsia" w:ascii="华文中宋" w:hAnsi="华文中宋" w:eastAsia="华文中宋" w:cs="宋体"/>
          <w:kern w:val="0"/>
          <w:sz w:val="24"/>
          <w:szCs w:val="24"/>
        </w:rPr>
        <w:instrText xml:space="preserve"> eq \o\ac(○,</w:instrText>
      </w:r>
      <w:r>
        <w:rPr>
          <w:rFonts w:hint="eastAsia" w:ascii="华文中宋" w:hAnsi="华文中宋" w:eastAsia="华文中宋" w:cs="宋体"/>
          <w:kern w:val="0"/>
          <w:position w:val="3"/>
          <w:sz w:val="16"/>
          <w:szCs w:val="24"/>
        </w:rPr>
        <w:instrText xml:space="preserve">1</w:instrText>
      </w:r>
      <w:r>
        <w:rPr>
          <w:rFonts w:hint="eastAsia" w:ascii="华文中宋" w:hAnsi="华文中宋" w:eastAsia="华文中宋" w:cs="宋体"/>
          <w:kern w:val="0"/>
          <w:sz w:val="24"/>
          <w:szCs w:val="24"/>
        </w:rPr>
        <w:instrText xml:space="preserve">)</w:instrText>
      </w:r>
      <w:r>
        <w:rPr>
          <w:rFonts w:hint="eastAsia" w:ascii="华文中宋" w:hAnsi="华文中宋" w:eastAsia="华文中宋" w:cs="宋体"/>
          <w:kern w:val="0"/>
          <w:sz w:val="24"/>
          <w:szCs w:val="24"/>
        </w:rPr>
        <w:fldChar w:fldCharType="end"/>
      </w:r>
      <w:r>
        <w:rPr>
          <w:rFonts w:hint="eastAsia" w:ascii="华文中宋" w:hAnsi="华文中宋" w:eastAsia="华文中宋" w:cs="宋体"/>
          <w:kern w:val="0"/>
          <w:sz w:val="24"/>
          <w:szCs w:val="24"/>
        </w:rPr>
        <w:t>本项目不接受联合体参加投标。</w:t>
      </w:r>
    </w:p>
    <w:p>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fldChar w:fldCharType="begin"/>
      </w:r>
      <w:r>
        <w:rPr>
          <w:rFonts w:hint="eastAsia" w:ascii="华文中宋" w:hAnsi="华文中宋" w:eastAsia="华文中宋" w:cs="宋体"/>
          <w:kern w:val="0"/>
          <w:sz w:val="24"/>
          <w:szCs w:val="24"/>
        </w:rPr>
        <w:instrText xml:space="preserve"> eq \o\ac(○,</w:instrText>
      </w:r>
      <w:r>
        <w:rPr>
          <w:rFonts w:hint="eastAsia" w:ascii="华文中宋" w:hAnsi="华文中宋" w:eastAsia="华文中宋" w:cs="宋体"/>
          <w:kern w:val="0"/>
          <w:position w:val="3"/>
          <w:sz w:val="16"/>
          <w:szCs w:val="24"/>
        </w:rPr>
        <w:instrText xml:space="preserve">2</w:instrText>
      </w:r>
      <w:r>
        <w:rPr>
          <w:rFonts w:hint="eastAsia" w:ascii="华文中宋" w:hAnsi="华文中宋" w:eastAsia="华文中宋" w:cs="宋体"/>
          <w:kern w:val="0"/>
          <w:sz w:val="24"/>
          <w:szCs w:val="24"/>
        </w:rPr>
        <w:instrText xml:space="preserve">)</w:instrText>
      </w:r>
      <w:r>
        <w:rPr>
          <w:rFonts w:hint="eastAsia" w:ascii="华文中宋" w:hAnsi="华文中宋" w:eastAsia="华文中宋" w:cs="宋体"/>
          <w:kern w:val="0"/>
          <w:sz w:val="24"/>
          <w:szCs w:val="24"/>
        </w:rPr>
        <w:fldChar w:fldCharType="end"/>
      </w:r>
      <w:r>
        <w:rPr>
          <w:rFonts w:hint="eastAsia" w:ascii="华文中宋" w:hAnsi="华文中宋" w:eastAsia="华文中宋" w:cs="宋体"/>
          <w:kern w:val="0"/>
          <w:sz w:val="24"/>
          <w:szCs w:val="24"/>
        </w:rPr>
        <w:t>投标人按“三证合一”登记制度办理营业执照的，组织机构代码证和税务登记证（副本）以投标人所提供的营业执照（副本）复印件为准。</w:t>
      </w:r>
    </w:p>
    <w:p>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fldChar w:fldCharType="begin"/>
      </w:r>
      <w:r>
        <w:rPr>
          <w:rFonts w:hint="eastAsia" w:ascii="华文中宋" w:hAnsi="华文中宋" w:eastAsia="华文中宋" w:cs="宋体"/>
          <w:kern w:val="0"/>
          <w:sz w:val="24"/>
          <w:szCs w:val="24"/>
        </w:rPr>
        <w:instrText xml:space="preserve"> eq \o\ac(○,</w:instrText>
      </w:r>
      <w:r>
        <w:rPr>
          <w:rFonts w:hint="eastAsia" w:ascii="华文中宋" w:hAnsi="华文中宋" w:eastAsia="华文中宋" w:cs="宋体"/>
          <w:kern w:val="0"/>
          <w:position w:val="3"/>
          <w:sz w:val="16"/>
          <w:szCs w:val="24"/>
        </w:rPr>
        <w:instrText xml:space="preserve">3</w:instrText>
      </w:r>
      <w:r>
        <w:rPr>
          <w:rFonts w:hint="eastAsia" w:ascii="华文中宋" w:hAnsi="华文中宋" w:eastAsia="华文中宋" w:cs="宋体"/>
          <w:kern w:val="0"/>
          <w:sz w:val="24"/>
          <w:szCs w:val="24"/>
        </w:rPr>
        <w:instrText xml:space="preserve">)</w:instrText>
      </w:r>
      <w:r>
        <w:rPr>
          <w:rFonts w:hint="eastAsia" w:ascii="华文中宋" w:hAnsi="华文中宋" w:eastAsia="华文中宋" w:cs="宋体"/>
          <w:kern w:val="0"/>
          <w:sz w:val="24"/>
          <w:szCs w:val="24"/>
        </w:rPr>
        <w:fldChar w:fldCharType="end"/>
      </w:r>
      <w:r>
        <w:rPr>
          <w:rFonts w:hint="eastAsia" w:ascii="华文中宋" w:hAnsi="华文中宋" w:eastAsia="华文中宋"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pPr>
        <w:snapToGrid w:val="0"/>
        <w:spacing w:line="400" w:lineRule="exact"/>
        <w:ind w:firstLine="480" w:firstLineChars="200"/>
        <w:rPr>
          <w:rFonts w:hint="eastAsia" w:ascii="华文中宋" w:hAnsi="华文中宋" w:eastAsia="华文中宋"/>
          <w:kern w:val="0"/>
          <w:sz w:val="24"/>
          <w:szCs w:val="24"/>
        </w:rPr>
      </w:pPr>
      <w:r>
        <w:rPr>
          <w:rFonts w:hint="eastAsia" w:ascii="华文中宋" w:hAnsi="华文中宋" w:eastAsia="华文中宋" w:cs="宋体"/>
          <w:kern w:val="0"/>
          <w:sz w:val="24"/>
          <w:szCs w:val="24"/>
        </w:rPr>
        <w:t>2、符合性检查。依据招标文件的规定，从投标文件的有效性、完整性和对招标文件的响应程度进行审查，以确定是否对招标文件的实质性要求作出响应。</w:t>
      </w:r>
      <w:r>
        <w:rPr>
          <w:rFonts w:hint="eastAsia" w:ascii="华文中宋" w:hAnsi="华文中宋" w:eastAsia="华文中宋"/>
          <w:kern w:val="0"/>
          <w:sz w:val="24"/>
          <w:szCs w:val="24"/>
        </w:rPr>
        <w:t>符合性检查资料表如下：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序号</w:t>
            </w:r>
          </w:p>
        </w:tc>
        <w:tc>
          <w:tcPr>
            <w:tcW w:w="3544" w:type="dxa"/>
            <w:gridSpan w:val="2"/>
            <w:noWrap w:val="0"/>
            <w:vAlign w:val="center"/>
          </w:tcPr>
          <w:p>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评审因素</w:t>
            </w:r>
          </w:p>
        </w:tc>
        <w:tc>
          <w:tcPr>
            <w:tcW w:w="5409" w:type="dxa"/>
            <w:noWrap w:val="0"/>
            <w:vAlign w:val="center"/>
          </w:tcPr>
          <w:p>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spacing w:line="240" w:lineRule="exact"/>
              <w:jc w:val="center"/>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1</w:t>
            </w:r>
          </w:p>
        </w:tc>
        <w:tc>
          <w:tcPr>
            <w:tcW w:w="1560" w:type="dxa"/>
            <w:vMerge w:val="restart"/>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有效性审查</w:t>
            </w:r>
          </w:p>
        </w:tc>
        <w:tc>
          <w:tcPr>
            <w:tcW w:w="1984" w:type="dxa"/>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sz w:val="21"/>
                <w:szCs w:val="21"/>
              </w:rPr>
              <w:t>投标文件签署</w:t>
            </w:r>
          </w:p>
        </w:tc>
        <w:tc>
          <w:tcPr>
            <w:tcW w:w="5409" w:type="dxa"/>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spacing w:line="240" w:lineRule="exact"/>
              <w:jc w:val="center"/>
              <w:rPr>
                <w:rFonts w:hint="eastAsia" w:ascii="华文中宋" w:hAnsi="华文中宋" w:eastAsia="华文中宋" w:cs="宋体"/>
                <w:kern w:val="0"/>
                <w:sz w:val="21"/>
                <w:szCs w:val="21"/>
              </w:rPr>
            </w:pPr>
          </w:p>
        </w:tc>
        <w:tc>
          <w:tcPr>
            <w:tcW w:w="1560" w:type="dxa"/>
            <w:vMerge w:val="continue"/>
            <w:noWrap w:val="0"/>
            <w:vAlign w:val="center"/>
          </w:tcPr>
          <w:p>
            <w:pPr>
              <w:spacing w:line="240" w:lineRule="exact"/>
              <w:rPr>
                <w:rFonts w:hint="eastAsia" w:ascii="华文中宋" w:hAnsi="华文中宋" w:eastAsia="华文中宋" w:cs="宋体"/>
                <w:kern w:val="0"/>
                <w:sz w:val="21"/>
                <w:szCs w:val="21"/>
              </w:rPr>
            </w:pPr>
          </w:p>
        </w:tc>
        <w:tc>
          <w:tcPr>
            <w:tcW w:w="1984" w:type="dxa"/>
            <w:noWrap w:val="0"/>
            <w:vAlign w:val="center"/>
          </w:tcPr>
          <w:p>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法定代表人身份证明及授权委托书</w:t>
            </w:r>
          </w:p>
        </w:tc>
        <w:tc>
          <w:tcPr>
            <w:tcW w:w="5409" w:type="dxa"/>
            <w:noWrap w:val="0"/>
            <w:vAlign w:val="center"/>
          </w:tcPr>
          <w:p>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法定代表人身份证明及授权委托书有效，符合招标文件规定的格式，签字或盖章齐全。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240" w:lineRule="exact"/>
              <w:jc w:val="center"/>
              <w:rPr>
                <w:rFonts w:hint="eastAsia" w:ascii="华文中宋" w:hAnsi="华文中宋" w:eastAsia="华文中宋" w:cs="宋体"/>
                <w:kern w:val="0"/>
                <w:sz w:val="21"/>
                <w:szCs w:val="21"/>
              </w:rPr>
            </w:pPr>
          </w:p>
        </w:tc>
        <w:tc>
          <w:tcPr>
            <w:tcW w:w="1560" w:type="dxa"/>
            <w:vMerge w:val="continue"/>
            <w:noWrap w:val="0"/>
            <w:vAlign w:val="center"/>
          </w:tcPr>
          <w:p>
            <w:pPr>
              <w:spacing w:line="240" w:lineRule="exact"/>
              <w:rPr>
                <w:rFonts w:hint="eastAsia" w:ascii="华文中宋" w:hAnsi="华文中宋" w:eastAsia="华文中宋" w:cs="宋体"/>
                <w:kern w:val="0"/>
                <w:sz w:val="21"/>
                <w:szCs w:val="21"/>
              </w:rPr>
            </w:pPr>
          </w:p>
        </w:tc>
        <w:tc>
          <w:tcPr>
            <w:tcW w:w="1984" w:type="dxa"/>
            <w:noWrap w:val="0"/>
            <w:vAlign w:val="center"/>
          </w:tcPr>
          <w:p>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仿宋_GB2312"/>
                <w:sz w:val="21"/>
                <w:szCs w:val="21"/>
                <w:lang w:val="zh-CN"/>
              </w:rPr>
              <w:t>投标方案</w:t>
            </w:r>
          </w:p>
        </w:tc>
        <w:tc>
          <w:tcPr>
            <w:tcW w:w="5409" w:type="dxa"/>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cs="仿宋_GB2312"/>
                <w:sz w:val="21"/>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spacing w:line="240" w:lineRule="exact"/>
              <w:jc w:val="center"/>
              <w:rPr>
                <w:rFonts w:hint="eastAsia" w:ascii="华文中宋" w:hAnsi="华文中宋" w:eastAsia="华文中宋" w:cs="宋体"/>
                <w:kern w:val="0"/>
                <w:sz w:val="21"/>
                <w:szCs w:val="21"/>
              </w:rPr>
            </w:pPr>
          </w:p>
        </w:tc>
        <w:tc>
          <w:tcPr>
            <w:tcW w:w="1560" w:type="dxa"/>
            <w:vMerge w:val="continue"/>
            <w:noWrap w:val="0"/>
            <w:vAlign w:val="center"/>
          </w:tcPr>
          <w:p>
            <w:pPr>
              <w:spacing w:line="240" w:lineRule="exact"/>
              <w:rPr>
                <w:rFonts w:hint="eastAsia" w:ascii="华文中宋" w:hAnsi="华文中宋" w:eastAsia="华文中宋" w:cs="宋体"/>
                <w:kern w:val="0"/>
                <w:sz w:val="21"/>
                <w:szCs w:val="21"/>
              </w:rPr>
            </w:pPr>
          </w:p>
        </w:tc>
        <w:tc>
          <w:tcPr>
            <w:tcW w:w="1984" w:type="dxa"/>
            <w:noWrap w:val="0"/>
            <w:vAlign w:val="center"/>
          </w:tcPr>
          <w:p>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sz w:val="21"/>
                <w:szCs w:val="21"/>
              </w:rPr>
              <w:t>报价唯一</w:t>
            </w:r>
          </w:p>
        </w:tc>
        <w:tc>
          <w:tcPr>
            <w:tcW w:w="5409" w:type="dxa"/>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cs="仿宋_GB2312"/>
                <w:sz w:val="21"/>
                <w:szCs w:val="21"/>
                <w:lang w:val="zh-CN"/>
              </w:rPr>
              <w:t>只能在采购预算范围内报价，</w:t>
            </w:r>
            <w:r>
              <w:rPr>
                <w:rFonts w:hint="eastAsia" w:ascii="华文中宋" w:hAnsi="华文中宋" w:eastAsia="华文中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pPr>
              <w:spacing w:line="240" w:lineRule="exact"/>
              <w:jc w:val="center"/>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2</w:t>
            </w:r>
          </w:p>
        </w:tc>
        <w:tc>
          <w:tcPr>
            <w:tcW w:w="1560" w:type="dxa"/>
            <w:vMerge w:val="restart"/>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完整性审查</w:t>
            </w:r>
          </w:p>
        </w:tc>
        <w:tc>
          <w:tcPr>
            <w:tcW w:w="1984" w:type="dxa"/>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cs="仿宋_GB2312"/>
                <w:sz w:val="21"/>
                <w:szCs w:val="21"/>
                <w:lang w:val="zh-CN"/>
              </w:rPr>
              <w:t>投标文件份数</w:t>
            </w:r>
          </w:p>
        </w:tc>
        <w:tc>
          <w:tcPr>
            <w:tcW w:w="5409" w:type="dxa"/>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cs="仿宋_GB2312"/>
                <w:sz w:val="21"/>
                <w:szCs w:val="21"/>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pPr>
              <w:spacing w:line="240" w:lineRule="exact"/>
              <w:jc w:val="center"/>
              <w:rPr>
                <w:rFonts w:hint="eastAsia" w:ascii="华文中宋" w:hAnsi="华文中宋" w:eastAsia="华文中宋" w:cs="宋体"/>
                <w:kern w:val="0"/>
                <w:sz w:val="21"/>
                <w:szCs w:val="21"/>
              </w:rPr>
            </w:pPr>
          </w:p>
        </w:tc>
        <w:tc>
          <w:tcPr>
            <w:tcW w:w="1560" w:type="dxa"/>
            <w:vMerge w:val="continue"/>
            <w:noWrap w:val="0"/>
            <w:vAlign w:val="center"/>
          </w:tcPr>
          <w:p>
            <w:pPr>
              <w:spacing w:line="240" w:lineRule="exact"/>
              <w:rPr>
                <w:rFonts w:hint="eastAsia" w:ascii="华文中宋" w:hAnsi="华文中宋" w:eastAsia="华文中宋" w:cs="宋体"/>
                <w:kern w:val="0"/>
                <w:sz w:val="21"/>
                <w:szCs w:val="21"/>
              </w:rPr>
            </w:pPr>
          </w:p>
        </w:tc>
        <w:tc>
          <w:tcPr>
            <w:tcW w:w="1984" w:type="dxa"/>
            <w:noWrap w:val="0"/>
            <w:vAlign w:val="center"/>
          </w:tcPr>
          <w:p>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仿宋_GB2312"/>
                <w:sz w:val="21"/>
                <w:szCs w:val="21"/>
                <w:lang w:val="zh-CN"/>
              </w:rPr>
              <w:t>投标文件内容</w:t>
            </w:r>
          </w:p>
        </w:tc>
        <w:tc>
          <w:tcPr>
            <w:tcW w:w="5409" w:type="dxa"/>
            <w:noWrap w:val="0"/>
            <w:vAlign w:val="center"/>
          </w:tcPr>
          <w:p>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仿宋_GB2312"/>
                <w:sz w:val="21"/>
                <w:szCs w:val="21"/>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spacing w:line="240" w:lineRule="exact"/>
              <w:jc w:val="center"/>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3</w:t>
            </w:r>
          </w:p>
        </w:tc>
        <w:tc>
          <w:tcPr>
            <w:tcW w:w="1560" w:type="dxa"/>
            <w:vMerge w:val="restart"/>
            <w:noWrap w:val="0"/>
            <w:vAlign w:val="center"/>
          </w:tcPr>
          <w:p>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宋体"/>
                <w:kern w:val="0"/>
                <w:sz w:val="21"/>
                <w:szCs w:val="21"/>
              </w:rPr>
              <w:t>招标文件的响应程度审查</w:t>
            </w:r>
          </w:p>
        </w:tc>
        <w:tc>
          <w:tcPr>
            <w:tcW w:w="1984" w:type="dxa"/>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投标文件内容</w:t>
            </w:r>
          </w:p>
        </w:tc>
        <w:tc>
          <w:tcPr>
            <w:tcW w:w="5409" w:type="dxa"/>
            <w:noWrap w:val="0"/>
            <w:vAlign w:val="center"/>
          </w:tcPr>
          <w:p>
            <w:pPr>
              <w:pStyle w:val="6"/>
              <w:spacing w:line="240" w:lineRule="exact"/>
              <w:rPr>
                <w:rFonts w:hint="eastAsia" w:ascii="华文中宋" w:hAnsi="华文中宋" w:eastAsia="华文中宋" w:cs="宋体"/>
                <w:kern w:val="0"/>
                <w:sz w:val="21"/>
                <w:szCs w:val="21"/>
                <w:lang w:val="en-US" w:eastAsia="zh-CN"/>
              </w:rPr>
            </w:pPr>
            <w:r>
              <w:rPr>
                <w:rFonts w:hint="eastAsia" w:ascii="华文中宋" w:hAnsi="华文中宋" w:eastAsia="华文中宋" w:cs="宋体"/>
                <w:kern w:val="0"/>
                <w:sz w:val="21"/>
                <w:szCs w:val="21"/>
                <w:lang w:val="en-US" w:eastAsia="zh-CN"/>
              </w:rPr>
              <w:t>对招标文件第二篇规定的招标内容作出响应。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pPr>
              <w:spacing w:line="240" w:lineRule="exact"/>
              <w:jc w:val="center"/>
              <w:rPr>
                <w:rFonts w:hint="eastAsia" w:ascii="华文中宋" w:hAnsi="华文中宋" w:eastAsia="华文中宋" w:cs="宋体"/>
                <w:kern w:val="0"/>
                <w:sz w:val="21"/>
                <w:szCs w:val="21"/>
              </w:rPr>
            </w:pPr>
          </w:p>
        </w:tc>
        <w:tc>
          <w:tcPr>
            <w:tcW w:w="1560" w:type="dxa"/>
            <w:vMerge w:val="continue"/>
            <w:noWrap w:val="0"/>
            <w:vAlign w:val="center"/>
          </w:tcPr>
          <w:p>
            <w:pPr>
              <w:spacing w:line="240" w:lineRule="exact"/>
              <w:rPr>
                <w:rFonts w:hint="eastAsia" w:ascii="华文中宋" w:hAnsi="华文中宋" w:eastAsia="华文中宋" w:cs="仿宋_GB2312"/>
                <w:sz w:val="21"/>
                <w:szCs w:val="21"/>
                <w:lang w:val="zh-CN"/>
              </w:rPr>
            </w:pPr>
          </w:p>
        </w:tc>
        <w:tc>
          <w:tcPr>
            <w:tcW w:w="1984" w:type="dxa"/>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投标有效期</w:t>
            </w:r>
          </w:p>
        </w:tc>
        <w:tc>
          <w:tcPr>
            <w:tcW w:w="5409" w:type="dxa"/>
            <w:noWrap w:val="0"/>
            <w:vAlign w:val="center"/>
          </w:tcPr>
          <w:p>
            <w:pPr>
              <w:spacing w:line="240" w:lineRule="exact"/>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满足招标文件</w:t>
            </w:r>
            <w:r>
              <w:rPr>
                <w:rFonts w:hint="eastAsia" w:ascii="华文中宋" w:hAnsi="华文中宋" w:eastAsia="华文中宋" w:cs="仿宋_GB2312"/>
                <w:sz w:val="21"/>
                <w:szCs w:val="21"/>
                <w:lang w:val="zh-CN"/>
              </w:rPr>
              <w:t>规定。</w:t>
            </w:r>
          </w:p>
        </w:tc>
      </w:tr>
    </w:tbl>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3、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5.推荐中标候选人名单。评审后按投标价由低到高的排列顺序</w:t>
      </w:r>
      <w:r>
        <w:rPr>
          <w:rFonts w:hint="eastAsia" w:ascii="华文中宋" w:hAnsi="华文中宋" w:eastAsia="华文中宋" w:cs="宋体"/>
          <w:kern w:val="0"/>
          <w:sz w:val="24"/>
          <w:szCs w:val="24"/>
        </w:rPr>
        <w:t>推荐排名前三的投标人为本项目中标候选人，</w:t>
      </w:r>
      <w:r>
        <w:rPr>
          <w:rFonts w:hint="eastAsia" w:ascii="华文中宋" w:hAnsi="华文中宋" w:eastAsia="华文中宋"/>
          <w:sz w:val="24"/>
          <w:szCs w:val="24"/>
        </w:rPr>
        <w:t>排名第一的为第一中标候选人。</w:t>
      </w:r>
    </w:p>
    <w:p>
      <w:pPr>
        <w:pStyle w:val="4"/>
        <w:keepNext w:val="0"/>
        <w:spacing w:line="400" w:lineRule="exact"/>
        <w:ind w:firstLine="482" w:firstLineChars="200"/>
        <w:rPr>
          <w:rFonts w:hint="eastAsia" w:ascii="华文中宋" w:hAnsi="华文中宋" w:eastAsia="华文中宋"/>
          <w:b/>
          <w:sz w:val="24"/>
          <w:szCs w:val="24"/>
        </w:rPr>
      </w:pPr>
      <w:bookmarkStart w:id="10" w:name="_Toc475604124"/>
      <w:r>
        <w:rPr>
          <w:rFonts w:hint="eastAsia" w:ascii="华文中宋" w:hAnsi="华文中宋" w:eastAsia="华文中宋"/>
          <w:b/>
          <w:sz w:val="24"/>
          <w:szCs w:val="24"/>
          <w:lang w:eastAsia="zh-CN"/>
        </w:rPr>
        <w:t>二</w:t>
      </w:r>
      <w:r>
        <w:rPr>
          <w:rFonts w:hint="eastAsia" w:ascii="华文中宋" w:hAnsi="华文中宋" w:eastAsia="华文中宋"/>
          <w:b/>
          <w:sz w:val="24"/>
          <w:szCs w:val="24"/>
        </w:rPr>
        <w:t>、无效投标条款</w:t>
      </w:r>
      <w:bookmarkEnd w:id="10"/>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投标人或其投标文件出现下列情况之一者，应为无效投标：</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（一）投标人未通过资格性检查或投标文件未通过符合性检查的；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（二）投标人超出其营业执照或事业单位法人证书上经营范围（业务范围）投标的；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（三）单位负责人为同一人或者存在直接控股、管理关系的不同供应商，不得参加同一合同项下的政府采购活动，上述投标人的投标均无效；</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（四）投标文件未按照招标文件第六篇投标文件格式中所规定签字、盖章的；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（五）投标文件出现多个投标方案或投标报价的；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（六）投标报价超出招标文件规定的采购预算的；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（七）投标产品不符合必须强制执行的国家标准的；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（八）投标人的交货期（或为：实施时间）、质量保证期及投标有效期不满足招标文件要求的；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（九）投标人被列入失信被执行人、重大税收违法案件当事人名单、政府采购严重违法失信行为记录名单及其他不符合《中华人民共和国政府采购法》第二十二条规定条件的；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（十）投标文件含有违反国家法律、法规的内容，或附有采购人不能接受的条件的</w:t>
      </w:r>
    </w:p>
    <w:p>
      <w:pPr>
        <w:pStyle w:val="4"/>
        <w:keepNext w:val="0"/>
        <w:spacing w:line="400" w:lineRule="exact"/>
        <w:ind w:firstLine="482" w:firstLineChars="200"/>
        <w:rPr>
          <w:rFonts w:hint="eastAsia" w:ascii="华文中宋" w:hAnsi="华文中宋" w:eastAsia="华文中宋"/>
          <w:sz w:val="24"/>
          <w:szCs w:val="24"/>
        </w:rPr>
      </w:pPr>
      <w:bookmarkStart w:id="11" w:name="_Toc475604125"/>
      <w:r>
        <w:rPr>
          <w:rFonts w:hint="eastAsia" w:ascii="华文中宋" w:hAnsi="华文中宋" w:eastAsia="华文中宋"/>
          <w:b/>
          <w:sz w:val="24"/>
          <w:szCs w:val="24"/>
          <w:lang w:eastAsia="zh-CN"/>
        </w:rPr>
        <w:t>三</w:t>
      </w:r>
      <w:r>
        <w:rPr>
          <w:rFonts w:hint="eastAsia" w:ascii="华文中宋" w:hAnsi="华文中宋" w:eastAsia="华文中宋"/>
          <w:b/>
          <w:sz w:val="24"/>
          <w:szCs w:val="24"/>
        </w:rPr>
        <w:t>、废标条款</w:t>
      </w:r>
      <w:bookmarkEnd w:id="11"/>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评标委员会评审时出现以下情况之一的，应予废标：</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（一）符合专业条件的供应商或者对招标文件作实质响应的供应商不足三家的；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（二）投标人的报价均超过了采购预算，采购人不能支付的；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（三）出现影响采购公正的违法、违规行为的；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（四）因重大变故，采购任务取消的。</w:t>
      </w:r>
    </w:p>
    <w:p>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废标后，除采购任务取消情形外，应当重新组织采购。</w:t>
      </w:r>
    </w:p>
    <w:p>
      <w:pPr>
        <w:pStyle w:val="2"/>
        <w:rPr>
          <w:rFonts w:hint="eastAsia"/>
          <w:lang w:eastAsia="zh-CN"/>
        </w:rPr>
      </w:pPr>
      <w:r>
        <w:rPr>
          <w:rFonts w:hint="eastAsia" w:ascii="华文中宋" w:hAnsi="华文中宋" w:eastAsia="华文中宋"/>
          <w:sz w:val="28"/>
        </w:rPr>
        <w:br w:type="page"/>
      </w:r>
    </w:p>
    <w:p>
      <w:pPr>
        <w:pStyle w:val="3"/>
        <w:spacing w:beforeLines="0" w:afterLines="0"/>
        <w:ind w:left="406" w:leftChars="0" w:firstLine="2200" w:firstLineChars="500"/>
        <w:jc w:val="both"/>
        <w:rPr>
          <w:sz w:val="48"/>
        </w:rPr>
      </w:pPr>
      <w:bookmarkStart w:id="12" w:name="_Toc322181646"/>
      <w:bookmarkStart w:id="13" w:name="_Toc299527357"/>
      <w:r>
        <w:rPr>
          <w:rFonts w:hint="eastAsia"/>
          <w:lang w:eastAsia="zh-CN"/>
        </w:rPr>
        <w:t>第五篇</w:t>
      </w:r>
      <w:r>
        <w:rPr>
          <w:rFonts w:hint="eastAsia"/>
          <w:lang w:val="en-US" w:eastAsia="zh-CN"/>
        </w:rPr>
        <w:t xml:space="preserve">  </w:t>
      </w:r>
      <w:r>
        <w:rPr>
          <w:rFonts w:hint="eastAsia"/>
        </w:rPr>
        <w:t>投标须知</w:t>
      </w:r>
      <w:bookmarkEnd w:id="12"/>
      <w:bookmarkEnd w:id="13"/>
    </w:p>
    <w:p>
      <w:pPr>
        <w:pStyle w:val="4"/>
        <w:spacing w:before="0" w:after="0"/>
        <w:ind w:firstLine="0" w:firstLineChars="0"/>
        <w:rPr>
          <w:rFonts w:hint="eastAsia" w:ascii="华文中宋" w:hAnsi="华文中宋" w:eastAsia="华文中宋" w:cs="Times New Roman"/>
          <w:kern w:val="2"/>
          <w:sz w:val="24"/>
          <w:szCs w:val="24"/>
          <w:lang w:val="en-US" w:eastAsia="zh-CN" w:bidi="ar-SA"/>
        </w:rPr>
      </w:pPr>
      <w:bookmarkStart w:id="14" w:name="_Toc322181647"/>
      <w:bookmarkStart w:id="15" w:name="_Toc299527358"/>
      <w:r>
        <w:rPr>
          <w:rFonts w:hint="eastAsia" w:ascii="华文中宋" w:hAnsi="华文中宋" w:eastAsia="华文中宋" w:cs="Times New Roman"/>
          <w:kern w:val="2"/>
          <w:sz w:val="24"/>
          <w:szCs w:val="24"/>
          <w:lang w:val="en-US" w:eastAsia="zh-CN" w:bidi="ar-SA"/>
        </w:rPr>
        <w:t>一、本次招标方式及投标人资格要求</w:t>
      </w:r>
      <w:bookmarkEnd w:id="14"/>
      <w:bookmarkEnd w:id="15"/>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1、本次招标采取面向重庆市专业从事水上运动教育的培训机构询价采购。</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2、投标人必须具备以下基本条件：</w:t>
      </w:r>
    </w:p>
    <w:p>
      <w:pPr>
        <w:widowControl/>
        <w:ind w:firstLine="0" w:firstLineChars="0"/>
        <w:jc w:val="left"/>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（1）具备《政府采购法》第二十二条规定的条件；</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（2）具有独立企业法人资格；</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（3）具有国家有关部门核发的经年检有效营业执照、组织机构代码证、税务登记证；</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（4）投标人须拥有完善的皮划艇课程体系，具备提供安全可靠的培训服务的能力，同时须提供本次冬夏令营活动执行方案及专门的安全预案；</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（5）重庆主城区具备安全、独立、能够适合皮划艇培训开展的活动场地（附场地使用证明）；</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（6）具备皮划艇教练资质，有青少年冬夏令营运作经验的教学团队（附资格证书）；</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（7）在重庆市具备较好的新闻宣传渠道和体育项目招生、推广能力。</w:t>
      </w:r>
    </w:p>
    <w:p>
      <w:pPr>
        <w:ind w:firstLine="0" w:firstLineChars="0"/>
        <w:rPr>
          <w:rFonts w:hint="eastAsia" w:ascii="华文中宋" w:hAnsi="华文中宋" w:eastAsia="华文中宋" w:cs="Times New Roman"/>
          <w:kern w:val="2"/>
          <w:sz w:val="24"/>
          <w:szCs w:val="24"/>
          <w:lang w:val="en-US" w:eastAsia="zh-CN" w:bidi="ar-SA"/>
        </w:rPr>
      </w:pPr>
    </w:p>
    <w:p>
      <w:pPr>
        <w:pStyle w:val="4"/>
        <w:numPr>
          <w:ilvl w:val="0"/>
          <w:numId w:val="6"/>
        </w:numPr>
        <w:spacing w:before="0" w:after="0"/>
        <w:ind w:firstLine="0" w:firstLineChars="0"/>
        <w:rPr>
          <w:rFonts w:hint="eastAsia" w:ascii="华文中宋" w:hAnsi="华文中宋" w:eastAsia="华文中宋" w:cs="Times New Roman"/>
          <w:kern w:val="2"/>
          <w:sz w:val="24"/>
          <w:szCs w:val="24"/>
          <w:lang w:val="en-US" w:eastAsia="zh-CN" w:bidi="ar-SA"/>
        </w:rPr>
      </w:pPr>
      <w:bookmarkStart w:id="16" w:name="_Toc322181648"/>
      <w:bookmarkStart w:id="17" w:name="_Toc299527359"/>
      <w:r>
        <w:rPr>
          <w:rFonts w:hint="eastAsia" w:ascii="华文中宋" w:hAnsi="华文中宋" w:eastAsia="华文中宋" w:cs="Times New Roman"/>
          <w:kern w:val="2"/>
          <w:sz w:val="24"/>
          <w:szCs w:val="24"/>
          <w:lang w:val="en-US" w:eastAsia="zh-CN" w:bidi="ar-SA"/>
        </w:rPr>
        <w:t>询价文件的构成</w:t>
      </w:r>
      <w:bookmarkEnd w:id="16"/>
      <w:bookmarkEnd w:id="17"/>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1、询价文件的构成。</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（1）投标邀请函；</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（2）投标人须知前附表；</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（3）投标须知；</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（4）被询价的供应商数量确定；</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（5）投标人应该提交的资格资信证明文件（复印件加盖鲜章）；</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（6）采购项目的价格构成；</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（7）投标文件编制要求；</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（8）询价程序、评标标准和废标条款；</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（9）合同主要条款；</w:t>
      </w:r>
    </w:p>
    <w:p>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（10）附件；</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投标人应认真阅读和充分理解询价文件的所有内容。如果投标文件没有满足询价文件的有关要求，其风险由投标人自行承担。</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18" w:name="_Toc322181649"/>
      <w:bookmarkStart w:id="19" w:name="_Toc299527360"/>
      <w:r>
        <w:rPr>
          <w:rFonts w:hint="eastAsia" w:ascii="华文中宋" w:hAnsi="华文中宋" w:eastAsia="华文中宋" w:cs="Times New Roman"/>
          <w:kern w:val="2"/>
          <w:sz w:val="24"/>
          <w:szCs w:val="24"/>
          <w:lang w:val="en-US" w:eastAsia="zh-CN" w:bidi="ar-SA"/>
        </w:rPr>
        <w:t>三、询价文件的澄清</w:t>
      </w:r>
      <w:bookmarkEnd w:id="18"/>
      <w:bookmarkEnd w:id="19"/>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1、招标方对已发出的询价文件可进行必要的澄清或者修改，澄清或者修改的内容将发布更正公告，并以书面形式通知所有的投标人，该澄清或者修改的内容为询价文件的组成部分。</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2、询价文件澄清或者修改的内容对招投标双方均具有约束力。投标人在收到书面通知后，应在48小时内向招标方回函确认。</w:t>
      </w:r>
    </w:p>
    <w:p>
      <w:pPr>
        <w:pStyle w:val="4"/>
        <w:spacing w:before="0" w:after="0"/>
        <w:ind w:firstLine="0" w:firstLineChars="0"/>
        <w:rPr>
          <w:rFonts w:hint="eastAsia" w:ascii="华文中宋" w:hAnsi="华文中宋" w:eastAsia="华文中宋" w:cs="Times New Roman"/>
          <w:kern w:val="2"/>
          <w:sz w:val="24"/>
          <w:szCs w:val="24"/>
          <w:lang w:val="en-US" w:eastAsia="zh-CN" w:bidi="ar-SA"/>
        </w:rPr>
      </w:pPr>
      <w:bookmarkStart w:id="20" w:name="_Toc299527361"/>
      <w:bookmarkStart w:id="21" w:name="_Toc322181650"/>
      <w:r>
        <w:rPr>
          <w:rFonts w:hint="eastAsia" w:ascii="华文中宋" w:hAnsi="华文中宋" w:eastAsia="华文中宋" w:cs="Times New Roman"/>
          <w:kern w:val="2"/>
          <w:sz w:val="24"/>
          <w:szCs w:val="24"/>
          <w:lang w:val="en-US" w:eastAsia="zh-CN" w:bidi="ar-SA"/>
        </w:rPr>
        <w:t>四、询价文件的修改</w:t>
      </w:r>
      <w:bookmarkEnd w:id="20"/>
      <w:bookmarkEnd w:id="21"/>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1、招标人可主动地或在解答投标人提出的问题时对询价文件进行修改。</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招标人对已发出的询价文件进行必要澄清或者修改的，应当在询价文件要求提交投标文件截止前1个工作日，在财政部门指定的政府采购信息发布媒体上发布更正公告，并以书面形式通知所有询价文件收受人。该澄清或者修改的内容为询价文件的组成部分。</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招标人可以视采购具体情况，延长投标截止时间和开标时间，但至少应当在询价文件要求提交投标文件的截止时间1日前，将变更时间书面通知所有询价文件收受人，并在财政部门指定的政府采购信息发布媒体上发布变更公告。</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22" w:name="_Toc322181651"/>
      <w:bookmarkStart w:id="23" w:name="_Toc299527362"/>
      <w:r>
        <w:rPr>
          <w:rFonts w:hint="eastAsia" w:ascii="华文中宋" w:hAnsi="华文中宋" w:eastAsia="华文中宋" w:cs="Times New Roman"/>
          <w:kern w:val="2"/>
          <w:sz w:val="24"/>
          <w:szCs w:val="24"/>
          <w:lang w:val="en-US" w:eastAsia="zh-CN" w:bidi="ar-SA"/>
        </w:rPr>
        <w:t>五、投标</w:t>
      </w:r>
      <w:bookmarkEnd w:id="22"/>
      <w:bookmarkEnd w:id="23"/>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1、投标有效期</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（1）投标有效期见投标须知前附表，低于此投标有效期的投标将被拒绝。</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在特殊情况下，招标人可于原投标有效期满之前，采用书面形式向投标人提出延长投标有效期的要求。投标人可以拒绝招标人的要求而要求招标人退还其投标保证金，并不得参与后续采购活动。同意延长投标有效期的投标人不能修改其投标文件，关于投标保证金的有关规定在延长的投标有效期内继续有效。</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2、投标文件的递交</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（1）投标文件按询价文件中规定的时间和地点送达。</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（2）投标人在超过投标截止时间送达的投标文件，将被拒绝。</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3、投标文件的修改和撤回。</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（1）投标人在递交投标文件后，可以在规定的投标截止时间前修改或撤回其投标文件。但这种修改和撤回，必须以书面形式通知招标人。</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（2）投标人的修改书或撤回通知书，应由法定代表人或其授权代表签署。修改书应按规定进行密封。</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（3）在投标截止时间之后，投标人不得对其投标文件做任何修改。</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4、投标人所提供的一切资料必须真实可靠，如由于资料不实而造成不良后果的须负法律责任。</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5、投标人提供所有活动执行，对其所提供的服务进行质量跟踪服务和售后服务。</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6、投标注意事项</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（1）投标人不得相互串通投标报价，不得排挤其他投标人的公平竞争，损害招标人或者其他投标人的合法权益。</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（2）投标人不得与招标人串通投标，损害国家利益、社会公共利益或者他人的合法权益。</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（3）投标人不得以向招标采购单位、询价小组成员行贿或者采取其他不正当手段谋取中标。</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 （4）如有以上情况发生，将取消该投标人的投标资格，并按有关规定进行处罚。</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24" w:name="_Toc322181652"/>
      <w:bookmarkStart w:id="25" w:name="_Toc299527363"/>
      <w:r>
        <w:rPr>
          <w:rFonts w:hint="eastAsia" w:ascii="华文中宋" w:hAnsi="华文中宋" w:eastAsia="华文中宋" w:cs="Times New Roman"/>
          <w:kern w:val="2"/>
          <w:sz w:val="24"/>
          <w:szCs w:val="24"/>
          <w:lang w:val="en-US" w:eastAsia="zh-CN" w:bidi="ar-SA"/>
        </w:rPr>
        <w:t>六、开标</w:t>
      </w:r>
      <w:bookmarkEnd w:id="24"/>
      <w:bookmarkEnd w:id="25"/>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1、投标人的报价为一次性报价，即在投标有效期内投标价格固定不变。</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2、开标由招标人组织。</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3、招标人将在询价文件中规定的时间和地点，在有关部门的监督下组织开标。</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开标时，投标文件的密封性经检查确认无误后，招标工作人员将当众拆封，宣读投标人名称、投标产品名称、投标价格，询价文件允许提供的备选投标方案（如询价文件未要求投标人提供备选投标方案，投标人只能以一个方案参与投标，否则投标无效）以及招标人认为合适的其他主要内容。</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5、未宣读的投标价格和询价文件允许提供的备选投标方案等实质性内容，评标时不予承认。</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6、在开标时没有启封和宣读的投标文件（包括投标人递交的修改书）在评标时将不予考虑。</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7、开标时，投标文件中开标一览表内容与投标文件中有关价格明细表内容不一致的，以开标一览表为准。投标文件的大写金额与小写金额不一致的，以大写金额为准；总价金额与按单价汇总金额不一致的，以单价金额计算结果为准；单价金额有明显小数点错误的，应以总价位为准，并修改单价；对不同文字文本投标文件的解释发生异议的，以中文文本为准。</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8、招标工作人员将做好开标记录。</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26" w:name="_Toc322181653"/>
      <w:bookmarkStart w:id="27" w:name="_Toc299527364"/>
      <w:r>
        <w:rPr>
          <w:rFonts w:hint="eastAsia" w:ascii="华文中宋" w:hAnsi="华文中宋" w:eastAsia="华文中宋" w:cs="Times New Roman"/>
          <w:kern w:val="2"/>
          <w:sz w:val="24"/>
          <w:szCs w:val="24"/>
          <w:lang w:val="en-US" w:eastAsia="zh-CN" w:bidi="ar-SA"/>
        </w:rPr>
        <w:t>七、评标</w:t>
      </w:r>
      <w:bookmarkEnd w:id="26"/>
      <w:bookmarkEnd w:id="27"/>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1、开标会结束后，评标随即开始。</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2、评标工作由该项目专门组织的三人或三人以上单数组成的询价小组进行。</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3、询价小组按询价文件规定的程序对投标文件进行评审。</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4、投标人对询价小组的评标过程或合同授予决定施加影响的任何行动都可能导致其投标文件被拒绝。</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5、在评标期间，询价小组可要求投标人对其投标文件进行澄清，有关澄清的要求和答复应以书面形式提交，但不得对投标价格或其它实质性内容做任何更改。</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6、投标文件属于下列情况的，在资格性、符合性审查时按照无效投标处理：</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（1）应交而未交投标保证金的；</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（2）未按照询价文件规定要求密封、签署、盖章的;</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（3）不具备询价文件中规定资格要求的;</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（4）开标一览表及投标文件未按询价文件要求制作的；</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（5）不符合法律法规和询价文件中规定的其他实质性要求的；</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7、投标文件的初审</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（1）询价小组将审查投标文件是否完整有效，有关计算是否正确，文件签署是否合格，投标文件的总体编写是否有序。</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在详细评标之前，询价小组要审查每份投标文件是否实质上响应了询价文件的要求。实质上响应的投标文件应该与询价文件要求的全部条款、条件和规格相符，没有重大偏离。询价小组决定投标文件的响应性依据投标文件本身的内容，而不寻求外部的证据。</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（3）对于投标文件中不构成实质性偏差的不正规、不一致或不规则，购买方可以接受，但这种接受不能损害或影响任何其它投标人的相对排序。</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（4）如果投标文件实质上没有响应询价文件的要求，询价小组将予以拒绝。投标人不得通过修正或撤消不合要求的偏离或保留从而使其投标成为实质性响应的投标。</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8、投标文件的评价和比较</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（1）询价小组只对确定为实质性响应询价文件要求的投标，根据询价文件和评标办法的要求采用相同的程序和标准进行评价和比较。</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（2）以下情况询价小组在评标时将不考虑：</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①如果投标人中标，对其将要征收的销售税和其他税；</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②如果投标人中标，在合同实施期间的价格调整。</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③评标的依据为询价文件和投标文件，与询价文件要求有实质性偏离的投标文件将被拒绝。</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9、评标过程严格保密。询价小组无义务向投标人进行任何有关评标的解释。凡是属于审查、澄清、评价和比较的有关资料及授标建议等均不得向投标人和其他无关人员透露。</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10、投标人在评标过程中，所进行的企图影响评标结果的不符合招标规定的活动，可能导致其被取消中标资格。</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28" w:name="_Toc322181654"/>
      <w:bookmarkStart w:id="29" w:name="_Toc299527365"/>
      <w:r>
        <w:rPr>
          <w:rFonts w:hint="eastAsia" w:ascii="华文中宋" w:hAnsi="华文中宋" w:eastAsia="华文中宋" w:cs="Times New Roman"/>
          <w:kern w:val="2"/>
          <w:sz w:val="24"/>
          <w:szCs w:val="24"/>
          <w:lang w:val="en-US" w:eastAsia="zh-CN" w:bidi="ar-SA"/>
        </w:rPr>
        <w:t>八、定标</w:t>
      </w:r>
      <w:bookmarkEnd w:id="28"/>
      <w:bookmarkEnd w:id="29"/>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1、询价小组将评标情况写出书面报告，推荐中标候选人（1-3个），并标明排列顺序。</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2、采购办在评标结束后五个工作日内将评标报告送采购人。</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3、采购人在收到评标报告后五个工作日内，按照评标报告中推荐的中标候选人顺序确定中标人。</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4、中标通知书对招标人和中标人均具有法律效力。中标通知书发出后，招标人、采购单位改变中标结果或中标人放弃中标项目的，应当依法承担相关责任。</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30" w:name="_Toc299527366"/>
      <w:bookmarkStart w:id="31" w:name="_Toc322181655"/>
      <w:r>
        <w:rPr>
          <w:rFonts w:hint="eastAsia" w:ascii="华文中宋" w:hAnsi="华文中宋" w:eastAsia="华文中宋" w:cs="Times New Roman"/>
          <w:kern w:val="2"/>
          <w:sz w:val="24"/>
          <w:szCs w:val="24"/>
          <w:lang w:val="en-US" w:eastAsia="zh-CN" w:bidi="ar-SA"/>
        </w:rPr>
        <w:t>九、签订及履行合同</w:t>
      </w:r>
      <w:bookmarkEnd w:id="30"/>
      <w:bookmarkEnd w:id="31"/>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1、采购人在签订合同时，有权对询价文件中规定的采购货物和服务的数量予以增加或减少。但所增加和减少的数量不超过原合同数量的10%，并不得对单价和其他条款、条件作任何改变。</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2、中标人与采购人应在中标通知书规定的时间内签订采购合同。逾期将取消中标资格并按相关规定处理。</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3、中标人因不可抗力或者自身原因不能履行采购合同的，采购人可以与排在中标人之后第一位的中标候选人签订采购合同，以此类推。</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32" w:name="_Toc299527367"/>
      <w:bookmarkStart w:id="33" w:name="_Toc322181656"/>
      <w:r>
        <w:rPr>
          <w:rFonts w:hint="eastAsia" w:ascii="华文中宋" w:hAnsi="华文中宋" w:eastAsia="华文中宋" w:cs="Times New Roman"/>
          <w:kern w:val="2"/>
          <w:sz w:val="24"/>
          <w:szCs w:val="24"/>
          <w:lang w:val="en-US" w:eastAsia="zh-CN" w:bidi="ar-SA"/>
        </w:rPr>
        <w:t>十、验收及付款方式</w:t>
      </w:r>
      <w:bookmarkEnd w:id="32"/>
      <w:bookmarkEnd w:id="33"/>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冬夏令营活动结束后20天内，组织方向市体育局报送总结材料，同时向赢动少年服务平台报送活动视频、图像资料、经费支出等相关数据。体育总局将委托第三方对冬夏令营实施情况开展考评，通过考评验收再对冬夏令营执行机构予以差额补助。</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（一）评标程序</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1、投标文件初审。初审分为资格性检查和符合性检查。</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（1）资格性检查。依据法律法规和询价文件的规定，投标文件中的资格证明、投标保证金等进行审查，以确定投标供应商是否具备投标资格。</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（2）符合性检查。依据询价文件的规定，从投标文件的有效性、完整性和对询价文件的响应程度进行审查，以确定是否对询价文件的实质性要求作出响应。</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澄清有关问题。对投标文件中含义不明确、同类问题表述不一致或者有明显文字和计算错误的内容，询价小组可以书面形式（应当由询价小组专家签字）要求投标人做出必要的澄清、说明或者纠正。投标人的澄清、说明或者补正应当采用书面形式，由其授权的代表签字，并不得超出投标文件的范围或者改变投标文件的实质性内容。</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3、对所有资格审查和符合性审查合格的投标文件，审查其投标价是否超过资金预算（或标底）。</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4、比较与评价。按询价文件中规定的评标方法和标准，对资格性检查和符合性检查合格以及投标价格没有超过资金预算（或标底）的投标文件进行商务和技术评估。</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（二）确定中标候选人</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询价小组根据评分结果推荐中标候选选人1-3名，并标明排列顺序。供应商排列顺序按得分由高到低顺序排列；得分相同的，按投标报价由低到高顺序排列；得分相同且投标报价相同的，按技术指标优劣顺序排列。</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询价小组撰写评标报告。评标委员会应按照评标报告中推荐的中标候选人排名顺序确定中标人。同时采购方自评标结束之日起2个工作日内将评标结果公示3天。公示如无异议，将在2个工作日内以书面或电话方式正式通知中标方。</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（三）废标</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1、招标采购中，出现下列情形之一的，应予废标：</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（1）符合专业条件的供应商或对询价文件作实质性响应的供应商不足三家的；</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（2）出现影响采购公正的违法、违规行为的；</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（3）投标人的报价均超过了采购预算，购买方不能支付的；</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（4）因重大变故，采购任务取消的；</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（四）评标办法</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询价小组根据符合采购需求、质量和服务相等且报价最低的原则确定成交供应商。</w:t>
      </w:r>
    </w:p>
    <w:p>
      <w:pPr>
        <w:pStyle w:val="7"/>
        <w:spacing w:after="0" w:line="540" w:lineRule="exact"/>
        <w:ind w:left="0" w:leftChars="0" w:firstLine="480"/>
        <w:rPr>
          <w:rFonts w:hint="eastAsia" w:ascii="华文中宋" w:hAnsi="华文中宋" w:eastAsia="华文中宋" w:cs="Times New Roman"/>
          <w:kern w:val="2"/>
          <w:sz w:val="24"/>
          <w:szCs w:val="24"/>
          <w:lang w:val="zh-CN" w:eastAsia="zh-CN" w:bidi="ar-SA"/>
        </w:rPr>
      </w:pPr>
      <w:bookmarkStart w:id="34" w:name="_Toc322181665"/>
    </w:p>
    <w:p>
      <w:pPr>
        <w:rPr>
          <w:rFonts w:hint="eastAsia"/>
          <w:lang w:val="en-US" w:eastAsia="zh-CN"/>
        </w:rPr>
      </w:pPr>
      <w:r>
        <w:rPr>
          <w:rFonts w:hint="eastAsia"/>
          <w:lang w:val="en-US" w:eastAsia="zh-CN"/>
        </w:rPr>
        <w:t xml:space="preserve">                 </w:t>
      </w:r>
    </w:p>
    <w:p>
      <w:pPr>
        <w:rPr>
          <w:rFonts w:hint="eastAsia"/>
          <w:lang w:val="en-US" w:eastAsia="zh-CN"/>
        </w:rPr>
      </w:pPr>
    </w:p>
    <w:p>
      <w:pPr>
        <w:jc w:val="center"/>
        <w:rPr>
          <w:rFonts w:hint="eastAsia"/>
          <w:b/>
          <w:sz w:val="44"/>
          <w:lang w:val="en-US" w:eastAsia="zh-CN"/>
        </w:rPr>
      </w:pPr>
      <w:r>
        <w:rPr>
          <w:rFonts w:hint="eastAsia"/>
          <w:b/>
          <w:sz w:val="44"/>
          <w:lang w:val="en-US" w:eastAsia="zh-CN"/>
        </w:rPr>
        <w:t>第六篇 投标文件格式</w:t>
      </w:r>
    </w:p>
    <w:p>
      <w:pPr>
        <w:pStyle w:val="2"/>
        <w:rPr>
          <w:rFonts w:hint="eastAsia"/>
          <w:b/>
          <w:sz w:val="32"/>
          <w:lang w:val="en-US" w:eastAsia="zh-CN"/>
        </w:rPr>
      </w:pPr>
    </w:p>
    <w:p>
      <w:pPr>
        <w:snapToGrid w:val="0"/>
        <w:spacing w:line="440" w:lineRule="exact"/>
        <w:ind w:firstLine="482" w:firstLineChars="200"/>
        <w:rPr>
          <w:rFonts w:hint="eastAsia" w:ascii="华文中宋" w:hAnsi="华文中宋" w:eastAsia="华文中宋"/>
          <w:b/>
          <w:sz w:val="24"/>
          <w:szCs w:val="24"/>
        </w:rPr>
      </w:pPr>
      <w:r>
        <w:rPr>
          <w:rFonts w:hint="eastAsia" w:ascii="华文中宋" w:hAnsi="华文中宋" w:eastAsia="华文中宋"/>
          <w:b/>
          <w:sz w:val="24"/>
          <w:szCs w:val="24"/>
        </w:rPr>
        <w:t>一、经济文件</w:t>
      </w:r>
    </w:p>
    <w:p>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（一）开标一览表</w:t>
      </w:r>
    </w:p>
    <w:p>
      <w:pPr>
        <w:snapToGrid w:val="0"/>
        <w:spacing w:line="440" w:lineRule="exact"/>
        <w:ind w:firstLine="482" w:firstLineChars="200"/>
        <w:rPr>
          <w:rFonts w:hint="eastAsia" w:ascii="华文中宋" w:hAnsi="华文中宋" w:eastAsia="华文中宋"/>
          <w:b/>
          <w:sz w:val="24"/>
          <w:szCs w:val="24"/>
        </w:rPr>
      </w:pPr>
      <w:r>
        <w:rPr>
          <w:rFonts w:hint="eastAsia" w:ascii="华文中宋" w:hAnsi="华文中宋" w:eastAsia="华文中宋"/>
          <w:b/>
          <w:sz w:val="24"/>
          <w:szCs w:val="24"/>
        </w:rPr>
        <w:t>二、资格文件</w:t>
      </w:r>
    </w:p>
    <w:p>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（一）营业执照（副本）或事业单位法人证书（副本）复印件</w:t>
      </w:r>
    </w:p>
    <w:p>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（二）法定代表人身份证明书（格式）</w:t>
      </w:r>
    </w:p>
    <w:p>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w:t>
      </w:r>
      <w:r>
        <w:rPr>
          <w:rFonts w:hint="eastAsia" w:ascii="华文中宋" w:hAnsi="华文中宋" w:eastAsia="华文中宋"/>
          <w:sz w:val="24"/>
          <w:szCs w:val="24"/>
          <w:lang w:eastAsia="zh-CN"/>
        </w:rPr>
        <w:t>三</w:t>
      </w:r>
      <w:r>
        <w:rPr>
          <w:rFonts w:hint="eastAsia" w:ascii="华文中宋" w:hAnsi="华文中宋" w:eastAsia="华文中宋"/>
          <w:sz w:val="24"/>
          <w:szCs w:val="24"/>
        </w:rPr>
        <w:t>）法定代表人授权委托书（格式）</w:t>
      </w:r>
    </w:p>
    <w:p>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w:t>
      </w:r>
      <w:r>
        <w:rPr>
          <w:rFonts w:hint="eastAsia" w:ascii="华文中宋" w:hAnsi="华文中宋" w:eastAsia="华文中宋"/>
          <w:sz w:val="24"/>
          <w:szCs w:val="24"/>
          <w:lang w:eastAsia="zh-CN"/>
        </w:rPr>
        <w:t>四</w:t>
      </w:r>
      <w:r>
        <w:rPr>
          <w:rFonts w:hint="eastAsia" w:ascii="华文中宋" w:hAnsi="华文中宋" w:eastAsia="华文中宋"/>
          <w:sz w:val="24"/>
          <w:szCs w:val="24"/>
        </w:rPr>
        <w:t>）投标函（格式）</w:t>
      </w:r>
    </w:p>
    <w:p>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w:t>
      </w:r>
      <w:r>
        <w:rPr>
          <w:rFonts w:hint="eastAsia" w:ascii="华文中宋" w:hAnsi="华文中宋" w:eastAsia="华文中宋"/>
          <w:sz w:val="24"/>
          <w:szCs w:val="24"/>
          <w:lang w:eastAsia="zh-CN"/>
        </w:rPr>
        <w:t>五</w:t>
      </w:r>
      <w:r>
        <w:rPr>
          <w:rFonts w:hint="eastAsia" w:ascii="华文中宋" w:hAnsi="华文中宋" w:eastAsia="华文中宋"/>
          <w:sz w:val="24"/>
          <w:szCs w:val="24"/>
        </w:rPr>
        <w:t>）特定资格条件证书或证明文件</w:t>
      </w:r>
    </w:p>
    <w:p>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说明：投标人按“三证合一”登记制度办理营业执照的，组织机构代码证和税务登记证以投标人所提供的法人营业执照（副本）复印件为准。</w:t>
      </w:r>
    </w:p>
    <w:p>
      <w:pPr>
        <w:pStyle w:val="2"/>
        <w:ind w:left="0" w:leftChars="0" w:firstLine="0" w:firstLineChars="0"/>
        <w:rPr>
          <w:rFonts w:hint="eastAsia"/>
          <w:b/>
          <w:sz w:val="32"/>
          <w:lang w:val="en-US" w:eastAsia="zh-CN"/>
        </w:rPr>
      </w:pPr>
      <w:r>
        <w:rPr>
          <w:rFonts w:hint="eastAsia" w:ascii="华文中宋" w:hAnsi="华文中宋" w:eastAsia="华文中宋"/>
        </w:rPr>
        <w:br w:type="page"/>
      </w:r>
    </w:p>
    <w:p>
      <w:pPr>
        <w:pStyle w:val="7"/>
        <w:spacing w:after="0" w:line="540" w:lineRule="exact"/>
        <w:ind w:left="0" w:leftChars="0" w:firstLine="480"/>
        <w:jc w:val="center"/>
        <w:rPr>
          <w:rFonts w:hint="eastAsia" w:ascii="华文中宋" w:hAnsi="华文中宋" w:eastAsia="华文中宋" w:cs="Times New Roman"/>
          <w:b/>
          <w:bCs/>
          <w:kern w:val="2"/>
          <w:sz w:val="40"/>
          <w:szCs w:val="40"/>
          <w:lang w:val="zh-CN" w:eastAsia="zh-CN" w:bidi="ar-SA"/>
        </w:rPr>
      </w:pPr>
      <w:r>
        <w:rPr>
          <w:rFonts w:hint="eastAsia" w:ascii="华文中宋" w:hAnsi="华文中宋" w:eastAsia="华文中宋" w:cs="Times New Roman"/>
          <w:b/>
          <w:bCs/>
          <w:kern w:val="2"/>
          <w:sz w:val="40"/>
          <w:szCs w:val="40"/>
          <w:lang w:val="zh-CN" w:eastAsia="zh-CN" w:bidi="ar-SA"/>
        </w:rPr>
        <w:t>附件一：投标函格式</w:t>
      </w:r>
      <w:bookmarkEnd w:id="34"/>
    </w:p>
    <w:p>
      <w:pPr>
        <w:pStyle w:val="7"/>
        <w:spacing w:after="0" w:line="540" w:lineRule="exact"/>
        <w:ind w:left="0" w:leftChars="0" w:firstLine="480"/>
        <w:jc w:val="center"/>
        <w:rPr>
          <w:rFonts w:hint="eastAsia" w:ascii="华文中宋" w:hAnsi="华文中宋" w:eastAsia="华文中宋" w:cs="Times New Roman"/>
          <w:b/>
          <w:bCs/>
          <w:kern w:val="2"/>
          <w:sz w:val="40"/>
          <w:szCs w:val="40"/>
          <w:lang w:val="zh-CN" w:eastAsia="zh-CN" w:bidi="ar-SA"/>
        </w:rPr>
      </w:pP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重庆市运动技术学院：</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我单位全面研究了你单位“               ”项目询价文件，决定参加贵单位组织的本项目投标。我方授权                  （姓名、职务）代表我方                        （投标单位的名称）全权处理本项目投标的有关事宜。</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2、我方自愿按照招标文件规定的各项要求向买方提供所需服务，总投标价为人民币            （大写：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3、一旦我方中标，我方将严格履行合同规定的责任和义务，保证于合同签字生效后     日内完成项目的执行，并交付买方验收。</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4、我方为本项目提交的投标书为一式  份，其中正本1份，副本  份。</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5、我方愿意提供贵单位可能另外要求的，与投标有关的文件资料，并保证我方已提供和将要提供的文件资料是真实、准确的。</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6、我方完全理解贵单位不一定将合同授予最低报价的投标人的行为。</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投标人名称（盖章）：</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授权代表（或法定代表人）签字：</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通讯地址：</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联系电话：</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开户银行：</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帐    号：</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收款单位：</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投标日期：</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pPr>
        <w:ind w:firstLine="230" w:firstLineChars="82"/>
        <w:rPr>
          <w:b/>
          <w:color w:val="000000"/>
        </w:rPr>
      </w:pPr>
    </w:p>
    <w:p>
      <w:pPr>
        <w:pStyle w:val="4"/>
        <w:ind w:firstLine="602"/>
        <w:jc w:val="center"/>
        <w:rPr>
          <w:rFonts w:hint="eastAsia" w:ascii="华文中宋" w:hAnsi="华文中宋" w:eastAsia="华文中宋" w:cs="Times New Roman"/>
          <w:b/>
          <w:bCs/>
          <w:kern w:val="2"/>
          <w:sz w:val="40"/>
          <w:szCs w:val="40"/>
          <w:lang w:val="zh-CN" w:eastAsia="zh-CN" w:bidi="ar-SA"/>
        </w:rPr>
      </w:pPr>
      <w:bookmarkStart w:id="35" w:name="_Toc322181666"/>
      <w:r>
        <w:rPr>
          <w:rFonts w:hint="eastAsia" w:ascii="华文中宋" w:hAnsi="华文中宋" w:eastAsia="华文中宋" w:cs="Times New Roman"/>
          <w:b/>
          <w:bCs/>
          <w:kern w:val="2"/>
          <w:sz w:val="40"/>
          <w:szCs w:val="40"/>
          <w:lang w:val="zh-CN" w:eastAsia="zh-CN" w:bidi="ar-SA"/>
        </w:rPr>
        <w:t>附件二：法定代表人授权书格式</w:t>
      </w:r>
      <w:bookmarkEnd w:id="35"/>
    </w:p>
    <w:p>
      <w:pPr>
        <w:ind w:firstLine="230" w:firstLineChars="82"/>
        <w:jc w:val="center"/>
        <w:rPr>
          <w:rFonts w:hAnsi="宋体"/>
          <w:b/>
        </w:rPr>
      </w:pPr>
      <w:r>
        <w:rPr>
          <w:rFonts w:hint="eastAsia" w:hAnsi="宋体"/>
          <w:b/>
        </w:rPr>
        <w:t>一、法定代表人证明</w:t>
      </w:r>
    </w:p>
    <w:p>
      <w:pPr>
        <w:ind w:firstLine="480"/>
        <w:jc w:val="center"/>
        <w:rPr>
          <w:rFonts w:hAnsi="宋体"/>
        </w:rPr>
      </w:pPr>
      <w:r>
        <w:rPr>
          <w:rFonts w:hint="eastAsia" w:hAnsi="宋体"/>
        </w:rPr>
        <w:t>（法定代表人参加询价，须出示此证明）</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重庆市运动技术学院：</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我单位法定代表人     　　　   参加贵单位组织的           号询价采购活动，全权代表我单位处理询价的有关事宜。</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附法定代表人情况：</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姓名：          性别：    年龄：      职务：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身份证号码：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详细通讯地址：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电话：                 传真：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邮政编码：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单位名称（公章）             法定代表人（签字）</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年   月   日                 年   月    日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法定代表人身份证复印件</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（粘贴此处）</w:t>
      </w:r>
    </w:p>
    <w:p>
      <w:pPr>
        <w:spacing w:line="360" w:lineRule="auto"/>
        <w:ind w:right="-1801" w:firstLine="3080" w:firstLineChars="1100"/>
      </w:pPr>
    </w:p>
    <w:p>
      <w:pPr>
        <w:spacing w:line="360" w:lineRule="auto"/>
        <w:ind w:right="-1801" w:firstLine="3080" w:firstLineChars="1100"/>
      </w:pPr>
    </w:p>
    <w:p>
      <w:pPr>
        <w:spacing w:line="360" w:lineRule="auto"/>
        <w:ind w:right="-1801" w:firstLine="3080" w:firstLineChars="1100"/>
      </w:pPr>
    </w:p>
    <w:p>
      <w:pPr>
        <w:spacing w:line="360" w:lineRule="auto"/>
        <w:ind w:right="-1801" w:firstLine="3080" w:firstLineChars="1100"/>
      </w:pPr>
    </w:p>
    <w:p>
      <w:pPr>
        <w:pStyle w:val="2"/>
      </w:pPr>
    </w:p>
    <w:p>
      <w:pPr>
        <w:pStyle w:val="2"/>
      </w:pPr>
    </w:p>
    <w:p>
      <w:pPr>
        <w:pStyle w:val="2"/>
      </w:pPr>
    </w:p>
    <w:p>
      <w:pPr>
        <w:spacing w:line="360" w:lineRule="auto"/>
        <w:ind w:right="-1801" w:firstLine="3080" w:firstLineChars="1100"/>
      </w:pPr>
    </w:p>
    <w:p>
      <w:pPr>
        <w:tabs>
          <w:tab w:val="left" w:pos="8280"/>
        </w:tabs>
        <w:ind w:firstLineChars="83"/>
        <w:jc w:val="center"/>
        <w:rPr>
          <w:b/>
        </w:rPr>
      </w:pPr>
      <w:r>
        <w:rPr>
          <w:rFonts w:hint="eastAsia"/>
          <w:b/>
        </w:rPr>
        <w:t>二、法定代表人委托书</w:t>
      </w:r>
    </w:p>
    <w:p>
      <w:pPr>
        <w:ind w:firstLine="232" w:firstLineChars="83"/>
        <w:jc w:val="center"/>
        <w:rPr>
          <w:rFonts w:hAnsi="宋体"/>
        </w:rPr>
      </w:pPr>
      <w:r>
        <w:rPr>
          <w:rFonts w:hint="eastAsia" w:hAnsi="宋体"/>
        </w:rPr>
        <w:t>（</w:t>
      </w:r>
      <w:r>
        <w:rPr>
          <w:rFonts w:hint="eastAsia"/>
        </w:rPr>
        <w:t>委托代理人</w:t>
      </w:r>
      <w:r>
        <w:rPr>
          <w:rFonts w:hint="eastAsia" w:hAnsi="宋体"/>
        </w:rPr>
        <w:t>参加询价，须出示此证明）</w:t>
      </w:r>
    </w:p>
    <w:p>
      <w:pPr>
        <w:tabs>
          <w:tab w:val="left" w:pos="8280"/>
        </w:tabs>
        <w:ind w:firstLine="480"/>
        <w:jc w:val="center"/>
      </w:pP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重庆市运动技术学院：</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 兹委托     　　　   参加贵单位组织的           询价采购活动，全权代表我单位处理招标的有关事宜。</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附全权代表情况：</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姓名：           性别：         年龄：          职务：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身份证号码：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详细通讯地址：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电话：                 传真：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邮政编码：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单位名称（公章）                 法定代表人（签字）</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年   月   日                     年   月    日  </w:t>
      </w:r>
    </w:p>
    <w:p>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pPr>
        <w:tabs>
          <w:tab w:val="left" w:pos="8280"/>
        </w:tabs>
        <w:spacing w:line="360" w:lineRule="auto"/>
        <w:ind w:firstLine="480"/>
      </w:pPr>
    </w:p>
    <w:p>
      <w:pPr>
        <w:pStyle w:val="2"/>
      </w:pPr>
    </w:p>
    <w:p>
      <w:pPr>
        <w:pStyle w:val="2"/>
      </w:pPr>
    </w:p>
    <w:p>
      <w:pPr>
        <w:pStyle w:val="2"/>
      </w:pPr>
    </w:p>
    <w:p>
      <w:pPr>
        <w:pStyle w:val="2"/>
      </w:pPr>
    </w:p>
    <w:p>
      <w:pPr>
        <w:pStyle w:val="2"/>
      </w:pPr>
    </w:p>
    <w:p>
      <w:pPr>
        <w:pStyle w:val="2"/>
      </w:pPr>
    </w:p>
    <w:p>
      <w:pPr>
        <w:pStyle w:val="2"/>
      </w:pPr>
    </w:p>
    <w:p>
      <w:pPr>
        <w:tabs>
          <w:tab w:val="left" w:pos="8280"/>
        </w:tabs>
        <w:spacing w:line="360" w:lineRule="auto"/>
        <w:ind w:firstLine="480"/>
      </w:pPr>
      <w:r>
        <w:rPr>
          <w:rFonts w:hint="eastAsia"/>
        </w:rPr>
        <w:t>委托代理人身份证复印件           法定代表人身份证复印件</w:t>
      </w:r>
    </w:p>
    <w:p>
      <w:pPr>
        <w:tabs>
          <w:tab w:val="left" w:pos="8280"/>
        </w:tabs>
        <w:spacing w:line="360" w:lineRule="auto"/>
        <w:ind w:firstLine="480"/>
      </w:pPr>
      <w:r>
        <w:rPr>
          <w:rFonts w:hint="eastAsia"/>
        </w:rPr>
        <w:t>（粘贴此处）                     （粘贴此处）</w:t>
      </w:r>
    </w:p>
    <w:p>
      <w:pPr>
        <w:pStyle w:val="4"/>
        <w:ind w:firstLine="602"/>
        <w:jc w:val="center"/>
        <w:rPr>
          <w:rFonts w:hint="eastAsia" w:ascii="华文中宋" w:hAnsi="华文中宋" w:eastAsia="华文中宋" w:cs="Times New Roman"/>
          <w:b/>
          <w:bCs/>
          <w:kern w:val="2"/>
          <w:sz w:val="40"/>
          <w:szCs w:val="40"/>
          <w:lang w:val="zh-CN" w:eastAsia="zh-CN" w:bidi="ar-SA"/>
        </w:rPr>
      </w:pPr>
      <w:bookmarkStart w:id="36" w:name="_Toc322181668"/>
      <w:r>
        <w:rPr>
          <w:rFonts w:hint="eastAsia" w:ascii="华文中宋" w:hAnsi="华文中宋" w:eastAsia="华文中宋" w:cs="Times New Roman"/>
          <w:b/>
          <w:bCs/>
          <w:kern w:val="2"/>
          <w:sz w:val="40"/>
          <w:szCs w:val="40"/>
          <w:lang w:val="zh-CN" w:eastAsia="zh-CN" w:bidi="ar-SA"/>
        </w:rPr>
        <w:t>附件三：开标一览表格式</w:t>
      </w:r>
      <w:bookmarkEnd w:id="36"/>
    </w:p>
    <w:p>
      <w:pPr>
        <w:ind w:firstLine="480"/>
        <w:rPr>
          <w:rFonts w:hint="eastAsia" w:ascii="华文中宋" w:hAnsi="华文中宋" w:eastAsia="华文中宋" w:cs="Times New Roman"/>
          <w:kern w:val="2"/>
          <w:sz w:val="24"/>
          <w:szCs w:val="24"/>
          <w:lang w:val="en-US" w:eastAsia="zh-CN" w:bidi="ar-SA"/>
        </w:rPr>
      </w:pPr>
    </w:p>
    <w:p>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报价方名称（盖章）：                   </w:t>
      </w:r>
    </w:p>
    <w:p>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询价采购编号：                        </w:t>
      </w:r>
    </w:p>
    <w:p>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                                              单位: 元（人民币）</w:t>
      </w:r>
    </w:p>
    <w:tbl>
      <w:tblPr>
        <w:tblStyle w:val="10"/>
        <w:tblW w:w="8980" w:type="dxa"/>
        <w:tblInd w:w="-159" w:type="dxa"/>
        <w:tblLayout w:type="fixed"/>
        <w:tblCellMar>
          <w:top w:w="0" w:type="dxa"/>
          <w:left w:w="30" w:type="dxa"/>
          <w:bottom w:w="0" w:type="dxa"/>
          <w:right w:w="30" w:type="dxa"/>
        </w:tblCellMar>
      </w:tblPr>
      <w:tblGrid>
        <w:gridCol w:w="693"/>
        <w:gridCol w:w="2238"/>
        <w:gridCol w:w="1560"/>
        <w:gridCol w:w="1207"/>
        <w:gridCol w:w="1207"/>
        <w:gridCol w:w="1035"/>
        <w:gridCol w:w="5"/>
        <w:gridCol w:w="1035"/>
      </w:tblGrid>
      <w:tr>
        <w:tblPrEx>
          <w:tblCellMar>
            <w:top w:w="0" w:type="dxa"/>
            <w:left w:w="30" w:type="dxa"/>
            <w:bottom w:w="0" w:type="dxa"/>
            <w:right w:w="30" w:type="dxa"/>
          </w:tblCellMar>
        </w:tblPrEx>
        <w:trPr>
          <w:cantSplit/>
          <w:trHeight w:val="801" w:hRule="atLeast"/>
        </w:trPr>
        <w:tc>
          <w:tcPr>
            <w:tcW w:w="693" w:type="dxa"/>
            <w:tcBorders>
              <w:top w:val="single" w:color="auto" w:sz="4" w:space="0"/>
              <w:left w:val="single" w:color="auto" w:sz="4" w:space="0"/>
              <w:bottom w:val="single" w:color="000000" w:sz="6" w:space="0"/>
              <w:right w:val="single" w:color="auto" w:sz="4" w:space="0"/>
            </w:tcBorders>
            <w:vAlign w:val="center"/>
          </w:tcPr>
          <w:p>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序号</w:t>
            </w:r>
          </w:p>
        </w:tc>
        <w:tc>
          <w:tcPr>
            <w:tcW w:w="2238" w:type="dxa"/>
            <w:tcBorders>
              <w:top w:val="single" w:color="auto" w:sz="4" w:space="0"/>
              <w:left w:val="single" w:color="auto" w:sz="4" w:space="0"/>
              <w:bottom w:val="single" w:color="000000" w:sz="6" w:space="0"/>
              <w:right w:val="single" w:color="auto" w:sz="4" w:space="0"/>
            </w:tcBorders>
            <w:vAlign w:val="center"/>
          </w:tcPr>
          <w:p>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名称</w:t>
            </w:r>
          </w:p>
        </w:tc>
        <w:tc>
          <w:tcPr>
            <w:tcW w:w="1560" w:type="dxa"/>
            <w:tcBorders>
              <w:top w:val="single" w:color="auto" w:sz="4" w:space="0"/>
              <w:left w:val="single" w:color="auto" w:sz="4" w:space="0"/>
              <w:bottom w:val="single" w:color="000000" w:sz="6" w:space="0"/>
              <w:right w:val="single" w:color="auto" w:sz="4" w:space="0"/>
            </w:tcBorders>
            <w:vAlign w:val="center"/>
          </w:tcPr>
          <w:p>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规格</w:t>
            </w:r>
          </w:p>
        </w:tc>
        <w:tc>
          <w:tcPr>
            <w:tcW w:w="1207" w:type="dxa"/>
            <w:tcBorders>
              <w:top w:val="single" w:color="auto" w:sz="4" w:space="0"/>
              <w:left w:val="single" w:color="auto" w:sz="4" w:space="0"/>
              <w:bottom w:val="single" w:color="000000" w:sz="6" w:space="0"/>
              <w:right w:val="single" w:color="auto" w:sz="4" w:space="0"/>
            </w:tcBorders>
            <w:vAlign w:val="center"/>
          </w:tcPr>
          <w:p>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数量</w:t>
            </w:r>
          </w:p>
        </w:tc>
        <w:tc>
          <w:tcPr>
            <w:tcW w:w="1207" w:type="dxa"/>
            <w:tcBorders>
              <w:top w:val="single" w:color="auto" w:sz="4" w:space="0"/>
              <w:left w:val="single" w:color="auto" w:sz="4" w:space="0"/>
              <w:bottom w:val="single" w:color="000000" w:sz="6" w:space="0"/>
              <w:right w:val="single" w:color="auto" w:sz="4" w:space="0"/>
            </w:tcBorders>
            <w:vAlign w:val="center"/>
          </w:tcPr>
          <w:p>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单价</w:t>
            </w:r>
          </w:p>
        </w:tc>
        <w:tc>
          <w:tcPr>
            <w:tcW w:w="1035" w:type="dxa"/>
            <w:tcBorders>
              <w:top w:val="single" w:color="auto" w:sz="4" w:space="0"/>
              <w:left w:val="single" w:color="auto" w:sz="4" w:space="0"/>
              <w:bottom w:val="single" w:color="000000" w:sz="6" w:space="0"/>
              <w:right w:val="single" w:color="auto" w:sz="4" w:space="0"/>
            </w:tcBorders>
            <w:vAlign w:val="center"/>
          </w:tcPr>
          <w:p>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合计</w:t>
            </w:r>
          </w:p>
        </w:tc>
        <w:tc>
          <w:tcPr>
            <w:tcW w:w="1040" w:type="dxa"/>
            <w:gridSpan w:val="2"/>
            <w:tcBorders>
              <w:top w:val="single" w:color="auto" w:sz="4" w:space="0"/>
              <w:left w:val="single" w:color="auto" w:sz="4" w:space="0"/>
              <w:bottom w:val="single" w:color="000000" w:sz="6" w:space="0"/>
              <w:right w:val="single" w:color="auto" w:sz="4" w:space="0"/>
            </w:tcBorders>
            <w:vAlign w:val="center"/>
          </w:tcPr>
          <w:p>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交货期</w:t>
            </w:r>
          </w:p>
        </w:tc>
      </w:tr>
      <w:tr>
        <w:tblPrEx>
          <w:tblCellMar>
            <w:top w:w="0" w:type="dxa"/>
            <w:left w:w="30" w:type="dxa"/>
            <w:bottom w:w="0" w:type="dxa"/>
            <w:right w:w="30" w:type="dxa"/>
          </w:tblCellMar>
        </w:tblPrEx>
        <w:trPr>
          <w:cantSplit/>
          <w:trHeight w:val="714" w:hRule="atLeast"/>
        </w:trPr>
        <w:tc>
          <w:tcPr>
            <w:tcW w:w="693" w:type="dxa"/>
            <w:tcBorders>
              <w:top w:val="single" w:color="000000" w:sz="6" w:space="0"/>
              <w:left w:val="single" w:color="000000" w:sz="6" w:space="0"/>
              <w:right w:val="single" w:color="auto" w:sz="4" w:space="0"/>
            </w:tcBorders>
            <w:vAlign w:val="center"/>
          </w:tcPr>
          <w:p>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w:t>
            </w:r>
          </w:p>
        </w:tc>
        <w:tc>
          <w:tcPr>
            <w:tcW w:w="2238" w:type="dxa"/>
            <w:tcBorders>
              <w:top w:val="single" w:color="000000" w:sz="6" w:space="0"/>
              <w:left w:val="single" w:color="auto" w:sz="4" w:space="0"/>
              <w:right w:val="single" w:color="000000" w:sz="6" w:space="0"/>
            </w:tcBorders>
            <w:vAlign w:val="center"/>
          </w:tcPr>
          <w:p>
            <w:pPr>
              <w:ind w:firstLine="480"/>
              <w:rPr>
                <w:rFonts w:hint="eastAsia" w:ascii="华文中宋" w:hAnsi="华文中宋" w:eastAsia="华文中宋" w:cs="Times New Roman"/>
                <w:kern w:val="2"/>
                <w:sz w:val="24"/>
                <w:szCs w:val="24"/>
                <w:lang w:val="en-US" w:eastAsia="zh-CN" w:bidi="ar-SA"/>
              </w:rPr>
            </w:pPr>
          </w:p>
        </w:tc>
        <w:tc>
          <w:tcPr>
            <w:tcW w:w="1560" w:type="dxa"/>
            <w:tcBorders>
              <w:top w:val="single" w:color="000000" w:sz="6" w:space="0"/>
              <w:left w:val="single" w:color="000000" w:sz="6" w:space="0"/>
              <w:bottom w:val="single" w:color="000000" w:sz="6" w:space="0"/>
              <w:right w:val="single" w:color="000000" w:sz="6" w:space="0"/>
            </w:tcBorders>
            <w:vAlign w:val="center"/>
          </w:tcPr>
          <w:p>
            <w:pPr>
              <w:ind w:firstLine="480"/>
              <w:rPr>
                <w:rFonts w:hint="eastAsia" w:ascii="华文中宋" w:hAnsi="华文中宋" w:eastAsia="华文中宋" w:cs="Times New Roman"/>
                <w:kern w:val="2"/>
                <w:sz w:val="24"/>
                <w:szCs w:val="24"/>
                <w:lang w:val="en-US" w:eastAsia="zh-CN" w:bidi="ar-SA"/>
              </w:rPr>
            </w:pPr>
          </w:p>
        </w:tc>
        <w:tc>
          <w:tcPr>
            <w:tcW w:w="1207" w:type="dxa"/>
            <w:tcBorders>
              <w:top w:val="single" w:color="000000" w:sz="6" w:space="0"/>
              <w:left w:val="single" w:color="000000" w:sz="6" w:space="0"/>
              <w:bottom w:val="single" w:color="000000" w:sz="6" w:space="0"/>
              <w:right w:val="single" w:color="auto" w:sz="4" w:space="0"/>
            </w:tcBorders>
          </w:tcPr>
          <w:p>
            <w:pPr>
              <w:ind w:firstLine="480"/>
              <w:rPr>
                <w:rFonts w:hint="eastAsia" w:ascii="华文中宋" w:hAnsi="华文中宋" w:eastAsia="华文中宋" w:cs="Times New Roman"/>
                <w:kern w:val="2"/>
                <w:sz w:val="24"/>
                <w:szCs w:val="24"/>
                <w:lang w:val="en-US" w:eastAsia="zh-CN" w:bidi="ar-SA"/>
              </w:rPr>
            </w:pPr>
          </w:p>
        </w:tc>
        <w:tc>
          <w:tcPr>
            <w:tcW w:w="1207" w:type="dxa"/>
            <w:tcBorders>
              <w:top w:val="single" w:color="000000" w:sz="6" w:space="0"/>
              <w:left w:val="single" w:color="000000" w:sz="6" w:space="0"/>
              <w:bottom w:val="single" w:color="000000" w:sz="6" w:space="0"/>
              <w:right w:val="single" w:color="000000" w:sz="6" w:space="0"/>
            </w:tcBorders>
          </w:tcPr>
          <w:p>
            <w:pPr>
              <w:ind w:firstLine="480"/>
              <w:rPr>
                <w:rFonts w:hint="eastAsia" w:ascii="华文中宋" w:hAnsi="华文中宋" w:eastAsia="华文中宋" w:cs="Times New Roman"/>
                <w:kern w:val="2"/>
                <w:sz w:val="24"/>
                <w:szCs w:val="24"/>
                <w:lang w:val="en-US" w:eastAsia="zh-CN" w:bidi="ar-SA"/>
              </w:rPr>
            </w:pPr>
          </w:p>
        </w:tc>
        <w:tc>
          <w:tcPr>
            <w:tcW w:w="1035" w:type="dxa"/>
            <w:tcBorders>
              <w:top w:val="single" w:color="000000" w:sz="6" w:space="0"/>
              <w:left w:val="single" w:color="auto" w:sz="4" w:space="0"/>
              <w:bottom w:val="single" w:color="000000" w:sz="6" w:space="0"/>
              <w:right w:val="single" w:color="auto" w:sz="4" w:space="0"/>
            </w:tcBorders>
          </w:tcPr>
          <w:p>
            <w:pPr>
              <w:ind w:firstLine="480"/>
              <w:rPr>
                <w:rFonts w:hint="eastAsia" w:ascii="华文中宋" w:hAnsi="华文中宋" w:eastAsia="华文中宋" w:cs="Times New Roman"/>
                <w:kern w:val="2"/>
                <w:sz w:val="24"/>
                <w:szCs w:val="24"/>
                <w:lang w:val="en-US" w:eastAsia="zh-CN" w:bidi="ar-SA"/>
              </w:rPr>
            </w:pPr>
          </w:p>
        </w:tc>
        <w:tc>
          <w:tcPr>
            <w:tcW w:w="1040" w:type="dxa"/>
            <w:gridSpan w:val="2"/>
            <w:tcBorders>
              <w:top w:val="single" w:color="000000" w:sz="6" w:space="0"/>
              <w:left w:val="single" w:color="auto" w:sz="4" w:space="0"/>
              <w:bottom w:val="single" w:color="000000" w:sz="6" w:space="0"/>
              <w:right w:val="single" w:color="000000" w:sz="6" w:space="0"/>
            </w:tcBorders>
          </w:tcPr>
          <w:p>
            <w:pPr>
              <w:ind w:firstLine="480"/>
              <w:rPr>
                <w:rFonts w:hint="eastAsia" w:ascii="华文中宋" w:hAnsi="华文中宋" w:eastAsia="华文中宋" w:cs="Times New Roman"/>
                <w:kern w:val="2"/>
                <w:sz w:val="24"/>
                <w:szCs w:val="24"/>
                <w:lang w:val="en-US" w:eastAsia="zh-CN" w:bidi="ar-SA"/>
              </w:rPr>
            </w:pPr>
          </w:p>
        </w:tc>
      </w:tr>
      <w:tr>
        <w:tblPrEx>
          <w:tblCellMar>
            <w:top w:w="0" w:type="dxa"/>
            <w:left w:w="30" w:type="dxa"/>
            <w:bottom w:w="0" w:type="dxa"/>
            <w:right w:w="30" w:type="dxa"/>
          </w:tblCellMar>
        </w:tblPrEx>
        <w:trPr>
          <w:cantSplit/>
          <w:trHeight w:val="477" w:hRule="atLeast"/>
        </w:trPr>
        <w:tc>
          <w:tcPr>
            <w:tcW w:w="693" w:type="dxa"/>
            <w:tcBorders>
              <w:top w:val="single" w:color="auto" w:sz="4" w:space="0"/>
              <w:left w:val="single" w:color="000000" w:sz="6" w:space="0"/>
              <w:bottom w:val="single" w:color="auto" w:sz="4" w:space="0"/>
              <w:right w:val="single" w:color="auto" w:sz="4" w:space="0"/>
            </w:tcBorders>
            <w:vAlign w:val="center"/>
          </w:tcPr>
          <w:p>
            <w:pPr>
              <w:ind w:firstLine="482"/>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w:t>
            </w:r>
          </w:p>
        </w:tc>
        <w:tc>
          <w:tcPr>
            <w:tcW w:w="2238" w:type="dxa"/>
            <w:tcBorders>
              <w:top w:val="single" w:color="auto" w:sz="4" w:space="0"/>
              <w:left w:val="single" w:color="auto" w:sz="4" w:space="0"/>
              <w:bottom w:val="single" w:color="auto" w:sz="4" w:space="0"/>
              <w:right w:val="single" w:color="000000" w:sz="6" w:space="0"/>
            </w:tcBorders>
            <w:vAlign w:val="center"/>
          </w:tcPr>
          <w:p>
            <w:pPr>
              <w:ind w:firstLine="482"/>
              <w:rPr>
                <w:rFonts w:hint="eastAsia" w:ascii="华文中宋" w:hAnsi="华文中宋" w:eastAsia="华文中宋" w:cs="Times New Roman"/>
                <w:kern w:val="2"/>
                <w:sz w:val="24"/>
                <w:szCs w:val="24"/>
                <w:lang w:val="en-US" w:eastAsia="zh-CN" w:bidi="ar-SA"/>
              </w:rPr>
            </w:pPr>
          </w:p>
        </w:tc>
        <w:tc>
          <w:tcPr>
            <w:tcW w:w="1560" w:type="dxa"/>
            <w:tcBorders>
              <w:top w:val="single" w:color="auto" w:sz="4" w:space="0"/>
              <w:left w:val="single" w:color="000000" w:sz="6" w:space="0"/>
              <w:bottom w:val="single" w:color="auto" w:sz="4" w:space="0"/>
              <w:right w:val="single" w:color="auto" w:sz="4" w:space="0"/>
            </w:tcBorders>
          </w:tcPr>
          <w:p>
            <w:pPr>
              <w:ind w:firstLine="480"/>
              <w:rPr>
                <w:rFonts w:hint="eastAsia" w:ascii="华文中宋" w:hAnsi="华文中宋" w:eastAsia="华文中宋" w:cs="Times New Roman"/>
                <w:kern w:val="2"/>
                <w:sz w:val="24"/>
                <w:szCs w:val="24"/>
                <w:lang w:val="en-US" w:eastAsia="zh-CN" w:bidi="ar-SA"/>
              </w:rPr>
            </w:pPr>
          </w:p>
        </w:tc>
        <w:tc>
          <w:tcPr>
            <w:tcW w:w="1207" w:type="dxa"/>
            <w:tcBorders>
              <w:top w:val="single" w:color="auto" w:sz="4" w:space="0"/>
              <w:left w:val="single" w:color="auto" w:sz="4" w:space="0"/>
              <w:bottom w:val="single" w:color="auto" w:sz="4" w:space="0"/>
              <w:right w:val="single" w:color="auto" w:sz="4" w:space="0"/>
            </w:tcBorders>
          </w:tcPr>
          <w:p>
            <w:pPr>
              <w:ind w:firstLine="480"/>
              <w:rPr>
                <w:rFonts w:hint="eastAsia" w:ascii="华文中宋" w:hAnsi="华文中宋" w:eastAsia="华文中宋" w:cs="Times New Roman"/>
                <w:kern w:val="2"/>
                <w:sz w:val="24"/>
                <w:szCs w:val="24"/>
                <w:lang w:val="en-US" w:eastAsia="zh-CN" w:bidi="ar-SA"/>
              </w:rPr>
            </w:pPr>
          </w:p>
        </w:tc>
        <w:tc>
          <w:tcPr>
            <w:tcW w:w="1207" w:type="dxa"/>
            <w:tcBorders>
              <w:top w:val="single" w:color="auto" w:sz="4" w:space="0"/>
              <w:left w:val="single" w:color="auto" w:sz="4" w:space="0"/>
              <w:bottom w:val="single" w:color="auto" w:sz="4" w:space="0"/>
              <w:right w:val="single" w:color="auto" w:sz="4" w:space="0"/>
            </w:tcBorders>
          </w:tcPr>
          <w:p>
            <w:pPr>
              <w:ind w:firstLine="480"/>
              <w:rPr>
                <w:rFonts w:hint="eastAsia" w:ascii="华文中宋" w:hAnsi="华文中宋" w:eastAsia="华文中宋" w:cs="Times New Roman"/>
                <w:kern w:val="2"/>
                <w:sz w:val="24"/>
                <w:szCs w:val="24"/>
                <w:lang w:val="en-US" w:eastAsia="zh-CN" w:bidi="ar-SA"/>
              </w:rPr>
            </w:pPr>
          </w:p>
        </w:tc>
        <w:tc>
          <w:tcPr>
            <w:tcW w:w="1040" w:type="dxa"/>
            <w:gridSpan w:val="2"/>
            <w:tcBorders>
              <w:top w:val="single" w:color="auto" w:sz="4" w:space="0"/>
              <w:left w:val="single" w:color="auto" w:sz="4" w:space="0"/>
              <w:bottom w:val="single" w:color="auto" w:sz="4" w:space="0"/>
              <w:right w:val="single" w:color="auto" w:sz="4" w:space="0"/>
            </w:tcBorders>
          </w:tcPr>
          <w:p>
            <w:pPr>
              <w:ind w:firstLine="480"/>
              <w:rPr>
                <w:rFonts w:hint="eastAsia" w:ascii="华文中宋" w:hAnsi="华文中宋" w:eastAsia="华文中宋" w:cs="Times New Roman"/>
                <w:kern w:val="2"/>
                <w:sz w:val="24"/>
                <w:szCs w:val="24"/>
                <w:lang w:val="en-US" w:eastAsia="zh-CN" w:bidi="ar-SA"/>
              </w:rPr>
            </w:pPr>
          </w:p>
        </w:tc>
        <w:tc>
          <w:tcPr>
            <w:tcW w:w="1035" w:type="dxa"/>
            <w:tcBorders>
              <w:top w:val="single" w:color="auto" w:sz="4" w:space="0"/>
              <w:left w:val="single" w:color="auto" w:sz="4" w:space="0"/>
              <w:bottom w:val="single" w:color="auto" w:sz="4" w:space="0"/>
              <w:right w:val="single" w:color="000000" w:sz="6" w:space="0"/>
            </w:tcBorders>
          </w:tcPr>
          <w:p>
            <w:pPr>
              <w:ind w:firstLine="480"/>
              <w:rPr>
                <w:rFonts w:hint="eastAsia" w:ascii="华文中宋" w:hAnsi="华文中宋" w:eastAsia="华文中宋" w:cs="Times New Roman"/>
                <w:kern w:val="2"/>
                <w:sz w:val="24"/>
                <w:szCs w:val="24"/>
                <w:lang w:val="en-US" w:eastAsia="zh-CN" w:bidi="ar-SA"/>
              </w:rPr>
            </w:pPr>
          </w:p>
        </w:tc>
      </w:tr>
      <w:tr>
        <w:tblPrEx>
          <w:tblCellMar>
            <w:top w:w="0" w:type="dxa"/>
            <w:left w:w="30" w:type="dxa"/>
            <w:bottom w:w="0" w:type="dxa"/>
            <w:right w:w="30" w:type="dxa"/>
          </w:tblCellMar>
        </w:tblPrEx>
        <w:trPr>
          <w:cantSplit/>
          <w:trHeight w:val="483" w:hRule="atLeast"/>
        </w:trPr>
        <w:tc>
          <w:tcPr>
            <w:tcW w:w="2931" w:type="dxa"/>
            <w:gridSpan w:val="2"/>
            <w:tcBorders>
              <w:top w:val="single" w:color="auto" w:sz="4" w:space="0"/>
              <w:left w:val="single" w:color="000000" w:sz="6" w:space="0"/>
              <w:bottom w:val="single" w:color="auto" w:sz="4" w:space="0"/>
              <w:right w:val="single" w:color="000000" w:sz="6" w:space="0"/>
            </w:tcBorders>
            <w:vAlign w:val="center"/>
          </w:tcPr>
          <w:p>
            <w:pPr>
              <w:ind w:firstLine="482"/>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总计</w:t>
            </w:r>
          </w:p>
        </w:tc>
        <w:tc>
          <w:tcPr>
            <w:tcW w:w="6049" w:type="dxa"/>
            <w:gridSpan w:val="6"/>
            <w:tcBorders>
              <w:top w:val="single" w:color="auto" w:sz="4" w:space="0"/>
              <w:left w:val="single" w:color="000000" w:sz="6" w:space="0"/>
              <w:bottom w:val="single" w:color="auto" w:sz="4" w:space="0"/>
              <w:right w:val="single" w:color="000000" w:sz="6" w:space="0"/>
            </w:tcBorders>
          </w:tcPr>
          <w:p>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（大写）：                                   </w:t>
            </w:r>
          </w:p>
        </w:tc>
      </w:tr>
    </w:tbl>
    <w:p>
      <w:pPr>
        <w:ind w:firstLine="480"/>
        <w:rPr>
          <w:rFonts w:hint="eastAsia" w:ascii="华文中宋" w:hAnsi="华文中宋" w:eastAsia="华文中宋" w:cs="Times New Roman"/>
          <w:kern w:val="2"/>
          <w:sz w:val="24"/>
          <w:szCs w:val="24"/>
          <w:lang w:val="en-US" w:eastAsia="zh-CN" w:bidi="ar-SA"/>
        </w:rPr>
      </w:pPr>
    </w:p>
    <w:p>
      <w:pPr>
        <w:ind w:firstLine="480"/>
        <w:rPr>
          <w:rFonts w:hint="eastAsia" w:ascii="华文中宋" w:hAnsi="华文中宋" w:eastAsia="华文中宋" w:cs="Times New Roman"/>
          <w:kern w:val="2"/>
          <w:sz w:val="24"/>
          <w:szCs w:val="24"/>
          <w:lang w:val="en-US" w:eastAsia="zh-CN" w:bidi="ar-SA"/>
        </w:rPr>
      </w:pPr>
    </w:p>
    <w:p>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报价方法定代表人（或委托代理人）签字：         日期：</w:t>
      </w:r>
    </w:p>
    <w:p>
      <w:pPr>
        <w:ind w:firstLine="480"/>
        <w:rPr>
          <w:rFonts w:hint="eastAsia" w:ascii="华文中宋" w:hAnsi="华文中宋" w:eastAsia="华文中宋" w:cs="Times New Roman"/>
          <w:kern w:val="2"/>
          <w:sz w:val="24"/>
          <w:szCs w:val="24"/>
          <w:lang w:val="en-US" w:eastAsia="zh-CN" w:bidi="ar-SA"/>
        </w:rPr>
      </w:pPr>
    </w:p>
    <w:p>
      <w:pPr>
        <w:ind w:firstLine="480"/>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pStyle w:val="2"/>
        <w:rPr>
          <w:rFonts w:hint="eastAsia" w:ascii="华文中宋" w:hAnsi="华文中宋" w:eastAsia="华文中宋" w:cs="Times New Roman"/>
          <w:kern w:val="2"/>
          <w:sz w:val="24"/>
          <w:szCs w:val="24"/>
          <w:lang w:val="en-US" w:eastAsia="zh-CN" w:bidi="ar-SA"/>
        </w:rPr>
      </w:pPr>
    </w:p>
    <w:p>
      <w:pPr>
        <w:rPr>
          <w:rFonts w:hint="eastAsia" w:ascii="华文中宋" w:hAnsi="华文中宋" w:eastAsia="华文中宋" w:cs="Times New Roman"/>
          <w:kern w:val="2"/>
          <w:sz w:val="24"/>
          <w:szCs w:val="24"/>
          <w:lang w:val="en-US" w:eastAsia="zh-CN" w:bidi="ar-SA"/>
        </w:rPr>
      </w:pPr>
    </w:p>
    <w:p>
      <w:pPr>
        <w:ind w:firstLine="480"/>
        <w:rPr>
          <w:rFonts w:hint="eastAsia" w:ascii="华文中宋" w:hAnsi="华文中宋" w:eastAsia="华文中宋" w:cs="Times New Roman"/>
          <w:kern w:val="2"/>
          <w:sz w:val="24"/>
          <w:szCs w:val="24"/>
          <w:lang w:val="en-US" w:eastAsia="zh-CN" w:bidi="ar-SA"/>
        </w:rPr>
      </w:pPr>
    </w:p>
    <w:p>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注:1. 以上报价包含执行服务本身价、运输、税费。</w:t>
      </w:r>
    </w:p>
    <w:p>
      <w:pPr>
        <w:ind w:firstLine="840" w:firstLineChars="35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 服务的技术指标内容应与采购文件的要求相对应，且有准确的描述。</w:t>
      </w:r>
    </w:p>
    <w:p>
      <w:pPr>
        <w:ind w:firstLine="840" w:firstLineChars="35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 此表经签字盖章后，装入报价专用袋内密封。</w:t>
      </w:r>
    </w:p>
    <w:p>
      <w:pPr>
        <w:ind w:firstLine="840" w:firstLineChars="35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 委托代理人需有委托书（格式见本文附件二），一并密封于专用袋中。</w:t>
      </w:r>
    </w:p>
    <w:p>
      <w:pPr>
        <w:ind w:firstLine="840" w:firstLineChars="35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 行数可任意增减。</w:t>
      </w:r>
    </w:p>
    <w:p>
      <w:pPr>
        <w:pStyle w:val="2"/>
        <w:ind w:left="0" w:leftChars="0" w:firstLine="0" w:firstLineChars="0"/>
      </w:pPr>
    </w:p>
    <w:sectPr>
      <w:pgSz w:w="11906" w:h="16838"/>
      <w:pgMar w:top="11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 w:val="24"/>
      </w:rPr>
    </w:pPr>
    <w:r>
      <w:rPr>
        <w:sz w:val="24"/>
      </w:rPr>
      <w:fldChar w:fldCharType="begin"/>
    </w:r>
    <w:r>
      <w:rPr>
        <w:rStyle w:val="12"/>
        <w:sz w:val="24"/>
      </w:rPr>
      <w:instrText xml:space="preserve"> PAGE </w:instrText>
    </w:r>
    <w:r>
      <w:rPr>
        <w:sz w:val="24"/>
      </w:rPr>
      <w:fldChar w:fldCharType="separate"/>
    </w:r>
    <w:r>
      <w:rPr>
        <w:rStyle w:val="1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FC671"/>
    <w:multiLevelType w:val="singleLevel"/>
    <w:tmpl w:val="82FFC671"/>
    <w:lvl w:ilvl="0" w:tentative="0">
      <w:start w:val="2"/>
      <w:numFmt w:val="chineseCounting"/>
      <w:suff w:val="nothing"/>
      <w:lvlText w:val="%1、"/>
      <w:lvlJc w:val="left"/>
      <w:rPr>
        <w:rFonts w:hint="eastAsia"/>
      </w:rPr>
    </w:lvl>
  </w:abstractNum>
  <w:abstractNum w:abstractNumId="1">
    <w:nsid w:val="EC503D61"/>
    <w:multiLevelType w:val="singleLevel"/>
    <w:tmpl w:val="EC503D61"/>
    <w:lvl w:ilvl="0" w:tentative="0">
      <w:start w:val="1"/>
      <w:numFmt w:val="chineseCounting"/>
      <w:suff w:val="nothing"/>
      <w:lvlText w:val="%1、"/>
      <w:lvlJc w:val="left"/>
      <w:rPr>
        <w:rFonts w:hint="eastAsia"/>
      </w:rPr>
    </w:lvl>
  </w:abstractNum>
  <w:abstractNum w:abstractNumId="2">
    <w:nsid w:val="F486D62D"/>
    <w:multiLevelType w:val="singleLevel"/>
    <w:tmpl w:val="F486D62D"/>
    <w:lvl w:ilvl="0" w:tentative="0">
      <w:start w:val="1"/>
      <w:numFmt w:val="decimal"/>
      <w:suff w:val="nothing"/>
      <w:lvlText w:val="（%1）"/>
      <w:lvlJc w:val="left"/>
    </w:lvl>
  </w:abstractNum>
  <w:abstractNum w:abstractNumId="3">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8225AB9"/>
    <w:multiLevelType w:val="singleLevel"/>
    <w:tmpl w:val="08225AB9"/>
    <w:lvl w:ilvl="0" w:tentative="0">
      <w:start w:val="3"/>
      <w:numFmt w:val="chineseCounting"/>
      <w:suff w:val="nothing"/>
      <w:lvlText w:val="%1、"/>
      <w:lvlJc w:val="left"/>
      <w:rPr>
        <w:rFonts w:hint="eastAsia"/>
      </w:rPr>
    </w:lvl>
  </w:abstractNum>
  <w:abstractNum w:abstractNumId="5">
    <w:nsid w:val="738BCCEC"/>
    <w:multiLevelType w:val="singleLevel"/>
    <w:tmpl w:val="738BCCEC"/>
    <w:lvl w:ilvl="0" w:tentative="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2Y3MjRhM2M3YTM1YWNhNGE5ZmRlNzNiOGEyNWMifQ=="/>
  </w:docVars>
  <w:rsids>
    <w:rsidRoot w:val="16617439"/>
    <w:rsid w:val="008C1EA1"/>
    <w:rsid w:val="02B3620A"/>
    <w:rsid w:val="093434A3"/>
    <w:rsid w:val="0A832732"/>
    <w:rsid w:val="0D515F53"/>
    <w:rsid w:val="115F3FBA"/>
    <w:rsid w:val="13E26D30"/>
    <w:rsid w:val="16617439"/>
    <w:rsid w:val="167F0127"/>
    <w:rsid w:val="1680573A"/>
    <w:rsid w:val="26F84049"/>
    <w:rsid w:val="27474BA8"/>
    <w:rsid w:val="2C906774"/>
    <w:rsid w:val="2CE84A72"/>
    <w:rsid w:val="2D6C28E5"/>
    <w:rsid w:val="2F8C1FF5"/>
    <w:rsid w:val="31507B95"/>
    <w:rsid w:val="366E566C"/>
    <w:rsid w:val="371B30CC"/>
    <w:rsid w:val="37B2297F"/>
    <w:rsid w:val="3AE2561B"/>
    <w:rsid w:val="3FCF1A93"/>
    <w:rsid w:val="480B6C4C"/>
    <w:rsid w:val="49593CDD"/>
    <w:rsid w:val="4C2C35EE"/>
    <w:rsid w:val="4CC918D0"/>
    <w:rsid w:val="4CF66A62"/>
    <w:rsid w:val="51D66180"/>
    <w:rsid w:val="54A84880"/>
    <w:rsid w:val="56865AE1"/>
    <w:rsid w:val="5CA43E29"/>
    <w:rsid w:val="5F834CD3"/>
    <w:rsid w:val="6C0863FA"/>
    <w:rsid w:val="758D6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5">
    <w:name w:val="Body Text Indent"/>
    <w:basedOn w:val="1"/>
    <w:qFormat/>
    <w:uiPriority w:val="0"/>
    <w:pPr>
      <w:spacing w:line="700" w:lineRule="exact"/>
      <w:ind w:left="960"/>
    </w:pPr>
    <w:rPr>
      <w:sz w:val="44"/>
    </w:rPr>
  </w:style>
  <w:style w:type="paragraph" w:styleId="6">
    <w:name w:val="Date"/>
    <w:basedOn w:val="1"/>
    <w:next w:val="1"/>
    <w:qFormat/>
    <w:uiPriority w:val="0"/>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character" w:styleId="12">
    <w:name w:val="page number"/>
    <w:basedOn w:val="11"/>
    <w:qFormat/>
    <w:uiPriority w:val="0"/>
  </w:style>
  <w:style w:type="character" w:styleId="13">
    <w:name w:val="Hyperlink"/>
    <w:basedOn w:val="11"/>
    <w:qFormat/>
    <w:uiPriority w:val="0"/>
    <w:rPr>
      <w:color w:val="333333"/>
      <w:u w:val="none"/>
    </w:rPr>
  </w:style>
  <w:style w:type="paragraph" w:customStyle="1" w:styleId="14">
    <w:name w:val="标题1"/>
    <w:basedOn w:val="3"/>
    <w:qFormat/>
    <w:uiPriority w:val="0"/>
    <w:pPr>
      <w:keepLines/>
      <w:tabs>
        <w:tab w:val="clear" w:pos="3360"/>
      </w:tabs>
      <w:snapToGrid/>
      <w:spacing w:before="340" w:beforeLines="0" w:after="330" w:afterLines="0" w:line="578" w:lineRule="auto"/>
      <w:jc w:val="both"/>
    </w:pPr>
    <w:rPr>
      <w:rFonts w:ascii="仿宋" w:hAnsi="仿宋" w:eastAsia="仿宋"/>
      <w:b/>
      <w:bCs/>
      <w:kern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8803</Words>
  <Characters>8882</Characters>
  <Lines>0</Lines>
  <Paragraphs>0</Paragraphs>
  <TotalTime>21</TotalTime>
  <ScaleCrop>false</ScaleCrop>
  <LinksUpToDate>false</LinksUpToDate>
  <CharactersWithSpaces>9813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2019-01-21T07:33:00Z</dcterms:created>
  <dc:creator>Administrator</dc:creator>
  <cp:lastModifiedBy>wening</cp:lastModifiedBy>
  <cp:lastPrinted>2019-04-08T07:49:00Z</cp:lastPrinted>
  <dcterms:modified xsi:type="dcterms:W3CDTF">2023-06-05T01:19:29Z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ACC6A453ED014AC68D2BDB434C8F8E9D_12</vt:lpwstr>
  </property>
</Properties>
</file>