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460" w:lineRule="exact"/>
        <w:jc w:val="left"/>
        <w:outlineLvl w:val="0"/>
        <w:rPr>
          <w:rFonts w:hint="eastAsia" w:asciiTheme="minorEastAsia" w:hAnsiTheme="minorEastAsia" w:eastAsiaTheme="minorEastAsia" w:cstheme="minorEastAsia"/>
          <w:color w:val="000000" w:themeColor="text1"/>
          <w:spacing w:val="80"/>
          <w:sz w:val="56"/>
          <w:szCs w:val="56"/>
        </w:rPr>
      </w:pPr>
      <w:r>
        <w:rPr>
          <w:rFonts w:hint="eastAsia" w:asciiTheme="minorEastAsia" w:hAnsiTheme="minorEastAsia" w:eastAsiaTheme="minorEastAsia" w:cstheme="minorEastAsia"/>
          <w:color w:val="000000" w:themeColor="text1"/>
          <w:spacing w:val="80"/>
          <w:sz w:val="56"/>
          <w:szCs w:val="56"/>
        </w:rPr>
        <w:t xml:space="preserve">政府采购 </w:t>
      </w:r>
    </w:p>
    <w:p>
      <w:pPr>
        <w:spacing w:line="380" w:lineRule="exact"/>
        <w:jc w:val="center"/>
        <w:rPr>
          <w:rFonts w:hint="eastAsia" w:asciiTheme="minorEastAsia" w:hAnsiTheme="minorEastAsia" w:eastAsiaTheme="minorEastAsia" w:cstheme="minorEastAsia"/>
          <w:color w:val="000000" w:themeColor="text1"/>
          <w:sz w:val="24"/>
          <w:szCs w:val="24"/>
        </w:rPr>
      </w:pPr>
    </w:p>
    <w:p>
      <w:pPr>
        <w:spacing w:line="380" w:lineRule="exact"/>
        <w:jc w:val="center"/>
        <w:rPr>
          <w:rFonts w:hint="eastAsia" w:asciiTheme="minorEastAsia" w:hAnsiTheme="minorEastAsia" w:eastAsiaTheme="minorEastAsia" w:cstheme="minorEastAsia"/>
          <w:color w:val="000000" w:themeColor="text1"/>
          <w:sz w:val="24"/>
          <w:szCs w:val="24"/>
        </w:rPr>
      </w:pPr>
    </w:p>
    <w:p>
      <w:pPr>
        <w:spacing w:line="380" w:lineRule="exact"/>
        <w:jc w:val="center"/>
        <w:rPr>
          <w:rFonts w:hint="eastAsia" w:asciiTheme="minorEastAsia" w:hAnsiTheme="minorEastAsia" w:eastAsiaTheme="minorEastAsia" w:cstheme="minorEastAsia"/>
          <w:color w:val="000000" w:themeColor="text1"/>
          <w:sz w:val="24"/>
          <w:szCs w:val="24"/>
        </w:rPr>
      </w:pPr>
    </w:p>
    <w:p>
      <w:pPr>
        <w:spacing w:line="380" w:lineRule="exact"/>
        <w:jc w:val="center"/>
        <w:rPr>
          <w:rFonts w:hint="eastAsia" w:asciiTheme="minorEastAsia" w:hAnsiTheme="minorEastAsia" w:eastAsiaTheme="minorEastAsia" w:cstheme="minorEastAsia"/>
          <w:color w:val="000000" w:themeColor="text1"/>
          <w:sz w:val="120"/>
          <w:szCs w:val="120"/>
        </w:rPr>
      </w:pPr>
    </w:p>
    <w:p>
      <w:pPr>
        <w:spacing w:line="1460" w:lineRule="exact"/>
        <w:jc w:val="center"/>
        <w:outlineLvl w:val="0"/>
        <w:rPr>
          <w:rFonts w:hint="eastAsia" w:asciiTheme="minorEastAsia" w:hAnsiTheme="minorEastAsia" w:eastAsiaTheme="minorEastAsia" w:cstheme="minorEastAsia"/>
          <w:color w:val="000000" w:themeColor="text1"/>
          <w:spacing w:val="80"/>
          <w:sz w:val="144"/>
          <w:szCs w:val="144"/>
        </w:rPr>
      </w:pPr>
      <w:r>
        <w:rPr>
          <w:rFonts w:hint="eastAsia" w:asciiTheme="minorEastAsia" w:hAnsiTheme="minorEastAsia" w:eastAsiaTheme="minorEastAsia" w:cstheme="minorEastAsia"/>
          <w:color w:val="000000" w:themeColor="text1"/>
          <w:spacing w:val="80"/>
          <w:sz w:val="96"/>
          <w:szCs w:val="96"/>
        </w:rPr>
        <w:t>询价采购文件</w:t>
      </w:r>
    </w:p>
    <w:p>
      <w:pPr>
        <w:rPr>
          <w:rFonts w:hint="eastAsia" w:asciiTheme="minorEastAsia" w:hAnsiTheme="minorEastAsia" w:eastAsiaTheme="minorEastAsia" w:cstheme="minorEastAsia"/>
          <w:color w:val="000000" w:themeColor="text1"/>
          <w:sz w:val="96"/>
          <w:szCs w:val="96"/>
        </w:rPr>
      </w:pPr>
    </w:p>
    <w:p>
      <w:pPr>
        <w:rPr>
          <w:rFonts w:hint="eastAsia" w:asciiTheme="minorEastAsia" w:hAnsiTheme="minorEastAsia" w:eastAsiaTheme="minorEastAsia" w:cstheme="minorEastAsia"/>
          <w:color w:val="000000" w:themeColor="text1"/>
          <w:sz w:val="96"/>
          <w:szCs w:val="96"/>
        </w:rPr>
      </w:pPr>
    </w:p>
    <w:p>
      <w:pPr>
        <w:rPr>
          <w:rFonts w:hint="eastAsia" w:asciiTheme="minorEastAsia" w:hAnsiTheme="minorEastAsia" w:eastAsiaTheme="minorEastAsia" w:cstheme="minorEastAsia"/>
          <w:color w:val="000000" w:themeColor="text1"/>
          <w:sz w:val="36"/>
          <w:szCs w:val="36"/>
        </w:rPr>
      </w:pPr>
    </w:p>
    <w:p>
      <w:pPr>
        <w:spacing w:line="700" w:lineRule="exact"/>
        <w:rPr>
          <w:rFonts w:hint="eastAsia" w:asciiTheme="minorEastAsia" w:hAnsiTheme="minorEastAsia" w:eastAsiaTheme="minorEastAsia" w:cstheme="minorEastAsia"/>
          <w:color w:val="000000" w:themeColor="text1"/>
          <w:sz w:val="32"/>
          <w:szCs w:val="32"/>
          <w:lang w:val="en-US"/>
        </w:rPr>
      </w:pPr>
      <w:r>
        <w:rPr>
          <w:rFonts w:hint="eastAsia" w:asciiTheme="minorEastAsia" w:hAnsiTheme="minorEastAsia" w:eastAsiaTheme="minorEastAsia" w:cstheme="minorEastAsia"/>
          <w:color w:val="000000" w:themeColor="text1"/>
          <w:sz w:val="32"/>
          <w:szCs w:val="32"/>
          <w:lang w:val="en-US" w:eastAsia="zh-CN"/>
        </w:rPr>
        <w:t>招标</w:t>
      </w:r>
      <w:r>
        <w:rPr>
          <w:rFonts w:hint="eastAsia" w:asciiTheme="minorEastAsia" w:hAnsiTheme="minorEastAsia" w:eastAsiaTheme="minorEastAsia" w:cstheme="minorEastAsia"/>
          <w:color w:val="000000" w:themeColor="text1"/>
          <w:sz w:val="32"/>
          <w:szCs w:val="32"/>
        </w:rPr>
        <w:t>项目编号：ZHZFCG19</w:t>
      </w:r>
      <w:r>
        <w:rPr>
          <w:rFonts w:hint="eastAsia" w:asciiTheme="minorEastAsia" w:hAnsiTheme="minorEastAsia" w:eastAsiaTheme="minorEastAsia" w:cstheme="minorEastAsia"/>
          <w:color w:val="000000" w:themeColor="text1"/>
          <w:sz w:val="32"/>
          <w:szCs w:val="32"/>
          <w:lang w:val="en-US" w:eastAsia="zh-CN"/>
        </w:rPr>
        <w:t>11033</w:t>
      </w:r>
    </w:p>
    <w:p>
      <w:pPr>
        <w:spacing w:line="700" w:lineRule="exact"/>
        <w:rPr>
          <w:rFonts w:hint="eastAsia" w:asciiTheme="minorEastAsia" w:hAnsiTheme="minorEastAsia" w:eastAsiaTheme="minorEastAsia" w:cstheme="minorEastAsia"/>
          <w:color w:val="000000" w:themeColor="text1"/>
          <w:sz w:val="32"/>
          <w:szCs w:val="32"/>
          <w:lang w:val="en-US" w:eastAsia="zh-CN"/>
        </w:rPr>
      </w:pPr>
      <w:r>
        <w:rPr>
          <w:rFonts w:hint="eastAsia" w:asciiTheme="minorEastAsia" w:hAnsiTheme="minorEastAsia" w:eastAsiaTheme="minorEastAsia" w:cstheme="minorEastAsia"/>
          <w:color w:val="000000" w:themeColor="text1"/>
          <w:sz w:val="32"/>
          <w:szCs w:val="32"/>
          <w:lang w:val="en-US" w:eastAsia="zh-CN"/>
        </w:rPr>
        <w:t>采购</w:t>
      </w:r>
      <w:r>
        <w:rPr>
          <w:rFonts w:hint="eastAsia" w:asciiTheme="minorEastAsia" w:hAnsiTheme="minorEastAsia" w:eastAsiaTheme="minorEastAsia" w:cstheme="minorEastAsia"/>
          <w:color w:val="000000" w:themeColor="text1"/>
          <w:sz w:val="32"/>
          <w:szCs w:val="32"/>
        </w:rPr>
        <w:t>计划编号：19A</w:t>
      </w:r>
      <w:r>
        <w:rPr>
          <w:rFonts w:hint="eastAsia" w:asciiTheme="minorEastAsia" w:hAnsiTheme="minorEastAsia" w:eastAsiaTheme="minorEastAsia" w:cstheme="minorEastAsia"/>
          <w:color w:val="000000" w:themeColor="text1"/>
          <w:sz w:val="32"/>
          <w:szCs w:val="32"/>
          <w:lang w:val="en-US" w:eastAsia="zh-CN"/>
        </w:rPr>
        <w:t>3374</w:t>
      </w:r>
    </w:p>
    <w:p>
      <w:pPr>
        <w:spacing w:line="700" w:lineRule="exact"/>
        <w:rPr>
          <w:rFonts w:hint="eastAsia" w:asciiTheme="minorEastAsia" w:hAnsiTheme="minorEastAsia" w:eastAsiaTheme="minorEastAsia" w:cstheme="minorEastAsia"/>
          <w:color w:val="000000" w:themeColor="text1"/>
          <w:sz w:val="32"/>
          <w:szCs w:val="32"/>
          <w:lang w:eastAsia="zh-CN"/>
        </w:rPr>
      </w:pPr>
      <w:r>
        <w:rPr>
          <w:rFonts w:hint="eastAsia" w:asciiTheme="minorEastAsia" w:hAnsiTheme="minorEastAsia" w:eastAsiaTheme="minorEastAsia" w:cstheme="minorEastAsia"/>
          <w:color w:val="000000" w:themeColor="text1"/>
          <w:sz w:val="32"/>
          <w:szCs w:val="32"/>
        </w:rPr>
        <w:t>项目名称：</w:t>
      </w:r>
      <w:bookmarkStart w:id="0" w:name="HumiType21"/>
      <w:bookmarkEnd w:id="0"/>
      <w:r>
        <w:rPr>
          <w:rFonts w:hint="eastAsia" w:asciiTheme="minorEastAsia" w:hAnsiTheme="minorEastAsia" w:eastAsiaTheme="minorEastAsia" w:cstheme="minorEastAsia"/>
          <w:color w:val="000000" w:themeColor="text1"/>
          <w:sz w:val="32"/>
          <w:szCs w:val="32"/>
          <w:lang w:eastAsia="zh-CN"/>
        </w:rPr>
        <w:t>重庆市体育运动学校新校建设多媒体设施设备采购</w:t>
      </w:r>
    </w:p>
    <w:p>
      <w:pPr>
        <w:spacing w:line="700" w:lineRule="exact"/>
        <w:rPr>
          <w:rFonts w:hint="eastAsia" w:asciiTheme="minorEastAsia" w:hAnsiTheme="minorEastAsia" w:eastAsiaTheme="minorEastAsia" w:cstheme="minorEastAsia"/>
          <w:color w:val="000000" w:themeColor="text1"/>
          <w:sz w:val="32"/>
          <w:szCs w:val="32"/>
        </w:rPr>
      </w:pPr>
    </w:p>
    <w:p>
      <w:pPr>
        <w:spacing w:line="700" w:lineRule="exact"/>
        <w:ind w:firstLine="1555" w:firstLineChars="486"/>
        <w:rPr>
          <w:rFonts w:hint="eastAsia" w:asciiTheme="minorEastAsia" w:hAnsiTheme="minorEastAsia" w:eastAsiaTheme="minorEastAsia" w:cstheme="minorEastAsia"/>
          <w:color w:val="000000" w:themeColor="text1"/>
          <w:sz w:val="32"/>
          <w:szCs w:val="32"/>
        </w:rPr>
      </w:pPr>
    </w:p>
    <w:p>
      <w:pPr>
        <w:spacing w:line="700" w:lineRule="exact"/>
        <w:ind w:firstLine="1715" w:firstLineChars="536"/>
        <w:rPr>
          <w:rFonts w:hint="eastAsia" w:asciiTheme="minorEastAsia" w:hAnsiTheme="minorEastAsia" w:eastAsiaTheme="minorEastAsia" w:cstheme="minorEastAsia"/>
          <w:color w:val="000000" w:themeColor="text1"/>
          <w:sz w:val="36"/>
          <w:szCs w:val="30"/>
        </w:rPr>
      </w:pPr>
      <w:r>
        <w:rPr>
          <w:rFonts w:hint="eastAsia" w:asciiTheme="minorEastAsia" w:hAnsiTheme="minorEastAsia" w:eastAsiaTheme="minorEastAsia" w:cstheme="minorEastAsia"/>
          <w:color w:val="000000" w:themeColor="text1"/>
          <w:sz w:val="32"/>
          <w:szCs w:val="32"/>
        </w:rPr>
        <w:t>采   购   人：重庆市体育运动学校</w:t>
      </w:r>
      <w:r>
        <w:rPr>
          <w:rFonts w:hint="eastAsia" w:asciiTheme="minorEastAsia" w:hAnsiTheme="minorEastAsia" w:eastAsiaTheme="minorEastAsia" w:cstheme="minorEastAsia"/>
          <w:color w:val="000000" w:themeColor="text1"/>
          <w:sz w:val="36"/>
          <w:szCs w:val="30"/>
        </w:rPr>
        <w:t xml:space="preserve"> </w:t>
      </w:r>
    </w:p>
    <w:p>
      <w:pPr>
        <w:spacing w:line="500" w:lineRule="exact"/>
        <w:ind w:firstLine="1715" w:firstLineChars="536"/>
        <w:rPr>
          <w:rFonts w:hint="eastAsia" w:asciiTheme="minorEastAsia" w:hAnsiTheme="minorEastAsia" w:eastAsiaTheme="minorEastAsia" w:cstheme="minorEastAsia"/>
          <w:color w:val="000000" w:themeColor="text1"/>
          <w:sz w:val="32"/>
          <w:szCs w:val="32"/>
        </w:rPr>
      </w:pPr>
      <w:r>
        <w:rPr>
          <w:rFonts w:hint="eastAsia" w:asciiTheme="minorEastAsia" w:hAnsiTheme="minorEastAsia" w:eastAsiaTheme="minorEastAsia" w:cstheme="minorEastAsia"/>
          <w:color w:val="000000" w:themeColor="text1"/>
          <w:sz w:val="32"/>
          <w:szCs w:val="32"/>
        </w:rPr>
        <w:t>采购代理机构：重庆众合招标代理有限公司</w:t>
      </w:r>
    </w:p>
    <w:p>
      <w:pPr>
        <w:pStyle w:val="2"/>
        <w:rPr>
          <w:rFonts w:hint="eastAsia" w:asciiTheme="minorEastAsia" w:hAnsiTheme="minorEastAsia" w:eastAsiaTheme="minorEastAsia" w:cstheme="minorEastAsia"/>
          <w:color w:val="000000" w:themeColor="text1"/>
        </w:rPr>
      </w:pPr>
    </w:p>
    <w:p>
      <w:pPr>
        <w:spacing w:line="500" w:lineRule="exact"/>
        <w:jc w:val="center"/>
        <w:rPr>
          <w:rFonts w:hint="eastAsia" w:asciiTheme="minorEastAsia" w:hAnsiTheme="minorEastAsia" w:eastAsiaTheme="minorEastAsia" w:cstheme="minorEastAsia"/>
          <w:color w:val="000000" w:themeColor="text1"/>
          <w:sz w:val="36"/>
          <w:szCs w:val="30"/>
        </w:rPr>
      </w:pPr>
      <w:r>
        <w:rPr>
          <w:rFonts w:hint="eastAsia" w:asciiTheme="minorEastAsia" w:hAnsiTheme="minorEastAsia" w:eastAsiaTheme="minorEastAsia" w:cstheme="minorEastAsia"/>
          <w:color w:val="000000" w:themeColor="text1"/>
          <w:sz w:val="32"/>
          <w:szCs w:val="32"/>
        </w:rPr>
        <w:t>二〇一九年</w:t>
      </w:r>
      <w:r>
        <w:rPr>
          <w:rFonts w:hint="eastAsia" w:asciiTheme="minorEastAsia" w:hAnsiTheme="minorEastAsia" w:eastAsiaTheme="minorEastAsia" w:cstheme="minorEastAsia"/>
          <w:color w:val="000000" w:themeColor="text1"/>
          <w:sz w:val="32"/>
          <w:szCs w:val="32"/>
          <w:lang w:val="en-US" w:eastAsia="zh-CN"/>
        </w:rPr>
        <w:t>十一</w:t>
      </w:r>
      <w:r>
        <w:rPr>
          <w:rFonts w:hint="eastAsia" w:asciiTheme="minorEastAsia" w:hAnsiTheme="minorEastAsia" w:eastAsiaTheme="minorEastAsia" w:cstheme="minorEastAsia"/>
          <w:color w:val="000000" w:themeColor="text1"/>
          <w:sz w:val="32"/>
          <w:szCs w:val="32"/>
        </w:rPr>
        <w:t>月</w:t>
      </w:r>
      <w:r>
        <w:rPr>
          <w:rFonts w:hint="eastAsia" w:asciiTheme="minorEastAsia" w:hAnsiTheme="minorEastAsia" w:eastAsiaTheme="minorEastAsia" w:cstheme="minorEastAsia"/>
          <w:color w:val="000000" w:themeColor="text1"/>
          <w:sz w:val="22"/>
          <w:szCs w:val="22"/>
        </w:rPr>
        <w:br w:type="page"/>
      </w:r>
    </w:p>
    <w:p>
      <w:pPr>
        <w:jc w:val="center"/>
        <w:outlineLvl w:val="0"/>
        <w:rPr>
          <w:rFonts w:hint="eastAsia" w:asciiTheme="minorEastAsia" w:hAnsiTheme="minorEastAsia" w:eastAsiaTheme="minorEastAsia" w:cstheme="minorEastAsia"/>
          <w:b/>
          <w:color w:val="000000" w:themeColor="text1"/>
          <w:sz w:val="36"/>
          <w:szCs w:val="36"/>
        </w:rPr>
      </w:pPr>
      <w:r>
        <w:rPr>
          <w:rFonts w:hint="eastAsia" w:asciiTheme="minorEastAsia" w:hAnsiTheme="minorEastAsia" w:eastAsiaTheme="minorEastAsia" w:cstheme="minorEastAsia"/>
          <w:b/>
          <w:color w:val="000000" w:themeColor="text1"/>
          <w:sz w:val="36"/>
          <w:szCs w:val="36"/>
        </w:rPr>
        <w:t>目  录</w:t>
      </w:r>
    </w:p>
    <w:p>
      <w:pPr>
        <w:pStyle w:val="41"/>
        <w:tabs>
          <w:tab w:val="right" w:leader="dot" w:pos="9412"/>
        </w:tabs>
        <w:rPr>
          <w:sz w:val="28"/>
          <w:szCs w:val="28"/>
        </w:rPr>
      </w:pPr>
      <w:bookmarkStart w:id="1" w:name="_Toc487204770"/>
      <w:bookmarkStart w:id="2" w:name="_Toc12789052"/>
      <w:bookmarkStart w:id="3" w:name="_Toc11641050"/>
      <w:r>
        <w:rPr>
          <w:rFonts w:hint="eastAsia" w:asciiTheme="minorEastAsia" w:hAnsiTheme="minorEastAsia" w:eastAsiaTheme="minorEastAsia" w:cstheme="minorEastAsia"/>
          <w:color w:val="000000" w:themeColor="text1"/>
          <w:sz w:val="21"/>
          <w:szCs w:val="21"/>
        </w:rPr>
        <w:fldChar w:fldCharType="begin"/>
      </w:r>
      <w:r>
        <w:rPr>
          <w:rFonts w:hint="eastAsia" w:asciiTheme="minorEastAsia" w:hAnsiTheme="minorEastAsia" w:eastAsiaTheme="minorEastAsia" w:cstheme="minorEastAsia"/>
          <w:color w:val="000000" w:themeColor="text1"/>
          <w:sz w:val="21"/>
          <w:szCs w:val="21"/>
        </w:rPr>
        <w:instrText xml:space="preserve"> TOC \o "1-3" \h \z </w:instrText>
      </w:r>
      <w:r>
        <w:rPr>
          <w:rFonts w:hint="eastAsia" w:asciiTheme="minorEastAsia" w:hAnsiTheme="minorEastAsia" w:eastAsiaTheme="minorEastAsia" w:cstheme="minorEastAsia"/>
          <w:color w:val="000000" w:themeColor="text1"/>
          <w:sz w:val="21"/>
          <w:szCs w:val="21"/>
        </w:rPr>
        <w:fldChar w:fldCharType="separate"/>
      </w: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_Toc22878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32"/>
        </w:rPr>
        <w:t>第一篇 询价邀请书</w:t>
      </w:r>
      <w:r>
        <w:rPr>
          <w:sz w:val="28"/>
          <w:szCs w:val="28"/>
        </w:rPr>
        <w:tab/>
      </w:r>
      <w:r>
        <w:rPr>
          <w:sz w:val="28"/>
          <w:szCs w:val="28"/>
        </w:rPr>
        <w:fldChar w:fldCharType="begin"/>
      </w:r>
      <w:r>
        <w:rPr>
          <w:sz w:val="28"/>
          <w:szCs w:val="28"/>
        </w:rPr>
        <w:instrText xml:space="preserve"> PAGEREF _Toc22878 </w:instrText>
      </w:r>
      <w:r>
        <w:rPr>
          <w:sz w:val="28"/>
          <w:szCs w:val="28"/>
        </w:rPr>
        <w:fldChar w:fldCharType="separate"/>
      </w:r>
      <w:r>
        <w:rPr>
          <w:sz w:val="28"/>
          <w:szCs w:val="28"/>
        </w:rPr>
        <w:t>- 1 -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_Toc69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一、询价采购内容</w:t>
      </w:r>
      <w:r>
        <w:rPr>
          <w:sz w:val="28"/>
          <w:szCs w:val="28"/>
        </w:rPr>
        <w:tab/>
      </w:r>
      <w:r>
        <w:rPr>
          <w:sz w:val="28"/>
          <w:szCs w:val="28"/>
        </w:rPr>
        <w:fldChar w:fldCharType="begin"/>
      </w:r>
      <w:r>
        <w:rPr>
          <w:sz w:val="28"/>
          <w:szCs w:val="28"/>
        </w:rPr>
        <w:instrText xml:space="preserve"> PAGEREF _Toc69 </w:instrText>
      </w:r>
      <w:r>
        <w:rPr>
          <w:sz w:val="28"/>
          <w:szCs w:val="28"/>
        </w:rPr>
        <w:fldChar w:fldCharType="separate"/>
      </w:r>
      <w:r>
        <w:rPr>
          <w:sz w:val="28"/>
          <w:szCs w:val="28"/>
        </w:rPr>
        <w:t>- 1 -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_Toc24189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二、资金来源</w:t>
      </w:r>
      <w:r>
        <w:rPr>
          <w:sz w:val="28"/>
          <w:szCs w:val="28"/>
        </w:rPr>
        <w:tab/>
      </w:r>
      <w:r>
        <w:rPr>
          <w:sz w:val="28"/>
          <w:szCs w:val="28"/>
        </w:rPr>
        <w:fldChar w:fldCharType="begin"/>
      </w:r>
      <w:r>
        <w:rPr>
          <w:sz w:val="28"/>
          <w:szCs w:val="28"/>
        </w:rPr>
        <w:instrText xml:space="preserve"> PAGEREF _Toc24189 </w:instrText>
      </w:r>
      <w:r>
        <w:rPr>
          <w:sz w:val="28"/>
          <w:szCs w:val="28"/>
        </w:rPr>
        <w:fldChar w:fldCharType="separate"/>
      </w:r>
      <w:r>
        <w:rPr>
          <w:sz w:val="28"/>
          <w:szCs w:val="28"/>
        </w:rPr>
        <w:t>- 1 -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_Toc8125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三、供应商资格要求</w:t>
      </w:r>
      <w:r>
        <w:rPr>
          <w:sz w:val="28"/>
          <w:szCs w:val="28"/>
        </w:rPr>
        <w:tab/>
      </w:r>
      <w:r>
        <w:rPr>
          <w:sz w:val="28"/>
          <w:szCs w:val="28"/>
        </w:rPr>
        <w:fldChar w:fldCharType="begin"/>
      </w:r>
      <w:r>
        <w:rPr>
          <w:sz w:val="28"/>
          <w:szCs w:val="28"/>
        </w:rPr>
        <w:instrText xml:space="preserve"> PAGEREF _Toc8125 </w:instrText>
      </w:r>
      <w:r>
        <w:rPr>
          <w:sz w:val="28"/>
          <w:szCs w:val="28"/>
        </w:rPr>
        <w:fldChar w:fldCharType="separate"/>
      </w:r>
      <w:r>
        <w:rPr>
          <w:sz w:val="28"/>
          <w:szCs w:val="28"/>
        </w:rPr>
        <w:t>- 1 -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_Toc2614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四、询价有关说明</w:t>
      </w:r>
      <w:r>
        <w:rPr>
          <w:sz w:val="28"/>
          <w:szCs w:val="28"/>
        </w:rPr>
        <w:tab/>
      </w:r>
      <w:r>
        <w:rPr>
          <w:sz w:val="28"/>
          <w:szCs w:val="28"/>
        </w:rPr>
        <w:fldChar w:fldCharType="begin"/>
      </w:r>
      <w:r>
        <w:rPr>
          <w:sz w:val="28"/>
          <w:szCs w:val="28"/>
        </w:rPr>
        <w:instrText xml:space="preserve"> PAGEREF _Toc2614 </w:instrText>
      </w:r>
      <w:r>
        <w:rPr>
          <w:sz w:val="28"/>
          <w:szCs w:val="28"/>
        </w:rPr>
        <w:fldChar w:fldCharType="separate"/>
      </w:r>
      <w:r>
        <w:rPr>
          <w:sz w:val="28"/>
          <w:szCs w:val="28"/>
        </w:rPr>
        <w:t>- 1 -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_Toc14927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五、竞标保证金</w:t>
      </w:r>
      <w:r>
        <w:rPr>
          <w:sz w:val="28"/>
          <w:szCs w:val="28"/>
        </w:rPr>
        <w:tab/>
      </w:r>
      <w:r>
        <w:rPr>
          <w:sz w:val="28"/>
          <w:szCs w:val="28"/>
        </w:rPr>
        <w:fldChar w:fldCharType="begin"/>
      </w:r>
      <w:r>
        <w:rPr>
          <w:sz w:val="28"/>
          <w:szCs w:val="28"/>
        </w:rPr>
        <w:instrText xml:space="preserve"> PAGEREF _Toc14927 </w:instrText>
      </w:r>
      <w:r>
        <w:rPr>
          <w:sz w:val="28"/>
          <w:szCs w:val="28"/>
        </w:rPr>
        <w:fldChar w:fldCharType="separate"/>
      </w:r>
      <w:r>
        <w:rPr>
          <w:sz w:val="28"/>
          <w:szCs w:val="28"/>
        </w:rPr>
        <w:t>- 2 -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_Toc11492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六、采购项目需落实的政府采购政策</w:t>
      </w:r>
      <w:r>
        <w:rPr>
          <w:sz w:val="28"/>
          <w:szCs w:val="28"/>
        </w:rPr>
        <w:tab/>
      </w:r>
      <w:r>
        <w:rPr>
          <w:sz w:val="28"/>
          <w:szCs w:val="28"/>
        </w:rPr>
        <w:fldChar w:fldCharType="begin"/>
      </w:r>
      <w:r>
        <w:rPr>
          <w:sz w:val="28"/>
          <w:szCs w:val="28"/>
        </w:rPr>
        <w:instrText xml:space="preserve"> PAGEREF _Toc11492 </w:instrText>
      </w:r>
      <w:r>
        <w:rPr>
          <w:sz w:val="28"/>
          <w:szCs w:val="28"/>
        </w:rPr>
        <w:fldChar w:fldCharType="separate"/>
      </w:r>
      <w:r>
        <w:rPr>
          <w:sz w:val="28"/>
          <w:szCs w:val="28"/>
        </w:rPr>
        <w:t>- 4 -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_Toc6201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lang w:val="en-US" w:eastAsia="zh-CN"/>
        </w:rPr>
        <w:t>七</w:t>
      </w:r>
      <w:r>
        <w:rPr>
          <w:rFonts w:hint="eastAsia" w:asciiTheme="minorEastAsia" w:hAnsiTheme="minorEastAsia" w:eastAsiaTheme="minorEastAsia" w:cstheme="minorEastAsia"/>
          <w:sz w:val="28"/>
          <w:szCs w:val="24"/>
        </w:rPr>
        <w:t>、竞标有关规定</w:t>
      </w:r>
      <w:r>
        <w:rPr>
          <w:sz w:val="28"/>
          <w:szCs w:val="28"/>
        </w:rPr>
        <w:tab/>
      </w:r>
      <w:r>
        <w:rPr>
          <w:sz w:val="28"/>
          <w:szCs w:val="28"/>
        </w:rPr>
        <w:fldChar w:fldCharType="begin"/>
      </w:r>
      <w:r>
        <w:rPr>
          <w:sz w:val="28"/>
          <w:szCs w:val="28"/>
        </w:rPr>
        <w:instrText xml:space="preserve"> PAGEREF _Toc6201 </w:instrText>
      </w:r>
      <w:r>
        <w:rPr>
          <w:sz w:val="28"/>
          <w:szCs w:val="28"/>
        </w:rPr>
        <w:fldChar w:fldCharType="separate"/>
      </w:r>
      <w:r>
        <w:rPr>
          <w:sz w:val="28"/>
          <w:szCs w:val="28"/>
        </w:rPr>
        <w:t>- 4 -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_Toc27121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lang w:val="en-US" w:eastAsia="zh-CN"/>
        </w:rPr>
        <w:t>八</w:t>
      </w:r>
      <w:r>
        <w:rPr>
          <w:rFonts w:hint="eastAsia" w:asciiTheme="minorEastAsia" w:hAnsiTheme="minorEastAsia" w:eastAsiaTheme="minorEastAsia" w:cstheme="minorEastAsia"/>
          <w:sz w:val="28"/>
          <w:szCs w:val="24"/>
        </w:rPr>
        <w:t>、联系方式</w:t>
      </w:r>
      <w:r>
        <w:rPr>
          <w:sz w:val="28"/>
          <w:szCs w:val="28"/>
        </w:rPr>
        <w:tab/>
      </w:r>
      <w:r>
        <w:rPr>
          <w:sz w:val="28"/>
          <w:szCs w:val="28"/>
        </w:rPr>
        <w:fldChar w:fldCharType="begin"/>
      </w:r>
      <w:r>
        <w:rPr>
          <w:sz w:val="28"/>
          <w:szCs w:val="28"/>
        </w:rPr>
        <w:instrText xml:space="preserve"> PAGEREF _Toc27121 </w:instrText>
      </w:r>
      <w:r>
        <w:rPr>
          <w:sz w:val="28"/>
          <w:szCs w:val="28"/>
        </w:rPr>
        <w:fldChar w:fldCharType="separate"/>
      </w:r>
      <w:r>
        <w:rPr>
          <w:sz w:val="28"/>
          <w:szCs w:val="28"/>
        </w:rPr>
        <w:t>- 5 -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_Toc25296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lang w:val="en-US" w:eastAsia="zh-CN"/>
        </w:rPr>
        <w:t>九、监督电话及邮箱</w:t>
      </w:r>
      <w:r>
        <w:rPr>
          <w:sz w:val="28"/>
          <w:szCs w:val="28"/>
        </w:rPr>
        <w:tab/>
      </w:r>
      <w:r>
        <w:rPr>
          <w:sz w:val="28"/>
          <w:szCs w:val="28"/>
        </w:rPr>
        <w:fldChar w:fldCharType="begin"/>
      </w:r>
      <w:r>
        <w:rPr>
          <w:sz w:val="28"/>
          <w:szCs w:val="28"/>
        </w:rPr>
        <w:instrText xml:space="preserve"> PAGEREF _Toc25296 </w:instrText>
      </w:r>
      <w:r>
        <w:rPr>
          <w:sz w:val="28"/>
          <w:szCs w:val="28"/>
        </w:rPr>
        <w:fldChar w:fldCharType="separate"/>
      </w:r>
      <w:r>
        <w:rPr>
          <w:sz w:val="28"/>
          <w:szCs w:val="28"/>
        </w:rPr>
        <w:t>- 5 -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41"/>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_Toc29327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32"/>
        </w:rPr>
        <w:t>第二篇 供应商须知</w:t>
      </w:r>
      <w:r>
        <w:rPr>
          <w:sz w:val="28"/>
          <w:szCs w:val="28"/>
        </w:rPr>
        <w:tab/>
      </w:r>
      <w:r>
        <w:rPr>
          <w:sz w:val="28"/>
          <w:szCs w:val="28"/>
        </w:rPr>
        <w:fldChar w:fldCharType="begin"/>
      </w:r>
      <w:r>
        <w:rPr>
          <w:sz w:val="28"/>
          <w:szCs w:val="28"/>
        </w:rPr>
        <w:instrText xml:space="preserve"> PAGEREF _Toc29327 </w:instrText>
      </w:r>
      <w:r>
        <w:rPr>
          <w:sz w:val="28"/>
          <w:szCs w:val="28"/>
        </w:rPr>
        <w:fldChar w:fldCharType="separate"/>
      </w:r>
      <w:r>
        <w:rPr>
          <w:sz w:val="28"/>
          <w:szCs w:val="28"/>
        </w:rPr>
        <w:t>- 6 -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_Toc18155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一、询价费用</w:t>
      </w:r>
      <w:r>
        <w:rPr>
          <w:sz w:val="28"/>
          <w:szCs w:val="28"/>
        </w:rPr>
        <w:tab/>
      </w:r>
      <w:r>
        <w:rPr>
          <w:sz w:val="28"/>
          <w:szCs w:val="28"/>
        </w:rPr>
        <w:fldChar w:fldCharType="begin"/>
      </w:r>
      <w:r>
        <w:rPr>
          <w:sz w:val="28"/>
          <w:szCs w:val="28"/>
        </w:rPr>
        <w:instrText xml:space="preserve"> PAGEREF _Toc18155 </w:instrText>
      </w:r>
      <w:r>
        <w:rPr>
          <w:sz w:val="28"/>
          <w:szCs w:val="28"/>
        </w:rPr>
        <w:fldChar w:fldCharType="separate"/>
      </w:r>
      <w:r>
        <w:rPr>
          <w:sz w:val="28"/>
          <w:szCs w:val="28"/>
        </w:rPr>
        <w:t>- 6 -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_Toc9981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二、询价采购文件</w:t>
      </w:r>
      <w:r>
        <w:rPr>
          <w:sz w:val="28"/>
          <w:szCs w:val="28"/>
        </w:rPr>
        <w:tab/>
      </w:r>
      <w:r>
        <w:rPr>
          <w:sz w:val="28"/>
          <w:szCs w:val="28"/>
        </w:rPr>
        <w:fldChar w:fldCharType="begin"/>
      </w:r>
      <w:r>
        <w:rPr>
          <w:sz w:val="28"/>
          <w:szCs w:val="28"/>
        </w:rPr>
        <w:instrText xml:space="preserve"> PAGEREF _Toc9981 </w:instrText>
      </w:r>
      <w:r>
        <w:rPr>
          <w:sz w:val="28"/>
          <w:szCs w:val="28"/>
        </w:rPr>
        <w:fldChar w:fldCharType="separate"/>
      </w:r>
      <w:r>
        <w:rPr>
          <w:sz w:val="28"/>
          <w:szCs w:val="28"/>
        </w:rPr>
        <w:t>- 6 -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_Toc30602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三、询价要求</w:t>
      </w:r>
      <w:r>
        <w:rPr>
          <w:sz w:val="28"/>
          <w:szCs w:val="28"/>
        </w:rPr>
        <w:tab/>
      </w:r>
      <w:r>
        <w:rPr>
          <w:sz w:val="28"/>
          <w:szCs w:val="28"/>
        </w:rPr>
        <w:fldChar w:fldCharType="begin"/>
      </w:r>
      <w:r>
        <w:rPr>
          <w:sz w:val="28"/>
          <w:szCs w:val="28"/>
        </w:rPr>
        <w:instrText xml:space="preserve"> PAGEREF _Toc30602 </w:instrText>
      </w:r>
      <w:r>
        <w:rPr>
          <w:sz w:val="28"/>
          <w:szCs w:val="28"/>
        </w:rPr>
        <w:fldChar w:fldCharType="separate"/>
      </w:r>
      <w:r>
        <w:rPr>
          <w:sz w:val="28"/>
          <w:szCs w:val="28"/>
        </w:rPr>
        <w:t>- 6 -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_Toc23303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四、询价程序及成交标准</w:t>
      </w:r>
      <w:r>
        <w:rPr>
          <w:sz w:val="28"/>
          <w:szCs w:val="28"/>
        </w:rPr>
        <w:tab/>
      </w:r>
      <w:r>
        <w:rPr>
          <w:sz w:val="28"/>
          <w:szCs w:val="28"/>
        </w:rPr>
        <w:fldChar w:fldCharType="begin"/>
      </w:r>
      <w:r>
        <w:rPr>
          <w:sz w:val="28"/>
          <w:szCs w:val="28"/>
        </w:rPr>
        <w:instrText xml:space="preserve"> PAGEREF _Toc23303 </w:instrText>
      </w:r>
      <w:r>
        <w:rPr>
          <w:sz w:val="28"/>
          <w:szCs w:val="28"/>
        </w:rPr>
        <w:fldChar w:fldCharType="separate"/>
      </w:r>
      <w:r>
        <w:rPr>
          <w:sz w:val="28"/>
          <w:szCs w:val="28"/>
        </w:rPr>
        <w:t>- 9 -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_Toc31436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五、评审依据</w:t>
      </w:r>
      <w:r>
        <w:rPr>
          <w:sz w:val="28"/>
          <w:szCs w:val="28"/>
        </w:rPr>
        <w:tab/>
      </w:r>
      <w:r>
        <w:rPr>
          <w:sz w:val="28"/>
          <w:szCs w:val="28"/>
        </w:rPr>
        <w:fldChar w:fldCharType="begin"/>
      </w:r>
      <w:r>
        <w:rPr>
          <w:sz w:val="28"/>
          <w:szCs w:val="28"/>
        </w:rPr>
        <w:instrText xml:space="preserve"> PAGEREF _Toc31436 </w:instrText>
      </w:r>
      <w:r>
        <w:rPr>
          <w:sz w:val="28"/>
          <w:szCs w:val="28"/>
        </w:rPr>
        <w:fldChar w:fldCharType="separate"/>
      </w:r>
      <w:r>
        <w:rPr>
          <w:sz w:val="28"/>
          <w:szCs w:val="28"/>
        </w:rPr>
        <w:t>- 13 -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_Toc8122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六、成交通知</w:t>
      </w:r>
      <w:r>
        <w:rPr>
          <w:sz w:val="28"/>
          <w:szCs w:val="28"/>
        </w:rPr>
        <w:tab/>
      </w:r>
      <w:r>
        <w:rPr>
          <w:sz w:val="28"/>
          <w:szCs w:val="28"/>
        </w:rPr>
        <w:fldChar w:fldCharType="begin"/>
      </w:r>
      <w:r>
        <w:rPr>
          <w:sz w:val="28"/>
          <w:szCs w:val="28"/>
        </w:rPr>
        <w:instrText xml:space="preserve"> PAGEREF _Toc8122 </w:instrText>
      </w:r>
      <w:r>
        <w:rPr>
          <w:sz w:val="28"/>
          <w:szCs w:val="28"/>
        </w:rPr>
        <w:fldChar w:fldCharType="separate"/>
      </w:r>
      <w:r>
        <w:rPr>
          <w:sz w:val="28"/>
          <w:szCs w:val="28"/>
        </w:rPr>
        <w:t>- 13 -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_Toc15214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七、关于质疑和投诉</w:t>
      </w:r>
      <w:r>
        <w:rPr>
          <w:sz w:val="28"/>
          <w:szCs w:val="28"/>
        </w:rPr>
        <w:tab/>
      </w:r>
      <w:r>
        <w:rPr>
          <w:sz w:val="28"/>
          <w:szCs w:val="28"/>
        </w:rPr>
        <w:fldChar w:fldCharType="begin"/>
      </w:r>
      <w:r>
        <w:rPr>
          <w:sz w:val="28"/>
          <w:szCs w:val="28"/>
        </w:rPr>
        <w:instrText xml:space="preserve"> PAGEREF _Toc15214 </w:instrText>
      </w:r>
      <w:r>
        <w:rPr>
          <w:sz w:val="28"/>
          <w:szCs w:val="28"/>
        </w:rPr>
        <w:fldChar w:fldCharType="separate"/>
      </w:r>
      <w:r>
        <w:rPr>
          <w:sz w:val="28"/>
          <w:szCs w:val="28"/>
        </w:rPr>
        <w:t>- 13 -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_Toc17230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八、签订合同</w:t>
      </w:r>
      <w:r>
        <w:rPr>
          <w:sz w:val="28"/>
          <w:szCs w:val="28"/>
        </w:rPr>
        <w:tab/>
      </w:r>
      <w:r>
        <w:rPr>
          <w:sz w:val="28"/>
          <w:szCs w:val="28"/>
        </w:rPr>
        <w:fldChar w:fldCharType="begin"/>
      </w:r>
      <w:r>
        <w:rPr>
          <w:sz w:val="28"/>
          <w:szCs w:val="28"/>
        </w:rPr>
        <w:instrText xml:space="preserve"> PAGEREF _Toc17230 </w:instrText>
      </w:r>
      <w:r>
        <w:rPr>
          <w:sz w:val="28"/>
          <w:szCs w:val="28"/>
        </w:rPr>
        <w:fldChar w:fldCharType="separate"/>
      </w:r>
      <w:r>
        <w:rPr>
          <w:sz w:val="28"/>
          <w:szCs w:val="28"/>
        </w:rPr>
        <w:t>- 14 -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41"/>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_Toc27495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32"/>
        </w:rPr>
        <w:t>第三篇 询价项目技术要求</w:t>
      </w:r>
      <w:r>
        <w:rPr>
          <w:sz w:val="28"/>
          <w:szCs w:val="28"/>
        </w:rPr>
        <w:tab/>
      </w:r>
      <w:r>
        <w:rPr>
          <w:sz w:val="28"/>
          <w:szCs w:val="28"/>
        </w:rPr>
        <w:fldChar w:fldCharType="begin"/>
      </w:r>
      <w:r>
        <w:rPr>
          <w:sz w:val="28"/>
          <w:szCs w:val="28"/>
        </w:rPr>
        <w:instrText xml:space="preserve"> PAGEREF _Toc27495 </w:instrText>
      </w:r>
      <w:r>
        <w:rPr>
          <w:sz w:val="28"/>
          <w:szCs w:val="28"/>
        </w:rPr>
        <w:fldChar w:fldCharType="separate"/>
      </w:r>
      <w:r>
        <w:rPr>
          <w:sz w:val="28"/>
          <w:szCs w:val="28"/>
        </w:rPr>
        <w:t>- 16 -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_Toc478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一、采购内容一览表</w:t>
      </w:r>
      <w:r>
        <w:rPr>
          <w:sz w:val="28"/>
          <w:szCs w:val="28"/>
        </w:rPr>
        <w:tab/>
      </w:r>
      <w:r>
        <w:rPr>
          <w:sz w:val="28"/>
          <w:szCs w:val="28"/>
        </w:rPr>
        <w:fldChar w:fldCharType="begin"/>
      </w:r>
      <w:r>
        <w:rPr>
          <w:sz w:val="28"/>
          <w:szCs w:val="28"/>
        </w:rPr>
        <w:instrText xml:space="preserve"> PAGEREF _Toc478 </w:instrText>
      </w:r>
      <w:r>
        <w:rPr>
          <w:sz w:val="28"/>
          <w:szCs w:val="28"/>
        </w:rPr>
        <w:fldChar w:fldCharType="separate"/>
      </w:r>
      <w:r>
        <w:rPr>
          <w:sz w:val="28"/>
          <w:szCs w:val="28"/>
        </w:rPr>
        <w:t>- 16 -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_Toc26729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二、技术规格、数量及质量要求 </w:t>
      </w:r>
      <w:r>
        <w:rPr>
          <w:sz w:val="28"/>
          <w:szCs w:val="28"/>
        </w:rPr>
        <w:tab/>
      </w:r>
      <w:r>
        <w:rPr>
          <w:sz w:val="28"/>
          <w:szCs w:val="28"/>
        </w:rPr>
        <w:fldChar w:fldCharType="begin"/>
      </w:r>
      <w:r>
        <w:rPr>
          <w:sz w:val="28"/>
          <w:szCs w:val="28"/>
        </w:rPr>
        <w:instrText xml:space="preserve"> PAGEREF _Toc26729 </w:instrText>
      </w:r>
      <w:r>
        <w:rPr>
          <w:sz w:val="28"/>
          <w:szCs w:val="28"/>
        </w:rPr>
        <w:fldChar w:fldCharType="separate"/>
      </w:r>
      <w:r>
        <w:rPr>
          <w:sz w:val="28"/>
          <w:szCs w:val="28"/>
        </w:rPr>
        <w:t>- 16 -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_Toc29798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三、附件及包装要求</w:t>
      </w:r>
      <w:r>
        <w:rPr>
          <w:sz w:val="28"/>
          <w:szCs w:val="28"/>
        </w:rPr>
        <w:tab/>
      </w:r>
      <w:r>
        <w:rPr>
          <w:sz w:val="28"/>
          <w:szCs w:val="28"/>
        </w:rPr>
        <w:fldChar w:fldCharType="begin"/>
      </w:r>
      <w:r>
        <w:rPr>
          <w:sz w:val="28"/>
          <w:szCs w:val="28"/>
        </w:rPr>
        <w:instrText xml:space="preserve"> PAGEREF _Toc29798 </w:instrText>
      </w:r>
      <w:r>
        <w:rPr>
          <w:sz w:val="28"/>
          <w:szCs w:val="28"/>
        </w:rPr>
        <w:fldChar w:fldCharType="separate"/>
      </w:r>
      <w:r>
        <w:rPr>
          <w:sz w:val="28"/>
          <w:szCs w:val="28"/>
        </w:rPr>
        <w:t>- 21 -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41"/>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_Toc6469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32"/>
        </w:rPr>
        <w:t xml:space="preserve">第四篇  </w:t>
      </w:r>
      <w:r>
        <w:rPr>
          <w:rFonts w:hint="eastAsia" w:asciiTheme="minorEastAsia" w:hAnsiTheme="minorEastAsia" w:eastAsiaTheme="minorEastAsia" w:cstheme="minorEastAsia"/>
          <w:sz w:val="28"/>
          <w:szCs w:val="32"/>
          <w:lang w:eastAsia="zh-CN"/>
        </w:rPr>
        <w:t>询价项目商务要求</w:t>
      </w:r>
      <w:r>
        <w:rPr>
          <w:sz w:val="28"/>
          <w:szCs w:val="28"/>
        </w:rPr>
        <w:tab/>
      </w:r>
      <w:r>
        <w:rPr>
          <w:sz w:val="28"/>
          <w:szCs w:val="28"/>
        </w:rPr>
        <w:fldChar w:fldCharType="begin"/>
      </w:r>
      <w:r>
        <w:rPr>
          <w:sz w:val="28"/>
          <w:szCs w:val="28"/>
        </w:rPr>
        <w:instrText xml:space="preserve"> PAGEREF _Toc6469 </w:instrText>
      </w:r>
      <w:r>
        <w:rPr>
          <w:sz w:val="28"/>
          <w:szCs w:val="28"/>
        </w:rPr>
        <w:fldChar w:fldCharType="separate"/>
      </w:r>
      <w:r>
        <w:rPr>
          <w:sz w:val="28"/>
          <w:szCs w:val="28"/>
        </w:rPr>
        <w:t>- 22 -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_Toc31000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一、交货时间、地点及验收方式</w:t>
      </w:r>
      <w:r>
        <w:rPr>
          <w:sz w:val="28"/>
          <w:szCs w:val="28"/>
        </w:rPr>
        <w:tab/>
      </w:r>
      <w:r>
        <w:rPr>
          <w:sz w:val="28"/>
          <w:szCs w:val="28"/>
        </w:rPr>
        <w:fldChar w:fldCharType="begin"/>
      </w:r>
      <w:r>
        <w:rPr>
          <w:sz w:val="28"/>
          <w:szCs w:val="28"/>
        </w:rPr>
        <w:instrText xml:space="preserve"> PAGEREF _Toc31000 </w:instrText>
      </w:r>
      <w:r>
        <w:rPr>
          <w:sz w:val="28"/>
          <w:szCs w:val="28"/>
        </w:rPr>
        <w:fldChar w:fldCharType="separate"/>
      </w:r>
      <w:r>
        <w:rPr>
          <w:sz w:val="28"/>
          <w:szCs w:val="28"/>
        </w:rPr>
        <w:t>- 22 -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_Toc13184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二、质量保证及售后服务</w:t>
      </w:r>
      <w:r>
        <w:rPr>
          <w:sz w:val="28"/>
          <w:szCs w:val="28"/>
        </w:rPr>
        <w:tab/>
      </w:r>
      <w:r>
        <w:rPr>
          <w:sz w:val="28"/>
          <w:szCs w:val="28"/>
        </w:rPr>
        <w:fldChar w:fldCharType="begin"/>
      </w:r>
      <w:r>
        <w:rPr>
          <w:sz w:val="28"/>
          <w:szCs w:val="28"/>
        </w:rPr>
        <w:instrText xml:space="preserve"> PAGEREF _Toc13184 </w:instrText>
      </w:r>
      <w:r>
        <w:rPr>
          <w:sz w:val="28"/>
          <w:szCs w:val="28"/>
        </w:rPr>
        <w:fldChar w:fldCharType="separate"/>
      </w:r>
      <w:r>
        <w:rPr>
          <w:sz w:val="28"/>
          <w:szCs w:val="28"/>
        </w:rPr>
        <w:t>- 23 -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_Toc26386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三、报价要求</w:t>
      </w:r>
      <w:r>
        <w:rPr>
          <w:sz w:val="28"/>
          <w:szCs w:val="28"/>
        </w:rPr>
        <w:tab/>
      </w:r>
      <w:r>
        <w:rPr>
          <w:sz w:val="28"/>
          <w:szCs w:val="28"/>
        </w:rPr>
        <w:fldChar w:fldCharType="begin"/>
      </w:r>
      <w:r>
        <w:rPr>
          <w:sz w:val="28"/>
          <w:szCs w:val="28"/>
        </w:rPr>
        <w:instrText xml:space="preserve"> PAGEREF _Toc26386 </w:instrText>
      </w:r>
      <w:r>
        <w:rPr>
          <w:sz w:val="28"/>
          <w:szCs w:val="28"/>
        </w:rPr>
        <w:fldChar w:fldCharType="separate"/>
      </w:r>
      <w:r>
        <w:rPr>
          <w:sz w:val="28"/>
          <w:szCs w:val="28"/>
        </w:rPr>
        <w:t>- 23 -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_Toc4776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lang w:val="en-US" w:eastAsia="zh-CN"/>
        </w:rPr>
        <w:t>四</w:t>
      </w:r>
      <w:r>
        <w:rPr>
          <w:rFonts w:hint="eastAsia" w:asciiTheme="minorEastAsia" w:hAnsiTheme="minorEastAsia" w:eastAsiaTheme="minorEastAsia" w:cstheme="minorEastAsia"/>
          <w:sz w:val="28"/>
          <w:szCs w:val="24"/>
        </w:rPr>
        <w:t>、付款方式</w:t>
      </w:r>
      <w:r>
        <w:rPr>
          <w:sz w:val="28"/>
          <w:szCs w:val="28"/>
        </w:rPr>
        <w:tab/>
      </w:r>
      <w:r>
        <w:rPr>
          <w:sz w:val="28"/>
          <w:szCs w:val="28"/>
        </w:rPr>
        <w:fldChar w:fldCharType="begin"/>
      </w:r>
      <w:r>
        <w:rPr>
          <w:sz w:val="28"/>
          <w:szCs w:val="28"/>
        </w:rPr>
        <w:instrText xml:space="preserve"> PAGEREF _Toc4776 </w:instrText>
      </w:r>
      <w:r>
        <w:rPr>
          <w:sz w:val="28"/>
          <w:szCs w:val="28"/>
        </w:rPr>
        <w:fldChar w:fldCharType="separate"/>
      </w:r>
      <w:r>
        <w:rPr>
          <w:sz w:val="28"/>
          <w:szCs w:val="28"/>
        </w:rPr>
        <w:t>- 24 -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_Toc12531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lang w:val="en-US" w:eastAsia="zh-CN"/>
        </w:rPr>
        <w:t>五</w:t>
      </w:r>
      <w:r>
        <w:rPr>
          <w:rFonts w:hint="eastAsia" w:asciiTheme="minorEastAsia" w:hAnsiTheme="minorEastAsia" w:eastAsiaTheme="minorEastAsia" w:cstheme="minorEastAsia"/>
          <w:sz w:val="28"/>
          <w:szCs w:val="24"/>
        </w:rPr>
        <w:t>、知识产权</w:t>
      </w:r>
      <w:r>
        <w:rPr>
          <w:sz w:val="28"/>
          <w:szCs w:val="28"/>
        </w:rPr>
        <w:tab/>
      </w:r>
      <w:r>
        <w:rPr>
          <w:sz w:val="28"/>
          <w:szCs w:val="28"/>
        </w:rPr>
        <w:fldChar w:fldCharType="begin"/>
      </w:r>
      <w:r>
        <w:rPr>
          <w:sz w:val="28"/>
          <w:szCs w:val="28"/>
        </w:rPr>
        <w:instrText xml:space="preserve"> PAGEREF _Toc12531 </w:instrText>
      </w:r>
      <w:r>
        <w:rPr>
          <w:sz w:val="28"/>
          <w:szCs w:val="28"/>
        </w:rPr>
        <w:fldChar w:fldCharType="separate"/>
      </w:r>
      <w:r>
        <w:rPr>
          <w:sz w:val="28"/>
          <w:szCs w:val="28"/>
        </w:rPr>
        <w:t>- 24 -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_Toc22303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lang w:val="en-US" w:eastAsia="zh-CN"/>
        </w:rPr>
        <w:t>六</w:t>
      </w:r>
      <w:r>
        <w:rPr>
          <w:rFonts w:hint="eastAsia" w:asciiTheme="minorEastAsia" w:hAnsiTheme="minorEastAsia" w:eastAsiaTheme="minorEastAsia" w:cstheme="minorEastAsia"/>
          <w:sz w:val="28"/>
          <w:szCs w:val="24"/>
        </w:rPr>
        <w:t>、培训</w:t>
      </w:r>
      <w:r>
        <w:rPr>
          <w:sz w:val="28"/>
          <w:szCs w:val="28"/>
        </w:rPr>
        <w:tab/>
      </w:r>
      <w:r>
        <w:rPr>
          <w:sz w:val="28"/>
          <w:szCs w:val="28"/>
        </w:rPr>
        <w:fldChar w:fldCharType="begin"/>
      </w:r>
      <w:r>
        <w:rPr>
          <w:sz w:val="28"/>
          <w:szCs w:val="28"/>
        </w:rPr>
        <w:instrText xml:space="preserve"> PAGEREF _Toc22303 </w:instrText>
      </w:r>
      <w:r>
        <w:rPr>
          <w:sz w:val="28"/>
          <w:szCs w:val="28"/>
        </w:rPr>
        <w:fldChar w:fldCharType="separate"/>
      </w:r>
      <w:r>
        <w:rPr>
          <w:sz w:val="28"/>
          <w:szCs w:val="28"/>
        </w:rPr>
        <w:t>- 24 -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_Toc29921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lang w:val="en-US" w:eastAsia="zh-CN"/>
        </w:rPr>
        <w:t>七</w:t>
      </w:r>
      <w:r>
        <w:rPr>
          <w:rFonts w:hint="eastAsia" w:asciiTheme="minorEastAsia" w:hAnsiTheme="minorEastAsia" w:eastAsiaTheme="minorEastAsia" w:cstheme="minorEastAsia"/>
          <w:sz w:val="28"/>
          <w:szCs w:val="24"/>
        </w:rPr>
        <w:t>、其他</w:t>
      </w:r>
      <w:r>
        <w:rPr>
          <w:sz w:val="28"/>
          <w:szCs w:val="28"/>
        </w:rPr>
        <w:tab/>
      </w:r>
      <w:r>
        <w:rPr>
          <w:sz w:val="28"/>
          <w:szCs w:val="28"/>
        </w:rPr>
        <w:fldChar w:fldCharType="begin"/>
      </w:r>
      <w:r>
        <w:rPr>
          <w:sz w:val="28"/>
          <w:szCs w:val="28"/>
        </w:rPr>
        <w:instrText xml:space="preserve"> PAGEREF _Toc29921 </w:instrText>
      </w:r>
      <w:r>
        <w:rPr>
          <w:sz w:val="28"/>
          <w:szCs w:val="28"/>
        </w:rPr>
        <w:fldChar w:fldCharType="separate"/>
      </w:r>
      <w:r>
        <w:rPr>
          <w:sz w:val="28"/>
          <w:szCs w:val="28"/>
        </w:rPr>
        <w:t>- 24 -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41"/>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_Toc28796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32"/>
        </w:rPr>
        <w:t>第五篇 合同主要条款和格式合同（样本）</w:t>
      </w:r>
      <w:r>
        <w:rPr>
          <w:sz w:val="28"/>
          <w:szCs w:val="28"/>
        </w:rPr>
        <w:tab/>
      </w:r>
      <w:r>
        <w:rPr>
          <w:sz w:val="28"/>
          <w:szCs w:val="28"/>
        </w:rPr>
        <w:fldChar w:fldCharType="begin"/>
      </w:r>
      <w:r>
        <w:rPr>
          <w:sz w:val="28"/>
          <w:szCs w:val="28"/>
        </w:rPr>
        <w:instrText xml:space="preserve"> PAGEREF _Toc28796 </w:instrText>
      </w:r>
      <w:r>
        <w:rPr>
          <w:sz w:val="28"/>
          <w:szCs w:val="28"/>
        </w:rPr>
        <w:fldChar w:fldCharType="separate"/>
      </w:r>
      <w:r>
        <w:rPr>
          <w:sz w:val="28"/>
          <w:szCs w:val="28"/>
        </w:rPr>
        <w:t>- 25 -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41"/>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_Toc11774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32"/>
        </w:rPr>
        <w:t>第六篇 响应文件格式要求</w:t>
      </w:r>
      <w:r>
        <w:rPr>
          <w:sz w:val="28"/>
          <w:szCs w:val="28"/>
        </w:rPr>
        <w:tab/>
      </w:r>
      <w:r>
        <w:rPr>
          <w:sz w:val="28"/>
          <w:szCs w:val="28"/>
        </w:rPr>
        <w:fldChar w:fldCharType="begin"/>
      </w:r>
      <w:r>
        <w:rPr>
          <w:sz w:val="28"/>
          <w:szCs w:val="28"/>
        </w:rPr>
        <w:instrText xml:space="preserve"> PAGEREF _Toc11774 </w:instrText>
      </w:r>
      <w:r>
        <w:rPr>
          <w:sz w:val="28"/>
          <w:szCs w:val="28"/>
        </w:rPr>
        <w:fldChar w:fldCharType="separate"/>
      </w:r>
      <w:r>
        <w:rPr>
          <w:sz w:val="28"/>
          <w:szCs w:val="28"/>
        </w:rPr>
        <w:t>- 29 -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_Toc6062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一、经济部分</w:t>
      </w:r>
      <w:r>
        <w:rPr>
          <w:sz w:val="28"/>
          <w:szCs w:val="28"/>
        </w:rPr>
        <w:tab/>
      </w:r>
      <w:r>
        <w:rPr>
          <w:sz w:val="28"/>
          <w:szCs w:val="28"/>
        </w:rPr>
        <w:fldChar w:fldCharType="begin"/>
      </w:r>
      <w:r>
        <w:rPr>
          <w:sz w:val="28"/>
          <w:szCs w:val="28"/>
        </w:rPr>
        <w:instrText xml:space="preserve"> PAGEREF _Toc6062 </w:instrText>
      </w:r>
      <w:r>
        <w:rPr>
          <w:sz w:val="28"/>
          <w:szCs w:val="28"/>
        </w:rPr>
        <w:fldChar w:fldCharType="separate"/>
      </w:r>
      <w:r>
        <w:rPr>
          <w:sz w:val="28"/>
          <w:szCs w:val="28"/>
        </w:rPr>
        <w:t>- 31 -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_Toc6759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二、技术部分</w:t>
      </w:r>
      <w:r>
        <w:rPr>
          <w:sz w:val="28"/>
          <w:szCs w:val="28"/>
        </w:rPr>
        <w:tab/>
      </w:r>
      <w:r>
        <w:rPr>
          <w:sz w:val="28"/>
          <w:szCs w:val="28"/>
        </w:rPr>
        <w:t xml:space="preserve">- </w:t>
      </w:r>
      <w:r>
        <w:rPr>
          <w:sz w:val="28"/>
          <w:szCs w:val="28"/>
        </w:rPr>
        <w:fldChar w:fldCharType="begin"/>
      </w:r>
      <w:r>
        <w:rPr>
          <w:sz w:val="28"/>
          <w:szCs w:val="28"/>
        </w:rPr>
        <w:instrText xml:space="preserve"> PAGEREF _Toc6759 </w:instrText>
      </w:r>
      <w:r>
        <w:rPr>
          <w:sz w:val="28"/>
          <w:szCs w:val="28"/>
        </w:rPr>
        <w:fldChar w:fldCharType="separate"/>
      </w:r>
      <w:r>
        <w:rPr>
          <w:sz w:val="28"/>
          <w:szCs w:val="28"/>
        </w:rPr>
        <w:t>33</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r>
        <w:rPr>
          <w:sz w:val="28"/>
          <w:szCs w:val="28"/>
        </w:rPr>
        <w:t xml:space="preserve"> -</w:t>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_Toc8074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三、服务部分</w:t>
      </w:r>
      <w:r>
        <w:rPr>
          <w:sz w:val="28"/>
          <w:szCs w:val="28"/>
        </w:rPr>
        <w:tab/>
      </w:r>
      <w:r>
        <w:rPr>
          <w:sz w:val="28"/>
          <w:szCs w:val="28"/>
        </w:rPr>
        <w:t xml:space="preserve">- </w:t>
      </w:r>
      <w:r>
        <w:rPr>
          <w:sz w:val="28"/>
          <w:szCs w:val="28"/>
        </w:rPr>
        <w:fldChar w:fldCharType="begin"/>
      </w:r>
      <w:r>
        <w:rPr>
          <w:sz w:val="28"/>
          <w:szCs w:val="28"/>
        </w:rPr>
        <w:instrText xml:space="preserve"> PAGEREF _Toc8074 </w:instrText>
      </w:r>
      <w:r>
        <w:rPr>
          <w:sz w:val="28"/>
          <w:szCs w:val="28"/>
        </w:rPr>
        <w:fldChar w:fldCharType="separate"/>
      </w:r>
      <w:r>
        <w:rPr>
          <w:sz w:val="28"/>
          <w:szCs w:val="28"/>
        </w:rPr>
        <w:t>34</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r>
        <w:rPr>
          <w:sz w:val="28"/>
          <w:szCs w:val="28"/>
        </w:rPr>
        <w:t xml:space="preserve"> -</w:t>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_Toc16938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四、资格条件及其他</w:t>
      </w:r>
      <w:r>
        <w:rPr>
          <w:sz w:val="28"/>
          <w:szCs w:val="28"/>
        </w:rPr>
        <w:tab/>
      </w:r>
      <w:r>
        <w:rPr>
          <w:sz w:val="28"/>
          <w:szCs w:val="28"/>
        </w:rPr>
        <w:t xml:space="preserve">- </w:t>
      </w:r>
      <w:r>
        <w:rPr>
          <w:sz w:val="28"/>
          <w:szCs w:val="28"/>
        </w:rPr>
        <w:fldChar w:fldCharType="begin"/>
      </w:r>
      <w:r>
        <w:rPr>
          <w:sz w:val="28"/>
          <w:szCs w:val="28"/>
        </w:rPr>
        <w:instrText xml:space="preserve"> PAGEREF _Toc16938 </w:instrText>
      </w:r>
      <w:r>
        <w:rPr>
          <w:sz w:val="28"/>
          <w:szCs w:val="28"/>
        </w:rPr>
        <w:fldChar w:fldCharType="separate"/>
      </w:r>
      <w:r>
        <w:rPr>
          <w:sz w:val="28"/>
          <w:szCs w:val="28"/>
        </w:rPr>
        <w:t>35</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r>
        <w:rPr>
          <w:sz w:val="28"/>
          <w:szCs w:val="28"/>
        </w:rPr>
        <w:t xml:space="preserve"> -</w:t>
      </w:r>
    </w:p>
    <w:p>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_Toc30310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五、其他应提供的资料</w:t>
      </w:r>
      <w:r>
        <w:rPr>
          <w:sz w:val="28"/>
          <w:szCs w:val="28"/>
        </w:rPr>
        <w:tab/>
      </w:r>
      <w:r>
        <w:rPr>
          <w:sz w:val="28"/>
          <w:szCs w:val="28"/>
        </w:rPr>
        <w:t xml:space="preserve">- </w:t>
      </w:r>
      <w:r>
        <w:rPr>
          <w:sz w:val="28"/>
          <w:szCs w:val="28"/>
        </w:rPr>
        <w:fldChar w:fldCharType="begin"/>
      </w:r>
      <w:r>
        <w:rPr>
          <w:sz w:val="28"/>
          <w:szCs w:val="28"/>
        </w:rPr>
        <w:instrText xml:space="preserve"> PAGEREF _Toc30310 </w:instrText>
      </w:r>
      <w:r>
        <w:rPr>
          <w:sz w:val="28"/>
          <w:szCs w:val="28"/>
        </w:rPr>
        <w:fldChar w:fldCharType="separate"/>
      </w:r>
      <w:r>
        <w:rPr>
          <w:sz w:val="28"/>
          <w:szCs w:val="28"/>
        </w:rPr>
        <w:t>40</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r>
        <w:rPr>
          <w:sz w:val="28"/>
          <w:szCs w:val="28"/>
        </w:rPr>
        <w:t xml:space="preserve"> -</w:t>
      </w:r>
    </w:p>
    <w:p>
      <w:pPr>
        <w:pStyle w:val="41"/>
        <w:tabs>
          <w:tab w:val="right" w:leader="dot" w:pos="9402"/>
        </w:tabs>
        <w:spacing w:line="480" w:lineRule="exact"/>
        <w:ind w:left="560"/>
        <w:rPr>
          <w:rFonts w:hint="eastAsia" w:asciiTheme="minorEastAsia" w:hAnsiTheme="minorEastAsia" w:eastAsiaTheme="minorEastAsia" w:cstheme="minorEastAsia"/>
          <w:color w:val="000000" w:themeColor="text1"/>
          <w:sz w:val="18"/>
          <w:szCs w:val="22"/>
        </w:rPr>
        <w:sectPr>
          <w:headerReference r:id="rId3" w:type="default"/>
          <w:pgSz w:w="11907" w:h="16840"/>
          <w:pgMar w:top="1134" w:right="1191" w:bottom="1134" w:left="1304" w:header="851" w:footer="992" w:gutter="0"/>
          <w:pgNumType w:start="3"/>
          <w:cols w:space="720" w:num="1"/>
          <w:docGrid w:linePitch="380" w:charSpace="-5735"/>
        </w:sectPr>
      </w:pPr>
      <w:r>
        <w:rPr>
          <w:rFonts w:hint="eastAsia" w:asciiTheme="minorEastAsia" w:hAnsiTheme="minorEastAsia" w:eastAsiaTheme="minorEastAsia" w:cstheme="minorEastAsia"/>
          <w:color w:val="000000" w:themeColor="text1"/>
          <w:sz w:val="28"/>
          <w:szCs w:val="21"/>
        </w:rPr>
        <w:fldChar w:fldCharType="end"/>
      </w:r>
    </w:p>
    <w:p>
      <w:pPr>
        <w:pStyle w:val="5"/>
        <w:spacing w:before="0" w:after="0" w:line="600" w:lineRule="exact"/>
        <w:jc w:val="center"/>
        <w:rPr>
          <w:rFonts w:hint="eastAsia" w:asciiTheme="minorEastAsia" w:hAnsiTheme="minorEastAsia" w:eastAsiaTheme="minorEastAsia" w:cstheme="minorEastAsia"/>
          <w:bCs/>
          <w:color w:val="000000" w:themeColor="text1"/>
          <w:szCs w:val="32"/>
        </w:rPr>
      </w:pPr>
      <w:bookmarkStart w:id="4" w:name="_Toc22878"/>
      <w:r>
        <w:rPr>
          <w:rFonts w:hint="eastAsia" w:asciiTheme="minorEastAsia" w:hAnsiTheme="minorEastAsia" w:eastAsiaTheme="minorEastAsia" w:cstheme="minorEastAsia"/>
          <w:color w:val="000000" w:themeColor="text1"/>
          <w:szCs w:val="32"/>
        </w:rPr>
        <w:t>第一篇 询价邀请书</w:t>
      </w:r>
      <w:bookmarkEnd w:id="1"/>
      <w:bookmarkEnd w:id="2"/>
      <w:bookmarkEnd w:id="3"/>
      <w:bookmarkEnd w:id="4"/>
    </w:p>
    <w:p>
      <w:pPr>
        <w:spacing w:line="400" w:lineRule="exact"/>
        <w:ind w:firstLine="480" w:firstLineChars="200"/>
        <w:rPr>
          <w:rFonts w:hint="eastAsia" w:asciiTheme="minorEastAsia" w:hAnsiTheme="minorEastAsia" w:eastAsiaTheme="minorEastAsia" w:cstheme="minorEastAsia"/>
          <w:b/>
          <w:color w:val="000000" w:themeColor="text1"/>
          <w:sz w:val="24"/>
          <w:szCs w:val="24"/>
        </w:rPr>
      </w:pPr>
      <w:bookmarkStart w:id="5" w:name="_Toc487204771"/>
      <w:bookmarkStart w:id="6" w:name="_Toc317775175"/>
      <w:bookmarkStart w:id="7" w:name="_Toc313893526"/>
      <w:r>
        <w:rPr>
          <w:rFonts w:hint="eastAsia" w:asciiTheme="minorEastAsia" w:hAnsiTheme="minorEastAsia" w:eastAsiaTheme="minorEastAsia" w:cstheme="minorEastAsia"/>
          <w:color w:val="000000" w:themeColor="text1"/>
          <w:sz w:val="24"/>
          <w:szCs w:val="24"/>
        </w:rPr>
        <w:t>重庆众合招标代理有限公司受重庆市体育运动学校的委托，对“</w:t>
      </w:r>
      <w:r>
        <w:rPr>
          <w:rFonts w:hint="eastAsia" w:asciiTheme="minorEastAsia" w:hAnsiTheme="minorEastAsia" w:eastAsiaTheme="minorEastAsia" w:cstheme="minorEastAsia"/>
          <w:color w:val="000000" w:themeColor="text1"/>
          <w:sz w:val="24"/>
          <w:szCs w:val="24"/>
          <w:lang w:eastAsia="zh-CN"/>
        </w:rPr>
        <w:t>重庆市体育运动学校新校建设多媒体设施设备采购</w:t>
      </w:r>
      <w:r>
        <w:rPr>
          <w:rFonts w:hint="eastAsia" w:asciiTheme="minorEastAsia" w:hAnsiTheme="minorEastAsia" w:eastAsiaTheme="minorEastAsia" w:cstheme="minorEastAsia"/>
          <w:color w:val="000000" w:themeColor="text1"/>
          <w:sz w:val="24"/>
          <w:szCs w:val="24"/>
        </w:rPr>
        <w:t>”项目进行询价采购，欢迎有资格的供应商前来参加询价。</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8" w:name="_Toc69"/>
      <w:r>
        <w:rPr>
          <w:rFonts w:hint="eastAsia" w:asciiTheme="minorEastAsia" w:hAnsiTheme="minorEastAsia" w:eastAsiaTheme="minorEastAsia" w:cstheme="minorEastAsia"/>
          <w:color w:val="000000" w:themeColor="text1"/>
          <w:sz w:val="24"/>
          <w:szCs w:val="24"/>
        </w:rPr>
        <w:t>一、</w:t>
      </w:r>
      <w:bookmarkEnd w:id="5"/>
      <w:bookmarkEnd w:id="6"/>
      <w:bookmarkEnd w:id="7"/>
      <w:r>
        <w:rPr>
          <w:rFonts w:hint="eastAsia" w:asciiTheme="minorEastAsia" w:hAnsiTheme="minorEastAsia" w:eastAsiaTheme="minorEastAsia" w:cstheme="minorEastAsia"/>
          <w:color w:val="000000" w:themeColor="text1"/>
          <w:sz w:val="24"/>
          <w:szCs w:val="24"/>
        </w:rPr>
        <w:t>询价采购内容</w:t>
      </w:r>
      <w:bookmarkEnd w:id="8"/>
    </w:p>
    <w:tbl>
      <w:tblPr>
        <w:tblStyle w:val="51"/>
        <w:tblW w:w="9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2127"/>
        <w:gridCol w:w="1356"/>
        <w:gridCol w:w="932"/>
        <w:gridCol w:w="1114"/>
        <w:gridCol w:w="1360"/>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740" w:type="dxa"/>
            <w:vAlign w:val="center"/>
          </w:tcPr>
          <w:p>
            <w:pPr>
              <w:widowControl/>
              <w:spacing w:line="400" w:lineRule="exact"/>
              <w:jc w:val="center"/>
              <w:rPr>
                <w:rFonts w:hint="eastAsia" w:asciiTheme="minorEastAsia" w:hAnsiTheme="minorEastAsia" w:eastAsiaTheme="minorEastAsia" w:cstheme="minorEastAsia"/>
                <w:b/>
                <w:bCs/>
                <w:color w:val="000000" w:themeColor="text1"/>
                <w:kern w:val="0"/>
                <w:sz w:val="21"/>
                <w:szCs w:val="21"/>
              </w:rPr>
            </w:pPr>
            <w:bookmarkStart w:id="9" w:name="_Toc487204772"/>
            <w:bookmarkStart w:id="10" w:name="_Toc373860293"/>
            <w:bookmarkStart w:id="11" w:name="_Toc317775178"/>
            <w:r>
              <w:rPr>
                <w:rFonts w:hint="eastAsia" w:asciiTheme="minorEastAsia" w:hAnsiTheme="minorEastAsia" w:eastAsiaTheme="minorEastAsia" w:cstheme="minorEastAsia"/>
                <w:b/>
                <w:bCs/>
                <w:color w:val="000000" w:themeColor="text1"/>
                <w:kern w:val="0"/>
                <w:sz w:val="21"/>
                <w:szCs w:val="21"/>
              </w:rPr>
              <w:t>序号</w:t>
            </w:r>
          </w:p>
        </w:tc>
        <w:tc>
          <w:tcPr>
            <w:tcW w:w="2127" w:type="dxa"/>
            <w:vAlign w:val="center"/>
          </w:tcPr>
          <w:p>
            <w:pPr>
              <w:widowControl/>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项目名称</w:t>
            </w:r>
          </w:p>
        </w:tc>
        <w:tc>
          <w:tcPr>
            <w:tcW w:w="1356" w:type="dxa"/>
            <w:vAlign w:val="center"/>
          </w:tcPr>
          <w:p>
            <w:pPr>
              <w:widowControl/>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采购预算</w:t>
            </w:r>
          </w:p>
          <w:p>
            <w:pPr>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（万元）</w:t>
            </w:r>
          </w:p>
        </w:tc>
        <w:tc>
          <w:tcPr>
            <w:tcW w:w="932" w:type="dxa"/>
            <w:vAlign w:val="center"/>
          </w:tcPr>
          <w:p>
            <w:pPr>
              <w:widowControl/>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数量（批）</w:t>
            </w:r>
          </w:p>
        </w:tc>
        <w:tc>
          <w:tcPr>
            <w:tcW w:w="1114" w:type="dxa"/>
            <w:vAlign w:val="center"/>
          </w:tcPr>
          <w:p>
            <w:pPr>
              <w:widowControl/>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保证金</w:t>
            </w:r>
          </w:p>
          <w:p>
            <w:pPr>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（万元）</w:t>
            </w:r>
          </w:p>
        </w:tc>
        <w:tc>
          <w:tcPr>
            <w:tcW w:w="1360" w:type="dxa"/>
            <w:vAlign w:val="center"/>
          </w:tcPr>
          <w:p>
            <w:pPr>
              <w:widowControl/>
              <w:spacing w:line="400" w:lineRule="exact"/>
              <w:jc w:val="center"/>
              <w:rPr>
                <w:rFonts w:hint="eastAsia" w:asciiTheme="minorEastAsia" w:hAnsiTheme="minorEastAsia" w:eastAsiaTheme="minorEastAsia" w:cstheme="minorEastAsia"/>
                <w:b/>
                <w:color w:val="000000" w:themeColor="text1"/>
                <w:sz w:val="21"/>
                <w:szCs w:val="21"/>
              </w:rPr>
            </w:pPr>
            <w:r>
              <w:rPr>
                <w:rFonts w:hint="eastAsia" w:asciiTheme="minorEastAsia" w:hAnsiTheme="minorEastAsia" w:eastAsiaTheme="minorEastAsia" w:cstheme="minorEastAsia"/>
                <w:b/>
                <w:bCs/>
                <w:color w:val="000000" w:themeColor="text1"/>
                <w:kern w:val="0"/>
                <w:sz w:val="21"/>
                <w:szCs w:val="21"/>
              </w:rPr>
              <w:t>成交供应商数量（名）</w:t>
            </w:r>
          </w:p>
        </w:tc>
        <w:tc>
          <w:tcPr>
            <w:tcW w:w="2355" w:type="dxa"/>
            <w:vAlign w:val="center"/>
          </w:tcPr>
          <w:p>
            <w:pPr>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40" w:type="dxa"/>
            <w:vAlign w:val="center"/>
          </w:tcPr>
          <w:p>
            <w:pPr>
              <w:widowControl/>
              <w:spacing w:line="400" w:lineRule="exact"/>
              <w:jc w:val="center"/>
              <w:rPr>
                <w:rFonts w:hint="eastAsia" w:asciiTheme="minorEastAsia" w:hAnsiTheme="minorEastAsia" w:eastAsiaTheme="minorEastAsia" w:cstheme="minorEastAsia"/>
                <w:color w:val="000000" w:themeColor="text1"/>
                <w:kern w:val="0"/>
                <w:sz w:val="21"/>
                <w:szCs w:val="21"/>
              </w:rPr>
            </w:pPr>
            <w:r>
              <w:rPr>
                <w:rFonts w:hint="eastAsia" w:asciiTheme="minorEastAsia" w:hAnsiTheme="minorEastAsia" w:eastAsiaTheme="minorEastAsia" w:cstheme="minorEastAsia"/>
                <w:color w:val="000000" w:themeColor="text1"/>
                <w:kern w:val="0"/>
                <w:sz w:val="21"/>
                <w:szCs w:val="21"/>
              </w:rPr>
              <w:t>1</w:t>
            </w:r>
          </w:p>
        </w:tc>
        <w:tc>
          <w:tcPr>
            <w:tcW w:w="2127" w:type="dxa"/>
            <w:vAlign w:val="center"/>
          </w:tcPr>
          <w:p>
            <w:pPr>
              <w:widowControl/>
              <w:spacing w:line="400" w:lineRule="exact"/>
              <w:jc w:val="center"/>
              <w:rPr>
                <w:rFonts w:hint="eastAsia" w:asciiTheme="minorEastAsia" w:hAnsiTheme="minorEastAsia" w:eastAsiaTheme="minorEastAsia" w:cstheme="minorEastAsia"/>
                <w:color w:val="000000" w:themeColor="text1"/>
                <w:kern w:val="0"/>
                <w:sz w:val="21"/>
                <w:szCs w:val="21"/>
                <w:lang w:eastAsia="zh-CN"/>
              </w:rPr>
            </w:pPr>
            <w:r>
              <w:rPr>
                <w:rFonts w:hint="eastAsia" w:asciiTheme="minorEastAsia" w:hAnsiTheme="minorEastAsia" w:eastAsiaTheme="minorEastAsia" w:cstheme="minorEastAsia"/>
                <w:color w:val="000000" w:themeColor="text1"/>
                <w:kern w:val="0"/>
                <w:sz w:val="21"/>
                <w:szCs w:val="21"/>
                <w:lang w:eastAsia="zh-CN"/>
              </w:rPr>
              <w:t>重庆市体育运动学校新校建设多媒体设施设备采购</w:t>
            </w:r>
          </w:p>
        </w:tc>
        <w:tc>
          <w:tcPr>
            <w:tcW w:w="1356" w:type="dxa"/>
            <w:vAlign w:val="center"/>
          </w:tcPr>
          <w:p>
            <w:pPr>
              <w:widowControl/>
              <w:spacing w:line="400" w:lineRule="exact"/>
              <w:jc w:val="center"/>
              <w:rPr>
                <w:rFonts w:hint="eastAsia" w:asciiTheme="minorEastAsia" w:hAnsiTheme="minorEastAsia" w:eastAsiaTheme="minorEastAsia" w:cstheme="minorEastAsia"/>
                <w:color w:val="000000" w:themeColor="text1"/>
                <w:kern w:val="0"/>
                <w:sz w:val="21"/>
                <w:szCs w:val="21"/>
                <w:lang w:val="en-US" w:eastAsia="zh-CN"/>
              </w:rPr>
            </w:pPr>
            <w:r>
              <w:rPr>
                <w:rFonts w:hint="eastAsia" w:asciiTheme="minorEastAsia" w:hAnsiTheme="minorEastAsia" w:eastAsiaTheme="minorEastAsia" w:cstheme="minorEastAsia"/>
                <w:color w:val="000000" w:themeColor="text1"/>
                <w:kern w:val="0"/>
                <w:sz w:val="21"/>
                <w:szCs w:val="21"/>
                <w:lang w:val="en-US" w:eastAsia="zh-CN"/>
              </w:rPr>
              <w:t>76.660171</w:t>
            </w:r>
          </w:p>
        </w:tc>
        <w:tc>
          <w:tcPr>
            <w:tcW w:w="932" w:type="dxa"/>
            <w:vAlign w:val="center"/>
          </w:tcPr>
          <w:p>
            <w:pPr>
              <w:widowControl/>
              <w:spacing w:line="400" w:lineRule="exact"/>
              <w:jc w:val="center"/>
              <w:rPr>
                <w:rFonts w:hint="eastAsia" w:asciiTheme="minorEastAsia" w:hAnsiTheme="minorEastAsia" w:eastAsiaTheme="minorEastAsia" w:cstheme="minorEastAsia"/>
                <w:color w:val="000000" w:themeColor="text1"/>
                <w:kern w:val="0"/>
                <w:sz w:val="21"/>
                <w:szCs w:val="21"/>
              </w:rPr>
            </w:pPr>
            <w:r>
              <w:rPr>
                <w:rFonts w:hint="eastAsia" w:asciiTheme="minorEastAsia" w:hAnsiTheme="minorEastAsia" w:eastAsiaTheme="minorEastAsia" w:cstheme="minorEastAsia"/>
                <w:color w:val="000000" w:themeColor="text1"/>
                <w:kern w:val="0"/>
                <w:sz w:val="21"/>
                <w:szCs w:val="21"/>
              </w:rPr>
              <w:t>1</w:t>
            </w:r>
          </w:p>
        </w:tc>
        <w:tc>
          <w:tcPr>
            <w:tcW w:w="1114" w:type="dxa"/>
            <w:vAlign w:val="center"/>
          </w:tcPr>
          <w:p>
            <w:pPr>
              <w:widowControl/>
              <w:spacing w:line="400" w:lineRule="exact"/>
              <w:jc w:val="center"/>
              <w:rPr>
                <w:rFonts w:hint="eastAsia" w:asciiTheme="minorEastAsia" w:hAnsiTheme="minorEastAsia" w:eastAsiaTheme="minorEastAsia" w:cstheme="minorEastAsia"/>
                <w:color w:val="000000" w:themeColor="text1"/>
                <w:kern w:val="0"/>
                <w:sz w:val="21"/>
                <w:szCs w:val="21"/>
                <w:lang w:val="en-US" w:eastAsia="zh-CN"/>
              </w:rPr>
            </w:pPr>
            <w:r>
              <w:rPr>
                <w:rFonts w:hint="eastAsia" w:asciiTheme="minorEastAsia" w:hAnsiTheme="minorEastAsia" w:eastAsiaTheme="minorEastAsia" w:cstheme="minorEastAsia"/>
                <w:color w:val="000000" w:themeColor="text1"/>
                <w:kern w:val="0"/>
                <w:sz w:val="21"/>
                <w:szCs w:val="21"/>
                <w:lang w:val="en-US" w:eastAsia="zh-CN"/>
              </w:rPr>
              <w:t>1.5</w:t>
            </w:r>
          </w:p>
        </w:tc>
        <w:tc>
          <w:tcPr>
            <w:tcW w:w="1360" w:type="dxa"/>
            <w:vAlign w:val="center"/>
          </w:tcPr>
          <w:p>
            <w:pPr>
              <w:widowControl/>
              <w:spacing w:line="400" w:lineRule="exact"/>
              <w:jc w:val="center"/>
              <w:rPr>
                <w:rFonts w:hint="eastAsia" w:asciiTheme="minorEastAsia" w:hAnsiTheme="minorEastAsia" w:eastAsiaTheme="minorEastAsia" w:cstheme="minorEastAsia"/>
                <w:color w:val="000000" w:themeColor="text1"/>
                <w:kern w:val="0"/>
                <w:sz w:val="21"/>
                <w:szCs w:val="21"/>
              </w:rPr>
            </w:pPr>
            <w:r>
              <w:rPr>
                <w:rFonts w:hint="eastAsia" w:asciiTheme="minorEastAsia" w:hAnsiTheme="minorEastAsia" w:eastAsiaTheme="minorEastAsia" w:cstheme="minorEastAsia"/>
                <w:color w:val="000000" w:themeColor="text1"/>
                <w:kern w:val="0"/>
                <w:sz w:val="21"/>
                <w:szCs w:val="21"/>
              </w:rPr>
              <w:t>1</w:t>
            </w:r>
          </w:p>
        </w:tc>
        <w:tc>
          <w:tcPr>
            <w:tcW w:w="2355" w:type="dxa"/>
            <w:vAlign w:val="center"/>
          </w:tcPr>
          <w:p>
            <w:pPr>
              <w:widowControl/>
              <w:spacing w:line="400" w:lineRule="exact"/>
              <w:jc w:val="center"/>
              <w:rPr>
                <w:rFonts w:hint="eastAsia" w:asciiTheme="minorEastAsia" w:hAnsiTheme="minorEastAsia" w:eastAsiaTheme="minorEastAsia" w:cstheme="minorEastAsia"/>
                <w:color w:val="000000" w:themeColor="text1"/>
                <w:kern w:val="0"/>
                <w:sz w:val="21"/>
                <w:szCs w:val="21"/>
              </w:rPr>
            </w:pPr>
            <w:r>
              <w:rPr>
                <w:rFonts w:hint="eastAsia" w:asciiTheme="minorEastAsia" w:hAnsiTheme="minorEastAsia" w:eastAsiaTheme="minorEastAsia" w:cstheme="minorEastAsia"/>
                <w:color w:val="000000" w:themeColor="text1"/>
                <w:kern w:val="0"/>
                <w:sz w:val="21"/>
                <w:szCs w:val="21"/>
              </w:rPr>
              <w:t>所提供产品必须为中国大陆境内生产</w:t>
            </w:r>
          </w:p>
        </w:tc>
      </w:tr>
    </w:tbl>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2" w:name="_Toc24189"/>
      <w:r>
        <w:rPr>
          <w:rFonts w:hint="eastAsia" w:asciiTheme="minorEastAsia" w:hAnsiTheme="minorEastAsia" w:eastAsiaTheme="minorEastAsia" w:cstheme="minorEastAsia"/>
          <w:color w:val="000000" w:themeColor="text1"/>
          <w:sz w:val="24"/>
          <w:szCs w:val="24"/>
        </w:rPr>
        <w:t>二、资金来源</w:t>
      </w:r>
      <w:bookmarkEnd w:id="9"/>
      <w:bookmarkEnd w:id="12"/>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财政预算资金。</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3" w:name="_Toc342913390"/>
      <w:bookmarkStart w:id="14" w:name="_Toc487204773"/>
      <w:bookmarkStart w:id="15" w:name="_Toc8125"/>
      <w:r>
        <w:rPr>
          <w:rFonts w:hint="eastAsia" w:asciiTheme="minorEastAsia" w:hAnsiTheme="minorEastAsia" w:eastAsiaTheme="minorEastAsia" w:cstheme="minorEastAsia"/>
          <w:color w:val="000000" w:themeColor="text1"/>
          <w:sz w:val="24"/>
          <w:szCs w:val="24"/>
        </w:rPr>
        <w:t>三、</w:t>
      </w:r>
      <w:bookmarkEnd w:id="13"/>
      <w:bookmarkEnd w:id="14"/>
      <w:r>
        <w:rPr>
          <w:rFonts w:hint="eastAsia" w:asciiTheme="minorEastAsia" w:hAnsiTheme="minorEastAsia" w:eastAsiaTheme="minorEastAsia" w:cstheme="minorEastAsia"/>
          <w:color w:val="000000" w:themeColor="text1"/>
          <w:sz w:val="24"/>
          <w:szCs w:val="24"/>
        </w:rPr>
        <w:t>供应商资格要求</w:t>
      </w:r>
      <w:bookmarkEnd w:id="15"/>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询价供应商是指向采购人提供货物、工程或者服务的法人、其他组织或者自然人。以下简称供应商。合格的供应商应首先符合政府采购法第二十二条规定的基本条件，同时符合根据该项目特殊要求设置的特定资格条件。</w:t>
      </w:r>
    </w:p>
    <w:p>
      <w:pPr>
        <w:pStyle w:val="71"/>
        <w:tabs>
          <w:tab w:val="left" w:pos="7072"/>
        </w:tabs>
        <w:spacing w:line="400" w:lineRule="exact"/>
        <w:ind w:firstLine="480" w:firstLineChars="200"/>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rPr>
        <w:t>（一）一般资格条件</w:t>
      </w:r>
      <w:r>
        <w:rPr>
          <w:rFonts w:hint="eastAsia" w:asciiTheme="minorEastAsia" w:hAnsiTheme="minorEastAsia" w:eastAsiaTheme="minorEastAsia" w:cstheme="minorEastAsia"/>
          <w:color w:val="000000" w:themeColor="text1"/>
          <w:sz w:val="24"/>
          <w:szCs w:val="24"/>
          <w:lang w:eastAsia="zh-CN"/>
        </w:rPr>
        <w:tab/>
      </w:r>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1、具有独立承担民事责任的能力；</w:t>
      </w:r>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2、具有良好的商业信誉和健全的财务会计制度；</w:t>
      </w:r>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3、具有履行合同所必需的设备和专业技术能力；</w:t>
      </w:r>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4、有依法缴纳税收和社会保障资金的良好记录；</w:t>
      </w:r>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5、参加政府采购活动前三年内，在经营活动中没有重大违法记录；</w:t>
      </w:r>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6、法律、行政法规规定的其他条件。</w:t>
      </w:r>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注：需提供证明材料详见</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文件第六篇。</w:t>
      </w:r>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lang w:val="en-US" w:eastAsia="zh-CN"/>
        </w:rPr>
      </w:pPr>
      <w:r>
        <w:rPr>
          <w:rFonts w:hint="eastAsia" w:asciiTheme="minorEastAsia" w:hAnsiTheme="minorEastAsia" w:eastAsiaTheme="minorEastAsia" w:cstheme="minorEastAsia"/>
          <w:color w:val="000000" w:themeColor="text1"/>
          <w:sz w:val="24"/>
          <w:szCs w:val="24"/>
          <w:lang w:val="en-US" w:eastAsia="zh-CN"/>
        </w:rPr>
        <w:t>（二）特定资格条件</w:t>
      </w:r>
    </w:p>
    <w:p>
      <w:pPr>
        <w:spacing w:line="400" w:lineRule="exact"/>
        <w:ind w:firstLine="480" w:firstLineChars="200"/>
        <w:rPr>
          <w:rFonts w:hint="eastAsia" w:asciiTheme="minorEastAsia" w:hAnsiTheme="minorEastAsia" w:eastAsiaTheme="minorEastAsia" w:cstheme="minorEastAsia"/>
          <w:color w:val="000000" w:themeColor="text1"/>
          <w:kern w:val="2"/>
          <w:sz w:val="24"/>
          <w:szCs w:val="24"/>
          <w:lang w:val="en-US" w:eastAsia="zh-CN" w:bidi="ar-SA"/>
        </w:rPr>
      </w:pPr>
      <w:r>
        <w:rPr>
          <w:rFonts w:hint="eastAsia" w:asciiTheme="minorEastAsia" w:hAnsiTheme="minorEastAsia" w:eastAsiaTheme="minorEastAsia" w:cstheme="minorEastAsia"/>
          <w:color w:val="000000" w:themeColor="text1"/>
          <w:kern w:val="2"/>
          <w:sz w:val="24"/>
          <w:szCs w:val="24"/>
          <w:lang w:val="en-US" w:eastAsia="zh-CN" w:bidi="ar-SA"/>
        </w:rPr>
        <w:t>无。</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6" w:name="_Toc487204774"/>
      <w:bookmarkStart w:id="17" w:name="_Toc2614"/>
      <w:r>
        <w:rPr>
          <w:rFonts w:hint="eastAsia" w:asciiTheme="minorEastAsia" w:hAnsiTheme="minorEastAsia" w:eastAsiaTheme="minorEastAsia" w:cstheme="minorEastAsia"/>
          <w:color w:val="000000" w:themeColor="text1"/>
          <w:sz w:val="24"/>
          <w:szCs w:val="24"/>
        </w:rPr>
        <w:t>四、询价有关说明</w:t>
      </w:r>
      <w:bookmarkEnd w:id="10"/>
      <w:bookmarkEnd w:id="16"/>
      <w:bookmarkEnd w:id="17"/>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bookmarkStart w:id="18" w:name="_Toc373860294"/>
      <w:bookmarkStart w:id="19" w:name="_Toc487204775"/>
      <w:r>
        <w:rPr>
          <w:rFonts w:hint="eastAsia" w:asciiTheme="minorEastAsia" w:hAnsiTheme="minorEastAsia" w:eastAsiaTheme="minorEastAsia" w:cstheme="minorEastAsia"/>
          <w:color w:val="000000" w:themeColor="text1"/>
          <w:sz w:val="24"/>
          <w:szCs w:val="24"/>
        </w:rPr>
        <w:t>（一）</w:t>
      </w:r>
      <w:bookmarkStart w:id="20" w:name="字"/>
      <w:r>
        <w:rPr>
          <w:rFonts w:hint="eastAsia" w:asciiTheme="minorEastAsia" w:hAnsiTheme="minorEastAsia" w:eastAsiaTheme="minorEastAsia" w:cstheme="minorEastAsia"/>
          <w:color w:val="000000" w:themeColor="text1"/>
          <w:sz w:val="24"/>
          <w:szCs w:val="24"/>
        </w:rPr>
        <w:t>根据《重庆市财政局关于印发〈重庆市政府采购供应商注册及诚信管理暂行办法〉的通知》（渝财采购</w:t>
      </w:r>
      <w:bookmarkEnd w:id="20"/>
      <w:r>
        <w:rPr>
          <w:rFonts w:hint="eastAsia" w:asciiTheme="minorEastAsia" w:hAnsiTheme="minorEastAsia" w:eastAsiaTheme="minorEastAsia" w:cstheme="minorEastAsia"/>
          <w:color w:val="000000" w:themeColor="text1"/>
          <w:sz w:val="24"/>
          <w:szCs w:val="24"/>
        </w:rPr>
        <w:t>〔</w:t>
      </w:r>
      <w:bookmarkStart w:id="21" w:name="年"/>
      <w:r>
        <w:rPr>
          <w:rFonts w:hint="eastAsia" w:asciiTheme="minorEastAsia" w:hAnsiTheme="minorEastAsia" w:eastAsiaTheme="minorEastAsia" w:cstheme="minorEastAsia"/>
          <w:color w:val="000000" w:themeColor="text1"/>
          <w:sz w:val="24"/>
          <w:szCs w:val="24"/>
        </w:rPr>
        <w:t>2015</w:t>
      </w:r>
      <w:bookmarkEnd w:id="21"/>
      <w:r>
        <w:rPr>
          <w:rFonts w:hint="eastAsia" w:asciiTheme="minorEastAsia" w:hAnsiTheme="minorEastAsia" w:eastAsiaTheme="minorEastAsia" w:cstheme="minorEastAsia"/>
          <w:color w:val="000000" w:themeColor="text1"/>
          <w:sz w:val="24"/>
          <w:szCs w:val="24"/>
        </w:rPr>
        <w:t>〕</w:t>
      </w:r>
      <w:bookmarkStart w:id="22" w:name="号"/>
      <w:r>
        <w:rPr>
          <w:rFonts w:hint="eastAsia" w:asciiTheme="minorEastAsia" w:hAnsiTheme="minorEastAsia" w:eastAsiaTheme="minorEastAsia" w:cstheme="minorEastAsia"/>
          <w:color w:val="000000" w:themeColor="text1"/>
          <w:sz w:val="24"/>
          <w:szCs w:val="24"/>
        </w:rPr>
        <w:t>45</w:t>
      </w:r>
      <w:bookmarkEnd w:id="22"/>
      <w:r>
        <w:rPr>
          <w:rFonts w:hint="eastAsia" w:asciiTheme="minorEastAsia" w:hAnsiTheme="minorEastAsia" w:eastAsiaTheme="minorEastAsia" w:cstheme="minorEastAsia"/>
          <w:color w:val="000000" w:themeColor="text1"/>
          <w:sz w:val="24"/>
          <w:szCs w:val="24"/>
        </w:rPr>
        <w:t>号）规定，供应商应按要求进行注册，通过重庆市政府采购网（www.ccgp-chongqing.gov.cn），登记加入“重庆市政府采购供应商库”。</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（二）凡有意参加询价的供应商，请于公告发布之日(2019年</w:t>
      </w:r>
      <w:r>
        <w:rPr>
          <w:rFonts w:hint="eastAsia" w:asciiTheme="minorEastAsia" w:hAnsiTheme="minorEastAsia" w:eastAsiaTheme="minorEastAsia" w:cstheme="minorEastAsia"/>
          <w:color w:val="000000" w:themeColor="text1"/>
          <w:sz w:val="24"/>
          <w:szCs w:val="24"/>
          <w:lang w:val="en-US" w:eastAsia="zh-CN"/>
        </w:rPr>
        <w:t>11</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18</w:t>
      </w:r>
      <w:r>
        <w:rPr>
          <w:rFonts w:hint="eastAsia" w:asciiTheme="minorEastAsia" w:hAnsiTheme="minorEastAsia" w:eastAsiaTheme="minorEastAsia" w:cstheme="minorEastAsia"/>
          <w:color w:val="000000" w:themeColor="text1"/>
          <w:sz w:val="24"/>
          <w:szCs w:val="24"/>
        </w:rPr>
        <w:t>日)起至报名截止时间之前，在重庆市政府采购网上下载本项目询价文件以及图纸、补遗等询价前公布的所有项目资料，无论供应商下载与否，均视为已知晓所有询价实质性要求内容。</w:t>
      </w:r>
    </w:p>
    <w:p>
      <w:pPr>
        <w:spacing w:line="400" w:lineRule="exact"/>
        <w:ind w:firstLine="480" w:firstLineChars="200"/>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 w:val="24"/>
          <w:szCs w:val="24"/>
        </w:rPr>
        <w:t>（三）询价公告期限：自采购公告发布之日（2019年</w:t>
      </w:r>
      <w:r>
        <w:rPr>
          <w:rFonts w:hint="eastAsia" w:asciiTheme="minorEastAsia" w:hAnsiTheme="minorEastAsia" w:eastAsiaTheme="minorEastAsia" w:cstheme="minorEastAsia"/>
          <w:color w:val="000000" w:themeColor="text1"/>
          <w:sz w:val="24"/>
          <w:szCs w:val="24"/>
          <w:lang w:val="en-US" w:eastAsia="zh-CN"/>
        </w:rPr>
        <w:t>11</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18</w:t>
      </w:r>
      <w:r>
        <w:rPr>
          <w:rFonts w:hint="eastAsia" w:asciiTheme="minorEastAsia" w:hAnsiTheme="minorEastAsia" w:eastAsiaTheme="minorEastAsia" w:cstheme="minorEastAsia"/>
          <w:color w:val="000000" w:themeColor="text1"/>
          <w:sz w:val="24"/>
          <w:szCs w:val="24"/>
        </w:rPr>
        <w:t>日）起三个工作日。</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四</w:t>
      </w:r>
      <w:r>
        <w:rPr>
          <w:rFonts w:hint="eastAsia" w:asciiTheme="minorEastAsia" w:hAnsiTheme="minorEastAsia" w:eastAsiaTheme="minorEastAsia" w:cstheme="minorEastAsia"/>
          <w:color w:val="000000" w:themeColor="text1"/>
          <w:sz w:val="24"/>
          <w:szCs w:val="24"/>
        </w:rPr>
        <w:t>）询价文件售价：300元/分包（售后不退），各供应商需提前向采购代理机构缴纳。若供应商为微型企业且所投标产品为微型企业生产的，评标时由评标委员会核实认定后，可在本项目采购结果公告后持招标文件购买费发票原件至采购代理机构办理退还手续</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供应商须提供中小微企业声明函</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微型企业的认定标准详见工信部联企业〔2011〕300号</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供应商自身若为微型企业，但投标时提供大型或中型企业制造的货物，应视同为大型或中型企业，不属于微型企业优惠范围。供应商在报名时，应充分考虑是否属上述情况，若属上述情况但在报名时又承诺为微型企业的，将视为未按照</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文件的规定报名和购买</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文件，其报名和投标响应无效。</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五</w:t>
      </w:r>
      <w:r>
        <w:rPr>
          <w:rFonts w:hint="eastAsia" w:asciiTheme="minorEastAsia" w:hAnsiTheme="minorEastAsia" w:eastAsiaTheme="minorEastAsia" w:cstheme="minorEastAsia"/>
          <w:color w:val="000000" w:themeColor="text1"/>
          <w:sz w:val="24"/>
          <w:szCs w:val="24"/>
        </w:rPr>
        <w:t>）发售询价文件地点：重庆市九龙坡区渝州路126号13-5（市委党校科技大楼13楼）重庆众合招标代理有限公司。</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六</w:t>
      </w:r>
      <w:r>
        <w:rPr>
          <w:rFonts w:hint="eastAsia" w:asciiTheme="minorEastAsia" w:hAnsiTheme="minorEastAsia" w:eastAsiaTheme="minorEastAsia" w:cstheme="minorEastAsia"/>
          <w:color w:val="000000" w:themeColor="text1"/>
          <w:sz w:val="24"/>
          <w:szCs w:val="24"/>
        </w:rPr>
        <w:t>）发售询价文件时间：2019年</w:t>
      </w:r>
      <w:r>
        <w:rPr>
          <w:rFonts w:hint="eastAsia" w:asciiTheme="minorEastAsia" w:hAnsiTheme="minorEastAsia" w:eastAsiaTheme="minorEastAsia" w:cstheme="minorEastAsia"/>
          <w:color w:val="000000" w:themeColor="text1"/>
          <w:sz w:val="24"/>
          <w:szCs w:val="24"/>
          <w:lang w:val="en-US" w:eastAsia="zh-CN"/>
        </w:rPr>
        <w:t>11</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18</w:t>
      </w:r>
      <w:r>
        <w:rPr>
          <w:rFonts w:hint="eastAsia" w:asciiTheme="minorEastAsia" w:hAnsiTheme="minorEastAsia" w:eastAsiaTheme="minorEastAsia" w:cstheme="minorEastAsia"/>
          <w:color w:val="000000" w:themeColor="text1"/>
          <w:sz w:val="24"/>
          <w:szCs w:val="24"/>
        </w:rPr>
        <w:t>日09时</w:t>
      </w:r>
      <w:r>
        <w:rPr>
          <w:rFonts w:hint="eastAsia" w:asciiTheme="minorEastAsia" w:hAnsiTheme="minorEastAsia" w:eastAsiaTheme="minorEastAsia" w:cstheme="minorEastAsia"/>
          <w:color w:val="000000" w:themeColor="text1"/>
          <w:sz w:val="24"/>
          <w:szCs w:val="24"/>
          <w:lang w:val="en-US" w:eastAsia="zh-CN"/>
        </w:rPr>
        <w:t>00</w:t>
      </w:r>
      <w:r>
        <w:rPr>
          <w:rFonts w:hint="eastAsia" w:asciiTheme="minorEastAsia" w:hAnsiTheme="minorEastAsia" w:eastAsiaTheme="minorEastAsia" w:cstheme="minorEastAsia"/>
          <w:color w:val="000000" w:themeColor="text1"/>
          <w:sz w:val="24"/>
          <w:szCs w:val="24"/>
        </w:rPr>
        <w:t>分-2019年</w:t>
      </w:r>
      <w:r>
        <w:rPr>
          <w:rFonts w:hint="eastAsia" w:asciiTheme="minorEastAsia" w:hAnsiTheme="minorEastAsia" w:eastAsiaTheme="minorEastAsia" w:cstheme="minorEastAsia"/>
          <w:color w:val="000000" w:themeColor="text1"/>
          <w:sz w:val="24"/>
          <w:szCs w:val="24"/>
          <w:lang w:val="en-US" w:eastAsia="zh-CN"/>
        </w:rPr>
        <w:t>11</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21</w:t>
      </w:r>
      <w:r>
        <w:rPr>
          <w:rFonts w:hint="eastAsia" w:asciiTheme="minorEastAsia" w:hAnsiTheme="minorEastAsia" w:eastAsiaTheme="minorEastAsia" w:cstheme="minorEastAsia"/>
          <w:color w:val="000000" w:themeColor="text1"/>
          <w:sz w:val="24"/>
          <w:szCs w:val="24"/>
        </w:rPr>
        <w:t>日17时</w:t>
      </w:r>
      <w:r>
        <w:rPr>
          <w:rFonts w:hint="eastAsia" w:asciiTheme="minorEastAsia" w:hAnsiTheme="minorEastAsia" w:eastAsiaTheme="minorEastAsia" w:cstheme="minorEastAsia"/>
          <w:color w:val="000000" w:themeColor="text1"/>
          <w:sz w:val="24"/>
          <w:szCs w:val="24"/>
          <w:lang w:val="en-US" w:eastAsia="zh-CN"/>
        </w:rPr>
        <w:t>00</w:t>
      </w:r>
      <w:r>
        <w:rPr>
          <w:rFonts w:hint="eastAsia" w:asciiTheme="minorEastAsia" w:hAnsiTheme="minorEastAsia" w:eastAsiaTheme="minorEastAsia" w:cstheme="minorEastAsia"/>
          <w:color w:val="000000" w:themeColor="text1"/>
          <w:sz w:val="24"/>
          <w:szCs w:val="24"/>
        </w:rPr>
        <w:t>分（法定公休日、法定节假日除外）。在发售询价文件地点递交《重庆众合招标代理有限公司采购文件发售登记表》（加盖供应商公章）</w:t>
      </w:r>
      <w:r>
        <w:rPr>
          <w:rFonts w:hint="eastAsia" w:asciiTheme="minorEastAsia" w:hAnsiTheme="minorEastAsia" w:eastAsiaTheme="minorEastAsia" w:cstheme="minorEastAsia"/>
          <w:bCs/>
          <w:color w:val="000000" w:themeColor="text1"/>
          <w:sz w:val="24"/>
          <w:szCs w:val="24"/>
        </w:rPr>
        <w:t>后，</w:t>
      </w:r>
      <w:r>
        <w:rPr>
          <w:rFonts w:hint="eastAsia" w:asciiTheme="minorEastAsia" w:hAnsiTheme="minorEastAsia" w:eastAsiaTheme="minorEastAsia" w:cstheme="minorEastAsia"/>
          <w:color w:val="000000" w:themeColor="text1"/>
          <w:sz w:val="24"/>
          <w:szCs w:val="24"/>
        </w:rPr>
        <w:t>其报名才被接收。</w:t>
      </w:r>
      <w:r>
        <w:rPr>
          <w:rFonts w:hint="eastAsia" w:asciiTheme="minorEastAsia" w:hAnsiTheme="minorEastAsia" w:eastAsiaTheme="minorEastAsia" w:cstheme="minorEastAsia"/>
          <w:bCs/>
          <w:color w:val="000000" w:themeColor="text1"/>
          <w:sz w:val="24"/>
          <w:szCs w:val="24"/>
        </w:rPr>
        <w:t>供应商应当在询价通知书规定的响应文件递交截止时间前向采购代理机构交纳询价通知书购买费用，购买单位必须与供应商名称一致，否则响应文件将被拒收。</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七</w:t>
      </w:r>
      <w:r>
        <w:rPr>
          <w:rFonts w:hint="eastAsia" w:asciiTheme="minorEastAsia" w:hAnsiTheme="minorEastAsia" w:eastAsiaTheme="minorEastAsia" w:cstheme="minorEastAsia"/>
          <w:color w:val="000000" w:themeColor="text1"/>
          <w:sz w:val="24"/>
          <w:szCs w:val="24"/>
        </w:rPr>
        <w:t>）供应商须满足以下三种要件，其投标才被接受：</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1、按时递交了询价响应文件；</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2、按时报名签到；</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w:t>
      </w:r>
      <w:bookmarkStart w:id="23" w:name="OLE_LINK10"/>
      <w:bookmarkStart w:id="24" w:name="OLE_LINK8"/>
      <w:bookmarkStart w:id="25" w:name="OLE_LINK5"/>
      <w:r>
        <w:rPr>
          <w:rFonts w:hint="eastAsia" w:asciiTheme="minorEastAsia" w:hAnsiTheme="minorEastAsia" w:eastAsiaTheme="minorEastAsia" w:cstheme="minorEastAsia"/>
          <w:color w:val="000000" w:themeColor="text1"/>
          <w:sz w:val="24"/>
          <w:szCs w:val="24"/>
        </w:rPr>
        <w:t>按时足额缴纳了</w:t>
      </w:r>
      <w:bookmarkEnd w:id="23"/>
      <w:r>
        <w:rPr>
          <w:rFonts w:hint="eastAsia" w:asciiTheme="minorEastAsia" w:hAnsiTheme="minorEastAsia" w:eastAsiaTheme="minorEastAsia" w:cstheme="minorEastAsia"/>
          <w:color w:val="000000" w:themeColor="text1"/>
          <w:sz w:val="24"/>
          <w:szCs w:val="24"/>
        </w:rPr>
        <w:t>竞标保证金。</w:t>
      </w:r>
      <w:bookmarkEnd w:id="24"/>
      <w:bookmarkEnd w:id="25"/>
    </w:p>
    <w:p>
      <w:pPr>
        <w:spacing w:line="400" w:lineRule="exact"/>
        <w:ind w:firstLine="480" w:firstLineChars="200"/>
        <w:rPr>
          <w:rFonts w:hint="default" w:asciiTheme="minorEastAsia" w:hAnsiTheme="minorEastAsia" w:eastAsiaTheme="minorEastAsia" w:cstheme="minorEastAsia"/>
          <w:color w:val="000000" w:themeColor="text1"/>
          <w:sz w:val="24"/>
          <w:szCs w:val="24"/>
          <w:lang w:val="en-US" w:eastAsia="zh-CN"/>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八</w:t>
      </w:r>
      <w:r>
        <w:rPr>
          <w:rFonts w:hint="eastAsia" w:asciiTheme="minorEastAsia" w:hAnsiTheme="minorEastAsia" w:eastAsiaTheme="minorEastAsia" w:cstheme="minorEastAsia"/>
          <w:color w:val="000000" w:themeColor="text1"/>
          <w:sz w:val="24"/>
          <w:szCs w:val="24"/>
        </w:rPr>
        <w:t>）询价响应文件递交开始时间：2019年</w:t>
      </w:r>
      <w:r>
        <w:rPr>
          <w:rFonts w:hint="eastAsia" w:asciiTheme="minorEastAsia" w:hAnsiTheme="minorEastAsia" w:eastAsiaTheme="minorEastAsia" w:cstheme="minorEastAsia"/>
          <w:color w:val="000000" w:themeColor="text1"/>
          <w:sz w:val="24"/>
          <w:szCs w:val="24"/>
          <w:lang w:val="en-US" w:eastAsia="zh-CN"/>
        </w:rPr>
        <w:t>11</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22</w:t>
      </w:r>
      <w:r>
        <w:rPr>
          <w:rFonts w:hint="eastAsia" w:asciiTheme="minorEastAsia" w:hAnsiTheme="minorEastAsia" w:eastAsiaTheme="minorEastAsia" w:cstheme="minorEastAsia"/>
          <w:color w:val="000000" w:themeColor="text1"/>
          <w:sz w:val="24"/>
          <w:szCs w:val="24"/>
        </w:rPr>
        <w:t>日09:</w:t>
      </w:r>
      <w:r>
        <w:rPr>
          <w:rFonts w:hint="eastAsia" w:asciiTheme="minorEastAsia" w:hAnsiTheme="minorEastAsia" w:eastAsiaTheme="minorEastAsia" w:cstheme="minorEastAsia"/>
          <w:color w:val="000000" w:themeColor="text1"/>
          <w:sz w:val="24"/>
          <w:szCs w:val="24"/>
          <w:lang w:val="en-US" w:eastAsia="zh-CN"/>
        </w:rPr>
        <w:t>30</w:t>
      </w:r>
    </w:p>
    <w:p>
      <w:pPr>
        <w:spacing w:line="400" w:lineRule="exact"/>
        <w:ind w:firstLine="480" w:firstLineChars="200"/>
        <w:rPr>
          <w:rFonts w:hint="default" w:asciiTheme="minorEastAsia" w:hAnsiTheme="minorEastAsia" w:eastAsiaTheme="minorEastAsia" w:cstheme="minorEastAsia"/>
          <w:color w:val="000000" w:themeColor="text1"/>
          <w:sz w:val="24"/>
          <w:szCs w:val="24"/>
          <w:lang w:val="en-US" w:eastAsia="zh-CN"/>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九</w:t>
      </w:r>
      <w:r>
        <w:rPr>
          <w:rFonts w:hint="eastAsia" w:asciiTheme="minorEastAsia" w:hAnsiTheme="minorEastAsia" w:eastAsiaTheme="minorEastAsia" w:cstheme="minorEastAsia"/>
          <w:color w:val="000000" w:themeColor="text1"/>
          <w:sz w:val="24"/>
          <w:szCs w:val="24"/>
        </w:rPr>
        <w:t>）询价响应文件递交结束时间：2019年</w:t>
      </w:r>
      <w:r>
        <w:rPr>
          <w:rFonts w:hint="eastAsia" w:asciiTheme="minorEastAsia" w:hAnsiTheme="minorEastAsia" w:eastAsiaTheme="minorEastAsia" w:cstheme="minorEastAsia"/>
          <w:color w:val="000000" w:themeColor="text1"/>
          <w:sz w:val="24"/>
          <w:szCs w:val="24"/>
          <w:lang w:val="en-US" w:eastAsia="zh-CN"/>
        </w:rPr>
        <w:t>11</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22</w:t>
      </w:r>
      <w:r>
        <w:rPr>
          <w:rFonts w:hint="eastAsia" w:asciiTheme="minorEastAsia" w:hAnsiTheme="minorEastAsia" w:eastAsiaTheme="minorEastAsia" w:cstheme="minorEastAsia"/>
          <w:color w:val="000000" w:themeColor="text1"/>
          <w:sz w:val="24"/>
          <w:szCs w:val="24"/>
        </w:rPr>
        <w:t>日</w:t>
      </w:r>
      <w:r>
        <w:rPr>
          <w:rFonts w:hint="eastAsia" w:asciiTheme="minorEastAsia" w:hAnsiTheme="minorEastAsia" w:eastAsiaTheme="minorEastAsia" w:cstheme="minorEastAsia"/>
          <w:color w:val="000000" w:themeColor="text1"/>
          <w:sz w:val="24"/>
          <w:szCs w:val="24"/>
          <w:lang w:val="en-US" w:eastAsia="zh-CN"/>
        </w:rPr>
        <w:t>10</w:t>
      </w: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00</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十</w:t>
      </w:r>
      <w:r>
        <w:rPr>
          <w:rFonts w:hint="eastAsia" w:asciiTheme="minorEastAsia" w:hAnsiTheme="minorEastAsia" w:eastAsiaTheme="minorEastAsia" w:cstheme="minorEastAsia"/>
          <w:color w:val="000000" w:themeColor="text1"/>
          <w:sz w:val="24"/>
          <w:szCs w:val="24"/>
        </w:rPr>
        <w:t>）询价响应文件递交地点：重庆市公共资源交易中心（地址：重庆市渝北区青枫北路6号渝兴广场B9栋7楼，具体详见交易中心大厅显示屏）</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（十</w:t>
      </w:r>
      <w:r>
        <w:rPr>
          <w:rFonts w:hint="eastAsia" w:asciiTheme="minorEastAsia" w:hAnsiTheme="minorEastAsia" w:eastAsiaTheme="minorEastAsia" w:cstheme="minorEastAsia"/>
          <w:color w:val="000000" w:themeColor="text1"/>
          <w:sz w:val="24"/>
          <w:szCs w:val="24"/>
          <w:lang w:val="en-US" w:eastAsia="zh-CN"/>
        </w:rPr>
        <w:t>一</w:t>
      </w:r>
      <w:r>
        <w:rPr>
          <w:rFonts w:hint="eastAsia" w:asciiTheme="minorEastAsia" w:hAnsiTheme="minorEastAsia" w:eastAsiaTheme="minorEastAsia" w:cstheme="minorEastAsia"/>
          <w:color w:val="000000" w:themeColor="text1"/>
          <w:sz w:val="24"/>
          <w:szCs w:val="24"/>
        </w:rPr>
        <w:t>）询价开始时间：2019年</w:t>
      </w:r>
      <w:r>
        <w:rPr>
          <w:rFonts w:hint="eastAsia" w:asciiTheme="minorEastAsia" w:hAnsiTheme="minorEastAsia" w:eastAsiaTheme="minorEastAsia" w:cstheme="minorEastAsia"/>
          <w:color w:val="000000" w:themeColor="text1"/>
          <w:sz w:val="24"/>
          <w:szCs w:val="24"/>
          <w:lang w:val="en-US" w:eastAsia="zh-CN"/>
        </w:rPr>
        <w:t>11</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22</w:t>
      </w:r>
      <w:r>
        <w:rPr>
          <w:rFonts w:hint="eastAsia" w:asciiTheme="minorEastAsia" w:hAnsiTheme="minorEastAsia" w:eastAsiaTheme="minorEastAsia" w:cstheme="minorEastAsia"/>
          <w:color w:val="000000" w:themeColor="text1"/>
          <w:sz w:val="24"/>
          <w:szCs w:val="24"/>
        </w:rPr>
        <w:t xml:space="preserve">日北京时间 </w:t>
      </w:r>
      <w:r>
        <w:rPr>
          <w:rFonts w:hint="eastAsia" w:asciiTheme="minorEastAsia" w:hAnsiTheme="minorEastAsia" w:eastAsiaTheme="minorEastAsia" w:cstheme="minorEastAsia"/>
          <w:color w:val="000000" w:themeColor="text1"/>
          <w:sz w:val="24"/>
          <w:szCs w:val="24"/>
          <w:lang w:val="en-US" w:eastAsia="zh-CN"/>
        </w:rPr>
        <w:t>10</w:t>
      </w:r>
      <w:r>
        <w:rPr>
          <w:rFonts w:hint="eastAsia" w:asciiTheme="minorEastAsia" w:hAnsiTheme="minorEastAsia" w:eastAsiaTheme="minorEastAsia" w:cstheme="minorEastAsia"/>
          <w:color w:val="000000" w:themeColor="text1"/>
          <w:sz w:val="24"/>
          <w:szCs w:val="24"/>
        </w:rPr>
        <w:t>时</w:t>
      </w:r>
      <w:r>
        <w:rPr>
          <w:rFonts w:hint="eastAsia" w:asciiTheme="minorEastAsia" w:hAnsiTheme="minorEastAsia" w:eastAsiaTheme="minorEastAsia" w:cstheme="minorEastAsia"/>
          <w:color w:val="000000" w:themeColor="text1"/>
          <w:sz w:val="24"/>
          <w:szCs w:val="24"/>
          <w:lang w:val="en-US" w:eastAsia="zh-CN"/>
        </w:rPr>
        <w:t>00</w:t>
      </w:r>
      <w:r>
        <w:rPr>
          <w:rFonts w:hint="eastAsia" w:asciiTheme="minorEastAsia" w:hAnsiTheme="minorEastAsia" w:eastAsiaTheme="minorEastAsia" w:cstheme="minorEastAsia"/>
          <w:color w:val="000000" w:themeColor="text1"/>
          <w:sz w:val="24"/>
          <w:szCs w:val="24"/>
        </w:rPr>
        <w:t xml:space="preserve">分 </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（十</w:t>
      </w:r>
      <w:r>
        <w:rPr>
          <w:rFonts w:hint="eastAsia" w:asciiTheme="minorEastAsia" w:hAnsiTheme="minorEastAsia" w:eastAsiaTheme="minorEastAsia" w:cstheme="minorEastAsia"/>
          <w:color w:val="000000" w:themeColor="text1"/>
          <w:sz w:val="24"/>
          <w:szCs w:val="24"/>
          <w:lang w:val="en-US" w:eastAsia="zh-CN"/>
        </w:rPr>
        <w:t>二</w:t>
      </w:r>
      <w:r>
        <w:rPr>
          <w:rFonts w:hint="eastAsia" w:asciiTheme="minorEastAsia" w:hAnsiTheme="minorEastAsia" w:eastAsiaTheme="minorEastAsia" w:cstheme="minorEastAsia"/>
          <w:color w:val="000000" w:themeColor="text1"/>
          <w:sz w:val="24"/>
          <w:szCs w:val="24"/>
        </w:rPr>
        <w:t>）询价地点：重庆市公共资源交易中心（地址：重庆市渝北区青枫北路6号渝兴广场B9栋7楼，具体详见交易中心大厅显示屏）</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26" w:name="_Toc14927"/>
      <w:r>
        <w:rPr>
          <w:rFonts w:hint="eastAsia" w:asciiTheme="minorEastAsia" w:hAnsiTheme="minorEastAsia" w:eastAsiaTheme="minorEastAsia" w:cstheme="minorEastAsia"/>
          <w:color w:val="000000" w:themeColor="text1"/>
          <w:sz w:val="24"/>
          <w:szCs w:val="24"/>
        </w:rPr>
        <w:t>五、竞标保证金</w:t>
      </w:r>
      <w:bookmarkEnd w:id="18"/>
      <w:bookmarkEnd w:id="19"/>
      <w:bookmarkEnd w:id="26"/>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（一）缴纳竞标保证金方式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供应商应当按照《重庆市政府采购集中交易监督管理暂行规定》、重庆市公共资源交易中心《关于投标单位银行基本账户登记的说明》和《重庆市公共资源交易中心关于开展公共资源交易市场主体信息登记工作的公告》的要求进行基本账户登记工作。</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重庆市公共资源交易中心基本账户登记工作咨询电话：023-63625633</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查询网站：重庆市公共资源交易网（https://www.cqggzy.com/）</w:t>
      </w:r>
    </w:p>
    <w:p>
      <w:pPr>
        <w:snapToGrid w:val="0"/>
        <w:spacing w:line="400" w:lineRule="exact"/>
        <w:ind w:firstLine="480" w:firstLineChars="2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color w:val="000000" w:themeColor="text1"/>
          <w:sz w:val="24"/>
          <w:szCs w:val="24"/>
          <w:lang w:val="en-US" w:eastAsia="zh-CN"/>
        </w:rPr>
        <w:t>2、</w:t>
      </w:r>
      <w:r>
        <w:rPr>
          <w:rFonts w:hint="eastAsia" w:asciiTheme="minorEastAsia" w:hAnsiTheme="minorEastAsia" w:eastAsiaTheme="minorEastAsia" w:cstheme="minorEastAsia"/>
          <w:color w:val="000000" w:themeColor="text1"/>
          <w:sz w:val="24"/>
          <w:szCs w:val="24"/>
        </w:rPr>
        <w:t>供应商须按本项目规定的保证金金额进行缴纳（保证金金额详见本篇，一、询价内容），由供应商从其基本账户将保证金汇至以下任一账户，</w:t>
      </w:r>
      <w:r>
        <w:rPr>
          <w:rFonts w:hint="eastAsia" w:asciiTheme="minorEastAsia" w:hAnsiTheme="minorEastAsia" w:eastAsiaTheme="minorEastAsia" w:cstheme="minorEastAsia"/>
          <w:bCs/>
          <w:color w:val="000000" w:themeColor="text1"/>
          <w:sz w:val="24"/>
          <w:szCs w:val="24"/>
        </w:rPr>
        <w:t>保证金的到账截止时间为询价当天上午09:00。</w:t>
      </w:r>
    </w:p>
    <w:p>
      <w:pPr>
        <w:snapToGrid w:val="0"/>
        <w:spacing w:line="400" w:lineRule="exact"/>
        <w:ind w:firstLine="480" w:firstLineChars="200"/>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color w:val="000000" w:themeColor="text1"/>
          <w:sz w:val="24"/>
          <w:szCs w:val="24"/>
        </w:rPr>
        <w:t>保证金账户：</w:t>
      </w:r>
    </w:p>
    <w:tbl>
      <w:tblPr>
        <w:tblStyle w:val="51"/>
        <w:tblW w:w="99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36"/>
        <w:gridCol w:w="1425"/>
        <w:gridCol w:w="1515"/>
        <w:gridCol w:w="5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1" w:hRule="exact"/>
        </w:trPr>
        <w:tc>
          <w:tcPr>
            <w:tcW w:w="9929" w:type="dxa"/>
            <w:gridSpan w:val="4"/>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b/>
                <w:bCs/>
                <w:color w:val="000000"/>
                <w:spacing w:val="-2"/>
                <w:sz w:val="28"/>
                <w:szCs w:val="28"/>
              </w:rPr>
              <w:t>投标保证金递交账号一览表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 w:hRule="exact"/>
        </w:trPr>
        <w:tc>
          <w:tcPr>
            <w:tcW w:w="9929" w:type="dxa"/>
            <w:gridSpan w:val="4"/>
          </w:tcPr>
          <w:p>
            <w:pP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8" w:hRule="exact"/>
        </w:trPr>
        <w:tc>
          <w:tcPr>
            <w:tcW w:w="9929" w:type="dxa"/>
            <w:gridSpan w:val="4"/>
            <w:shd w:val="clear" w:color="auto" w:fill="FFFFFF"/>
            <w:vAlign w:val="center"/>
          </w:tcPr>
          <w:p>
            <w:pPr>
              <w:spacing w:line="232" w:lineRule="auto"/>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 xml:space="preserve">  户名: 重庆联合产权交易所集团股份有限公司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4" w:hRule="exact"/>
        </w:trPr>
        <w:tc>
          <w:tcPr>
            <w:tcW w:w="1336"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分包号</w:t>
            </w:r>
          </w:p>
        </w:tc>
        <w:tc>
          <w:tcPr>
            <w:tcW w:w="8593" w:type="dxa"/>
            <w:gridSpan w:val="3"/>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银行信息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3" w:hRule="exact"/>
        </w:trPr>
        <w:tc>
          <w:tcPr>
            <w:tcW w:w="1336" w:type="dxa"/>
            <w:vMerge w:val="restart"/>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01</w:t>
            </w:r>
          </w:p>
        </w:tc>
        <w:tc>
          <w:tcPr>
            <w:tcW w:w="1425" w:type="dxa"/>
            <w:vMerge w:val="restart"/>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账号 1</w:t>
            </w:r>
          </w:p>
        </w:tc>
        <w:tc>
          <w:tcPr>
            <w:tcW w:w="1515"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开户行</w:t>
            </w:r>
          </w:p>
        </w:tc>
        <w:tc>
          <w:tcPr>
            <w:tcW w:w="5653"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建设银行重庆中山路支行（行号：105653005006）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exact"/>
        </w:trPr>
        <w:tc>
          <w:tcPr>
            <w:tcW w:w="1336" w:type="dxa"/>
            <w:vMerge w:val="continue"/>
            <w:shd w:val="clear" w:color="auto" w:fill="FFFFFF"/>
            <w:vAlign w:val="center"/>
          </w:tcPr>
          <w:p>
            <w:pPr>
              <w:rPr>
                <w:rFonts w:hint="eastAsia" w:ascii="宋体" w:hAnsi="宋体" w:eastAsia="宋体" w:cs="宋体"/>
                <w:sz w:val="24"/>
                <w:szCs w:val="24"/>
              </w:rPr>
            </w:pPr>
          </w:p>
        </w:tc>
        <w:tc>
          <w:tcPr>
            <w:tcW w:w="1425" w:type="dxa"/>
            <w:vMerge w:val="continue"/>
            <w:shd w:val="clear" w:color="auto" w:fill="FFFFFF"/>
            <w:vAlign w:val="center"/>
          </w:tcPr>
          <w:p>
            <w:pPr>
              <w:rPr>
                <w:rFonts w:hint="eastAsia" w:ascii="宋体" w:hAnsi="宋体" w:eastAsia="宋体" w:cs="宋体"/>
                <w:sz w:val="24"/>
                <w:szCs w:val="24"/>
              </w:rPr>
            </w:pPr>
          </w:p>
        </w:tc>
        <w:tc>
          <w:tcPr>
            <w:tcW w:w="1515"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    号</w:t>
            </w:r>
          </w:p>
        </w:tc>
        <w:tc>
          <w:tcPr>
            <w:tcW w:w="5653"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50050100414100000286005077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3" w:hRule="exact"/>
        </w:trPr>
        <w:tc>
          <w:tcPr>
            <w:tcW w:w="1336" w:type="dxa"/>
            <w:vMerge w:val="continue"/>
            <w:shd w:val="clear" w:color="auto" w:fill="FFFFFF"/>
            <w:vAlign w:val="center"/>
          </w:tcPr>
          <w:p>
            <w:pPr>
              <w:rPr>
                <w:rFonts w:hint="eastAsia" w:ascii="宋体" w:hAnsi="宋体" w:eastAsia="宋体" w:cs="宋体"/>
                <w:sz w:val="24"/>
                <w:szCs w:val="24"/>
              </w:rPr>
            </w:pPr>
          </w:p>
        </w:tc>
        <w:tc>
          <w:tcPr>
            <w:tcW w:w="1425" w:type="dxa"/>
            <w:vMerge w:val="restart"/>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账号 2</w:t>
            </w:r>
          </w:p>
        </w:tc>
        <w:tc>
          <w:tcPr>
            <w:tcW w:w="1515"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开户行</w:t>
            </w:r>
          </w:p>
        </w:tc>
        <w:tc>
          <w:tcPr>
            <w:tcW w:w="5653"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工商银行重庆朝天门支行（行号：102653000013）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exact"/>
        </w:trPr>
        <w:tc>
          <w:tcPr>
            <w:tcW w:w="1336" w:type="dxa"/>
            <w:vMerge w:val="continue"/>
            <w:shd w:val="clear" w:color="auto" w:fill="FFFFFF"/>
            <w:vAlign w:val="center"/>
          </w:tcPr>
          <w:p>
            <w:pPr>
              <w:rPr>
                <w:rFonts w:hint="eastAsia" w:ascii="宋体" w:hAnsi="宋体" w:eastAsia="宋体" w:cs="宋体"/>
                <w:sz w:val="24"/>
                <w:szCs w:val="24"/>
              </w:rPr>
            </w:pPr>
          </w:p>
        </w:tc>
        <w:tc>
          <w:tcPr>
            <w:tcW w:w="1425" w:type="dxa"/>
            <w:vMerge w:val="continue"/>
            <w:shd w:val="clear" w:color="auto" w:fill="FFFFFF"/>
            <w:vAlign w:val="center"/>
          </w:tcPr>
          <w:p>
            <w:pPr>
              <w:rPr>
                <w:rFonts w:hint="eastAsia" w:ascii="宋体" w:hAnsi="宋体" w:eastAsia="宋体" w:cs="宋体"/>
                <w:sz w:val="24"/>
                <w:szCs w:val="24"/>
              </w:rPr>
            </w:pPr>
          </w:p>
        </w:tc>
        <w:tc>
          <w:tcPr>
            <w:tcW w:w="1515"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    号</w:t>
            </w:r>
          </w:p>
        </w:tc>
        <w:tc>
          <w:tcPr>
            <w:tcW w:w="5653"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9558853100006130425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8" w:hRule="exact"/>
        </w:trPr>
        <w:tc>
          <w:tcPr>
            <w:tcW w:w="1336" w:type="dxa"/>
            <w:vMerge w:val="continue"/>
            <w:shd w:val="clear" w:color="auto" w:fill="FFFFFF"/>
            <w:vAlign w:val="center"/>
          </w:tcPr>
          <w:p>
            <w:pPr>
              <w:rPr>
                <w:rFonts w:hint="eastAsia" w:ascii="宋体" w:hAnsi="宋体" w:eastAsia="宋体" w:cs="宋体"/>
                <w:sz w:val="24"/>
                <w:szCs w:val="24"/>
              </w:rPr>
            </w:pPr>
          </w:p>
        </w:tc>
        <w:tc>
          <w:tcPr>
            <w:tcW w:w="1425" w:type="dxa"/>
            <w:vMerge w:val="restart"/>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账号 3</w:t>
            </w:r>
          </w:p>
        </w:tc>
        <w:tc>
          <w:tcPr>
            <w:tcW w:w="1515"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开户行</w:t>
            </w:r>
          </w:p>
        </w:tc>
        <w:tc>
          <w:tcPr>
            <w:tcW w:w="5653"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招商银行上清寺支行（行号：308653018067）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exact"/>
        </w:trPr>
        <w:tc>
          <w:tcPr>
            <w:tcW w:w="1336" w:type="dxa"/>
            <w:vMerge w:val="continue"/>
            <w:shd w:val="clear" w:color="auto" w:fill="FFFFFF"/>
            <w:vAlign w:val="center"/>
          </w:tcPr>
          <w:p>
            <w:pPr>
              <w:rPr>
                <w:rFonts w:hint="eastAsia" w:ascii="宋体" w:hAnsi="宋体" w:eastAsia="宋体" w:cs="宋体"/>
                <w:sz w:val="24"/>
                <w:szCs w:val="24"/>
              </w:rPr>
            </w:pPr>
          </w:p>
        </w:tc>
        <w:tc>
          <w:tcPr>
            <w:tcW w:w="1425" w:type="dxa"/>
            <w:vMerge w:val="continue"/>
            <w:shd w:val="clear" w:color="auto" w:fill="FFFFFF"/>
            <w:vAlign w:val="center"/>
          </w:tcPr>
          <w:p>
            <w:pPr>
              <w:rPr>
                <w:rFonts w:hint="eastAsia" w:ascii="宋体" w:hAnsi="宋体" w:eastAsia="宋体" w:cs="宋体"/>
                <w:sz w:val="24"/>
                <w:szCs w:val="24"/>
              </w:rPr>
            </w:pPr>
          </w:p>
        </w:tc>
        <w:tc>
          <w:tcPr>
            <w:tcW w:w="1515"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    号</w:t>
            </w:r>
          </w:p>
        </w:tc>
        <w:tc>
          <w:tcPr>
            <w:tcW w:w="5653"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123904808710306005070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3" w:hRule="exact"/>
        </w:trPr>
        <w:tc>
          <w:tcPr>
            <w:tcW w:w="1336" w:type="dxa"/>
            <w:vMerge w:val="continue"/>
            <w:shd w:val="clear" w:color="auto" w:fill="FFFFFF"/>
            <w:vAlign w:val="center"/>
          </w:tcPr>
          <w:p>
            <w:pPr>
              <w:rPr>
                <w:rFonts w:hint="eastAsia" w:ascii="宋体" w:hAnsi="宋体" w:eastAsia="宋体" w:cs="宋体"/>
                <w:sz w:val="24"/>
                <w:szCs w:val="24"/>
              </w:rPr>
            </w:pPr>
          </w:p>
        </w:tc>
        <w:tc>
          <w:tcPr>
            <w:tcW w:w="1425" w:type="dxa"/>
            <w:vMerge w:val="restart"/>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账号 4</w:t>
            </w:r>
          </w:p>
        </w:tc>
        <w:tc>
          <w:tcPr>
            <w:tcW w:w="1515"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开户行</w:t>
            </w:r>
          </w:p>
        </w:tc>
        <w:tc>
          <w:tcPr>
            <w:tcW w:w="5653"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中国农业银行重庆自由贸易试验区分行（行号：103653026011）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exact"/>
        </w:trPr>
        <w:tc>
          <w:tcPr>
            <w:tcW w:w="1336" w:type="dxa"/>
            <w:vMerge w:val="continue"/>
            <w:shd w:val="clear" w:color="auto" w:fill="FFFFFF"/>
            <w:vAlign w:val="center"/>
          </w:tcPr>
          <w:p>
            <w:pPr>
              <w:rPr>
                <w:rFonts w:hint="eastAsia" w:ascii="宋体" w:hAnsi="宋体" w:eastAsia="宋体" w:cs="宋体"/>
                <w:sz w:val="24"/>
                <w:szCs w:val="24"/>
              </w:rPr>
            </w:pPr>
          </w:p>
        </w:tc>
        <w:tc>
          <w:tcPr>
            <w:tcW w:w="1425" w:type="dxa"/>
            <w:vMerge w:val="continue"/>
            <w:shd w:val="clear" w:color="auto" w:fill="FFFFFF"/>
            <w:vAlign w:val="center"/>
          </w:tcPr>
          <w:p>
            <w:pPr>
              <w:rPr>
                <w:rFonts w:hint="eastAsia" w:ascii="宋体" w:hAnsi="宋体" w:eastAsia="宋体" w:cs="宋体"/>
                <w:sz w:val="24"/>
                <w:szCs w:val="24"/>
              </w:rPr>
            </w:pPr>
          </w:p>
        </w:tc>
        <w:tc>
          <w:tcPr>
            <w:tcW w:w="1515"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    号</w:t>
            </w:r>
          </w:p>
        </w:tc>
        <w:tc>
          <w:tcPr>
            <w:tcW w:w="5653"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6228400477031547067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3" w:hRule="exact"/>
        </w:trPr>
        <w:tc>
          <w:tcPr>
            <w:tcW w:w="1336" w:type="dxa"/>
            <w:vMerge w:val="continue"/>
            <w:shd w:val="clear" w:color="auto" w:fill="FFFFFF"/>
            <w:vAlign w:val="center"/>
          </w:tcPr>
          <w:p>
            <w:pPr>
              <w:rPr>
                <w:rFonts w:hint="eastAsia" w:ascii="宋体" w:hAnsi="宋体" w:eastAsia="宋体" w:cs="宋体"/>
                <w:sz w:val="24"/>
                <w:szCs w:val="24"/>
              </w:rPr>
            </w:pPr>
          </w:p>
        </w:tc>
        <w:tc>
          <w:tcPr>
            <w:tcW w:w="1425" w:type="dxa"/>
            <w:vMerge w:val="restart"/>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账号 5</w:t>
            </w:r>
          </w:p>
        </w:tc>
        <w:tc>
          <w:tcPr>
            <w:tcW w:w="1515"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开户行</w:t>
            </w:r>
          </w:p>
        </w:tc>
        <w:tc>
          <w:tcPr>
            <w:tcW w:w="5653"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重庆银行七星岗支行（行号：313653000329）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exact"/>
        </w:trPr>
        <w:tc>
          <w:tcPr>
            <w:tcW w:w="1336" w:type="dxa"/>
            <w:vMerge w:val="continue"/>
            <w:shd w:val="clear" w:color="auto" w:fill="FFFFFF"/>
            <w:vAlign w:val="center"/>
          </w:tcPr>
          <w:p>
            <w:pPr>
              <w:rPr>
                <w:rFonts w:hint="eastAsia" w:ascii="宋体" w:hAnsi="宋体" w:eastAsia="宋体" w:cs="宋体"/>
                <w:sz w:val="24"/>
                <w:szCs w:val="24"/>
              </w:rPr>
            </w:pPr>
          </w:p>
        </w:tc>
        <w:tc>
          <w:tcPr>
            <w:tcW w:w="1425" w:type="dxa"/>
            <w:vMerge w:val="continue"/>
            <w:shd w:val="clear" w:color="auto" w:fill="FFFFFF"/>
            <w:vAlign w:val="center"/>
          </w:tcPr>
          <w:p>
            <w:pPr>
              <w:rPr>
                <w:rFonts w:hint="eastAsia" w:ascii="宋体" w:hAnsi="宋体" w:eastAsia="宋体" w:cs="宋体"/>
                <w:sz w:val="24"/>
                <w:szCs w:val="24"/>
              </w:rPr>
            </w:pPr>
          </w:p>
        </w:tc>
        <w:tc>
          <w:tcPr>
            <w:tcW w:w="1515"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    号</w:t>
            </w:r>
          </w:p>
        </w:tc>
        <w:tc>
          <w:tcPr>
            <w:tcW w:w="5653"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150101040015061105070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3" w:hRule="exact"/>
        </w:trPr>
        <w:tc>
          <w:tcPr>
            <w:tcW w:w="1336" w:type="dxa"/>
            <w:vMerge w:val="continue"/>
            <w:shd w:val="clear" w:color="auto" w:fill="FFFFFF"/>
            <w:vAlign w:val="center"/>
          </w:tcPr>
          <w:p>
            <w:pPr>
              <w:rPr>
                <w:rFonts w:hint="eastAsia" w:ascii="宋体" w:hAnsi="宋体" w:eastAsia="宋体" w:cs="宋体"/>
                <w:sz w:val="24"/>
                <w:szCs w:val="24"/>
              </w:rPr>
            </w:pPr>
          </w:p>
        </w:tc>
        <w:tc>
          <w:tcPr>
            <w:tcW w:w="1425" w:type="dxa"/>
            <w:vMerge w:val="restart"/>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账号 6</w:t>
            </w:r>
          </w:p>
        </w:tc>
        <w:tc>
          <w:tcPr>
            <w:tcW w:w="1515"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开户行</w:t>
            </w:r>
          </w:p>
        </w:tc>
        <w:tc>
          <w:tcPr>
            <w:tcW w:w="5653"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交通银行重庆东和春天支行（行号：301653000756）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exact"/>
        </w:trPr>
        <w:tc>
          <w:tcPr>
            <w:tcW w:w="1336" w:type="dxa"/>
            <w:vMerge w:val="continue"/>
            <w:shd w:val="clear" w:color="auto" w:fill="FFFFFF"/>
            <w:vAlign w:val="center"/>
          </w:tcPr>
          <w:p>
            <w:pPr>
              <w:rPr>
                <w:rFonts w:hint="eastAsia" w:ascii="宋体" w:hAnsi="宋体" w:eastAsia="宋体" w:cs="宋体"/>
                <w:sz w:val="24"/>
                <w:szCs w:val="24"/>
              </w:rPr>
            </w:pPr>
          </w:p>
        </w:tc>
        <w:tc>
          <w:tcPr>
            <w:tcW w:w="1425" w:type="dxa"/>
            <w:vMerge w:val="continue"/>
            <w:shd w:val="clear" w:color="auto" w:fill="FFFFFF"/>
            <w:vAlign w:val="center"/>
          </w:tcPr>
          <w:p>
            <w:pPr>
              <w:rPr>
                <w:rFonts w:hint="eastAsia" w:ascii="宋体" w:hAnsi="宋体" w:eastAsia="宋体" w:cs="宋体"/>
                <w:sz w:val="24"/>
                <w:szCs w:val="24"/>
              </w:rPr>
            </w:pPr>
          </w:p>
        </w:tc>
        <w:tc>
          <w:tcPr>
            <w:tcW w:w="1515"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    号</w:t>
            </w:r>
          </w:p>
        </w:tc>
        <w:tc>
          <w:tcPr>
            <w:tcW w:w="5653"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500124026018000016986009498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8" w:hRule="exact"/>
        </w:trPr>
        <w:tc>
          <w:tcPr>
            <w:tcW w:w="1336" w:type="dxa"/>
            <w:vMerge w:val="continue"/>
            <w:shd w:val="clear" w:color="auto" w:fill="FFFFFF"/>
            <w:vAlign w:val="center"/>
          </w:tcPr>
          <w:p>
            <w:pPr>
              <w:rPr>
                <w:rFonts w:hint="eastAsia" w:ascii="宋体" w:hAnsi="宋体" w:eastAsia="宋体" w:cs="宋体"/>
                <w:sz w:val="24"/>
                <w:szCs w:val="24"/>
              </w:rPr>
            </w:pPr>
          </w:p>
        </w:tc>
        <w:tc>
          <w:tcPr>
            <w:tcW w:w="1425" w:type="dxa"/>
            <w:vMerge w:val="restart"/>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账号 7</w:t>
            </w:r>
          </w:p>
        </w:tc>
        <w:tc>
          <w:tcPr>
            <w:tcW w:w="1515"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开户行</w:t>
            </w:r>
          </w:p>
        </w:tc>
        <w:tc>
          <w:tcPr>
            <w:tcW w:w="5653"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上海浦东发展银行股份有限公司重庆分行营业部（行号:310653000017）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exact"/>
        </w:trPr>
        <w:tc>
          <w:tcPr>
            <w:tcW w:w="1336" w:type="dxa"/>
            <w:vMerge w:val="continue"/>
            <w:shd w:val="clear" w:color="auto" w:fill="FFFFFF"/>
            <w:vAlign w:val="center"/>
          </w:tcPr>
          <w:p>
            <w:pPr>
              <w:rPr>
                <w:rFonts w:hint="eastAsia" w:ascii="宋体" w:hAnsi="宋体" w:eastAsia="宋体" w:cs="宋体"/>
                <w:sz w:val="24"/>
                <w:szCs w:val="24"/>
              </w:rPr>
            </w:pPr>
          </w:p>
        </w:tc>
        <w:tc>
          <w:tcPr>
            <w:tcW w:w="1425" w:type="dxa"/>
            <w:vMerge w:val="continue"/>
            <w:shd w:val="clear" w:color="auto" w:fill="FFFFFF"/>
            <w:vAlign w:val="center"/>
          </w:tcPr>
          <w:p>
            <w:pPr>
              <w:rPr>
                <w:rFonts w:hint="eastAsia" w:ascii="宋体" w:hAnsi="宋体" w:eastAsia="宋体" w:cs="宋体"/>
                <w:sz w:val="24"/>
                <w:szCs w:val="24"/>
              </w:rPr>
            </w:pPr>
          </w:p>
        </w:tc>
        <w:tc>
          <w:tcPr>
            <w:tcW w:w="1515"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    号</w:t>
            </w:r>
          </w:p>
        </w:tc>
        <w:tc>
          <w:tcPr>
            <w:tcW w:w="5653" w:type="dxa"/>
            <w:shd w:val="clear" w:color="auto" w:fill="FFFFFF"/>
            <w:vAlign w:val="center"/>
          </w:tcPr>
          <w:p>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8301098913289</w:t>
            </w:r>
          </w:p>
        </w:tc>
      </w:tr>
    </w:tbl>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各供应商在银行转账（电汇）时，须充分考虑银行转账（电汇）的时间差风险，如同城转账、异地转账或汇款、跨行转账或电汇的时间要求。</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各供应商在递交保证金时，到款账户为上述指定的投标保证金专用账户，来款账户必须为本公司基本账户。由于第一次缴纳保证金而未能及时在交易中心登记基本账户的供应商，可持供应商基本账户开户许可证复印件或原件在开标现场核验，未按要求提供或核验不满足要求的为无效响应。开标结束后，供应商可持相关证件到重庆市公共资源交易中心备查。</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（二）保证金退还方式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1、未成交供应商的保证金，在成交通知书发放后，由采购代理机构向重庆市公共资源交易中心出具退款书面通知；重庆市公共资源交易中心在五个工作日内按来款渠道直接退还。</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成交供应商的保证金，在成交供应商与采购人签订合同后，由采购代理机构向重庆市公共资源交易中心出具退款书面通知；重庆市公共资源交易中心扣除交易服务费后在五个工作日内按资金来款渠道直接退还。</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bookmarkStart w:id="27" w:name="_Toc487204776"/>
      <w:r>
        <w:rPr>
          <w:rFonts w:hint="eastAsia" w:asciiTheme="minorEastAsia" w:hAnsiTheme="minorEastAsia" w:eastAsiaTheme="minorEastAsia" w:cstheme="minorEastAsia"/>
          <w:color w:val="000000" w:themeColor="text1"/>
          <w:sz w:val="24"/>
          <w:szCs w:val="24"/>
        </w:rPr>
        <w:t>重庆市公共资源交易中心咨询电话：023-63625633</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28" w:name="_Toc11492"/>
      <w:bookmarkStart w:id="29" w:name="_Toc525047162"/>
      <w:bookmarkStart w:id="30" w:name="_Toc10026460"/>
      <w:bookmarkStart w:id="31" w:name="_Toc521053054"/>
      <w:bookmarkStart w:id="32" w:name="_Toc479668114"/>
      <w:r>
        <w:rPr>
          <w:rFonts w:hint="eastAsia" w:asciiTheme="minorEastAsia" w:hAnsiTheme="minorEastAsia" w:eastAsiaTheme="minorEastAsia" w:cstheme="minorEastAsia"/>
          <w:color w:val="000000" w:themeColor="text1"/>
          <w:sz w:val="24"/>
          <w:szCs w:val="24"/>
        </w:rPr>
        <w:t>六、采购项目需落实的政府采购政策</w:t>
      </w:r>
      <w:bookmarkEnd w:id="28"/>
      <w:bookmarkEnd w:id="29"/>
      <w:bookmarkEnd w:id="30"/>
      <w:bookmarkEnd w:id="31"/>
      <w:bookmarkEnd w:id="32"/>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（一）按照《财政部 生态环境部关于印发环境标志产品政府采购品目清单的通知》（财库〔2019〕18号）和《财政部 发展改革委关于印发节能产品政府采购品目清单的通知》（财库〔2019〕19号）的规定，落实国家节能环保政策。</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（二）按照《财政部 工业和信息化部关于印发&lt;政府采购促进中小企业发展暂行办法&gt;的通知》（财库〔2011〕181号）的规定，落实促进中小企业发展政策。</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（三）按照《财政部、司法部关于政府采购支持监狱企业发展有关问题的通知》（财库〔2014〕68号）的规定，落实支持监狱企业发展政策。</w:t>
      </w:r>
    </w:p>
    <w:p>
      <w:pPr>
        <w:snapToGrid w:val="0"/>
        <w:spacing w:line="400" w:lineRule="exact"/>
        <w:ind w:firstLine="480" w:firstLineChars="200"/>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 w:val="24"/>
          <w:szCs w:val="24"/>
        </w:rPr>
        <w:t>（四）按照《三部门联合发布关于促进残疾人就业政府采购政策的通知》（财库〔2017〕 141号）的规定，落实支持残疾人福利性单位发展政策。</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33" w:name="_Toc6201"/>
      <w:r>
        <w:rPr>
          <w:rFonts w:hint="eastAsia" w:asciiTheme="minorEastAsia" w:hAnsiTheme="minorEastAsia" w:eastAsiaTheme="minorEastAsia" w:cstheme="minorEastAsia"/>
          <w:color w:val="000000" w:themeColor="text1"/>
          <w:sz w:val="24"/>
          <w:szCs w:val="24"/>
          <w:lang w:val="en-US" w:eastAsia="zh-CN"/>
        </w:rPr>
        <w:t>七</w:t>
      </w:r>
      <w:r>
        <w:rPr>
          <w:rFonts w:hint="eastAsia" w:asciiTheme="minorEastAsia" w:hAnsiTheme="minorEastAsia" w:eastAsiaTheme="minorEastAsia" w:cstheme="minorEastAsia"/>
          <w:color w:val="000000" w:themeColor="text1"/>
          <w:sz w:val="24"/>
          <w:szCs w:val="24"/>
        </w:rPr>
        <w:t>、</w:t>
      </w:r>
      <w:bookmarkEnd w:id="11"/>
      <w:r>
        <w:rPr>
          <w:rFonts w:hint="eastAsia" w:asciiTheme="minorEastAsia" w:hAnsiTheme="minorEastAsia" w:eastAsiaTheme="minorEastAsia" w:cstheme="minorEastAsia"/>
          <w:color w:val="000000" w:themeColor="text1"/>
          <w:sz w:val="24"/>
          <w:szCs w:val="24"/>
        </w:rPr>
        <w:t>竞标有关规定</w:t>
      </w:r>
      <w:bookmarkEnd w:id="27"/>
      <w:bookmarkEnd w:id="33"/>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bookmarkStart w:id="34" w:name="_Toc487204777"/>
      <w:r>
        <w:rPr>
          <w:rFonts w:hint="eastAsia" w:asciiTheme="minorEastAsia" w:hAnsiTheme="minorEastAsia" w:eastAsiaTheme="minorEastAsia" w:cstheme="minorEastAsia"/>
          <w:color w:val="000000" w:themeColor="text1"/>
          <w:sz w:val="24"/>
          <w:szCs w:val="24"/>
        </w:rPr>
        <w:t>（一）单位负责人为同一人或者存在直接控股、管理关系的不同供应商，不得参加同一合同项（分包）下的政府采购活动，否则均为无效</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（二）为采购项目提供整体设计、规范编制或者项目管理、监理、检测等服务的供应商，不得再参加该采购项目的其他采购活动。</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（三）同一合同项（分包）下为单一品目的货物采购中，同一品牌同一型号产品有多家供应商参加</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，只能按照一家供应商计算。</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（四）同一合同项（分包）下的货物，制造商参与</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的，不得再委托代理商参与</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（五）本项目的补遗文件（如果有）一律在重庆市政府采购网（www.ccgp-chongqing.gov.cn）上发布，请各供应商注意下载或到</w:t>
      </w:r>
      <w:r>
        <w:rPr>
          <w:rFonts w:hint="eastAsia" w:asciiTheme="minorEastAsia" w:hAnsiTheme="minorEastAsia" w:eastAsiaTheme="minorEastAsia" w:cstheme="minorEastAsia"/>
          <w:color w:val="000000" w:themeColor="text1"/>
          <w:sz w:val="24"/>
          <w:szCs w:val="24"/>
          <w:lang w:val="en-US" w:eastAsia="zh-CN"/>
        </w:rPr>
        <w:t>采购代理机构处</w:t>
      </w:r>
      <w:r>
        <w:rPr>
          <w:rFonts w:hint="eastAsia" w:asciiTheme="minorEastAsia" w:hAnsiTheme="minorEastAsia" w:eastAsiaTheme="minorEastAsia" w:cstheme="minorEastAsia"/>
          <w:color w:val="000000" w:themeColor="text1"/>
          <w:sz w:val="24"/>
          <w:szCs w:val="24"/>
        </w:rPr>
        <w:t>领取；无论供应商下载或领取与否，均视同供应商已知晓本项目补遗文件（如果有）的内容。</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（六）超过响应文件截止时间递交的响应文件，恕不接收。</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（七）</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费用：无论</w:t>
      </w:r>
      <w:r>
        <w:rPr>
          <w:rFonts w:hint="eastAsia" w:asciiTheme="minorEastAsia" w:hAnsiTheme="minorEastAsia" w:eastAsiaTheme="minorEastAsia" w:cstheme="minorEastAsia"/>
          <w:color w:val="000000" w:themeColor="text1"/>
          <w:sz w:val="24"/>
          <w:szCs w:val="24"/>
          <w:lang w:eastAsia="zh-CN"/>
        </w:rPr>
        <w:t>询价</w:t>
      </w:r>
      <w:r>
        <w:rPr>
          <w:rFonts w:hint="eastAsia" w:asciiTheme="minorEastAsia" w:hAnsiTheme="minorEastAsia" w:eastAsiaTheme="minorEastAsia" w:cstheme="minorEastAsia"/>
          <w:color w:val="000000" w:themeColor="text1"/>
          <w:sz w:val="24"/>
          <w:szCs w:val="24"/>
        </w:rPr>
        <w:t>结果如何，供应商参与本项目</w:t>
      </w:r>
      <w:r>
        <w:rPr>
          <w:rFonts w:hint="eastAsia" w:asciiTheme="minorEastAsia" w:hAnsiTheme="minorEastAsia" w:eastAsiaTheme="minorEastAsia" w:cstheme="minorEastAsia"/>
          <w:color w:val="000000" w:themeColor="text1"/>
          <w:sz w:val="24"/>
          <w:szCs w:val="24"/>
          <w:lang w:eastAsia="zh-CN"/>
        </w:rPr>
        <w:t>询价</w:t>
      </w:r>
      <w:r>
        <w:rPr>
          <w:rFonts w:hint="eastAsia" w:asciiTheme="minorEastAsia" w:hAnsiTheme="minorEastAsia" w:eastAsiaTheme="minorEastAsia" w:cstheme="minorEastAsia"/>
          <w:color w:val="000000" w:themeColor="text1"/>
          <w:sz w:val="24"/>
          <w:szCs w:val="24"/>
        </w:rPr>
        <w:t>的所有费用均应由供应商自行承担。</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（八）本项目不接受联合体参与</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九）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政府采购活动。</w:t>
      </w:r>
    </w:p>
    <w:p>
      <w:pPr>
        <w:pStyle w:val="6"/>
        <w:spacing w:before="0" w:after="0" w:line="400" w:lineRule="exact"/>
        <w:rPr>
          <w:rFonts w:hint="eastAsia" w:asciiTheme="minorEastAsia" w:hAnsiTheme="minorEastAsia" w:eastAsiaTheme="minorEastAsia" w:cstheme="minorEastAsia"/>
          <w:b w:val="0"/>
          <w:bCs/>
          <w:color w:val="000000" w:themeColor="text1"/>
          <w:sz w:val="24"/>
          <w:szCs w:val="24"/>
        </w:rPr>
      </w:pPr>
      <w:bookmarkStart w:id="35" w:name="_Toc27121"/>
      <w:r>
        <w:rPr>
          <w:rFonts w:hint="eastAsia" w:asciiTheme="minorEastAsia" w:hAnsiTheme="minorEastAsia" w:eastAsiaTheme="minorEastAsia" w:cstheme="minorEastAsia"/>
          <w:color w:val="000000" w:themeColor="text1"/>
          <w:sz w:val="24"/>
          <w:szCs w:val="24"/>
          <w:lang w:val="en-US" w:eastAsia="zh-CN"/>
        </w:rPr>
        <w:t>八</w:t>
      </w:r>
      <w:r>
        <w:rPr>
          <w:rFonts w:hint="eastAsia" w:asciiTheme="minorEastAsia" w:hAnsiTheme="minorEastAsia" w:eastAsiaTheme="minorEastAsia" w:cstheme="minorEastAsia"/>
          <w:color w:val="000000" w:themeColor="text1"/>
          <w:sz w:val="24"/>
          <w:szCs w:val="24"/>
        </w:rPr>
        <w:t>、联系方式</w:t>
      </w:r>
      <w:bookmarkEnd w:id="34"/>
      <w:bookmarkEnd w:id="35"/>
    </w:p>
    <w:p>
      <w:pPr>
        <w:spacing w:line="400" w:lineRule="exact"/>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bCs/>
          <w:color w:val="000000" w:themeColor="text1"/>
          <w:sz w:val="24"/>
          <w:szCs w:val="24"/>
        </w:rPr>
        <w:t>（一）采购代理机构：重庆众合招标代理有限公司</w:t>
      </w:r>
    </w:p>
    <w:p>
      <w:pPr>
        <w:snapToGrid w:val="0"/>
        <w:spacing w:line="400" w:lineRule="exact"/>
        <w:ind w:firstLine="720" w:firstLineChars="3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 xml:space="preserve">联系人：薛松 </w:t>
      </w:r>
    </w:p>
    <w:p>
      <w:pPr>
        <w:snapToGrid w:val="0"/>
        <w:spacing w:line="400" w:lineRule="exact"/>
        <w:ind w:firstLine="720" w:firstLineChars="3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邮  编：400039</w:t>
      </w:r>
    </w:p>
    <w:p>
      <w:pPr>
        <w:snapToGrid w:val="0"/>
        <w:spacing w:line="400" w:lineRule="exact"/>
        <w:ind w:firstLine="720" w:firstLineChars="3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电  话：（023）63874175</w:t>
      </w:r>
    </w:p>
    <w:p>
      <w:pPr>
        <w:snapToGrid w:val="0"/>
        <w:spacing w:line="400" w:lineRule="exact"/>
        <w:ind w:firstLine="720" w:firstLineChars="3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传  真：（023）68510683</w:t>
      </w:r>
    </w:p>
    <w:p>
      <w:pPr>
        <w:snapToGrid w:val="0"/>
        <w:spacing w:line="400" w:lineRule="exact"/>
        <w:ind w:firstLine="720" w:firstLineChars="3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地  址：重庆市九龙坡区渝州路126号13-5（市委党校科技大楼13楼）</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（二）采购人：重庆市体育运动学校</w:t>
      </w:r>
    </w:p>
    <w:p>
      <w:pPr>
        <w:snapToGrid w:val="0"/>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联系人：陈峻乐</w:t>
      </w:r>
    </w:p>
    <w:p>
      <w:pPr>
        <w:snapToGrid w:val="0"/>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电  话：（023）68877317</w:t>
      </w:r>
    </w:p>
    <w:p>
      <w:pPr>
        <w:snapToGrid w:val="0"/>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传  真：（023）68877292</w:t>
      </w:r>
    </w:p>
    <w:p>
      <w:pPr>
        <w:snapToGrid w:val="0"/>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地  址：重庆市大渡口区黄金庵1号</w:t>
      </w:r>
    </w:p>
    <w:p>
      <w:pPr>
        <w:pStyle w:val="6"/>
        <w:spacing w:before="0" w:after="0" w:line="400" w:lineRule="exact"/>
        <w:rPr>
          <w:rFonts w:hint="eastAsia" w:asciiTheme="minorEastAsia" w:hAnsiTheme="minorEastAsia" w:eastAsiaTheme="minorEastAsia" w:cstheme="minorEastAsia"/>
          <w:color w:val="000000" w:themeColor="text1"/>
          <w:sz w:val="24"/>
          <w:szCs w:val="24"/>
          <w:lang w:val="en-US" w:eastAsia="zh-CN"/>
        </w:rPr>
      </w:pPr>
      <w:bookmarkStart w:id="36" w:name="_Toc25296"/>
      <w:bookmarkStart w:id="37" w:name="_Toc18102"/>
      <w:r>
        <w:rPr>
          <w:rFonts w:hint="eastAsia" w:asciiTheme="minorEastAsia" w:hAnsiTheme="minorEastAsia" w:eastAsiaTheme="minorEastAsia" w:cstheme="minorEastAsia"/>
          <w:color w:val="000000" w:themeColor="text1"/>
          <w:sz w:val="24"/>
          <w:szCs w:val="24"/>
          <w:lang w:val="en-US" w:eastAsia="zh-CN"/>
        </w:rPr>
        <w:t>九、监督电话及邮箱</w:t>
      </w:r>
      <w:bookmarkEnd w:id="36"/>
      <w:bookmarkEnd w:id="37"/>
    </w:p>
    <w:p>
      <w:pPr>
        <w:snapToGrid w:val="0"/>
        <w:spacing w:line="400" w:lineRule="exact"/>
        <w:ind w:firstLine="723" w:firstLineChars="300"/>
        <w:rPr>
          <w:rFonts w:hint="eastAsia" w:asciiTheme="minorEastAsia" w:hAnsiTheme="minorEastAsia" w:eastAsiaTheme="minorEastAsia" w:cstheme="minorEastAsia"/>
          <w:b/>
          <w:color w:val="000000" w:themeColor="text1"/>
          <w:kern w:val="2"/>
          <w:sz w:val="24"/>
          <w:szCs w:val="24"/>
          <w:lang w:val="en-US" w:eastAsia="zh-CN" w:bidi="ar-SA"/>
        </w:rPr>
      </w:pPr>
      <w:r>
        <w:rPr>
          <w:rFonts w:hint="eastAsia" w:asciiTheme="minorEastAsia" w:hAnsiTheme="minorEastAsia" w:eastAsiaTheme="minorEastAsia" w:cstheme="minorEastAsia"/>
          <w:b/>
          <w:color w:val="000000" w:themeColor="text1"/>
          <w:kern w:val="2"/>
          <w:sz w:val="24"/>
          <w:szCs w:val="24"/>
          <w:lang w:val="en-US" w:eastAsia="zh-CN" w:bidi="ar-SA"/>
        </w:rPr>
        <w:t>市体育局系统基建维修和政府采购项目业务公开监督电话：023-61665134</w:t>
      </w:r>
    </w:p>
    <w:p>
      <w:pPr>
        <w:snapToGrid w:val="0"/>
        <w:spacing w:line="400" w:lineRule="exact"/>
        <w:ind w:firstLine="723" w:firstLineChars="300"/>
        <w:rPr>
          <w:rFonts w:hint="eastAsia" w:asciiTheme="minorEastAsia" w:hAnsiTheme="minorEastAsia" w:eastAsiaTheme="minorEastAsia" w:cstheme="minorEastAsia"/>
          <w:b/>
          <w:color w:val="000000" w:themeColor="text1"/>
          <w:kern w:val="2"/>
          <w:sz w:val="24"/>
          <w:szCs w:val="24"/>
          <w:lang w:val="en-US" w:eastAsia="zh-CN" w:bidi="ar-SA"/>
        </w:rPr>
      </w:pPr>
      <w:r>
        <w:rPr>
          <w:rFonts w:hint="eastAsia" w:asciiTheme="minorEastAsia" w:hAnsiTheme="minorEastAsia" w:eastAsiaTheme="minorEastAsia" w:cstheme="minorEastAsia"/>
          <w:b/>
          <w:color w:val="000000" w:themeColor="text1"/>
          <w:kern w:val="2"/>
          <w:sz w:val="24"/>
          <w:szCs w:val="24"/>
          <w:lang w:val="en-US" w:eastAsia="zh-CN" w:bidi="ar-SA"/>
        </w:rPr>
        <w:t>市体育局系统基建维修和政府采购项目纪检监督电话：023-61665193</w:t>
      </w:r>
    </w:p>
    <w:p>
      <w:pPr>
        <w:snapToGrid w:val="0"/>
        <w:spacing w:line="400" w:lineRule="exact"/>
        <w:ind w:firstLine="723" w:firstLineChars="300"/>
        <w:rPr>
          <w:rFonts w:hint="eastAsia" w:asciiTheme="minorEastAsia" w:hAnsiTheme="minorEastAsia" w:eastAsiaTheme="minorEastAsia" w:cstheme="minorEastAsia"/>
          <w:b/>
          <w:color w:val="000000" w:themeColor="text1"/>
          <w:kern w:val="2"/>
          <w:sz w:val="24"/>
          <w:szCs w:val="24"/>
          <w:lang w:val="en-US" w:eastAsia="zh-CN" w:bidi="ar-SA"/>
        </w:rPr>
      </w:pPr>
      <w:r>
        <w:rPr>
          <w:rFonts w:hint="eastAsia" w:asciiTheme="minorEastAsia" w:hAnsiTheme="minorEastAsia" w:eastAsiaTheme="minorEastAsia" w:cstheme="minorEastAsia"/>
          <w:b/>
          <w:color w:val="000000" w:themeColor="text1"/>
          <w:kern w:val="2"/>
          <w:sz w:val="24"/>
          <w:szCs w:val="24"/>
          <w:lang w:val="en-US" w:eastAsia="zh-CN" w:bidi="ar-SA"/>
        </w:rPr>
        <w:fldChar w:fldCharType="begin"/>
      </w:r>
      <w:r>
        <w:rPr>
          <w:rFonts w:hint="eastAsia" w:asciiTheme="minorEastAsia" w:hAnsiTheme="minorEastAsia" w:eastAsiaTheme="minorEastAsia" w:cstheme="minorEastAsia"/>
          <w:b/>
          <w:color w:val="000000" w:themeColor="text1"/>
          <w:kern w:val="2"/>
          <w:sz w:val="24"/>
          <w:szCs w:val="24"/>
          <w:lang w:val="en-US" w:eastAsia="zh-CN" w:bidi="ar-SA"/>
        </w:rPr>
        <w:instrText xml:space="preserve"> HYPERLINK "mailto:市体育局基建维修和政府采购项目业务监督邮箱为cqtyjjcc@163.com" </w:instrText>
      </w:r>
      <w:r>
        <w:rPr>
          <w:rFonts w:hint="eastAsia" w:asciiTheme="minorEastAsia" w:hAnsiTheme="minorEastAsia" w:eastAsiaTheme="minorEastAsia" w:cstheme="minorEastAsia"/>
          <w:b/>
          <w:color w:val="000000" w:themeColor="text1"/>
          <w:kern w:val="2"/>
          <w:sz w:val="24"/>
          <w:szCs w:val="24"/>
          <w:lang w:val="en-US" w:eastAsia="zh-CN" w:bidi="ar-SA"/>
        </w:rPr>
        <w:fldChar w:fldCharType="separate"/>
      </w:r>
      <w:r>
        <w:rPr>
          <w:rFonts w:hint="eastAsia" w:asciiTheme="minorEastAsia" w:hAnsiTheme="minorEastAsia" w:eastAsiaTheme="minorEastAsia" w:cstheme="minorEastAsia"/>
          <w:b/>
          <w:color w:val="000000" w:themeColor="text1"/>
          <w:kern w:val="2"/>
          <w:sz w:val="24"/>
          <w:szCs w:val="24"/>
          <w:lang w:val="en-US" w:eastAsia="zh-CN" w:bidi="ar-SA"/>
        </w:rPr>
        <w:t>市体育局基建维修和政府采购项目业务监督邮箱：cqtyjjcc@163.com</w:t>
      </w:r>
      <w:r>
        <w:rPr>
          <w:rFonts w:hint="eastAsia" w:asciiTheme="minorEastAsia" w:hAnsiTheme="minorEastAsia" w:eastAsiaTheme="minorEastAsia" w:cstheme="minorEastAsia"/>
          <w:b/>
          <w:color w:val="000000" w:themeColor="text1"/>
          <w:kern w:val="2"/>
          <w:sz w:val="24"/>
          <w:szCs w:val="24"/>
          <w:lang w:val="en-US" w:eastAsia="zh-CN" w:bidi="ar-SA"/>
        </w:rPr>
        <w:fldChar w:fldCharType="end"/>
      </w:r>
    </w:p>
    <w:p>
      <w:pPr>
        <w:snapToGrid w:val="0"/>
        <w:spacing w:line="400" w:lineRule="exact"/>
        <w:ind w:firstLine="723" w:firstLineChars="300"/>
        <w:rPr>
          <w:rFonts w:hint="eastAsia" w:asciiTheme="minorEastAsia" w:hAnsiTheme="minorEastAsia" w:eastAsiaTheme="minorEastAsia" w:cstheme="minorEastAsia"/>
          <w:b/>
          <w:color w:val="000000" w:themeColor="text1"/>
          <w:kern w:val="2"/>
          <w:sz w:val="24"/>
          <w:szCs w:val="24"/>
          <w:lang w:val="en-US" w:eastAsia="zh-CN" w:bidi="ar-SA"/>
        </w:rPr>
      </w:pPr>
      <w:r>
        <w:rPr>
          <w:rFonts w:hint="eastAsia" w:asciiTheme="minorEastAsia" w:hAnsiTheme="minorEastAsia" w:eastAsiaTheme="minorEastAsia" w:cstheme="minorEastAsia"/>
          <w:b/>
          <w:color w:val="000000" w:themeColor="text1"/>
          <w:kern w:val="2"/>
          <w:sz w:val="24"/>
          <w:szCs w:val="24"/>
          <w:lang w:val="en-US" w:eastAsia="zh-CN" w:bidi="ar-SA"/>
        </w:rPr>
        <w:t>市体育局系统基建维修和政府采购项目纪检监督邮箱：cqtyjjw@163.com</w:t>
      </w:r>
    </w:p>
    <w:p>
      <w:pPr>
        <w:pStyle w:val="2"/>
        <w:rPr>
          <w:rFonts w:hint="eastAsia" w:asciiTheme="minorEastAsia" w:hAnsiTheme="minorEastAsia" w:eastAsiaTheme="minorEastAsia" w:cstheme="minorEastAsia"/>
          <w:color w:val="000000" w:themeColor="text1"/>
        </w:rPr>
      </w:pPr>
    </w:p>
    <w:p>
      <w:pPr>
        <w:pStyle w:val="23"/>
        <w:rPr>
          <w:rFonts w:hint="eastAsia" w:asciiTheme="minorEastAsia" w:hAnsiTheme="minorEastAsia" w:eastAsiaTheme="minorEastAsia" w:cstheme="minorEastAsia"/>
          <w:color w:val="000000" w:themeColor="text1"/>
        </w:rPr>
      </w:pPr>
    </w:p>
    <w:p>
      <w:pPr>
        <w:rPr>
          <w:rFonts w:hint="eastAsia" w:asciiTheme="minorEastAsia" w:hAnsiTheme="minorEastAsia" w:eastAsiaTheme="minorEastAsia" w:cstheme="minorEastAsia"/>
          <w:color w:val="000000" w:themeColor="text1"/>
          <w:szCs w:val="32"/>
        </w:rPr>
      </w:pPr>
      <w:r>
        <w:rPr>
          <w:rFonts w:hint="eastAsia" w:asciiTheme="minorEastAsia" w:hAnsiTheme="minorEastAsia" w:eastAsiaTheme="minorEastAsia" w:cstheme="minorEastAsia"/>
          <w:color w:val="000000" w:themeColor="text1"/>
          <w:szCs w:val="32"/>
        </w:rPr>
        <w:br w:type="page"/>
      </w:r>
      <w:bookmarkStart w:id="151" w:name="_GoBack"/>
      <w:bookmarkEnd w:id="151"/>
    </w:p>
    <w:p>
      <w:pPr>
        <w:pStyle w:val="5"/>
        <w:spacing w:before="0" w:after="0" w:line="600" w:lineRule="exact"/>
        <w:jc w:val="center"/>
        <w:rPr>
          <w:rFonts w:hint="eastAsia" w:asciiTheme="minorEastAsia" w:hAnsiTheme="minorEastAsia" w:eastAsiaTheme="minorEastAsia" w:cstheme="minorEastAsia"/>
          <w:color w:val="000000" w:themeColor="text1"/>
          <w:szCs w:val="32"/>
        </w:rPr>
      </w:pPr>
      <w:bookmarkStart w:id="38" w:name="_Toc29327"/>
      <w:r>
        <w:rPr>
          <w:rFonts w:hint="eastAsia" w:asciiTheme="minorEastAsia" w:hAnsiTheme="minorEastAsia" w:eastAsiaTheme="minorEastAsia" w:cstheme="minorEastAsia"/>
          <w:color w:val="000000" w:themeColor="text1"/>
          <w:szCs w:val="32"/>
        </w:rPr>
        <w:t>第二篇 供应商须知</w:t>
      </w:r>
      <w:bookmarkEnd w:id="38"/>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39" w:name="_Toc342913389"/>
      <w:bookmarkStart w:id="40" w:name="_Toc426965630"/>
      <w:bookmarkStart w:id="41" w:name="_Toc487204779"/>
      <w:bookmarkStart w:id="42" w:name="_Toc18155"/>
      <w:r>
        <w:rPr>
          <w:rFonts w:hint="eastAsia" w:asciiTheme="minorEastAsia" w:hAnsiTheme="minorEastAsia" w:eastAsiaTheme="minorEastAsia" w:cstheme="minorEastAsia"/>
          <w:color w:val="000000" w:themeColor="text1"/>
          <w:sz w:val="24"/>
          <w:szCs w:val="24"/>
        </w:rPr>
        <w:t>一、询价费用</w:t>
      </w:r>
      <w:bookmarkEnd w:id="39"/>
      <w:bookmarkEnd w:id="40"/>
      <w:bookmarkEnd w:id="41"/>
      <w:bookmarkEnd w:id="42"/>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参与询价的供应商应承担其编制响应文件与递交响应文件所涉及的一切费用，不论询价结果如何，采购人和采购代理机构在任何情况下无义务也无责任承担这些费用。</w:t>
      </w:r>
    </w:p>
    <w:p>
      <w:pPr>
        <w:pStyle w:val="6"/>
        <w:tabs>
          <w:tab w:val="left" w:pos="2640"/>
        </w:tabs>
        <w:spacing w:before="0" w:after="0" w:line="400" w:lineRule="exact"/>
        <w:rPr>
          <w:rFonts w:hint="eastAsia" w:asciiTheme="minorEastAsia" w:hAnsiTheme="minorEastAsia" w:eastAsiaTheme="minorEastAsia" w:cstheme="minorEastAsia"/>
          <w:color w:val="000000" w:themeColor="text1"/>
          <w:sz w:val="24"/>
          <w:szCs w:val="24"/>
        </w:rPr>
      </w:pPr>
      <w:bookmarkStart w:id="43" w:name="_Toc342913391"/>
      <w:bookmarkStart w:id="44" w:name="_Toc487204780"/>
      <w:bookmarkStart w:id="45" w:name="_Toc426965631"/>
      <w:bookmarkStart w:id="46" w:name="_Toc9981"/>
      <w:r>
        <w:rPr>
          <w:rFonts w:hint="eastAsia" w:asciiTheme="minorEastAsia" w:hAnsiTheme="minorEastAsia" w:eastAsiaTheme="minorEastAsia" w:cstheme="minorEastAsia"/>
          <w:color w:val="000000" w:themeColor="text1"/>
          <w:sz w:val="24"/>
          <w:szCs w:val="24"/>
        </w:rPr>
        <w:t>二、</w:t>
      </w:r>
      <w:bookmarkEnd w:id="43"/>
      <w:bookmarkEnd w:id="44"/>
      <w:bookmarkEnd w:id="45"/>
      <w:r>
        <w:rPr>
          <w:rFonts w:hint="eastAsia" w:asciiTheme="minorEastAsia" w:hAnsiTheme="minorEastAsia" w:eastAsiaTheme="minorEastAsia" w:cstheme="minorEastAsia"/>
          <w:color w:val="000000" w:themeColor="text1"/>
          <w:sz w:val="24"/>
          <w:szCs w:val="24"/>
        </w:rPr>
        <w:t>询价采购文件</w:t>
      </w:r>
      <w:bookmarkEnd w:id="46"/>
      <w:r>
        <w:rPr>
          <w:rFonts w:hint="eastAsia" w:asciiTheme="minorEastAsia" w:hAnsiTheme="minorEastAsia" w:eastAsiaTheme="minorEastAsia" w:cstheme="minorEastAsia"/>
          <w:color w:val="000000" w:themeColor="text1"/>
          <w:sz w:val="24"/>
          <w:szCs w:val="24"/>
        </w:rPr>
        <w:tab/>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（一）询价采购文件由询价邀请书、供应商须知、询价项目技术需求、询价项目服务需求、合同草案条款、响应文件格式要求六部分组成。</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（二）采购人（或采购代理机构）所作的一切有效的书面通知、修改及补充，都是询价采购文件不可分割的部分。</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（三）询价采购文件的解释</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如对询价采购文件有疑问，必须以书面形式在提交响应文件截止时间1个工作日前向采购人（或采购代理机构）要求澄清，采购人（或采购代理机构）可视具体情况做出处理或答复。如供应商未提出疑问，视为完全理解并同意本询价采购文件。一经进入询价程序，即视为供应商已详细阅读全部文件资料，完全理解询价采购文件所有条款内容并同意放弃对这方面有不明白及误解的权利。</w:t>
      </w:r>
      <w:bookmarkStart w:id="47" w:name="_Toc318159349"/>
      <w:bookmarkStart w:id="48" w:name="_Toc318159160"/>
      <w:bookmarkStart w:id="49" w:name="_Toc318159780"/>
      <w:bookmarkStart w:id="50" w:name="_Toc318166429"/>
    </w:p>
    <w:bookmarkEnd w:id="47"/>
    <w:bookmarkEnd w:id="48"/>
    <w:bookmarkEnd w:id="49"/>
    <w:bookmarkEnd w:id="50"/>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51" w:name="_Toc342913392"/>
      <w:bookmarkStart w:id="52" w:name="_Toc426965632"/>
      <w:bookmarkStart w:id="53" w:name="_Toc487204781"/>
      <w:bookmarkStart w:id="54" w:name="_Toc179714297"/>
      <w:bookmarkStart w:id="55" w:name="_Toc102227318"/>
      <w:bookmarkStart w:id="56" w:name="_Toc30602"/>
      <w:r>
        <w:rPr>
          <w:rFonts w:hint="eastAsia" w:asciiTheme="minorEastAsia" w:hAnsiTheme="minorEastAsia" w:eastAsiaTheme="minorEastAsia" w:cstheme="minorEastAsia"/>
          <w:color w:val="000000" w:themeColor="text1"/>
          <w:sz w:val="24"/>
          <w:szCs w:val="24"/>
        </w:rPr>
        <w:t>三、询价要求</w:t>
      </w:r>
      <w:bookmarkEnd w:id="51"/>
      <w:bookmarkEnd w:id="52"/>
      <w:bookmarkEnd w:id="53"/>
      <w:bookmarkEnd w:id="54"/>
      <w:bookmarkEnd w:id="55"/>
      <w:bookmarkEnd w:id="56"/>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（一）响应文件</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供应商应当按照询价采购文件的要求编制响应文件，并对询价采购文件提出的要求和条件作出实质性响应，响应文件原则上采用软面订本，同时应编制完整的页码、目录。</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1、响应文件组成</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响应文件由第六篇“响应文件格式要求”规定的部分和供应商所作的一切有效补充、修改和承诺等文件组成，供应商应按照第六篇“响应文件格式”规定的目录顺序组织编写和装订，也可在基本格式基础上对表格进行扩展，未规定格式的由供应商自定格式。</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2、联合体</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本项目不接受联合体竞标。</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3、询价有效期：响应文件及有关承诺文件有效期为询价开始时间起90天。</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（二）保证金：</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1、供应商提交保证金金额和方式详见“</w:t>
      </w:r>
      <w:r>
        <w:rPr>
          <w:rFonts w:hint="eastAsia" w:asciiTheme="minorEastAsia" w:hAnsiTheme="minorEastAsia" w:eastAsiaTheme="minorEastAsia" w:cstheme="minorEastAsia"/>
          <w:bCs/>
          <w:color w:val="000000" w:themeColor="text1"/>
          <w:sz w:val="24"/>
          <w:szCs w:val="24"/>
          <w:u w:val="single"/>
        </w:rPr>
        <w:t>第一篇”</w:t>
      </w:r>
      <w:r>
        <w:rPr>
          <w:rFonts w:hint="eastAsia" w:asciiTheme="minorEastAsia" w:hAnsiTheme="minorEastAsia" w:eastAsiaTheme="minorEastAsia" w:cstheme="minorEastAsia"/>
          <w:color w:val="000000" w:themeColor="text1"/>
          <w:sz w:val="24"/>
          <w:szCs w:val="24"/>
        </w:rPr>
        <w:t>；</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2、发生以下情况之一者，保证金不予退还：</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2.1供应商在提交响应文件截止时间后撤回响应文件的；</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2.2供应商在响应文件中提供虚假材料的；</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2.3除因不可抗力或询价采购文件认可的情形以外，成交供应商不与采购人签订合同的；</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2.4供应商与采购人、其他供应商或者采购代理机构恶意串通的；</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2.5成交供应商不按规定的时间或拒绝按成交状态签订合同（即不按照询价采购文件确定的合同文本以及采购标的、规格型号、采购金额、采购数量、技术和服务要求等事项签订政府采购合同的）。</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（三）报价要求</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本次报价为人民币报价，询价报价包括（但不限于）：货物费、运输费、安装调试费、装御费、培训费、保险费、税费（含关税）等所有费用。因成交供应商自身原因造成漏报、少报皆由其自行承担责任，采购人不再补偿。</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（四）修正错误</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若供应商所递交的响应文件或报价中的价格出现大写金额和小写金额不一致的错误，以大写金额修正为准。</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询价小组按上述修正错误的原则及方法修正供应商的报价，供应商同意并签字确认后，修正后的报价对供应商具有约束作用。如果供应商不接受修正后的价格，将失去成为成交供应商的资格。</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（五）提交响应文件的份数和签署</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w:t>
      </w:r>
      <w:r>
        <w:rPr>
          <w:rFonts w:hint="eastAsia" w:asciiTheme="minorEastAsia" w:hAnsiTheme="minorEastAsia" w:eastAsiaTheme="minorEastAsia" w:cstheme="minorEastAsia"/>
          <w:bCs/>
          <w:color w:val="000000" w:themeColor="text1"/>
          <w:sz w:val="24"/>
          <w:szCs w:val="24"/>
        </w:rPr>
        <w:t>响应文件一式四份，其中正本一份，副本二份，电子文档一份</w:t>
      </w:r>
      <w:r>
        <w:rPr>
          <w:rFonts w:hint="eastAsia" w:asciiTheme="minorEastAsia" w:hAnsiTheme="minorEastAsia" w:eastAsiaTheme="minorEastAsia" w:cstheme="minorEastAsia"/>
          <w:color w:val="000000" w:themeColor="text1"/>
          <w:sz w:val="24"/>
          <w:szCs w:val="24"/>
        </w:rPr>
        <w:t>（电子文档内容应与纸质文件正本一致，如不一致以纸质文件正本为准。推荐采用光盘或U盘为电子文档载体）；副本可为正本的复印件，应与正本一致，如出现不一致情况以正本为准。</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2、在响应文件正本中，询价采购文件第六篇响应文件格式中规定签字、盖章的地方必须按其规定签字、盖章。</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（六）响应文件的递交</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1.响应文件的密封与标记</w:t>
      </w:r>
    </w:p>
    <w:p>
      <w:pPr>
        <w:pStyle w:val="30"/>
        <w:spacing w:line="400" w:lineRule="exact"/>
        <w:ind w:firstLine="480" w:firstLineChars="200"/>
        <w:rPr>
          <w:rFonts w:hint="eastAsia" w:asciiTheme="minorEastAsia" w:hAnsiTheme="minorEastAsia" w:eastAsiaTheme="minorEastAsia" w:cstheme="minorEastAsia"/>
          <w:color w:val="000000" w:themeColor="text1"/>
          <w:kern w:val="2"/>
          <w:sz w:val="24"/>
          <w:szCs w:val="24"/>
          <w:lang w:val="en-US" w:eastAsia="zh-CN" w:bidi="ar-SA"/>
        </w:rPr>
      </w:pPr>
      <w:r>
        <w:rPr>
          <w:rFonts w:hint="eastAsia" w:asciiTheme="minorEastAsia" w:hAnsiTheme="minorEastAsia" w:eastAsiaTheme="minorEastAsia" w:cstheme="minorEastAsia"/>
          <w:color w:val="000000" w:themeColor="text1"/>
          <w:kern w:val="2"/>
          <w:sz w:val="24"/>
          <w:szCs w:val="24"/>
          <w:lang w:val="en-US" w:eastAsia="zh-CN" w:bidi="ar-SA"/>
        </w:rPr>
        <w:t>1.1响应文件的正本、副本以及电子文档均应密封送达询价地点，应在封套上注明项目编号、项目名称、供应商名称。若正本、副本以及电子文档分别进行密封的，还应在封套上注明“正本”、“副本”、“电子文档”字样。</w:t>
      </w:r>
    </w:p>
    <w:p>
      <w:pPr>
        <w:pStyle w:val="30"/>
        <w:spacing w:line="400" w:lineRule="exact"/>
        <w:ind w:firstLine="480" w:firstLineChars="200"/>
        <w:rPr>
          <w:rFonts w:hint="eastAsia" w:asciiTheme="minorEastAsia" w:hAnsiTheme="minorEastAsia" w:eastAsiaTheme="minorEastAsia" w:cstheme="minorEastAsia"/>
          <w:color w:val="000000" w:themeColor="text1"/>
          <w:kern w:val="2"/>
          <w:sz w:val="24"/>
          <w:szCs w:val="24"/>
          <w:lang w:val="en-US" w:eastAsia="zh-CN" w:bidi="ar-SA"/>
        </w:rPr>
      </w:pPr>
      <w:r>
        <w:rPr>
          <w:rFonts w:hint="eastAsia" w:asciiTheme="minorEastAsia" w:hAnsiTheme="minorEastAsia" w:eastAsiaTheme="minorEastAsia" w:cstheme="minorEastAsia"/>
          <w:color w:val="000000" w:themeColor="text1"/>
          <w:kern w:val="2"/>
          <w:sz w:val="24"/>
          <w:szCs w:val="24"/>
          <w:lang w:val="en-US" w:eastAsia="zh-CN" w:bidi="ar-SA"/>
        </w:rPr>
        <w:t>1.2封套的封口处应加盖供应商公章或由法定代表人授权代表签字。</w:t>
      </w:r>
    </w:p>
    <w:p>
      <w:pPr>
        <w:pStyle w:val="30"/>
        <w:spacing w:line="400" w:lineRule="exact"/>
        <w:ind w:firstLine="480" w:firstLineChars="200"/>
        <w:rPr>
          <w:rFonts w:hint="default" w:asciiTheme="minorEastAsia" w:hAnsiTheme="minorEastAsia" w:eastAsiaTheme="minorEastAsia" w:cstheme="minorEastAsia"/>
          <w:color w:val="000000" w:themeColor="text1"/>
          <w:kern w:val="2"/>
          <w:sz w:val="24"/>
          <w:szCs w:val="24"/>
          <w:lang w:val="en-US" w:eastAsia="zh-CN" w:bidi="ar-SA"/>
        </w:rPr>
      </w:pPr>
      <w:r>
        <w:rPr>
          <w:rFonts w:hint="eastAsia" w:asciiTheme="minorEastAsia" w:hAnsiTheme="minorEastAsia" w:eastAsiaTheme="minorEastAsia" w:cstheme="minorEastAsia"/>
          <w:color w:val="000000" w:themeColor="text1"/>
          <w:kern w:val="2"/>
          <w:sz w:val="24"/>
          <w:szCs w:val="24"/>
          <w:lang w:val="en-US" w:eastAsia="zh-CN" w:bidi="ar-SA"/>
        </w:rPr>
        <w:t>1.3响应文件正本、副本的装订应当各自完整成册，包含全部响应内容资料，避免散落不齐，出现影响评审小组专家查看的情况。</w:t>
      </w:r>
    </w:p>
    <w:p>
      <w:pPr>
        <w:snapToGrid w:val="0"/>
        <w:spacing w:line="400" w:lineRule="exact"/>
        <w:ind w:firstLine="480" w:firstLineChars="200"/>
        <w:rPr>
          <w:rFonts w:hint="eastAsia" w:asciiTheme="minorEastAsia" w:hAnsiTheme="minorEastAsia" w:eastAsiaTheme="minorEastAsia" w:cstheme="minorEastAsia"/>
          <w:color w:val="000000" w:themeColor="text1"/>
          <w:kern w:val="2"/>
          <w:sz w:val="24"/>
          <w:szCs w:val="24"/>
          <w:lang w:val="en-US" w:eastAsia="zh-CN" w:bidi="ar-SA"/>
        </w:rPr>
      </w:pPr>
      <w:r>
        <w:rPr>
          <w:rFonts w:hint="eastAsia" w:asciiTheme="minorEastAsia" w:hAnsiTheme="minorEastAsia" w:eastAsiaTheme="minorEastAsia" w:cstheme="minorEastAsia"/>
          <w:color w:val="000000" w:themeColor="text1"/>
          <w:kern w:val="2"/>
          <w:sz w:val="24"/>
          <w:szCs w:val="24"/>
          <w:lang w:val="en-US" w:eastAsia="zh-CN" w:bidi="ar-SA"/>
        </w:rPr>
        <w:t>2.如果未按上述规定进行密封和标记，采购代理机构对响应文件误投、丢失或提前拆封不负责任。</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（七）响应文件语言：简体中文</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（八）供应商参与人员</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各个供应商可派1-2名代表参与询价，至少1人应为法定代表人或具有法定代表人授权委托书的授权代表。</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（九）无效响应</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供应商发生以下条款情况之一者，视为无效响应，其响应文件将被拒绝：</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1、供应商不符合规定的基本资格条件或特定资格条件的；</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2、供应商的法定代表人或其授权代表未参加询价；</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3、供应商未按照询价采购文件的要求缴纳保证金；</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4、供应商所提交的响应文件不按规定签字、盖章；</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5、供应商的报价超过采购预算（若有采购预算单价，则含采购预算单价）的；</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6、供应商响应文件内容有与国家现行法律法规相违背的内容，或附有采购人无法接受的条件。</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7、单位负责人为同一人或者存在直接控股、管理关系的不同供应商，不得再参加该采购项目的其他采购活动；</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8、为采购项目提供整体设计、规范编制或者项目管理、监理、检测等服务的供应商再参加本项目的采购活动的；</w:t>
      </w:r>
    </w:p>
    <w:p>
      <w:pPr>
        <w:snapToGrid w:val="0"/>
        <w:spacing w:line="400" w:lineRule="exact"/>
        <w:ind w:firstLine="480" w:firstLineChars="2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color w:val="000000" w:themeColor="text1"/>
          <w:sz w:val="24"/>
          <w:szCs w:val="24"/>
        </w:rPr>
        <w:t>9、</w:t>
      </w:r>
      <w:r>
        <w:rPr>
          <w:rFonts w:hint="eastAsia" w:asciiTheme="minorEastAsia" w:hAnsiTheme="minorEastAsia" w:eastAsiaTheme="minorEastAsia" w:cstheme="minorEastAsia"/>
          <w:bCs/>
          <w:color w:val="000000" w:themeColor="text1"/>
          <w:sz w:val="24"/>
          <w:szCs w:val="24"/>
        </w:rPr>
        <w:t>供应商被列入失信被执行人、重大税收违法案件当事人名单的；被列入政府采购严重违法失信名单且在处罚期内的；被列入政府采购严重违法失信行为记录名单且在处罚期内的；其他不符合《中华人民共和国政府采购法》第二十二条规定条件的；</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10、询价采购文件规定的其他无效响应情形。</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（十）采购代理服务费</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1、供应商成交后向采购代理机构缴纳采购代理服务费，采购代理服务费的收取标准按照以下标准执行。</w:t>
      </w:r>
    </w:p>
    <w:tbl>
      <w:tblPr>
        <w:tblStyle w:val="51"/>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0"/>
        <w:gridCol w:w="2273"/>
        <w:gridCol w:w="2273"/>
        <w:gridCol w:w="2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2810" w:type="dxa"/>
            <w:tcBorders>
              <w:tl2br w:val="single" w:color="auto" w:sz="4" w:space="0"/>
            </w:tcBorders>
          </w:tcPr>
          <w:p>
            <w:pPr>
              <w:spacing w:line="400" w:lineRule="exact"/>
              <w:ind w:firstLine="1440" w:firstLineChars="600"/>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color w:val="000000" w:themeColor="text1"/>
                <w:sz w:val="24"/>
                <w:szCs w:val="24"/>
              </w:rPr>
              <w:pict>
                <v:line id="Line 2" o:spid="_x0000_s1026" o:spt="20" style="position:absolute;left:0pt;margin-left:-9pt;margin-top:-0.5pt;height:0.05pt;width:0.05pt;z-index:251658240;mso-width-relative:page;mso-height-relative:page;" coordsize="21600,21600" o:allowincell="f">
                  <v:path arrowok="t"/>
                  <v:fill focussize="0,0"/>
                  <v:stroke/>
                  <v:imagedata o:title=""/>
                  <o:lock v:ext="edit"/>
                </v:line>
              </w:pict>
            </w:r>
            <w:r>
              <w:rPr>
                <w:rFonts w:hint="eastAsia" w:asciiTheme="minorEastAsia" w:hAnsiTheme="minorEastAsia" w:eastAsiaTheme="minorEastAsia" w:cstheme="minorEastAsia"/>
                <w:b/>
                <w:bCs/>
                <w:color w:val="000000" w:themeColor="text1"/>
                <w:sz w:val="24"/>
                <w:szCs w:val="24"/>
              </w:rPr>
              <w:t>采购类型</w:t>
            </w:r>
          </w:p>
          <w:p>
            <w:pPr>
              <w:spacing w:line="400" w:lineRule="exact"/>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b/>
                <w:bCs/>
                <w:color w:val="000000" w:themeColor="text1"/>
                <w:sz w:val="24"/>
                <w:szCs w:val="24"/>
              </w:rPr>
              <w:t>成交金额（万元）</w:t>
            </w:r>
          </w:p>
        </w:tc>
        <w:tc>
          <w:tcPr>
            <w:tcW w:w="2273" w:type="dxa"/>
            <w:vAlign w:val="center"/>
          </w:tcPr>
          <w:p>
            <w:pPr>
              <w:spacing w:line="400" w:lineRule="exact"/>
              <w:jc w:val="center"/>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b/>
                <w:bCs/>
                <w:color w:val="000000" w:themeColor="text1"/>
                <w:sz w:val="24"/>
                <w:szCs w:val="24"/>
              </w:rPr>
              <w:t>货物采购</w:t>
            </w:r>
          </w:p>
        </w:tc>
        <w:tc>
          <w:tcPr>
            <w:tcW w:w="2273" w:type="dxa"/>
            <w:vAlign w:val="center"/>
          </w:tcPr>
          <w:p>
            <w:pPr>
              <w:spacing w:line="400" w:lineRule="exact"/>
              <w:jc w:val="center"/>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b/>
                <w:bCs/>
                <w:color w:val="000000" w:themeColor="text1"/>
                <w:sz w:val="24"/>
                <w:szCs w:val="24"/>
              </w:rPr>
              <w:t>服务采购</w:t>
            </w:r>
          </w:p>
        </w:tc>
        <w:tc>
          <w:tcPr>
            <w:tcW w:w="2272" w:type="dxa"/>
            <w:vAlign w:val="center"/>
          </w:tcPr>
          <w:p>
            <w:pPr>
              <w:spacing w:line="400" w:lineRule="exact"/>
              <w:jc w:val="center"/>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b/>
                <w:bCs/>
                <w:color w:val="000000" w:themeColor="text1"/>
                <w:sz w:val="24"/>
                <w:szCs w:val="24"/>
              </w:rPr>
              <w:t>工程采购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2810"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100以下</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1.5%</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1.5%</w:t>
            </w:r>
          </w:p>
        </w:tc>
        <w:tc>
          <w:tcPr>
            <w:tcW w:w="2272"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810"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100-500</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0.8%</w:t>
            </w:r>
          </w:p>
        </w:tc>
        <w:tc>
          <w:tcPr>
            <w:tcW w:w="2272"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jc w:val="center"/>
        </w:trPr>
        <w:tc>
          <w:tcPr>
            <w:tcW w:w="2810"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500-1000</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0.8%</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0.45%</w:t>
            </w:r>
          </w:p>
        </w:tc>
        <w:tc>
          <w:tcPr>
            <w:tcW w:w="2272"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jc w:val="center"/>
        </w:trPr>
        <w:tc>
          <w:tcPr>
            <w:tcW w:w="2810"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1000-5000</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0.5%</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0.25%</w:t>
            </w:r>
          </w:p>
        </w:tc>
        <w:tc>
          <w:tcPr>
            <w:tcW w:w="2272"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2810"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5000-10000</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0.25%</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0.1%</w:t>
            </w:r>
          </w:p>
        </w:tc>
        <w:tc>
          <w:tcPr>
            <w:tcW w:w="2272"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810"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10000-100000</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0.05%</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0.05%</w:t>
            </w:r>
          </w:p>
        </w:tc>
        <w:tc>
          <w:tcPr>
            <w:tcW w:w="2272"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2810"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1000000以上</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0.01%</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0.01%</w:t>
            </w:r>
          </w:p>
        </w:tc>
        <w:tc>
          <w:tcPr>
            <w:tcW w:w="2272"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0.01%</w:t>
            </w:r>
          </w:p>
        </w:tc>
      </w:tr>
    </w:tbl>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注：采购代理服务收费按差额定率累进法计算。例如：某货物采购代理业务成交金额为6000万元，计算采购代理服务收费额如下：</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100万元×1.5%=1.5万元</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（500-100）万元×1.1%=4.4万元</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（1000-500）×0.8%=4万元</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（5000-1000）×0.5%=20万元</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（6000-5000）×0.25%=2.5万元</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合计收费=1.5+4.4+4+20+2.5=32.4（万元）</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2、服务费以现金、支票或电汇等形式支付。</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3、成交供应商如未按上述规定缴付采购代理服务费，其保证金将不予退还。</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4、采购代理服务费缴纳账户信息：</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户  名：重庆众合招标代理有限公司</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开户行：中国工商银行重庆市高科技支行</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账  号：3100020409200173626</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（十一）交易服务费</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供应商成交后向重庆联合产权交易所集团股份有限公司缴纳交易服务费，交易服务费的收取标准按照渝价〔2018〕54号文件执行。</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说明：成交供应商为微型企业且所供应的产品为微型企业生产的，免收交易服务费，微型企业的认定标准详见本篇。</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57" w:name="_Toc179714298"/>
      <w:bookmarkStart w:id="58" w:name="_Toc342913393"/>
      <w:bookmarkStart w:id="59" w:name="_Toc487204782"/>
      <w:bookmarkStart w:id="60" w:name="_Toc426965633"/>
      <w:bookmarkStart w:id="61" w:name="_Toc102227319"/>
      <w:bookmarkStart w:id="62" w:name="_Toc23303"/>
      <w:r>
        <w:rPr>
          <w:rFonts w:hint="eastAsia" w:asciiTheme="minorEastAsia" w:hAnsiTheme="minorEastAsia" w:eastAsiaTheme="minorEastAsia" w:cstheme="minorEastAsia"/>
          <w:color w:val="000000" w:themeColor="text1"/>
          <w:sz w:val="24"/>
          <w:szCs w:val="24"/>
        </w:rPr>
        <w:t>四、</w:t>
      </w:r>
      <w:bookmarkEnd w:id="57"/>
      <w:bookmarkEnd w:id="58"/>
      <w:bookmarkEnd w:id="59"/>
      <w:bookmarkEnd w:id="60"/>
      <w:bookmarkEnd w:id="61"/>
      <w:r>
        <w:rPr>
          <w:rFonts w:hint="eastAsia" w:asciiTheme="minorEastAsia" w:hAnsiTheme="minorEastAsia" w:eastAsiaTheme="minorEastAsia" w:cstheme="minorEastAsia"/>
          <w:color w:val="000000" w:themeColor="text1"/>
          <w:sz w:val="24"/>
          <w:szCs w:val="24"/>
        </w:rPr>
        <w:t>询价程序及成交标准</w:t>
      </w:r>
      <w:bookmarkEnd w:id="62"/>
    </w:p>
    <w:p>
      <w:pPr>
        <w:spacing w:line="400" w:lineRule="exact"/>
        <w:ind w:firstLine="306"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pacing w:val="-18"/>
          <w:sz w:val="24"/>
          <w:szCs w:val="24"/>
        </w:rPr>
        <w:t>（一）本项目询价按照询价采购文件规定的时间和地点进行。</w:t>
      </w:r>
      <w:r>
        <w:rPr>
          <w:rFonts w:hint="eastAsia" w:asciiTheme="minorEastAsia" w:hAnsiTheme="minorEastAsia" w:eastAsiaTheme="minorEastAsia" w:cstheme="minorEastAsia"/>
          <w:color w:val="000000" w:themeColor="text1"/>
          <w:sz w:val="24"/>
          <w:szCs w:val="24"/>
        </w:rPr>
        <w:t>供应商须有法定代表人或其授权代表参加并签到。</w:t>
      </w:r>
    </w:p>
    <w:p>
      <w:pPr>
        <w:snapToGrid w:val="0"/>
        <w:spacing w:line="400" w:lineRule="exact"/>
        <w:ind w:firstLine="408" w:firstLineChars="200"/>
        <w:rPr>
          <w:rFonts w:hint="eastAsia" w:asciiTheme="minorEastAsia" w:hAnsiTheme="minorEastAsia" w:eastAsiaTheme="minorEastAsia" w:cstheme="minorEastAsia"/>
          <w:b/>
          <w:color w:val="000000" w:themeColor="text1"/>
          <w:spacing w:val="-18"/>
          <w:sz w:val="24"/>
          <w:szCs w:val="24"/>
        </w:rPr>
      </w:pPr>
      <w:r>
        <w:rPr>
          <w:rFonts w:hint="eastAsia" w:asciiTheme="minorEastAsia" w:hAnsiTheme="minorEastAsia" w:eastAsiaTheme="minorEastAsia" w:cstheme="minorEastAsia"/>
          <w:color w:val="000000" w:themeColor="text1"/>
          <w:spacing w:val="-18"/>
          <w:sz w:val="24"/>
          <w:szCs w:val="24"/>
        </w:rPr>
        <w:t>（二）询价小组由采购人代表和评审专家共3人以上单数组成，其中评审专家不得少于询价小组成员总数的2/3。</w:t>
      </w:r>
    </w:p>
    <w:p>
      <w:pPr>
        <w:snapToGrid w:val="0"/>
        <w:spacing w:line="400" w:lineRule="exact"/>
        <w:ind w:firstLine="408" w:firstLineChars="200"/>
        <w:rPr>
          <w:rFonts w:hint="eastAsia" w:asciiTheme="minorEastAsia" w:hAnsiTheme="minorEastAsia" w:eastAsiaTheme="minorEastAsia" w:cstheme="minorEastAsia"/>
          <w:color w:val="000000" w:themeColor="text1"/>
          <w:spacing w:val="-18"/>
          <w:sz w:val="24"/>
          <w:szCs w:val="24"/>
        </w:rPr>
      </w:pPr>
      <w:r>
        <w:rPr>
          <w:rFonts w:hint="eastAsia" w:asciiTheme="minorEastAsia" w:hAnsiTheme="minorEastAsia" w:eastAsiaTheme="minorEastAsia" w:cstheme="minorEastAsia"/>
          <w:color w:val="000000" w:themeColor="text1"/>
          <w:spacing w:val="-18"/>
          <w:sz w:val="24"/>
          <w:szCs w:val="24"/>
        </w:rPr>
        <w:t>（三）资格性符合性检查</w:t>
      </w:r>
    </w:p>
    <w:p>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1.资格性检查。依据法律法规和询价采购文件的规定，对响应文件中的资格证明、保证金等进行审查，以确定供应商是否具备询价资格。资格性检查资料表如下：</w:t>
      </w:r>
    </w:p>
    <w:p>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p>
    <w:tbl>
      <w:tblPr>
        <w:tblStyle w:val="51"/>
        <w:tblW w:w="980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709"/>
        <w:gridCol w:w="3259"/>
        <w:gridCol w:w="4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spacing w:line="400" w:lineRule="exact"/>
              <w:jc w:val="center"/>
              <w:rPr>
                <w:rFonts w:hint="eastAsia" w:asciiTheme="minorEastAsia" w:hAnsiTheme="minorEastAsia" w:eastAsiaTheme="minorEastAsia" w:cstheme="minorEastAsia"/>
                <w:b/>
                <w:color w:val="000000" w:themeColor="text1"/>
                <w:kern w:val="0"/>
                <w:sz w:val="22"/>
                <w:szCs w:val="22"/>
              </w:rPr>
            </w:pPr>
            <w:r>
              <w:rPr>
                <w:rFonts w:hint="eastAsia" w:asciiTheme="minorEastAsia" w:hAnsiTheme="minorEastAsia" w:eastAsiaTheme="minorEastAsia" w:cstheme="minorEastAsia"/>
                <w:b/>
                <w:color w:val="000000" w:themeColor="text1"/>
                <w:kern w:val="0"/>
                <w:sz w:val="22"/>
                <w:szCs w:val="22"/>
              </w:rPr>
              <w:t>序号</w:t>
            </w:r>
          </w:p>
        </w:tc>
        <w:tc>
          <w:tcPr>
            <w:tcW w:w="3968" w:type="dxa"/>
            <w:gridSpan w:val="2"/>
            <w:vAlign w:val="center"/>
          </w:tcPr>
          <w:p>
            <w:pPr>
              <w:spacing w:line="400" w:lineRule="exact"/>
              <w:jc w:val="center"/>
              <w:rPr>
                <w:rFonts w:hint="eastAsia" w:asciiTheme="minorEastAsia" w:hAnsiTheme="minorEastAsia" w:eastAsiaTheme="minorEastAsia" w:cstheme="minorEastAsia"/>
                <w:b/>
                <w:color w:val="000000" w:themeColor="text1"/>
                <w:kern w:val="0"/>
                <w:sz w:val="22"/>
                <w:szCs w:val="22"/>
              </w:rPr>
            </w:pPr>
            <w:r>
              <w:rPr>
                <w:rFonts w:hint="eastAsia" w:asciiTheme="minorEastAsia" w:hAnsiTheme="minorEastAsia" w:eastAsiaTheme="minorEastAsia" w:cstheme="minorEastAsia"/>
                <w:b/>
                <w:color w:val="000000" w:themeColor="text1"/>
                <w:kern w:val="0"/>
                <w:sz w:val="22"/>
                <w:szCs w:val="22"/>
              </w:rPr>
              <w:t>检查因素</w:t>
            </w:r>
          </w:p>
        </w:tc>
        <w:tc>
          <w:tcPr>
            <w:tcW w:w="4984" w:type="dxa"/>
            <w:vAlign w:val="center"/>
          </w:tcPr>
          <w:p>
            <w:pPr>
              <w:spacing w:line="400" w:lineRule="exact"/>
              <w:jc w:val="center"/>
              <w:rPr>
                <w:rFonts w:hint="eastAsia" w:asciiTheme="minorEastAsia" w:hAnsiTheme="minorEastAsia" w:eastAsiaTheme="minorEastAsia" w:cstheme="minorEastAsia"/>
                <w:b/>
                <w:color w:val="000000" w:themeColor="text1"/>
                <w:kern w:val="0"/>
                <w:sz w:val="22"/>
                <w:szCs w:val="22"/>
              </w:rPr>
            </w:pPr>
            <w:r>
              <w:rPr>
                <w:rFonts w:hint="eastAsia" w:asciiTheme="minorEastAsia" w:hAnsiTheme="minorEastAsia" w:eastAsiaTheme="minorEastAsia" w:cstheme="minorEastAsia"/>
                <w:b/>
                <w:color w:val="000000" w:themeColor="text1"/>
                <w:kern w:val="0"/>
                <w:sz w:val="22"/>
                <w:szCs w:val="22"/>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 w:type="dxa"/>
            <w:vMerge w:val="restart"/>
            <w:vAlign w:val="center"/>
          </w:tcPr>
          <w:p>
            <w:pPr>
              <w:spacing w:line="400" w:lineRule="exact"/>
              <w:jc w:val="center"/>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1</w:t>
            </w:r>
          </w:p>
        </w:tc>
        <w:tc>
          <w:tcPr>
            <w:tcW w:w="709" w:type="dxa"/>
            <w:vMerge w:val="restart"/>
            <w:vAlign w:val="center"/>
          </w:tcPr>
          <w:p>
            <w:pPr>
              <w:spacing w:line="400" w:lineRule="exact"/>
              <w:rPr>
                <w:rFonts w:hint="eastAsia" w:asciiTheme="minorEastAsia" w:hAnsiTheme="minorEastAsia" w:eastAsiaTheme="minorEastAsia" w:cstheme="minorEastAsia"/>
                <w:color w:val="000000" w:themeColor="text1"/>
                <w:sz w:val="22"/>
                <w:szCs w:val="22"/>
                <w:lang w:val="zh-CN"/>
              </w:rPr>
            </w:pPr>
            <w:r>
              <w:rPr>
                <w:rFonts w:hint="eastAsia" w:asciiTheme="minorEastAsia" w:hAnsiTheme="minorEastAsia" w:eastAsiaTheme="minorEastAsia" w:cstheme="minorEastAsia"/>
                <w:color w:val="000000" w:themeColor="text1"/>
                <w:sz w:val="22"/>
                <w:szCs w:val="22"/>
              </w:rPr>
              <w:t>供应商</w:t>
            </w:r>
            <w:r>
              <w:rPr>
                <w:rFonts w:hint="eastAsia" w:asciiTheme="minorEastAsia" w:hAnsiTheme="minorEastAsia" w:eastAsiaTheme="minorEastAsia" w:cstheme="minorEastAsia"/>
                <w:color w:val="000000" w:themeColor="text1"/>
                <w:sz w:val="22"/>
                <w:szCs w:val="22"/>
                <w:lang w:val="zh-CN"/>
              </w:rPr>
              <w:t>应符合的基本资格条件</w:t>
            </w:r>
          </w:p>
        </w:tc>
        <w:tc>
          <w:tcPr>
            <w:tcW w:w="3259" w:type="dxa"/>
            <w:vAlign w:val="center"/>
          </w:tcPr>
          <w:p>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（1）具有独立承担民事责任的能力</w:t>
            </w:r>
          </w:p>
        </w:tc>
        <w:tc>
          <w:tcPr>
            <w:tcW w:w="4984" w:type="dxa"/>
            <w:vAlign w:val="center"/>
          </w:tcPr>
          <w:p>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供应商法人营业执照（副本）或事业单位法人证书（副本）或个体工商户营业执照或有效的自然人身份证明、组织机构代码证复印件（注</w:t>
            </w:r>
            <w:r>
              <w:rPr>
                <w:rFonts w:hint="eastAsia" w:asciiTheme="minorEastAsia" w:hAnsiTheme="minorEastAsia" w:eastAsiaTheme="minorEastAsia" w:cstheme="minorEastAsia"/>
                <w:color w:val="000000" w:themeColor="text1"/>
                <w:kern w:val="0"/>
                <w:sz w:val="22"/>
                <w:szCs w:val="22"/>
              </w:rPr>
              <w:fldChar w:fldCharType="begin"/>
            </w:r>
            <w:r>
              <w:rPr>
                <w:rFonts w:hint="eastAsia" w:asciiTheme="minorEastAsia" w:hAnsiTheme="minorEastAsia" w:eastAsiaTheme="minorEastAsia" w:cstheme="minorEastAsia"/>
                <w:color w:val="000000" w:themeColor="text1"/>
                <w:kern w:val="0"/>
                <w:sz w:val="22"/>
                <w:szCs w:val="22"/>
              </w:rPr>
              <w:instrText xml:space="preserve"> = 1 \* GB3 </w:instrText>
            </w:r>
            <w:r>
              <w:rPr>
                <w:rFonts w:hint="eastAsia" w:asciiTheme="minorEastAsia" w:hAnsiTheme="minorEastAsia" w:eastAsiaTheme="minorEastAsia" w:cstheme="minorEastAsia"/>
                <w:color w:val="000000" w:themeColor="text1"/>
                <w:kern w:val="0"/>
                <w:sz w:val="22"/>
                <w:szCs w:val="22"/>
              </w:rPr>
              <w:fldChar w:fldCharType="separate"/>
            </w:r>
            <w:r>
              <w:rPr>
                <w:rFonts w:hint="eastAsia" w:asciiTheme="minorEastAsia" w:hAnsiTheme="minorEastAsia" w:eastAsiaTheme="minorEastAsia" w:cstheme="minorEastAsia"/>
                <w:color w:val="000000" w:themeColor="text1"/>
                <w:kern w:val="0"/>
                <w:sz w:val="22"/>
                <w:szCs w:val="22"/>
              </w:rPr>
              <w:t>①</w:t>
            </w:r>
            <w:r>
              <w:rPr>
                <w:rFonts w:hint="eastAsia" w:asciiTheme="minorEastAsia" w:hAnsiTheme="minorEastAsia" w:eastAsiaTheme="minorEastAsia" w:cstheme="minorEastAsia"/>
                <w:color w:val="000000" w:themeColor="text1"/>
                <w:kern w:val="0"/>
                <w:sz w:val="22"/>
                <w:szCs w:val="22"/>
              </w:rPr>
              <w:fldChar w:fldCharType="end"/>
            </w:r>
            <w:r>
              <w:rPr>
                <w:rFonts w:hint="eastAsia" w:asciiTheme="minorEastAsia" w:hAnsiTheme="minorEastAsia" w:eastAsiaTheme="minorEastAsia" w:cstheme="minorEastAsia"/>
                <w:color w:val="000000" w:themeColor="text1"/>
                <w:sz w:val="22"/>
                <w:szCs w:val="22"/>
              </w:rPr>
              <w:t>）；</w:t>
            </w:r>
          </w:p>
          <w:p>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供应商法定代表人身份证明和法定代表人授权代表委托书。不具有独立法人的分公司、办事处等分支机构不能参加询价。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Merge w:val="continue"/>
            <w:vAlign w:val="center"/>
          </w:tcPr>
          <w:p>
            <w:pPr>
              <w:spacing w:line="400" w:lineRule="exact"/>
              <w:jc w:val="center"/>
              <w:rPr>
                <w:rFonts w:hint="eastAsia" w:asciiTheme="minorEastAsia" w:hAnsiTheme="minorEastAsia" w:eastAsiaTheme="minorEastAsia" w:cstheme="minorEastAsia"/>
                <w:color w:val="000000" w:themeColor="text1"/>
                <w:sz w:val="22"/>
                <w:szCs w:val="22"/>
              </w:rPr>
            </w:pPr>
          </w:p>
        </w:tc>
        <w:tc>
          <w:tcPr>
            <w:tcW w:w="709" w:type="dxa"/>
            <w:vMerge w:val="continue"/>
            <w:vAlign w:val="center"/>
          </w:tcPr>
          <w:p>
            <w:pPr>
              <w:spacing w:line="400" w:lineRule="exact"/>
              <w:rPr>
                <w:rFonts w:hint="eastAsia" w:asciiTheme="minorEastAsia" w:hAnsiTheme="minorEastAsia" w:eastAsiaTheme="minorEastAsia" w:cstheme="minorEastAsia"/>
                <w:color w:val="000000" w:themeColor="text1"/>
                <w:sz w:val="22"/>
                <w:szCs w:val="22"/>
                <w:lang w:val="zh-CN"/>
              </w:rPr>
            </w:pPr>
          </w:p>
        </w:tc>
        <w:tc>
          <w:tcPr>
            <w:tcW w:w="3259" w:type="dxa"/>
            <w:vAlign w:val="center"/>
          </w:tcPr>
          <w:p>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lang w:val="zh-CN"/>
              </w:rPr>
              <w:t>（2）</w:t>
            </w:r>
            <w:r>
              <w:rPr>
                <w:rFonts w:hint="eastAsia" w:asciiTheme="minorEastAsia" w:hAnsiTheme="minorEastAsia" w:eastAsiaTheme="minorEastAsia" w:cstheme="minorEastAsia"/>
                <w:color w:val="000000" w:themeColor="text1"/>
                <w:sz w:val="22"/>
                <w:szCs w:val="22"/>
              </w:rPr>
              <w:t>具有良好的商业信誉和健全的财务会计制度</w:t>
            </w:r>
          </w:p>
        </w:tc>
        <w:tc>
          <w:tcPr>
            <w:tcW w:w="4984" w:type="dxa"/>
            <w:vAlign w:val="center"/>
          </w:tcPr>
          <w:p>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提供2018年度财务状况报告（表）复印件，本年度新成立的公司提供提交响应文件截止时间前一个月的财务状况报告（表）复印件。（新成立公司不足一个月的除外）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Merge w:val="continue"/>
            <w:vAlign w:val="center"/>
          </w:tcPr>
          <w:p>
            <w:pPr>
              <w:spacing w:line="400" w:lineRule="exact"/>
              <w:jc w:val="center"/>
              <w:rPr>
                <w:rFonts w:hint="eastAsia" w:asciiTheme="minorEastAsia" w:hAnsiTheme="minorEastAsia" w:eastAsiaTheme="minorEastAsia" w:cstheme="minorEastAsia"/>
                <w:color w:val="000000" w:themeColor="text1"/>
                <w:sz w:val="22"/>
                <w:szCs w:val="22"/>
              </w:rPr>
            </w:pPr>
          </w:p>
        </w:tc>
        <w:tc>
          <w:tcPr>
            <w:tcW w:w="709" w:type="dxa"/>
            <w:vMerge w:val="continue"/>
            <w:vAlign w:val="center"/>
          </w:tcPr>
          <w:p>
            <w:pPr>
              <w:spacing w:line="400" w:lineRule="exact"/>
              <w:rPr>
                <w:rFonts w:hint="eastAsia" w:asciiTheme="minorEastAsia" w:hAnsiTheme="minorEastAsia" w:eastAsiaTheme="minorEastAsia" w:cstheme="minorEastAsia"/>
                <w:color w:val="000000" w:themeColor="text1"/>
                <w:sz w:val="22"/>
                <w:szCs w:val="22"/>
                <w:lang w:val="zh-CN"/>
              </w:rPr>
            </w:pPr>
          </w:p>
        </w:tc>
        <w:tc>
          <w:tcPr>
            <w:tcW w:w="3259" w:type="dxa"/>
            <w:vAlign w:val="center"/>
          </w:tcPr>
          <w:p>
            <w:pPr>
              <w:spacing w:line="400" w:lineRule="exact"/>
              <w:rPr>
                <w:rFonts w:hint="eastAsia" w:asciiTheme="minorEastAsia" w:hAnsiTheme="minorEastAsia" w:eastAsiaTheme="minorEastAsia" w:cstheme="minorEastAsia"/>
                <w:color w:val="000000" w:themeColor="text1"/>
                <w:sz w:val="22"/>
                <w:szCs w:val="22"/>
                <w:lang w:val="zh-CN"/>
              </w:rPr>
            </w:pPr>
            <w:r>
              <w:rPr>
                <w:rFonts w:hint="eastAsia" w:asciiTheme="minorEastAsia" w:hAnsiTheme="minorEastAsia" w:eastAsiaTheme="minorEastAsia" w:cstheme="minorEastAsia"/>
                <w:color w:val="000000" w:themeColor="text1"/>
                <w:sz w:val="22"/>
                <w:szCs w:val="22"/>
                <w:lang w:val="zh-CN"/>
              </w:rPr>
              <w:t>（3）具有履行合同所必需的设备和专业技术能力</w:t>
            </w:r>
          </w:p>
        </w:tc>
        <w:tc>
          <w:tcPr>
            <w:tcW w:w="4984" w:type="dxa"/>
            <w:vAlign w:val="center"/>
          </w:tcPr>
          <w:p>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供应商提供书面声明（见格式文件）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Merge w:val="continue"/>
            <w:vAlign w:val="center"/>
          </w:tcPr>
          <w:p>
            <w:pPr>
              <w:spacing w:line="400" w:lineRule="exact"/>
              <w:jc w:val="center"/>
              <w:rPr>
                <w:rFonts w:hint="eastAsia" w:asciiTheme="minorEastAsia" w:hAnsiTheme="minorEastAsia" w:eastAsiaTheme="minorEastAsia" w:cstheme="minorEastAsia"/>
                <w:color w:val="000000" w:themeColor="text1"/>
                <w:sz w:val="22"/>
                <w:szCs w:val="22"/>
              </w:rPr>
            </w:pPr>
          </w:p>
        </w:tc>
        <w:tc>
          <w:tcPr>
            <w:tcW w:w="709" w:type="dxa"/>
            <w:vMerge w:val="continue"/>
            <w:vAlign w:val="center"/>
          </w:tcPr>
          <w:p>
            <w:pPr>
              <w:spacing w:line="400" w:lineRule="exact"/>
              <w:rPr>
                <w:rFonts w:hint="eastAsia" w:asciiTheme="minorEastAsia" w:hAnsiTheme="minorEastAsia" w:eastAsiaTheme="minorEastAsia" w:cstheme="minorEastAsia"/>
                <w:color w:val="000000" w:themeColor="text1"/>
                <w:sz w:val="22"/>
                <w:szCs w:val="22"/>
                <w:lang w:val="zh-CN"/>
              </w:rPr>
            </w:pPr>
          </w:p>
        </w:tc>
        <w:tc>
          <w:tcPr>
            <w:tcW w:w="3259" w:type="dxa"/>
            <w:vAlign w:val="center"/>
          </w:tcPr>
          <w:p>
            <w:pPr>
              <w:spacing w:line="400" w:lineRule="exact"/>
              <w:rPr>
                <w:rFonts w:hint="eastAsia" w:asciiTheme="minorEastAsia" w:hAnsiTheme="minorEastAsia" w:eastAsiaTheme="minorEastAsia" w:cstheme="minorEastAsia"/>
                <w:color w:val="000000" w:themeColor="text1"/>
                <w:sz w:val="22"/>
                <w:szCs w:val="22"/>
                <w:lang w:val="zh-CN"/>
              </w:rPr>
            </w:pPr>
            <w:r>
              <w:rPr>
                <w:rFonts w:hint="eastAsia" w:asciiTheme="minorEastAsia" w:hAnsiTheme="minorEastAsia" w:eastAsiaTheme="minorEastAsia" w:cstheme="minorEastAsia"/>
                <w:color w:val="000000" w:themeColor="text1"/>
                <w:sz w:val="22"/>
                <w:szCs w:val="22"/>
                <w:lang w:val="zh-CN"/>
              </w:rPr>
              <w:t>（4）有依法缴纳税收和社会保障金的良好记录</w:t>
            </w:r>
          </w:p>
        </w:tc>
        <w:tc>
          <w:tcPr>
            <w:tcW w:w="4984" w:type="dxa"/>
            <w:vAlign w:val="center"/>
          </w:tcPr>
          <w:p>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税务登记证（副本）复印件（注</w:t>
            </w:r>
            <w:r>
              <w:rPr>
                <w:rFonts w:hint="eastAsia" w:asciiTheme="minorEastAsia" w:hAnsiTheme="minorEastAsia" w:eastAsiaTheme="minorEastAsia" w:cstheme="minorEastAsia"/>
                <w:color w:val="000000" w:themeColor="text1"/>
                <w:kern w:val="0"/>
                <w:sz w:val="22"/>
                <w:szCs w:val="22"/>
              </w:rPr>
              <w:fldChar w:fldCharType="begin"/>
            </w:r>
            <w:r>
              <w:rPr>
                <w:rFonts w:hint="eastAsia" w:asciiTheme="minorEastAsia" w:hAnsiTheme="minorEastAsia" w:eastAsiaTheme="minorEastAsia" w:cstheme="minorEastAsia"/>
                <w:color w:val="000000" w:themeColor="text1"/>
                <w:kern w:val="0"/>
                <w:sz w:val="22"/>
                <w:szCs w:val="22"/>
              </w:rPr>
              <w:instrText xml:space="preserve"> = 1 \* GB3 </w:instrText>
            </w:r>
            <w:r>
              <w:rPr>
                <w:rFonts w:hint="eastAsia" w:asciiTheme="minorEastAsia" w:hAnsiTheme="minorEastAsia" w:eastAsiaTheme="minorEastAsia" w:cstheme="minorEastAsia"/>
                <w:color w:val="000000" w:themeColor="text1"/>
                <w:kern w:val="0"/>
                <w:sz w:val="22"/>
                <w:szCs w:val="22"/>
              </w:rPr>
              <w:fldChar w:fldCharType="separate"/>
            </w:r>
            <w:r>
              <w:rPr>
                <w:rFonts w:hint="eastAsia" w:asciiTheme="minorEastAsia" w:hAnsiTheme="minorEastAsia" w:eastAsiaTheme="minorEastAsia" w:cstheme="minorEastAsia"/>
                <w:color w:val="000000" w:themeColor="text1"/>
                <w:kern w:val="0"/>
                <w:sz w:val="22"/>
                <w:szCs w:val="22"/>
              </w:rPr>
              <w:t>①</w:t>
            </w:r>
            <w:r>
              <w:rPr>
                <w:rFonts w:hint="eastAsia" w:asciiTheme="minorEastAsia" w:hAnsiTheme="minorEastAsia" w:eastAsiaTheme="minorEastAsia" w:cstheme="minorEastAsia"/>
                <w:color w:val="000000" w:themeColor="text1"/>
                <w:kern w:val="0"/>
                <w:sz w:val="22"/>
                <w:szCs w:val="22"/>
              </w:rPr>
              <w:fldChar w:fldCharType="end"/>
            </w:r>
            <w:r>
              <w:rPr>
                <w:rFonts w:hint="eastAsia" w:asciiTheme="minorEastAsia" w:hAnsiTheme="minorEastAsia" w:eastAsiaTheme="minorEastAsia" w:cstheme="minorEastAsia"/>
                <w:color w:val="000000" w:themeColor="text1"/>
                <w:sz w:val="22"/>
                <w:szCs w:val="22"/>
              </w:rPr>
              <w:t>）和社会保险缴纳证明材料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Merge w:val="continue"/>
            <w:vAlign w:val="center"/>
          </w:tcPr>
          <w:p>
            <w:pPr>
              <w:spacing w:line="400" w:lineRule="exact"/>
              <w:jc w:val="center"/>
              <w:rPr>
                <w:rFonts w:hint="eastAsia" w:asciiTheme="minorEastAsia" w:hAnsiTheme="minorEastAsia" w:eastAsiaTheme="minorEastAsia" w:cstheme="minorEastAsia"/>
                <w:color w:val="000000" w:themeColor="text1"/>
                <w:sz w:val="22"/>
                <w:szCs w:val="22"/>
              </w:rPr>
            </w:pPr>
          </w:p>
        </w:tc>
        <w:tc>
          <w:tcPr>
            <w:tcW w:w="709" w:type="dxa"/>
            <w:vMerge w:val="continue"/>
            <w:vAlign w:val="center"/>
          </w:tcPr>
          <w:p>
            <w:pPr>
              <w:spacing w:line="400" w:lineRule="exact"/>
              <w:rPr>
                <w:rFonts w:hint="eastAsia" w:asciiTheme="minorEastAsia" w:hAnsiTheme="minorEastAsia" w:eastAsiaTheme="minorEastAsia" w:cstheme="minorEastAsia"/>
                <w:color w:val="000000" w:themeColor="text1"/>
                <w:sz w:val="22"/>
                <w:szCs w:val="22"/>
                <w:lang w:val="zh-CN"/>
              </w:rPr>
            </w:pPr>
          </w:p>
        </w:tc>
        <w:tc>
          <w:tcPr>
            <w:tcW w:w="3259" w:type="dxa"/>
            <w:vAlign w:val="center"/>
          </w:tcPr>
          <w:p>
            <w:pPr>
              <w:spacing w:line="400" w:lineRule="exact"/>
              <w:rPr>
                <w:rFonts w:hint="eastAsia" w:asciiTheme="minorEastAsia" w:hAnsiTheme="minorEastAsia" w:eastAsiaTheme="minorEastAsia" w:cstheme="minorEastAsia"/>
                <w:color w:val="000000" w:themeColor="text1"/>
                <w:sz w:val="22"/>
                <w:szCs w:val="22"/>
                <w:lang w:val="zh-CN"/>
              </w:rPr>
            </w:pPr>
            <w:r>
              <w:rPr>
                <w:rFonts w:hint="eastAsia" w:asciiTheme="minorEastAsia" w:hAnsiTheme="minorEastAsia" w:eastAsiaTheme="minorEastAsia" w:cstheme="minorEastAsia"/>
                <w:color w:val="000000" w:themeColor="text1"/>
                <w:sz w:val="22"/>
                <w:szCs w:val="22"/>
              </w:rPr>
              <w:t>（5）参加政府采购活动前三年内，在经营活动中没有重大违法记录（注②）</w:t>
            </w:r>
          </w:p>
        </w:tc>
        <w:tc>
          <w:tcPr>
            <w:tcW w:w="4984" w:type="dxa"/>
            <w:vAlign w:val="center"/>
          </w:tcPr>
          <w:p>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1.供应商提供书面声明（见格式文件）；</w:t>
            </w:r>
          </w:p>
          <w:p>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2.采购人或采购代理机构将通过“信用中国”网站(www.creditchina.gov.cn)、"中国政府采购网"(www.ccgp.gov.cn)等渠道查询供应商信用记录，对列入失信被执行人、重大税收违法案件当事人名单、政府采购严重违法失信行为记录名单的供应商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Merge w:val="continue"/>
            <w:vAlign w:val="center"/>
          </w:tcPr>
          <w:p>
            <w:pPr>
              <w:spacing w:line="400" w:lineRule="exact"/>
              <w:jc w:val="center"/>
              <w:rPr>
                <w:rFonts w:hint="eastAsia" w:asciiTheme="minorEastAsia" w:hAnsiTheme="minorEastAsia" w:eastAsiaTheme="minorEastAsia" w:cstheme="minorEastAsia"/>
                <w:color w:val="000000" w:themeColor="text1"/>
                <w:sz w:val="22"/>
                <w:szCs w:val="22"/>
              </w:rPr>
            </w:pPr>
          </w:p>
        </w:tc>
        <w:tc>
          <w:tcPr>
            <w:tcW w:w="709" w:type="dxa"/>
            <w:vMerge w:val="continue"/>
            <w:vAlign w:val="center"/>
          </w:tcPr>
          <w:p>
            <w:pPr>
              <w:spacing w:line="400" w:lineRule="exact"/>
              <w:rPr>
                <w:rFonts w:hint="eastAsia" w:asciiTheme="minorEastAsia" w:hAnsiTheme="minorEastAsia" w:eastAsiaTheme="minorEastAsia" w:cstheme="minorEastAsia"/>
                <w:color w:val="000000" w:themeColor="text1"/>
                <w:sz w:val="22"/>
                <w:szCs w:val="22"/>
              </w:rPr>
            </w:pPr>
          </w:p>
        </w:tc>
        <w:tc>
          <w:tcPr>
            <w:tcW w:w="3259" w:type="dxa"/>
            <w:vAlign w:val="center"/>
          </w:tcPr>
          <w:p>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（6）法律、行政法规规定的其他条件</w:t>
            </w:r>
          </w:p>
        </w:tc>
        <w:tc>
          <w:tcPr>
            <w:tcW w:w="4984" w:type="dxa"/>
            <w:vAlign w:val="center"/>
          </w:tcPr>
          <w:p>
            <w:pPr>
              <w:spacing w:line="400" w:lineRule="exact"/>
              <w:rPr>
                <w:rFonts w:hint="eastAsia" w:asciiTheme="minorEastAsia" w:hAnsiTheme="minorEastAsia" w:eastAsiaTheme="minorEastAsia" w:cstheme="minorEastAsia"/>
                <w:color w:val="000000" w:themeColor="text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spacing w:line="400" w:lineRule="exact"/>
              <w:jc w:val="center"/>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2</w:t>
            </w:r>
          </w:p>
        </w:tc>
        <w:tc>
          <w:tcPr>
            <w:tcW w:w="3968" w:type="dxa"/>
            <w:gridSpan w:val="2"/>
            <w:vAlign w:val="center"/>
          </w:tcPr>
          <w:p>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特定资格条件</w:t>
            </w:r>
          </w:p>
        </w:tc>
        <w:tc>
          <w:tcPr>
            <w:tcW w:w="4984" w:type="dxa"/>
            <w:vAlign w:val="center"/>
          </w:tcPr>
          <w:p>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按第一篇“（二）特定资格条件”的要求提交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spacing w:line="400" w:lineRule="exact"/>
              <w:jc w:val="center"/>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3</w:t>
            </w:r>
          </w:p>
        </w:tc>
        <w:tc>
          <w:tcPr>
            <w:tcW w:w="3968" w:type="dxa"/>
            <w:gridSpan w:val="2"/>
            <w:vAlign w:val="center"/>
          </w:tcPr>
          <w:p>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保证金</w:t>
            </w:r>
          </w:p>
        </w:tc>
        <w:tc>
          <w:tcPr>
            <w:tcW w:w="4984" w:type="dxa"/>
            <w:vAlign w:val="center"/>
          </w:tcPr>
          <w:p>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保证金到账截止时间前足额缴纳保证金，且满足询价采购文件第一篇五、竞标保证金中的相关规定。</w:t>
            </w:r>
          </w:p>
        </w:tc>
      </w:tr>
    </w:tbl>
    <w:p>
      <w:pPr>
        <w:snapToGrid w:val="0"/>
        <w:spacing w:line="400" w:lineRule="exact"/>
        <w:ind w:firstLine="240" w:firstLineChars="1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注：</w:t>
      </w:r>
    </w:p>
    <w:p>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fldChar w:fldCharType="begin"/>
      </w:r>
      <w:r>
        <w:rPr>
          <w:rFonts w:hint="eastAsia" w:asciiTheme="minorEastAsia" w:hAnsiTheme="minorEastAsia" w:eastAsiaTheme="minorEastAsia" w:cstheme="minorEastAsia"/>
          <w:color w:val="000000" w:themeColor="text1"/>
          <w:kern w:val="0"/>
          <w:sz w:val="24"/>
          <w:szCs w:val="24"/>
        </w:rPr>
        <w:instrText xml:space="preserve"> eq \o\ac(○,1)</w:instrText>
      </w:r>
      <w:r>
        <w:rPr>
          <w:rFonts w:hint="eastAsia" w:asciiTheme="minorEastAsia" w:hAnsiTheme="minorEastAsia" w:eastAsiaTheme="minorEastAsia" w:cstheme="minorEastAsia"/>
          <w:color w:val="000000" w:themeColor="text1"/>
          <w:kern w:val="0"/>
          <w:sz w:val="24"/>
          <w:szCs w:val="24"/>
        </w:rPr>
        <w:fldChar w:fldCharType="end"/>
      </w:r>
      <w:r>
        <w:rPr>
          <w:rFonts w:hint="eastAsia" w:asciiTheme="minorEastAsia" w:hAnsiTheme="minorEastAsia" w:eastAsiaTheme="minorEastAsia" w:cstheme="minorEastAsia"/>
          <w:color w:val="000000" w:themeColor="text1"/>
          <w:kern w:val="0"/>
          <w:sz w:val="24"/>
          <w:szCs w:val="24"/>
        </w:rPr>
        <w:t>供应商按“多证合一”登记制度办理营业执照的，组织机构代码证和税务登记证（副本）以供应商所提供的营业执照（副本）复印件为准。</w:t>
      </w:r>
    </w:p>
    <w:p>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fldChar w:fldCharType="begin"/>
      </w:r>
      <w:r>
        <w:rPr>
          <w:rFonts w:hint="eastAsia" w:asciiTheme="minorEastAsia" w:hAnsiTheme="minorEastAsia" w:eastAsiaTheme="minorEastAsia" w:cstheme="minorEastAsia"/>
          <w:color w:val="000000" w:themeColor="text1"/>
          <w:kern w:val="0"/>
          <w:sz w:val="24"/>
          <w:szCs w:val="24"/>
        </w:rPr>
        <w:instrText xml:space="preserve"> eq \o\ac(○,2)</w:instrText>
      </w:r>
      <w:r>
        <w:rPr>
          <w:rFonts w:hint="eastAsia" w:asciiTheme="minorEastAsia" w:hAnsiTheme="minorEastAsia" w:eastAsiaTheme="minorEastAsia" w:cstheme="minorEastAsia"/>
          <w:color w:val="000000" w:themeColor="text1"/>
          <w:kern w:val="0"/>
          <w:sz w:val="24"/>
          <w:szCs w:val="24"/>
        </w:rPr>
        <w:fldChar w:fldCharType="end"/>
      </w:r>
      <w:r>
        <w:rPr>
          <w:rFonts w:hint="eastAsia" w:asciiTheme="minorEastAsia" w:hAnsiTheme="minorEastAsia" w:eastAsiaTheme="minorEastAsia" w:cstheme="minorEastAsia"/>
          <w:color w:val="000000" w:themeColor="text1"/>
          <w:kern w:val="0"/>
          <w:sz w:val="24"/>
          <w:szCs w:val="24"/>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由被执行人所在的省、自治区、直辖市人民政府制定，国务院有关部门规定了较大数额标准的，从其规定。</w:t>
      </w:r>
    </w:p>
    <w:p>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2.符合性检查。依据询价采购文件的规定，从响应文件的有效性、完整性和对询价采购文件的响应程度进行审查，以确定是否对询价采购文件的实质性要求作出响应。符合性检查资料表如下：</w:t>
      </w:r>
    </w:p>
    <w:tbl>
      <w:tblPr>
        <w:tblStyle w:val="51"/>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b/>
                <w:color w:val="000000" w:themeColor="text1"/>
                <w:kern w:val="0"/>
                <w:sz w:val="22"/>
                <w:szCs w:val="22"/>
              </w:rPr>
            </w:pPr>
            <w:r>
              <w:rPr>
                <w:rFonts w:hint="eastAsia" w:asciiTheme="minorEastAsia" w:hAnsiTheme="minorEastAsia" w:eastAsiaTheme="minorEastAsia" w:cstheme="minorEastAsia"/>
                <w:b/>
                <w:color w:val="000000" w:themeColor="text1"/>
                <w:kern w:val="0"/>
                <w:sz w:val="22"/>
                <w:szCs w:val="22"/>
              </w:rPr>
              <w:t>序号</w:t>
            </w:r>
          </w:p>
        </w:tc>
        <w:tc>
          <w:tcPr>
            <w:tcW w:w="354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b/>
                <w:color w:val="000000" w:themeColor="text1"/>
                <w:kern w:val="0"/>
                <w:sz w:val="22"/>
                <w:szCs w:val="22"/>
              </w:rPr>
            </w:pPr>
            <w:r>
              <w:rPr>
                <w:rFonts w:hint="eastAsia" w:asciiTheme="minorEastAsia" w:hAnsiTheme="minorEastAsia" w:eastAsiaTheme="minorEastAsia" w:cstheme="minorEastAsia"/>
                <w:b/>
                <w:color w:val="000000" w:themeColor="text1"/>
                <w:kern w:val="0"/>
                <w:sz w:val="22"/>
                <w:szCs w:val="22"/>
              </w:rPr>
              <w:t>评审因素</w:t>
            </w:r>
          </w:p>
        </w:tc>
        <w:tc>
          <w:tcPr>
            <w:tcW w:w="54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b/>
                <w:color w:val="000000" w:themeColor="text1"/>
                <w:kern w:val="0"/>
                <w:sz w:val="22"/>
                <w:szCs w:val="22"/>
              </w:rPr>
            </w:pPr>
            <w:r>
              <w:rPr>
                <w:rFonts w:hint="eastAsia" w:asciiTheme="minorEastAsia" w:hAnsiTheme="minorEastAsia" w:eastAsiaTheme="minorEastAsia" w:cstheme="minorEastAsia"/>
                <w:b/>
                <w:color w:val="000000" w:themeColor="text1"/>
                <w:kern w:val="0"/>
                <w:sz w:val="22"/>
                <w:szCs w:val="22"/>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1</w:t>
            </w:r>
          </w:p>
        </w:tc>
        <w:tc>
          <w:tcPr>
            <w:tcW w:w="1560"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有效性审查</w:t>
            </w: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sz w:val="22"/>
                <w:szCs w:val="22"/>
              </w:rPr>
              <w:t>响应文件签署</w:t>
            </w:r>
          </w:p>
        </w:tc>
        <w:tc>
          <w:tcPr>
            <w:tcW w:w="5409"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sz w:val="22"/>
                <w:szCs w:val="22"/>
              </w:rPr>
              <w:t>响应文件上法定代表人或其授权代表人的签字齐全。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000000" w:themeColor="text1"/>
                <w:kern w:val="0"/>
                <w:sz w:val="22"/>
                <w:szCs w:val="22"/>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000000" w:themeColor="text1"/>
                <w:kern w:val="0"/>
                <w:sz w:val="22"/>
                <w:szCs w:val="22"/>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法定代表人身份证明及授权委托书</w:t>
            </w:r>
          </w:p>
        </w:tc>
        <w:tc>
          <w:tcPr>
            <w:tcW w:w="5409"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法定代表人身份证明及授权委托书有效，符合询价采购文件规定的格式，签字或盖章齐全。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000000" w:themeColor="text1"/>
                <w:kern w:val="0"/>
                <w:sz w:val="22"/>
                <w:szCs w:val="22"/>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000000" w:themeColor="text1"/>
                <w:kern w:val="0"/>
                <w:sz w:val="22"/>
                <w:szCs w:val="22"/>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sz w:val="22"/>
                <w:szCs w:val="22"/>
                <w:lang w:val="zh-CN"/>
              </w:rPr>
            </w:pPr>
            <w:r>
              <w:rPr>
                <w:rFonts w:hint="eastAsia" w:asciiTheme="minorEastAsia" w:hAnsiTheme="minorEastAsia" w:eastAsiaTheme="minorEastAsia" w:cstheme="minorEastAsia"/>
                <w:color w:val="000000" w:themeColor="text1"/>
                <w:sz w:val="22"/>
                <w:szCs w:val="22"/>
              </w:rPr>
              <w:t>响应</w:t>
            </w:r>
            <w:r>
              <w:rPr>
                <w:rFonts w:hint="eastAsia" w:asciiTheme="minorEastAsia" w:hAnsiTheme="minorEastAsia" w:eastAsiaTheme="minorEastAsia" w:cstheme="minorEastAsia"/>
                <w:color w:val="000000" w:themeColor="text1"/>
                <w:sz w:val="22"/>
                <w:szCs w:val="22"/>
                <w:lang w:val="zh-CN"/>
              </w:rPr>
              <w:t>方案</w:t>
            </w:r>
          </w:p>
        </w:tc>
        <w:tc>
          <w:tcPr>
            <w:tcW w:w="5409"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sz w:val="22"/>
                <w:szCs w:val="22"/>
                <w:lang w:val="zh-CN"/>
              </w:rPr>
              <w:t>每个分包只能有一个</w:t>
            </w:r>
            <w:r>
              <w:rPr>
                <w:rFonts w:hint="eastAsia" w:asciiTheme="minorEastAsia" w:hAnsiTheme="minorEastAsia" w:eastAsiaTheme="minorEastAsia" w:cstheme="minorEastAsia"/>
                <w:color w:val="000000" w:themeColor="text1"/>
                <w:sz w:val="22"/>
                <w:szCs w:val="22"/>
              </w:rPr>
              <w:t>响应</w:t>
            </w:r>
            <w:r>
              <w:rPr>
                <w:rFonts w:hint="eastAsia" w:asciiTheme="minorEastAsia" w:hAnsiTheme="minorEastAsia" w:eastAsiaTheme="minorEastAsia" w:cstheme="minorEastAsia"/>
                <w:color w:val="000000" w:themeColor="text1"/>
                <w:sz w:val="22"/>
                <w:szCs w:val="22"/>
                <w:lang w:val="zh-CN"/>
              </w:rPr>
              <w:t>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000000" w:themeColor="text1"/>
                <w:kern w:val="0"/>
                <w:sz w:val="22"/>
                <w:szCs w:val="22"/>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000000" w:themeColor="text1"/>
                <w:kern w:val="0"/>
                <w:sz w:val="22"/>
                <w:szCs w:val="22"/>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sz w:val="22"/>
                <w:szCs w:val="22"/>
                <w:lang w:val="zh-CN"/>
              </w:rPr>
            </w:pPr>
            <w:r>
              <w:rPr>
                <w:rFonts w:hint="eastAsia" w:asciiTheme="minorEastAsia" w:hAnsiTheme="minorEastAsia" w:eastAsiaTheme="minorEastAsia" w:cstheme="minorEastAsia"/>
                <w:color w:val="000000" w:themeColor="text1"/>
                <w:sz w:val="22"/>
                <w:szCs w:val="22"/>
              </w:rPr>
              <w:t>报价唯一</w:t>
            </w:r>
          </w:p>
        </w:tc>
        <w:tc>
          <w:tcPr>
            <w:tcW w:w="5409"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sz w:val="22"/>
                <w:szCs w:val="22"/>
              </w:rPr>
              <w:t>只能有一个有效报价，不得提交选择性报价。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67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2</w:t>
            </w:r>
          </w:p>
        </w:tc>
        <w:tc>
          <w:tcPr>
            <w:tcW w:w="1560"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完整性审查</w:t>
            </w: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sz w:val="22"/>
                <w:szCs w:val="22"/>
              </w:rPr>
              <w:t>响应</w:t>
            </w:r>
            <w:r>
              <w:rPr>
                <w:rFonts w:hint="eastAsia" w:asciiTheme="minorEastAsia" w:hAnsiTheme="minorEastAsia" w:eastAsiaTheme="minorEastAsia" w:cstheme="minorEastAsia"/>
                <w:color w:val="000000" w:themeColor="text1"/>
                <w:sz w:val="22"/>
                <w:szCs w:val="22"/>
                <w:lang w:val="zh-CN"/>
              </w:rPr>
              <w:t>文件份数</w:t>
            </w:r>
          </w:p>
          <w:p>
            <w:pPr>
              <w:spacing w:line="400" w:lineRule="exact"/>
              <w:rPr>
                <w:rFonts w:hint="eastAsia" w:asciiTheme="minorEastAsia" w:hAnsiTheme="minorEastAsia" w:eastAsiaTheme="minorEastAsia" w:cstheme="minorEastAsia"/>
                <w:color w:val="000000" w:themeColor="text1"/>
                <w:kern w:val="0"/>
                <w:sz w:val="22"/>
                <w:szCs w:val="22"/>
              </w:rPr>
            </w:pPr>
          </w:p>
        </w:tc>
        <w:tc>
          <w:tcPr>
            <w:tcW w:w="5409"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sz w:val="22"/>
                <w:szCs w:val="22"/>
              </w:rPr>
              <w:t>响应</w:t>
            </w:r>
            <w:r>
              <w:rPr>
                <w:rFonts w:hint="eastAsia" w:asciiTheme="minorEastAsia" w:hAnsiTheme="minorEastAsia" w:eastAsiaTheme="minorEastAsia" w:cstheme="minorEastAsia"/>
                <w:color w:val="000000" w:themeColor="text1"/>
                <w:sz w:val="22"/>
                <w:szCs w:val="22"/>
                <w:lang w:val="zh-CN"/>
              </w:rPr>
              <w:t>文件正、副本、电子文档数量符合</w:t>
            </w:r>
            <w:r>
              <w:rPr>
                <w:rFonts w:hint="eastAsia" w:asciiTheme="minorEastAsia" w:hAnsiTheme="minorEastAsia" w:eastAsiaTheme="minorEastAsia" w:cstheme="minorEastAsia"/>
                <w:color w:val="000000" w:themeColor="text1"/>
                <w:sz w:val="22"/>
                <w:szCs w:val="22"/>
              </w:rPr>
              <w:t>询价采购文件</w:t>
            </w:r>
            <w:r>
              <w:rPr>
                <w:rFonts w:hint="eastAsia" w:asciiTheme="minorEastAsia" w:hAnsiTheme="minorEastAsia" w:eastAsiaTheme="minorEastAsia" w:cstheme="minorEastAsia"/>
                <w:color w:val="000000" w:themeColor="text1"/>
                <w:sz w:val="22"/>
                <w:szCs w:val="22"/>
                <w:lang w:val="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3</w:t>
            </w:r>
          </w:p>
        </w:tc>
        <w:tc>
          <w:tcPr>
            <w:tcW w:w="1560"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sz w:val="22"/>
                <w:szCs w:val="22"/>
                <w:lang w:val="zh-CN"/>
              </w:rPr>
            </w:pPr>
            <w:r>
              <w:rPr>
                <w:rFonts w:hint="eastAsia" w:asciiTheme="minorEastAsia" w:hAnsiTheme="minorEastAsia" w:eastAsiaTheme="minorEastAsia" w:cstheme="minorEastAsia"/>
                <w:color w:val="000000" w:themeColor="text1"/>
                <w:kern w:val="0"/>
                <w:sz w:val="22"/>
                <w:szCs w:val="22"/>
              </w:rPr>
              <w:t>询价采购文件的响应程度审查</w:t>
            </w: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响应文件内容</w:t>
            </w:r>
          </w:p>
        </w:tc>
        <w:tc>
          <w:tcPr>
            <w:tcW w:w="5409" w:type="dxa"/>
            <w:tcBorders>
              <w:top w:val="single" w:color="auto" w:sz="4" w:space="0"/>
              <w:left w:val="single" w:color="auto" w:sz="4" w:space="0"/>
              <w:bottom w:val="single" w:color="auto" w:sz="4" w:space="0"/>
              <w:right w:val="single" w:color="auto" w:sz="4" w:space="0"/>
            </w:tcBorders>
            <w:vAlign w:val="center"/>
          </w:tcPr>
          <w:p>
            <w:pPr>
              <w:pStyle w:val="31"/>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对询价采购文件第三篇、第四篇规定的询价内容作出响应。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000000" w:themeColor="text1"/>
                <w:kern w:val="0"/>
                <w:sz w:val="22"/>
                <w:szCs w:val="22"/>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000000" w:themeColor="text1"/>
                <w:sz w:val="22"/>
                <w:szCs w:val="22"/>
                <w:lang w:val="zh-CN"/>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询价有效期</w:t>
            </w:r>
          </w:p>
        </w:tc>
        <w:tc>
          <w:tcPr>
            <w:tcW w:w="5409"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满足询价采购文件</w:t>
            </w:r>
            <w:r>
              <w:rPr>
                <w:rFonts w:hint="eastAsia" w:asciiTheme="minorEastAsia" w:hAnsiTheme="minorEastAsia" w:eastAsiaTheme="minorEastAsia" w:cstheme="minorEastAsia"/>
                <w:color w:val="000000" w:themeColor="text1"/>
                <w:sz w:val="22"/>
                <w:szCs w:val="22"/>
                <w:lang w:val="zh-CN"/>
              </w:rPr>
              <w:t>规定。</w:t>
            </w:r>
          </w:p>
        </w:tc>
      </w:tr>
    </w:tbl>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（3）在询价过程中询价的任何一方不得向他人透露与询价有关的技术资料、价格或其他信息。</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（四）对技术和服务部分的评审</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1、第三篇 询价项目技术需求”有一条及以上不能满足询价采购文件要求的供应商将失去成为成交供应商资格；</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2、第四篇 询价项目服务需求”有一条及以上不能满足询价采购文件要求的供应商将失去成为成交供应商资格。</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（五）政策性扣减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1.关于促进中小企业发展政策性扣减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1.1政策性扣减范围</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1.1.1供应商符合小型、微型企业或监狱企业条件的，其最后报价将按相应比例进行扣减。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1.1.2依照&lt;关于印发《政府采购促进中小企业发展暂行办法》的通知&gt;（财库〔2011〕181号）及《重庆市政府采购促进中小企业发展若干规定》（渝财采购〔2016〕12号）之规定，小型、微型企业应当同时符合以下条件：</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1.1.2.1本企业符合中小企业划分标准（中小企业划分标准是指国务院有关部门根据企业从业人员、营业收入、资产总额等指标制定的中小企业划型标准（工信部联企业〔2011〕300号）），须提供相关证明文件（具体要求见询价采购文件第六篇）。</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1.1.1.2提供本企业制造的货物、承担的工程或者服务，或者提供其他中小企业制造的货物，不包括提供或使用大型企业注册商标的货物。</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1.1.2.3小型、微型企业提供中型企业制造的货物的，视同为中型企业；小型、微型、中型企业提供大型企业制造的货物的，视同为大型企业。</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1.1.3依照&lt;财政部、司法部关于政府采购支持监狱企业发展有关问题的通知&gt;（财库〔2014〕68号）之规定，监狱企业应当符合以下条件：</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1.1.3.1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1.1.3.2监狱企业参加政府采购活动时，视同小型、微型企业，应当提供由省级以上监狱管理局、戒毒管理局（含新疆生产建设兵团）出具的属于监狱企业的证明文件。</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  政策性扣减方式：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1.2.1供应商为非联合体参与询价的情况：</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1.2.1.1在报价的基础上，小型企业或达到小型企业划分标准的监狱企业，按“报价×6%”进行扣减；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1.2.1.2在报价的基础上，注册资金在十五万元以上的微型企业或注册资金在十五万元以上达到微型企业划分标准的监狱企业，按“报价×8%”进行扣减；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1.2.1.3在报价的基础上，注册资金在十五万元以下的微型企业或注册资金在十五万元以下达到微型企业划分标准的监狱企业，按“报价×10%”进行扣减。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2.关于落实国家节能环保政策的政策性扣减</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2.1投标产品有一款进入当期节能清单的，其评审价=投标报价×（1-1%）,最多扣减3%;</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2.2投标产品有一款进入当期环保清单的，其评审价=投标报价×（1-0.5%），最多扣减1%；</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2.3所有投标产品的原产地在西部地区的，其评审价=投标报价×（1-1%）。</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bookmarkStart w:id="63" w:name="_Toc102227320"/>
      <w:bookmarkStart w:id="64" w:name="_Toc525118428"/>
      <w:bookmarkStart w:id="65" w:name="_Toc24089"/>
      <w:bookmarkStart w:id="66" w:name="_Toc342913394"/>
      <w:bookmarkStart w:id="67" w:name="_Toc487204784"/>
      <w:bookmarkStart w:id="68" w:name="_Toc23789"/>
      <w:bookmarkStart w:id="69" w:name="_Toc426965635"/>
      <w:r>
        <w:rPr>
          <w:rFonts w:hint="eastAsia" w:asciiTheme="minorEastAsia" w:hAnsiTheme="minorEastAsia" w:eastAsiaTheme="minorEastAsia" w:cstheme="minorEastAsia"/>
          <w:color w:val="000000" w:themeColor="text1"/>
          <w:sz w:val="24"/>
          <w:szCs w:val="24"/>
        </w:rPr>
        <w:t>（六）成交</w:t>
      </w:r>
      <w:bookmarkEnd w:id="63"/>
      <w:r>
        <w:rPr>
          <w:rFonts w:hint="eastAsia" w:asciiTheme="minorEastAsia" w:hAnsiTheme="minorEastAsia" w:eastAsiaTheme="minorEastAsia" w:cstheme="minorEastAsia"/>
          <w:color w:val="000000" w:themeColor="text1"/>
          <w:sz w:val="24"/>
          <w:szCs w:val="24"/>
        </w:rPr>
        <w:t>标准</w:t>
      </w:r>
      <w:bookmarkEnd w:id="64"/>
      <w:bookmarkEnd w:id="65"/>
      <w:bookmarkEnd w:id="66"/>
      <w:bookmarkEnd w:id="67"/>
      <w:bookmarkEnd w:id="68"/>
      <w:bookmarkEnd w:id="69"/>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询价小组将依照本询价采购文件相关规定对质量和服务均能满足询价实质性响应要求的供应商所提交的报价进行政策性扣减，并依据扣减后的价格按照由低到高的顺序提出3名以上成交候选人，并编写评审报告。</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2、若供应商的报价经扣减后价格相同，按技术参数（条款）的优劣顺序排列；以上都相同的，按服务条款的优劣顺序排列。</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3、成交价格=成交供应商的询价报价</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询价小组认为，排在前面的成交候选人的报价或者某些分项报价明显不合理或者低于成本，有可能影响商品质量和不能诚信履约的，将要求其在规定的期限内提供书面文件予以解释说明，并提交相关证明材料；否则，询价小组可以取消该成交候选人成为成交供应商的资格，按顺序由排在后面的成交候选人递补，以此类推。</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采取采购人确定成交供应商的，采购代理机构应当在评审结束后2个工作日内将评审报告送采购人确认。采购人应当在收到评审报告后5个工作日内，从评审报告提出的成交候选人中，根据质量和服务均能满足询价采购文件实质性响应要求且报价最低的原则确定成交供应商，也可以书面授权询价小组直接确定成交供应商。采购人逾期未确定成交供应商且不提出异议的，视为确定评审报告提出的报价最低的供应商为成交供应商。采购人也可以书面授权小组直接确定成交供应商。</w:t>
      </w:r>
    </w:p>
    <w:p>
      <w:pPr>
        <w:snapToGrid w:val="0"/>
        <w:spacing w:line="400" w:lineRule="exact"/>
        <w:ind w:firstLine="400" w:firstLineChars="167"/>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6、成交供应商的变更</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6.1成交供应商拒绝签订政府采购合同的，采购人可以按照评审报告推荐的成交候选人顺序，确定排名下一位的候选人为成交供应商，也可以重新开展政府采购活动。拒绝签订政府采购合同的成交供应商不得参加对该项目重新开展的采购活动。</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6.2成交供应商无充分理由放弃成交的，采购人将会同采购代理机构把相关情况报财政部门，财政部门将根据财政部十八号令第七十五条的规定对违规供应商进行处罚。</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7.出现下列情形之一的，采购人或者采购代理机构应当终止询价采购活动，发布项目终止公告并说明原因，重新开展采购活动：</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7.1因情况变化，不再符合规定的询价采购方式适用情形的；</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7.2出现影响采购公正的违法、违规行为的；</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7.3在采购过程中符合竞争要求的供应商或者报价未超过采购预算的供应商不足3家的。</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70" w:name="_Toc31436"/>
      <w:r>
        <w:rPr>
          <w:rFonts w:hint="eastAsia" w:asciiTheme="minorEastAsia" w:hAnsiTheme="minorEastAsia" w:eastAsiaTheme="minorEastAsia" w:cstheme="minorEastAsia"/>
          <w:color w:val="000000" w:themeColor="text1"/>
          <w:sz w:val="24"/>
          <w:szCs w:val="24"/>
        </w:rPr>
        <w:t>五、评审依据</w:t>
      </w:r>
      <w:bookmarkEnd w:id="70"/>
    </w:p>
    <w:p>
      <w:pPr>
        <w:spacing w:line="400" w:lineRule="exact"/>
        <w:ind w:firstLine="480" w:firstLineChars="2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评审的依据为询价采购文件和响应文件（含有效的补充文件）。询价小组判断响应文件对询价采购文件的响应，仅基于响应文件本身而不靠外部证据。</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71" w:name="_Toc487204785"/>
      <w:bookmarkStart w:id="72" w:name="_Toc342913395"/>
      <w:bookmarkStart w:id="73" w:name="_Toc426965636"/>
      <w:bookmarkStart w:id="74" w:name="_Toc102227321"/>
      <w:bookmarkStart w:id="75" w:name="_Toc8122"/>
      <w:r>
        <w:rPr>
          <w:rFonts w:hint="eastAsia" w:asciiTheme="minorEastAsia" w:hAnsiTheme="minorEastAsia" w:eastAsiaTheme="minorEastAsia" w:cstheme="minorEastAsia"/>
          <w:color w:val="000000" w:themeColor="text1"/>
          <w:sz w:val="24"/>
          <w:szCs w:val="24"/>
        </w:rPr>
        <w:t>六、成交通知</w:t>
      </w:r>
      <w:bookmarkEnd w:id="71"/>
      <w:bookmarkEnd w:id="72"/>
      <w:bookmarkEnd w:id="73"/>
      <w:bookmarkEnd w:id="74"/>
      <w:bookmarkEnd w:id="75"/>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（一）成交供应商确定后，采购代理机构将在重庆市政府采购网发布结果公告。</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（二）结果公告发出同时，采购代理机构将以书面形式发出《成交通知书》。《成交通知书》一经发出即发生法律效力。</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（三）《成交通知书》将作为签订合同的依据。</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（四）如有供应商对成交结果提出质疑的，在质疑处理完毕后发出成交通知书。</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76" w:name="_Toc426965637"/>
      <w:bookmarkStart w:id="77" w:name="_Toc487204786"/>
      <w:bookmarkStart w:id="78" w:name="_Toc15214"/>
      <w:r>
        <w:rPr>
          <w:rFonts w:hint="eastAsia" w:asciiTheme="minorEastAsia" w:hAnsiTheme="minorEastAsia" w:eastAsiaTheme="minorEastAsia" w:cstheme="minorEastAsia"/>
          <w:color w:val="000000" w:themeColor="text1"/>
          <w:sz w:val="24"/>
          <w:szCs w:val="24"/>
        </w:rPr>
        <w:t>七、关于质疑和投诉</w:t>
      </w:r>
      <w:bookmarkEnd w:id="76"/>
      <w:bookmarkEnd w:id="77"/>
      <w:bookmarkEnd w:id="78"/>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bookmarkStart w:id="79" w:name="_Toc102227322"/>
      <w:bookmarkStart w:id="80" w:name="_Toc342913396"/>
      <w:bookmarkStart w:id="81" w:name="_Toc487204787"/>
      <w:bookmarkStart w:id="82" w:name="_Toc426965638"/>
      <w:r>
        <w:rPr>
          <w:rFonts w:hint="eastAsia" w:asciiTheme="minorEastAsia" w:hAnsiTheme="minorEastAsia" w:eastAsiaTheme="minorEastAsia" w:cstheme="minorEastAsia"/>
          <w:color w:val="000000" w:themeColor="text1"/>
          <w:sz w:val="24"/>
          <w:szCs w:val="24"/>
        </w:rPr>
        <w:t>（一）质疑</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供应商认为采购文件、采购过程和成交结果使自己的权益收到伤害的，可向采购人或采购代理机构以书面形式提出质疑。</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提出质疑的应当是参与所质疑项目采购活动的供应商。 </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1.质疑时限、内容</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1.1供应商认为采购文件、采购过程、成交结果使自己的权益受到损害的，可以在知道或者应知其权益受到损害之日起7个工作日内，以书面形式向采购人、采购代理机构提出质疑。</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1.2供应商提出质疑应当提交质疑函和必要的证明材料，质疑函应当包括下列内容：</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1.2.1供应商的姓名或者名称、地址、邮编、联系人及联系电话；</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1.2.2质疑项目的名称、项目号以及采购项目编号；</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1.2.3具体、明确的质疑事项和与质疑事项相关的请求；</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1.2.4事实依据；</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1.2.5必要的法律依据；</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1.2.6提出质疑的日期；</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1.2.7营业执照（或事业单位法人证书，或个体工商户营业执照或有效的自然人身份证明、组织机构代码证）复印件；</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1.2.8法定代表人授权委托书原件、法定代表人身份证复印件和其授权代表的身份证复印件（供应商为自然人的提供自然人身份证复印件）；</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1.3供应商为自然人的，质疑函应当由本人签字；供应商为法人或者其他组织的，质疑函应当由法定代表人、主要负责人，或者其授权代表签字或者盖章，并加盖公章。</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2.质疑答复</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采购人、采购代理机构应当在收到供应商的书面质疑后七个工作日内作出答复，并以书面形式通知质疑供应商和其他有关供应商。</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3.其他</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3.1供应商应按照《政府采购质疑和投诉办法》（财政部令第94号）及相关法律法规要求，在法定质疑期内一次性提出针对同一采购程序环节的质疑。</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3.2质疑函范本可在财政部门户网站和中国政府采购网下载。</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（二）投诉</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 供应商对采购人、采购代理机构的答复不满意，或者采购人、采购代理机构未在规定时间内作出答复的，可以在答复期满后15个工作日内按照相关法律法规向财政部门提起投诉。</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 供应商应按照《政府采购质疑和投诉办法》（财政部令第94号）及相关法律法规要求递交投诉书和必要的证明材料。投诉书范本可在财政部门户网站和中国政府采购网下载。</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投诉书应当使用中文，相关当事人提供外文书证或者外国语视听资料的，应当附有中文译本，由翻译机构盖章或者翻译人员签名；相关当事人向财政部门提供的在中华人民共和国领域外形成的证据，应当说明来源，经所在国公证机关证明，并经中华人民共和国驻该国使领馆认证，或者履行中华人民共和国与证据所在国订立的有关条约中规定的证明手续；相关当事人提供的在香港特别行政区、澳门特别行政区和台湾地区内形成的证据，应当履行相关的证明手续。</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4.在确定受理投诉后，财政部门自受理投诉之日起30个工作日内（需要检验、检测、鉴定、专家评审以及需要投诉人补正材料的，所需时间不计算在投诉处理期限内）对投诉事项做出处理决定。</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83" w:name="_Toc17230"/>
      <w:r>
        <w:rPr>
          <w:rFonts w:hint="eastAsia" w:asciiTheme="minorEastAsia" w:hAnsiTheme="minorEastAsia" w:eastAsiaTheme="minorEastAsia" w:cstheme="minorEastAsia"/>
          <w:color w:val="000000" w:themeColor="text1"/>
          <w:sz w:val="24"/>
          <w:szCs w:val="24"/>
        </w:rPr>
        <w:t>八、签订</w:t>
      </w:r>
      <w:bookmarkEnd w:id="79"/>
      <w:r>
        <w:rPr>
          <w:rFonts w:hint="eastAsia" w:asciiTheme="minorEastAsia" w:hAnsiTheme="minorEastAsia" w:eastAsiaTheme="minorEastAsia" w:cstheme="minorEastAsia"/>
          <w:color w:val="000000" w:themeColor="text1"/>
          <w:sz w:val="24"/>
          <w:szCs w:val="24"/>
        </w:rPr>
        <w:t>合同</w:t>
      </w:r>
      <w:bookmarkEnd w:id="80"/>
      <w:bookmarkEnd w:id="81"/>
      <w:bookmarkEnd w:id="82"/>
      <w:bookmarkEnd w:id="83"/>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（一）采购人与成交供应商应当在成交通知书发出之日起30日内，按照询价采购文件确定的合同文本以及采购标的、规格型号、采购金额、采购数量、技术和服务要求等事项签订政府采购合同。</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（二）询价采购文件、成交供应商的响应文件及有效承诺文件等，均为签订合同的依据。</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（三）如成交供应商放弃成交项目或在签订合同时擅自改变成交状态的，采购人将按照相关法律法规处理。</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采购人不得向成交供应商提出超出询价以外的任何要求作为签订合同的条件，不得与成交供应商订立背离询价确定的合同文本以及采购标的、规格型号、采购金额、采购数量、技术和服务要求等实质性内容的协议。</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（五）除不可抗力等因素外，成交通知书发出后，采购人改变成交结果，或者成交供应商拒绝签订政府采购合同的，应当承担相应的法律责任。</w:t>
      </w:r>
    </w:p>
    <w:p>
      <w:pPr>
        <w:spacing w:line="380" w:lineRule="exact"/>
        <w:rPr>
          <w:rFonts w:hint="eastAsia" w:asciiTheme="minorEastAsia" w:hAnsiTheme="minorEastAsia" w:eastAsiaTheme="minorEastAsia" w:cstheme="minorEastAsia"/>
          <w:color w:val="000000" w:themeColor="text1"/>
          <w:sz w:val="24"/>
          <w:szCs w:val="24"/>
        </w:rPr>
        <w:sectPr>
          <w:headerReference r:id="rId4" w:type="default"/>
          <w:footerReference r:id="rId5" w:type="default"/>
          <w:pgSz w:w="11907" w:h="16840"/>
          <w:pgMar w:top="1134" w:right="1191" w:bottom="1021" w:left="1304" w:header="964" w:footer="992" w:gutter="0"/>
          <w:pgNumType w:fmt="numberInDash" w:start="1"/>
          <w:cols w:space="720" w:num="1"/>
          <w:docGrid w:linePitch="312" w:charSpace="0"/>
        </w:sectPr>
      </w:pPr>
    </w:p>
    <w:p>
      <w:pPr>
        <w:pStyle w:val="5"/>
        <w:spacing w:before="0" w:after="0" w:line="600" w:lineRule="exact"/>
        <w:jc w:val="center"/>
        <w:rPr>
          <w:rFonts w:hint="eastAsia" w:asciiTheme="minorEastAsia" w:hAnsiTheme="minorEastAsia" w:eastAsiaTheme="minorEastAsia" w:cstheme="minorEastAsia"/>
          <w:color w:val="000000" w:themeColor="text1"/>
          <w:sz w:val="24"/>
          <w:szCs w:val="24"/>
        </w:rPr>
      </w:pPr>
      <w:bookmarkStart w:id="84" w:name="_Toc487204788"/>
      <w:bookmarkStart w:id="85" w:name="_Toc27495"/>
      <w:r>
        <w:rPr>
          <w:rFonts w:hint="eastAsia" w:asciiTheme="minorEastAsia" w:hAnsiTheme="minorEastAsia" w:eastAsiaTheme="minorEastAsia" w:cstheme="minorEastAsia"/>
          <w:color w:val="000000" w:themeColor="text1"/>
          <w:szCs w:val="32"/>
        </w:rPr>
        <w:t>第三篇 询价项目技术要求</w:t>
      </w:r>
      <w:bookmarkEnd w:id="84"/>
      <w:bookmarkEnd w:id="85"/>
      <w:bookmarkStart w:id="86" w:name="_Toc344475116"/>
      <w:bookmarkStart w:id="87" w:name="_Toc313536013"/>
    </w:p>
    <w:p>
      <w:pPr>
        <w:pStyle w:val="6"/>
        <w:spacing w:before="0" w:after="0" w:line="340" w:lineRule="exact"/>
        <w:rPr>
          <w:rFonts w:hint="eastAsia" w:asciiTheme="minorEastAsia" w:hAnsiTheme="minorEastAsia" w:eastAsiaTheme="minorEastAsia" w:cstheme="minorEastAsia"/>
          <w:color w:val="000000" w:themeColor="text1"/>
          <w:sz w:val="24"/>
          <w:szCs w:val="24"/>
        </w:rPr>
      </w:pPr>
      <w:bookmarkStart w:id="88" w:name="_Toc478"/>
      <w:r>
        <w:rPr>
          <w:rFonts w:hint="eastAsia" w:asciiTheme="minorEastAsia" w:hAnsiTheme="minorEastAsia" w:eastAsiaTheme="minorEastAsia" w:cstheme="minorEastAsia"/>
          <w:color w:val="000000" w:themeColor="text1"/>
          <w:sz w:val="24"/>
          <w:szCs w:val="24"/>
        </w:rPr>
        <w:t>一、采购内容一览表</w:t>
      </w:r>
      <w:bookmarkEnd w:id="88"/>
    </w:p>
    <w:tbl>
      <w:tblPr>
        <w:tblStyle w:val="51"/>
        <w:tblW w:w="10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9"/>
        <w:gridCol w:w="885"/>
        <w:gridCol w:w="6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3199" w:type="dxa"/>
            <w:tcBorders>
              <w:top w:val="single" w:color="auto" w:sz="4" w:space="0"/>
              <w:left w:val="single" w:color="auto"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b/>
                <w:bCs/>
                <w:color w:val="000000" w:themeColor="text1"/>
                <w:kern w:val="0"/>
                <w:sz w:val="24"/>
                <w:szCs w:val="24"/>
              </w:rPr>
            </w:pPr>
            <w:r>
              <w:rPr>
                <w:rFonts w:hint="eastAsia" w:asciiTheme="minorEastAsia" w:hAnsiTheme="minorEastAsia" w:eastAsiaTheme="minorEastAsia" w:cstheme="minorEastAsia"/>
                <w:b/>
                <w:bCs/>
                <w:color w:val="000000" w:themeColor="text1"/>
                <w:kern w:val="0"/>
                <w:sz w:val="24"/>
                <w:szCs w:val="24"/>
              </w:rPr>
              <w:t>采购内容</w:t>
            </w:r>
          </w:p>
        </w:tc>
        <w:tc>
          <w:tcPr>
            <w:tcW w:w="885" w:type="dxa"/>
            <w:tcBorders>
              <w:top w:val="single" w:color="auto" w:sz="4" w:space="0"/>
              <w:left w:val="single" w:color="auto"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b/>
                <w:bCs/>
                <w:color w:val="000000" w:themeColor="text1"/>
                <w:kern w:val="0"/>
                <w:sz w:val="24"/>
                <w:szCs w:val="24"/>
              </w:rPr>
            </w:pPr>
            <w:r>
              <w:rPr>
                <w:rFonts w:hint="eastAsia" w:asciiTheme="minorEastAsia" w:hAnsiTheme="minorEastAsia" w:eastAsiaTheme="minorEastAsia" w:cstheme="minorEastAsia"/>
                <w:b/>
                <w:bCs/>
                <w:color w:val="000000" w:themeColor="text1"/>
                <w:kern w:val="0"/>
                <w:sz w:val="24"/>
                <w:szCs w:val="24"/>
              </w:rPr>
              <w:t>数量</w:t>
            </w:r>
          </w:p>
        </w:tc>
        <w:tc>
          <w:tcPr>
            <w:tcW w:w="6596" w:type="dxa"/>
            <w:tcBorders>
              <w:top w:val="single" w:color="auto" w:sz="4" w:space="0"/>
              <w:left w:val="single" w:color="auto"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b/>
                <w:bCs/>
                <w:color w:val="000000" w:themeColor="text1"/>
                <w:kern w:val="0"/>
                <w:sz w:val="24"/>
                <w:szCs w:val="24"/>
              </w:rPr>
            </w:pPr>
            <w:r>
              <w:rPr>
                <w:rFonts w:hint="eastAsia" w:asciiTheme="minorEastAsia" w:hAnsiTheme="minorEastAsia" w:eastAsiaTheme="minorEastAsia" w:cstheme="minorEastAsia"/>
                <w:b/>
                <w:bCs/>
                <w:color w:val="000000" w:themeColor="text1"/>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3199" w:type="dxa"/>
            <w:tcBorders>
              <w:left w:val="single" w:color="auto"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color w:val="000000" w:themeColor="text1"/>
                <w:kern w:val="0"/>
                <w:sz w:val="24"/>
                <w:szCs w:val="24"/>
                <w:lang w:eastAsia="zh-CN"/>
              </w:rPr>
              <w:t>重庆市体育运动学校新校建设多媒体设施设备采购</w:t>
            </w:r>
          </w:p>
        </w:tc>
        <w:tc>
          <w:tcPr>
            <w:tcW w:w="885" w:type="dxa"/>
            <w:tcBorders>
              <w:left w:val="single" w:color="auto" w:sz="4" w:space="0"/>
              <w:right w:val="single" w:color="auto" w:sz="4" w:space="0"/>
            </w:tcBorders>
            <w:vAlign w:val="center"/>
          </w:tcPr>
          <w:p>
            <w:pPr>
              <w:spacing w:line="340" w:lineRule="exact"/>
              <w:jc w:val="center"/>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1批</w:t>
            </w:r>
          </w:p>
        </w:tc>
        <w:tc>
          <w:tcPr>
            <w:tcW w:w="659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本项目竞标产品必须为中国大陆境内生产</w:t>
            </w:r>
          </w:p>
        </w:tc>
      </w:tr>
    </w:tbl>
    <w:p>
      <w:pPr>
        <w:pStyle w:val="6"/>
        <w:spacing w:before="0" w:after="0" w:line="340" w:lineRule="exact"/>
        <w:rPr>
          <w:rFonts w:hint="eastAsia" w:asciiTheme="minorEastAsia" w:hAnsiTheme="minorEastAsia" w:eastAsiaTheme="minorEastAsia" w:cstheme="minorEastAsia"/>
          <w:color w:val="000000" w:themeColor="text1"/>
          <w:sz w:val="24"/>
          <w:szCs w:val="24"/>
        </w:rPr>
      </w:pPr>
    </w:p>
    <w:p>
      <w:pPr>
        <w:pStyle w:val="6"/>
        <w:numPr>
          <w:ilvl w:val="0"/>
          <w:numId w:val="1"/>
        </w:numPr>
        <w:spacing w:before="0" w:after="0" w:line="340" w:lineRule="exact"/>
        <w:rPr>
          <w:rFonts w:hint="eastAsia" w:asciiTheme="minorEastAsia" w:hAnsiTheme="minorEastAsia" w:eastAsiaTheme="minorEastAsia" w:cstheme="minorEastAsia"/>
          <w:color w:val="000000" w:themeColor="text1"/>
          <w:sz w:val="24"/>
          <w:szCs w:val="24"/>
        </w:rPr>
      </w:pPr>
      <w:bookmarkStart w:id="89" w:name="_Toc26729"/>
      <w:r>
        <w:rPr>
          <w:rFonts w:hint="eastAsia" w:asciiTheme="minorEastAsia" w:hAnsiTheme="minorEastAsia" w:eastAsiaTheme="minorEastAsia" w:cstheme="minorEastAsia"/>
          <w:color w:val="000000" w:themeColor="text1"/>
          <w:sz w:val="24"/>
          <w:szCs w:val="24"/>
        </w:rPr>
        <w:t>技术规格、数量及质量要求 </w:t>
      </w:r>
      <w:bookmarkEnd w:id="89"/>
      <w:r>
        <w:rPr>
          <w:rFonts w:hint="eastAsia" w:asciiTheme="minorEastAsia" w:hAnsiTheme="minorEastAsia" w:eastAsiaTheme="minorEastAsia" w:cstheme="minorEastAsia"/>
          <w:color w:val="000000" w:themeColor="text1"/>
          <w:sz w:val="24"/>
          <w:szCs w:val="24"/>
        </w:rPr>
        <w:t xml:space="preserve"> </w:t>
      </w:r>
      <w:bookmarkEnd w:id="86"/>
      <w:bookmarkEnd w:id="87"/>
      <w:bookmarkStart w:id="90" w:name="_Toc462750561"/>
      <w:bookmarkStart w:id="91" w:name="_Toc521595309"/>
      <w:bookmarkStart w:id="92" w:name="_Toc460578324"/>
    </w:p>
    <w:p>
      <w:pPr>
        <w:widowControl/>
        <w:jc w:val="left"/>
        <w:rPr>
          <w:rFonts w:hint="eastAsia" w:asciiTheme="minorEastAsia" w:hAnsiTheme="minorEastAsia" w:eastAsiaTheme="minorEastAsia" w:cstheme="minorEastAsia"/>
          <w:color w:val="000000" w:themeColor="text1"/>
          <w:kern w:val="2"/>
          <w:sz w:val="20"/>
          <w:szCs w:val="21"/>
        </w:rPr>
      </w:pPr>
    </w:p>
    <w:p>
      <w:pPr>
        <w:widowControl/>
        <w:jc w:val="left"/>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lang w:val="en-US" w:eastAsia="zh-CN"/>
        </w:rPr>
        <w:t>一</w:t>
      </w: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rPr>
        <w:t>电视机（会议室：1台，食堂2台，宿舍2台，值班室1台）</w:t>
      </w:r>
    </w:p>
    <w:tbl>
      <w:tblPr>
        <w:tblStyle w:val="52"/>
        <w:tblW w:w="0" w:type="auto"/>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7245"/>
        <w:gridCol w:w="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品名</w:t>
            </w:r>
          </w:p>
        </w:tc>
        <w:tc>
          <w:tcPr>
            <w:tcW w:w="870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技术参数</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电视机</w:t>
            </w:r>
          </w:p>
        </w:tc>
        <w:tc>
          <w:tcPr>
            <w:tcW w:w="8700" w:type="dxa"/>
          </w:tcPr>
          <w:p>
            <w:pPr>
              <w:widowControl/>
              <w:jc w:val="lef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1、65寸  20核64位处理器，1GB/8Gb DDR4大内存，8GB/64Gb大存储eMMC高速闪存；</w:t>
            </w:r>
            <w:r>
              <w:rPr>
                <w:rFonts w:hint="eastAsia" w:asciiTheme="minorEastAsia" w:hAnsiTheme="minorEastAsia" w:eastAsiaTheme="minorEastAsia" w:cstheme="minorEastAsia"/>
                <w:color w:val="000000" w:themeColor="text1"/>
                <w:kern w:val="0"/>
                <w:sz w:val="22"/>
                <w:szCs w:val="22"/>
              </w:rPr>
              <w:br w:type="textWrapping"/>
            </w:r>
            <w:r>
              <w:rPr>
                <w:rFonts w:hint="eastAsia" w:asciiTheme="minorEastAsia" w:hAnsiTheme="minorEastAsia" w:eastAsiaTheme="minorEastAsia" w:cstheme="minorEastAsia"/>
                <w:color w:val="000000" w:themeColor="text1"/>
                <w:kern w:val="0"/>
                <w:sz w:val="22"/>
                <w:szCs w:val="22"/>
              </w:rPr>
              <w:t>2、商用定制系统，增加简易酒店功能，4k屏幕分辨率，1080P UI；</w:t>
            </w:r>
            <w:r>
              <w:rPr>
                <w:rFonts w:hint="eastAsia" w:asciiTheme="minorEastAsia" w:hAnsiTheme="minorEastAsia" w:eastAsiaTheme="minorEastAsia" w:cstheme="minorEastAsia"/>
                <w:color w:val="000000" w:themeColor="text1"/>
                <w:kern w:val="0"/>
                <w:sz w:val="22"/>
                <w:szCs w:val="22"/>
              </w:rPr>
              <w:br w:type="textWrapping"/>
            </w:r>
            <w:r>
              <w:rPr>
                <w:rFonts w:hint="eastAsia" w:asciiTheme="minorEastAsia" w:hAnsiTheme="minorEastAsia" w:eastAsiaTheme="minorEastAsia" w:cstheme="minorEastAsia"/>
                <w:color w:val="000000" w:themeColor="text1"/>
                <w:kern w:val="0"/>
                <w:sz w:val="22"/>
                <w:szCs w:val="22"/>
              </w:rPr>
              <w:t>3、单芯片一体机功能，支持杜比DD+解码，支持HDR10，区域对比提升；</w:t>
            </w:r>
            <w:r>
              <w:rPr>
                <w:rFonts w:hint="eastAsia" w:asciiTheme="minorEastAsia" w:hAnsiTheme="minorEastAsia" w:eastAsiaTheme="minorEastAsia" w:cstheme="minorEastAsia"/>
                <w:color w:val="000000" w:themeColor="text1"/>
                <w:kern w:val="0"/>
                <w:sz w:val="22"/>
                <w:szCs w:val="22"/>
              </w:rPr>
              <w:br w:type="textWrapping"/>
            </w:r>
            <w:r>
              <w:rPr>
                <w:rFonts w:hint="eastAsia" w:asciiTheme="minorEastAsia" w:hAnsiTheme="minorEastAsia" w:eastAsiaTheme="minorEastAsia" w:cstheme="minorEastAsia"/>
                <w:color w:val="000000" w:themeColor="text1"/>
                <w:kern w:val="0"/>
                <w:sz w:val="22"/>
                <w:szCs w:val="22"/>
              </w:rPr>
              <w:t>4、支持4k*2k10bit@60FPS H.265解码；</w:t>
            </w:r>
            <w:r>
              <w:rPr>
                <w:rFonts w:hint="eastAsia" w:asciiTheme="minorEastAsia" w:hAnsiTheme="minorEastAsia" w:eastAsiaTheme="minorEastAsia" w:cstheme="minorEastAsia"/>
                <w:color w:val="000000" w:themeColor="text1"/>
                <w:kern w:val="0"/>
                <w:sz w:val="22"/>
                <w:szCs w:val="22"/>
              </w:rPr>
              <w:br w:type="textWrapping"/>
            </w:r>
            <w:r>
              <w:rPr>
                <w:rFonts w:hint="eastAsia" w:asciiTheme="minorEastAsia" w:hAnsiTheme="minorEastAsia" w:eastAsiaTheme="minorEastAsia" w:cstheme="minorEastAsia"/>
                <w:color w:val="000000" w:themeColor="text1"/>
                <w:kern w:val="0"/>
                <w:sz w:val="22"/>
                <w:szCs w:val="22"/>
              </w:rPr>
              <w:t>5、内置wifi，在接入有线网络情况下，支持wifi热点功能；</w:t>
            </w:r>
            <w:r>
              <w:rPr>
                <w:rFonts w:hint="eastAsia" w:asciiTheme="minorEastAsia" w:hAnsiTheme="minorEastAsia" w:eastAsiaTheme="minorEastAsia" w:cstheme="minorEastAsia"/>
                <w:color w:val="000000" w:themeColor="text1"/>
                <w:kern w:val="0"/>
                <w:sz w:val="22"/>
                <w:szCs w:val="22"/>
              </w:rPr>
              <w:br w:type="textWrapping"/>
            </w:r>
            <w:r>
              <w:rPr>
                <w:rFonts w:hint="eastAsia" w:asciiTheme="minorEastAsia" w:hAnsiTheme="minorEastAsia" w:eastAsiaTheme="minorEastAsia" w:cstheme="minorEastAsia"/>
                <w:color w:val="000000" w:themeColor="text1"/>
                <w:kern w:val="0"/>
                <w:sz w:val="22"/>
                <w:szCs w:val="22"/>
              </w:rPr>
              <w:t>6、支持Airpaly，Miracast、DLNA等无线传输协议实现多屏互动；</w:t>
            </w:r>
            <w:r>
              <w:rPr>
                <w:rFonts w:hint="eastAsia" w:asciiTheme="minorEastAsia" w:hAnsiTheme="minorEastAsia" w:eastAsiaTheme="minorEastAsia" w:cstheme="minorEastAsia"/>
                <w:color w:val="000000" w:themeColor="text1"/>
                <w:kern w:val="0"/>
                <w:sz w:val="22"/>
                <w:szCs w:val="22"/>
              </w:rPr>
              <w:br w:type="textWrapping"/>
            </w:r>
            <w:r>
              <w:rPr>
                <w:rFonts w:hint="eastAsia" w:asciiTheme="minorEastAsia" w:hAnsiTheme="minorEastAsia" w:eastAsiaTheme="minorEastAsia" w:cstheme="minorEastAsia"/>
                <w:color w:val="000000" w:themeColor="text1"/>
                <w:kern w:val="0"/>
                <w:sz w:val="22"/>
                <w:szCs w:val="22"/>
              </w:rPr>
              <w:t>7、支持扩展到2T USB；</w:t>
            </w:r>
            <w:r>
              <w:rPr>
                <w:rFonts w:hint="eastAsia" w:asciiTheme="minorEastAsia" w:hAnsiTheme="minorEastAsia" w:eastAsiaTheme="minorEastAsia" w:cstheme="minorEastAsia"/>
                <w:color w:val="000000" w:themeColor="text1"/>
                <w:kern w:val="0"/>
                <w:sz w:val="22"/>
                <w:szCs w:val="22"/>
                <w:lang w:val="en-US" w:eastAsia="zh-CN"/>
              </w:rPr>
              <w:t xml:space="preserve"> </w:t>
            </w:r>
            <w:r>
              <w:rPr>
                <w:rFonts w:hint="eastAsia" w:asciiTheme="minorEastAsia" w:hAnsiTheme="minorEastAsia" w:eastAsiaTheme="minorEastAsia" w:cstheme="minorEastAsia"/>
                <w:color w:val="000000" w:themeColor="text1"/>
                <w:kern w:val="0"/>
                <w:sz w:val="22"/>
                <w:szCs w:val="22"/>
              </w:rPr>
              <w:br w:type="textWrapping"/>
            </w:r>
            <w:r>
              <w:rPr>
                <w:rFonts w:hint="eastAsia" w:asciiTheme="minorEastAsia" w:hAnsiTheme="minorEastAsia" w:eastAsiaTheme="minorEastAsia" w:cstheme="minorEastAsia"/>
                <w:color w:val="000000" w:themeColor="text1"/>
                <w:kern w:val="0"/>
                <w:sz w:val="22"/>
                <w:szCs w:val="22"/>
              </w:rPr>
              <w:t>8、4k影院音效；</w:t>
            </w:r>
            <w:r>
              <w:rPr>
                <w:rFonts w:hint="eastAsia" w:asciiTheme="minorEastAsia" w:hAnsiTheme="minorEastAsia" w:eastAsiaTheme="minorEastAsia" w:cstheme="minorEastAsia"/>
                <w:color w:val="000000" w:themeColor="text1"/>
                <w:kern w:val="0"/>
                <w:sz w:val="22"/>
                <w:szCs w:val="22"/>
              </w:rPr>
              <w:br w:type="textWrapping"/>
            </w:r>
            <w:r>
              <w:rPr>
                <w:rFonts w:hint="eastAsia" w:asciiTheme="minorEastAsia" w:hAnsiTheme="minorEastAsia" w:eastAsiaTheme="minorEastAsia" w:cstheme="minorEastAsia"/>
                <w:color w:val="000000" w:themeColor="text1"/>
                <w:kern w:val="0"/>
                <w:sz w:val="22"/>
                <w:szCs w:val="22"/>
              </w:rPr>
              <w:t>9、创维酷开系统7.0</w:t>
            </w:r>
          </w:p>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10、提供原厂安装、一年上门维护并提供厂家盖章的售后服务承诺函</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w:t>
            </w:r>
          </w:p>
        </w:tc>
      </w:tr>
    </w:tbl>
    <w:p>
      <w:pPr>
        <w:widowControl/>
        <w:jc w:val="left"/>
        <w:rPr>
          <w:rFonts w:hint="eastAsia" w:asciiTheme="minorEastAsia" w:hAnsiTheme="minorEastAsia" w:eastAsiaTheme="minorEastAsia" w:cstheme="minorEastAsia"/>
          <w:color w:val="000000" w:themeColor="text1"/>
          <w:kern w:val="0"/>
          <w:sz w:val="22"/>
          <w:szCs w:val="22"/>
        </w:rPr>
      </w:pPr>
    </w:p>
    <w:p>
      <w:pPr>
        <w:pStyle w:val="256"/>
        <w:numPr>
          <w:ilvl w:val="0"/>
          <w:numId w:val="0"/>
        </w:numPr>
        <w:ind w:left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lang w:val="en-US" w:eastAsia="zh-CN"/>
        </w:rPr>
        <w:t>二</w:t>
      </w: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rPr>
        <w:t>LED拼接屏（办公楼大厅1套、阶梯教室1套）</w:t>
      </w:r>
    </w:p>
    <w:tbl>
      <w:tblPr>
        <w:tblStyle w:val="52"/>
        <w:tblW w:w="0" w:type="auto"/>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1"/>
        <w:gridCol w:w="7200"/>
        <w:gridCol w:w="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品名</w:t>
            </w:r>
          </w:p>
        </w:tc>
        <w:tc>
          <w:tcPr>
            <w:tcW w:w="870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技术参数</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5平方米超窄边显示单元</w:t>
            </w:r>
          </w:p>
        </w:tc>
        <w:tc>
          <w:tcPr>
            <w:tcW w:w="8700" w:type="dxa"/>
          </w:tcPr>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1、显示屏幕间距小于等于2MM</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2、观看视角到达水平/垂直178度和10BIT的色彩饱和度，确保画面的输出精确和稳定，色彩饱和靓丽，屏幕更加明亮，画质更加清晰，画面衔接流畅自然，整体显示流畅完美，呈现完美的显示效果。</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3、物理分辨率1920×1080；屏幕比例为16∶9，响应时间≤12ms。物理接缝≤3.5mm。</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4、整屏画面稳定无闪烁，整屏色彩和亮度均匀性≥90%，数字显示单元亮度≥450cd/㎡，以确保多屏拼接系统的画面更为清晰鲜明，以使各个拼接液晶单元显示的所有颜色保证整墙色彩的一致性。</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5、49" 超窄边，高亮度，支持7X24小时开机使用，保证系统长时间运行，不间断工作。整个大屏幕系统具有先进性、稳定性和可扩充性，系统操作简单，维护方便，故障率低，使用寿命长；完全能够满足用户24小时、每周7天的连续运行的需要。</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6、拼接单元接口：输入：VGA≥1、分量高清≥1、BNC≥2、HDMI≥2（接口以实物照片为准）；输出: LVDS、输出分辨率1920x1080。</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7、具有一种适用于液晶拼接器自动识别编码地址的装置。（提供具有CNAS机构认可的权威实验室出具的检测报告复印件加盖原厂公章）</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8、具有一种超高分辨率高清拼接器的制作方法。（提供具有CNAS机构认可的权威实验室出具的检测报告复印件加盖原厂公章）</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9、液晶拼接显示单元制造商生产的拼接单元必须有省级质量技术监督微机产品质量检验站的检测报告。</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10、液晶拼接显示单元制造商具有中国国家环境标志产品认证证书。</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11、采用模块化板卡式设计的设计思路，输入输出端全面支持热插拔，有效减少设备的故障率，极大的提高设备稳定性。同时在发生故障时，维修也变得简单，只需要将发生故障的模块替换下即可。</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12、采用纯数字FPGA架构，处理功能强大，输入输出均可以达到1080P；最高可支持16倍高清（7680×4320像素显示）图像显示，技术支持纯数字网线接口输入；单机集成拼接控制、信号切换等基本功能 ；支持漫游、叠加、缩放拉伸，HDMI信号窗口和视频信号窗口可四层叠加显示；多达10种显示预案存储功能。</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13、采用大规模FPGA陈列式组合处理构架，全硬件设计，无CPU和操作系统。控制器集超宽带视频信号采集，实时高分辨率数字图像处理二维高阶数字滤波等高端图像处理技术于一身，具有强大的处理能力。控制器采用多总线并行处理机制，能从根本上保证对所有输入视频全实时处理，图像没有延迟，无丢帧现象。</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14、在单屏幕中可开4个窗口，所有窗口可任意漫游、叠加、缩放，最大单屏支持4层叠加；</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15、通道字符叠加；可为输入信号通道自定义名称，在拼接屏上显示输入图像的同时显示图像命名，便于辨识、管控。（提供具有CNAS机构认可的权威实验室出具的检测报告复印件加盖原厂公章）</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16、所见即所得：大屏显示的状态及内容在客户端上实时同步显示，便于监控显示内容。（提供具有CNAS机构认可的权威实验室出具的检测报告复印件加盖原厂公章）</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17、编显并行：操作人员可在预览模式下对大屏的显示布局进行调整，完成后退出预览模式，再通过单击发布预览一次性完整发布调整后的显示布局预案，编辑预案在后台，不影响当前显示方案。（提供具有CNAS机构认可的权威实验室出具的检测报告复印件加盖原厂公章）</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18、窗口锁定：支持窗口锁定功能，锁定后的窗口不可随意变动，防止误操作。（提供具有CNAS机构认可的权威实验室出具的检测报告复印件加盖原厂公章）</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19、为了系统的安全稳定性考虑所采用的超高清液晶拼接显示系统必须具有国家认可的权威质量检测报告。</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20、支持热拔插，处理器的输入输出板卡可带电热拔插，实现不断电不影响系统正常工作的情况化作维护。</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21、电源冗余，处理器的电源可作冗余，实现即使其中一个电源出现故障，系统也能正常运行，应付关键任务。</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22、处理器必须提供中国质量认证中心出具的3C认证证书。</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23、控制软件必须为中文操作界面，可视化管理界面，便于液晶拼接屏的管理与使用。</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24、实现信息共享自由无限拼接功能，操作简单适用，带矩阵联动功能，可定制显示界面，支持多种矩阵。实现对所有视频图像集中管理。</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25、大屏幕控制软件安装在用户pc机（工作站）上，并与用户系统兼容，不影响用户原来各种应用系统的运行。</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26、用户可以预先保存屏幕墙的显示布局，以后只需点击预设名就可以快速切换到该预设定义的大屏布局。</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27、视频信号、VGA信号、计算机信号可以同时在大屏幕上显示出来，窗口的位置、大小可以任意，各窗口之间可以覆盖、重叠并且互相不受影响。</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28、显示预案功能：无论是视频信号、还是计算机信号，都可以预先设置、存储、调用显示预案，所有工作都在同一个图形控制界面下完成。预案可以根据需要无限设置。</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29、液晶拼接显示单元制造商生产的软件必须出具省级软件产品检测中心报告书</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30、要求拼接屏、双色显示屏、纳米黑板为同一品牌。</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控制主机</w:t>
            </w:r>
          </w:p>
        </w:tc>
        <w:tc>
          <w:tcPr>
            <w:tcW w:w="8700" w:type="dxa"/>
          </w:tcPr>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政府协议采购入围品牌</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1、中央处理器</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 xml:space="preserve"> 英特尔® Intel I5 7400</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2、内存</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 xml:space="preserve">8G DDR 4 2400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3、硬盘 </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 xml:space="preserve">1000G 高速硬盘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4、显示器</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20寸  宽屏液晶,可通过硬件实现多种显示模式的切换</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5、声卡</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6声道声卡</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6、网卡</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自适应10/100/1000Mbps网卡</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7、不低于100万小时无故障运行时间，需提供NCTC检测报告或证书加盖原厂公章</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8、售后服务：整机（除鼠标、键盘、光驱外）原厂商三年全质保，上门维护提供售后服务承诺函</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9、BIOS开机画面:显示包括电脑厂家服务热线、厂家服务支持网址，中标商家服务联系人与电话等售后服务信息。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10、节能要求：主机带有 节能专用芯片，可动态调整电压及有效节能的电压控制装置、方法及电脑装置，并且获得国家专利，智能型温控风扇技术。(提供证明文件并加盖原厂鲜章)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11、主板电池指示灯: 主板带有电源指示灯，在接通的电源的情况下，无论开机与否，灯都会亮，最大程度地减少带电热插拔动作。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12、主机BIOS更新:主机BIOS可以通过U盘在BIOS中完成更新。                                                                  13、主机设备实时监控技术:可在WINDOWS自动侦测并显示主板与CPU的温度、CPU风扇的转速，输出的电压，超过临界值后，硬盘所余下的容量不足，会自动报警。</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w:t>
            </w:r>
          </w:p>
        </w:tc>
      </w:tr>
    </w:tbl>
    <w:p>
      <w:pPr>
        <w:rPr>
          <w:rFonts w:hint="eastAsia" w:asciiTheme="minorEastAsia" w:hAnsiTheme="minorEastAsia" w:eastAsiaTheme="minorEastAsia" w:cstheme="minorEastAsia"/>
          <w:color w:val="000000" w:themeColor="text1"/>
          <w:sz w:val="20"/>
          <w:szCs w:val="21"/>
        </w:rPr>
      </w:pPr>
    </w:p>
    <w:p>
      <w:pPr>
        <w:pStyle w:val="256"/>
        <w:numPr>
          <w:ilvl w:val="0"/>
          <w:numId w:val="0"/>
        </w:numPr>
        <w:ind w:left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lang w:val="en-US" w:eastAsia="zh-CN"/>
        </w:rPr>
        <w:t>三</w:t>
      </w: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rPr>
        <w:t>会议系统（阶梯教室）</w:t>
      </w:r>
    </w:p>
    <w:tbl>
      <w:tblPr>
        <w:tblStyle w:val="52"/>
        <w:tblW w:w="0" w:type="auto"/>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6"/>
        <w:gridCol w:w="7168"/>
        <w:gridCol w:w="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品名</w:t>
            </w:r>
          </w:p>
        </w:tc>
        <w:tc>
          <w:tcPr>
            <w:tcW w:w="870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技术参数</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主音箱</w:t>
            </w:r>
          </w:p>
        </w:tc>
        <w:tc>
          <w:tcPr>
            <w:tcW w:w="8700" w:type="dxa"/>
          </w:tcPr>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1、8寸全频扬声器；</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2、频率响应：60Hz – 20kHz，-3dB；</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3、轴向灵敏度：94dB；</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4、最大声压级：123dB；</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5、可旋转90度x50度高频号筒；</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6、额定功率：8欧/200W；</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7、峰值功率：8欧800W；</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8、舞台返听角度设计；</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9、内置安装支架转接器和手柄；</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10、黑色和白色可选；</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11、高冲击强度聚丙烯箱体；</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12、为保证产品质量、供货进度及维护的便利，投标产品：音响、功放、数字音频处理器等扩音设备均为同一品牌；提供原厂为期一年的售后服务承诺函并加盖原厂章。   </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功率放大器【主扩声】</w:t>
            </w:r>
          </w:p>
        </w:tc>
        <w:tc>
          <w:tcPr>
            <w:tcW w:w="8700" w:type="dxa"/>
          </w:tcPr>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1、连续额定功率（20-20赫兹，总谐波失真&lt;0,2% 4Ω） 500 Watts</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2、连续额定功率（20-20赫兹，总谐波失真1% &lt;0,2% 8Ω)250 Watts</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3、散热 Front-to-Rear, 3-stage fansDIM 30 0.05 %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4、电子式 Amplifier</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5、频率响应 10 Hz - 40 kHz ±1 dB</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6、阻抗 2/4/8/16 Ω</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7、输入灵敏度 +3.0dBu</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8、互调失真（SMPTE） 0.1 %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9、最大桥接输出 4Ω 1800 Watts</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10、最大桥接输出 8Ω 1200 Watts</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11、为保证产品质量、供货进度及维护的便利，投标产品：音响、功放、数字音频处理器等扩音设备均为同一品牌；提供原厂为期一年的售后服务承诺函并加盖原厂章。                         </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机架式数字主控台</w:t>
            </w:r>
          </w:p>
        </w:tc>
        <w:tc>
          <w:tcPr>
            <w:tcW w:w="8700" w:type="dxa"/>
          </w:tcPr>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1、触控流操作（TouchFlow Operatiom）—自然、流畅的控制流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2、触摸屏和转动旋钮控制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3、单旋钮压缩器(1-knob COMP) &amp; 单旋钮均衡器(1-knob EQ)：一个旋钮即可获取理想声音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4、实现直接的触摸控制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5、快速专业预设 使您迅速获取专业声音设置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6、双场景内存库 、(推子发送)功能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7、支持无线混音  （提供彩页资料，并加盖原厂鲜章）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9、 实现个人监听,支持多达10台iPhone/iPad/iPod touch设备同时接入进行无线独立的AUX混音。每一位表演者能够通过分配给他们的AUX总线方便地进行控制（提供彩页资料，并加盖原厂鲜章）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10、40条输入混音通道（32单声道+2立体声+2返送通道）</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11、20个AUX（8单声道+6立体声）+立体声+子母线</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12、8个带有Roll-out的DCA编组</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13、适用于Windows和Mac系统的应用软件为用户提供了一个完整界面， 支持离线编辑调音台设定，用户能够通过它进行场景和预设管理，并能使用键盘方便地输入通道名称。通过软件，用户除了能够在任意位置和时间对调音台进行线下设定外，您可以在一台带有多点触控屏的Windows 8 PC机上使用与调音台操作时相同的手势。当您使用Wi-Fi进行连接时，您的PC机也能够作为方便的远程混音设备使用。                                                  14、提供无线控制的iPad应用程序，用户可以在观众席、舞台监听音箱前方或是任何听音位置对调音台进行远程操控。它也可以当作调音台的专属扩展界面进行使用。                                                                  15、程序能够支持多达10台iPhone/iPad/iPod touch设备同时接入进行无线独立的AUX混音。每一位表演者能够通过分配给他们的AUX总线方便地进行控制。他们甚至能够通过独立的Group设定实现更为简单的调整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16、支持安卓和ISO平板无线控制</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17、提供原厂为期一年的售后服务承诺函并加盖原厂鲜章      </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无线控制面板</w:t>
            </w:r>
          </w:p>
        </w:tc>
        <w:tc>
          <w:tcPr>
            <w:tcW w:w="8700" w:type="dxa"/>
          </w:tcPr>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1、9.7寸多点触摸屏.32G内存,支持WIFI，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2、内置远程控制软件功能</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3、实现对音频信号路由切换和音量的控制</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4、图形化控制界面    </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数字音频处理器</w:t>
            </w:r>
          </w:p>
        </w:tc>
        <w:tc>
          <w:tcPr>
            <w:tcW w:w="8700" w:type="dxa"/>
          </w:tcPr>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1、2进6出数字信号处理器；</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2、带AES/EBU 数字音频输入接口；</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3、DSP:48 kHz采样 32Bit 浮点精度处理；</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4、频率响应：10 Hz-22 kHz (+/- 0.5 dB)；</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5、动态范围：111dB；</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6、带有分频、均衡、延时、限幅的功能；</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7、输入通道:9段PEQ+31段GEQ+Delay；</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8、输出通道:Routing+5段PEQ；</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9、A/D转换器前可切换的-6db衰减；</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10、60个出厂预设，20个用户预设；</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11、选择性锁定前面板保护设置，避免篡改；</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12、前面板指示灯可显示当前通道的分频状态；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13、触点闭合接口用于远程预设调用；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14、AD/DA转换精度：24bit/128倍采样率</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15、为保证产品质量、供货进度及维护的便利，投标产品：音响、功放、数字音频处理器等扩音设备均为同一品牌；提供原厂为期一年的售后服务承诺函并加盖原厂章。         </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手持无线话筒</w:t>
            </w:r>
          </w:p>
        </w:tc>
        <w:tc>
          <w:tcPr>
            <w:tcW w:w="8700" w:type="dxa"/>
          </w:tcPr>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1、无线系统坚固耐用，创新的自动安装功能（如自动频率搜索和发射机设置）</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2、极其出色的无线清晰度以及性能优异的舒尔话筒。</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3、SLX24/SM58无线系统支持12个使用各种超高频频带的兼容系统，</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4、可以顺利地接入教堂、讲堂、会议室以及移动装置等场合。</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5、采用舒尔专利的音频参考压缩扩展技术，可以产生极其清晰的声音，超越了传统无线技术的限制</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电源时序器</w:t>
            </w:r>
          </w:p>
        </w:tc>
        <w:tc>
          <w:tcPr>
            <w:tcW w:w="8700" w:type="dxa"/>
          </w:tcPr>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1、通道数量8路</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2、通道总电流容量25A，提供5500W总功率；</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3、对音响系统提供安全、自动化的电源控制功能；</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4、 可避免因设备开关对扬声器造成的损害事故；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5、内置CPU，可实现无限智能联动控制功能</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6、USB直流5V照明灯座；</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7、设有两个12V的BNC工作灯供电接口；</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8、输入采用大三芯接口，应用安全方便；</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9、输出采用可拆卸万能插座，可适配各种插头</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10、尺寸：W x H x D(mm) 483x132x170</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11、净重：3.8Kg</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12、产品通过3C认证、ISO9001标准体系认证、QC080000管理体系认证、ISO14001环境管理体系、职业健康安全管理体系认证。提供证明文件</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13、提供原厂为期一年的售后服务承诺函并加盖原厂章。  </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音频机柜</w:t>
            </w:r>
          </w:p>
        </w:tc>
        <w:tc>
          <w:tcPr>
            <w:tcW w:w="8700" w:type="dxa"/>
          </w:tcPr>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专业防震 24U</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扬声器线缆</w:t>
            </w:r>
          </w:p>
        </w:tc>
        <w:tc>
          <w:tcPr>
            <w:tcW w:w="8700" w:type="dxa"/>
          </w:tcPr>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秋叶原 300芯</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w:t>
            </w:r>
          </w:p>
        </w:tc>
      </w:tr>
    </w:tbl>
    <w:p>
      <w:pPr>
        <w:pStyle w:val="256"/>
        <w:ind w:left="0" w:leftChars="0" w:firstLine="0" w:firstLineChars="0"/>
        <w:rPr>
          <w:rFonts w:hint="eastAsia" w:asciiTheme="minorEastAsia" w:hAnsiTheme="minorEastAsia" w:eastAsiaTheme="minorEastAsia" w:cstheme="minorEastAsia"/>
          <w:color w:val="000000" w:themeColor="text1"/>
          <w:sz w:val="20"/>
          <w:szCs w:val="21"/>
        </w:rPr>
      </w:pPr>
    </w:p>
    <w:p>
      <w:pPr>
        <w:pStyle w:val="256"/>
        <w:numPr>
          <w:ilvl w:val="0"/>
          <w:numId w:val="0"/>
        </w:numPr>
        <w:ind w:left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lang w:val="en-US" w:eastAsia="zh-CN"/>
        </w:rPr>
        <w:t>四</w:t>
      </w: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rPr>
        <w:t>LED显示屏（食堂1套，训练馆3套）</w:t>
      </w:r>
    </w:p>
    <w:tbl>
      <w:tblPr>
        <w:tblStyle w:val="52"/>
        <w:tblW w:w="0" w:type="auto"/>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1"/>
        <w:gridCol w:w="7200"/>
        <w:gridCol w:w="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品名</w:t>
            </w:r>
          </w:p>
        </w:tc>
        <w:tc>
          <w:tcPr>
            <w:tcW w:w="870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技术参数</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室内双色显示屏</w:t>
            </w:r>
          </w:p>
        </w:tc>
        <w:tc>
          <w:tcPr>
            <w:tcW w:w="8700" w:type="dxa"/>
          </w:tcPr>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1、物理点间距：3mm</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2、最佳视距: ≥5m</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3、大小尺寸：3㎡</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4、结构特点：灯驱合一</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5、单元板像素（点）：64×32、单元板尺寸（mm）：488×244</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7、可视距离 大于3――50米</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8、可视角度 大于120度</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9、连续工作 大于无故障工作时间大于100000小时（提供检测报告加盖厂家公章）</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10、扫描方式 1/16扫</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11、平整度整屏 ±1mm；模块间的拼缝：&lt;1.5mm</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12、环境温度 零下10度—— 零上80度</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13、大屏采用延时加电设计，过程稳定、可靠、无打火现象，逐步加亮，防止过冲。</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14、杂点率 小于万分之三</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15、功耗 最大450瓦/平方米，</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16、屏幕亮度 &gt;450mcd/m2</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17、要求原厂工程师提供一年免费上门维护提供原厂售后服务承诺函并加盖厂家公章</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18、要求拼接屏、双色显示屏、纳米白板为同一品牌。</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20"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控制主机</w:t>
            </w:r>
          </w:p>
        </w:tc>
        <w:tc>
          <w:tcPr>
            <w:tcW w:w="8700" w:type="dxa"/>
          </w:tcPr>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政府协议采购入围品牌</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1、中央处理器</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 xml:space="preserve"> 英特尔® Intel I5 7400</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2、内存</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 xml:space="preserve">8G DDR 4 2400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3、硬盘 </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 xml:space="preserve">1000G 高速硬盘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4、显示器</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20寸  宽屏液晶,可通过硬件实现多种显示模式的切换</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5、声卡</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6声道声卡</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6、网卡</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自适应10/100/1000Mbps网卡</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7、不低于100万小时无故障运行时间，需提供NCTC检测报告或证书加盖原厂公章</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8、售后服务：整机（除鼠标、键盘、光驱外）原厂商三年全质保，上门维护提供售后服务承诺函</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9、BIOS开机画面:显示包括电脑厂家服务热线、厂家服务支持网址，中标商家服务联系人与电话等售后服务信息。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10、节能要求：主机带有 节能专用芯片，可动态调整电压及有效节能的电压控制装置、方法及电脑装置，并且获得国家专利，智能型温控风扇技术。(提供证明文件并加盖原厂鲜章)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11、主板电池指示灯: 主板带有电源指示灯，在接通的电源的情况下，无论开机与否，灯都会亮，最大程度地减少带电热插拔动作。                            </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12、主机BIOS更新:主机BIOS可以通过U盘在BIOS中完成更新。                                                                  13、主机设备实时监控技术:可在WINDOWS自动侦测并显示主板与CPU的温度、CPU风扇的转速，输出的电压，超过临界值后，硬盘所余下的容量不足，会自动报警。</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w:t>
            </w:r>
          </w:p>
        </w:tc>
      </w:tr>
    </w:tbl>
    <w:p>
      <w:pPr>
        <w:pStyle w:val="256"/>
        <w:ind w:left="0" w:leftChars="0" w:firstLine="0" w:firstLineChars="0"/>
        <w:rPr>
          <w:rFonts w:hint="eastAsia" w:asciiTheme="minorEastAsia" w:hAnsiTheme="minorEastAsia" w:eastAsiaTheme="minorEastAsia" w:cstheme="minorEastAsia"/>
          <w:color w:val="000000" w:themeColor="text1"/>
          <w:sz w:val="20"/>
          <w:szCs w:val="21"/>
        </w:rPr>
      </w:pPr>
    </w:p>
    <w:p>
      <w:pPr>
        <w:pStyle w:val="256"/>
        <w:numPr>
          <w:ilvl w:val="0"/>
          <w:numId w:val="0"/>
        </w:numPr>
        <w:ind w:left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lang w:val="en-US" w:eastAsia="zh-CN"/>
        </w:rPr>
        <w:t>五</w:t>
      </w: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rPr>
        <w:t>智能互动黑板</w:t>
      </w:r>
    </w:p>
    <w:tbl>
      <w:tblPr>
        <w:tblStyle w:val="52"/>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
        <w:gridCol w:w="8086"/>
        <w:gridCol w:w="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品名</w:t>
            </w:r>
          </w:p>
        </w:tc>
        <w:tc>
          <w:tcPr>
            <w:tcW w:w="1044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技术参数</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智能互动黑板</w:t>
            </w:r>
          </w:p>
        </w:tc>
        <w:tc>
          <w:tcPr>
            <w:tcW w:w="10449" w:type="dxa"/>
          </w:tcPr>
          <w:p>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外观整体：整个黑板无推拉式结构，黑板表面支持水笔、普通粉笔、无尘粉笔等多种书写方式。可实现整块黑板统一屏幕书写，内置音箱系统，音箱不占用正面书写位置，音质满足教学需求。模块化设计，拆卸方便。整体外观尺寸：宽度≥4000mm ，高度≥1200mm ，厚度≤90mm；</w:t>
            </w:r>
          </w:p>
          <w:p>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核心显示：智慧黑板核心采用86英寸液晶显示屏，对比度≥1400:1，亮度≥450cd/㎡，可视角度≥170°，响应速度≤8ms；</w:t>
            </w:r>
          </w:p>
          <w:p>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为保证产品的全屏书写性及防水、防尘性，要求投标设备正面不能具有接口或黑板正面不具有前置音箱的产品；</w:t>
            </w:r>
          </w:p>
          <w:p>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热点共享：智慧黑板具有自带无线AP网络共享功能，满足支持不低于20个用户终端在线网络连接，不得附加额外无线AP网络设备或者热点软件来实现，高度集成化（提供具有CNAS机构认可的权威实验室出具的检测报告复印件加盖原厂公章）；</w:t>
            </w:r>
          </w:p>
          <w:p>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维护通用性：电源模块与核心驱动模块独立抽插，智慧黑板的电源模块可独立插拔，核心驱动模块可独立插拔，强弱电分离。为防止粉笔灰吸附，智慧黑板喇叭内置朝下，功率≥2x15w（提供国家级检测报告，复印件加盖原厂公章）；</w:t>
            </w:r>
          </w:p>
          <w:p>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积木式拼接：智慧黑板两侧无任何电子元器件，两侧与中间互动屏之间可积木式拼接，无需任何接线（提供国家级检测报告，复印件加盖原厂公章）；</w:t>
            </w:r>
          </w:p>
          <w:p>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智能亮度调节：智慧黑板可通过触控菜单快捷设置白天、夜晚两种亮度模式，以达到在不同光照环境下的最佳显示效果（提供国家级检测报告，复印件加盖原厂公章）；</w:t>
            </w:r>
          </w:p>
          <w:p>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文件自动分类：在嵌入式安卓操作系统下，支持外接存储设备内容的自动分类，例如U盘插入后，会将U盘中的内容根据格式自动分类显示，以便查找；</w:t>
            </w:r>
          </w:p>
          <w:p>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OSD触控菜单：产品支持OSD触控菜单功能，实现黑板信号源切换、windows系统快捷还原、AP网络快捷还原、快捷关闭电源等功能，无需实体按键，在任意显示通道下均可通过手势在屏幕上调取该触摸菜单，方便用户操作（提供国家级检测报告，复印件加盖原厂公章）；</w:t>
            </w:r>
          </w:p>
          <w:p>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电磁兼容性能：通过射频感应的传导骚扰抗扰度，射频电磁场辐射抗扰度，电压暂降、短时中断和电压变化等试验检测；</w:t>
            </w:r>
          </w:p>
          <w:p>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易用防误触：PPT课件批注功能，PPT全屏播放时可自动开启工具菜单，手指误碰到黑板不会自动翻页，需点击对应的翻页键翻页，可将批注保存在PPT上（提供国家级检测报告，复印件加盖原厂公章）；</w:t>
            </w:r>
          </w:p>
          <w:p>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丰富的显色指数：智慧黑板具备良好的色彩显示效果，符合SJ/T11292规定，通过色域覆盖率检测，色域覆盖值≥130%提供国家级检测报告，复印件加盖原厂公章；</w:t>
            </w:r>
          </w:p>
          <w:p>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健康护眼防蓝光：度智慧黑板通过蓝光危害检测，无蓝光危害，蓝光透过率≤65.2%提供CNAS公章的国家级检测报告，复印件加盖原厂公章；</w:t>
            </w:r>
          </w:p>
          <w:p>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为保证设备用电安全，智能黑板制造商具有智能黑板电能管理系统软件著作权（投标商提供国家权威机构出具的认证证书复印件加盖原厂公章）；</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0"/>
              </w:rPr>
              <w:t>15、散热性能：显示模组长寿命设计，具有快速散热和延缓光学黄化的性能，智慧黑板整机模组热扩散系数≥50mm²/S。测试标准满足：ASTME1461-13.实验温度50℃-90℃（提供具有CMA、CNAS机构认可的权威实验室出具的检测报告复印件加盖原厂公章）；</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16、要求原厂工程师提供一年免费上门维护提供原厂售后服务承诺函并加盖厂家公章</w:t>
            </w:r>
          </w:p>
          <w:p>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17、要求拼接屏、双色显示屏、智能互动黑板为同一品牌。</w:t>
            </w:r>
          </w:p>
        </w:tc>
        <w:tc>
          <w:tcPr>
            <w:tcW w:w="709" w:type="dxa"/>
          </w:tcPr>
          <w:p>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14</w:t>
            </w:r>
          </w:p>
        </w:tc>
      </w:tr>
    </w:tbl>
    <w:p>
      <w:pPr>
        <w:pStyle w:val="256"/>
        <w:ind w:left="0" w:leftChars="0" w:firstLine="0" w:firstLineChars="0"/>
        <w:rPr>
          <w:rFonts w:hint="eastAsia" w:asciiTheme="minorEastAsia" w:hAnsiTheme="minorEastAsia" w:eastAsiaTheme="minorEastAsia" w:cstheme="minorEastAsia"/>
          <w:color w:val="000000" w:themeColor="text1"/>
          <w:sz w:val="20"/>
          <w:szCs w:val="21"/>
        </w:rPr>
      </w:pPr>
    </w:p>
    <w:p>
      <w:pPr>
        <w:rPr>
          <w:rFonts w:hint="eastAsia" w:asciiTheme="minorEastAsia" w:hAnsiTheme="minorEastAsia" w:eastAsiaTheme="minorEastAsia" w:cstheme="minorEastAsia"/>
          <w:color w:val="000000" w:themeColor="text1"/>
          <w:sz w:val="20"/>
          <w:szCs w:val="21"/>
        </w:rPr>
      </w:pPr>
    </w:p>
    <w:p>
      <w:pPr>
        <w:pStyle w:val="6"/>
        <w:spacing w:before="0" w:after="0" w:line="340" w:lineRule="exact"/>
        <w:rPr>
          <w:rFonts w:hint="eastAsia" w:asciiTheme="minorEastAsia" w:hAnsiTheme="minorEastAsia" w:eastAsiaTheme="minorEastAsia" w:cstheme="minorEastAsia"/>
          <w:color w:val="000000" w:themeColor="text1"/>
          <w:sz w:val="24"/>
          <w:szCs w:val="24"/>
        </w:rPr>
      </w:pPr>
      <w:bookmarkStart w:id="93" w:name="_Toc29798"/>
      <w:r>
        <w:rPr>
          <w:rFonts w:hint="eastAsia" w:asciiTheme="minorEastAsia" w:hAnsiTheme="minorEastAsia" w:eastAsiaTheme="minorEastAsia" w:cstheme="minorEastAsia"/>
          <w:color w:val="000000" w:themeColor="text1"/>
          <w:sz w:val="24"/>
          <w:szCs w:val="24"/>
        </w:rPr>
        <w:t>三、附件及包装要求</w:t>
      </w:r>
      <w:bookmarkEnd w:id="90"/>
      <w:bookmarkEnd w:id="91"/>
      <w:bookmarkEnd w:id="92"/>
      <w:bookmarkEnd w:id="93"/>
    </w:p>
    <w:p>
      <w:pPr>
        <w:spacing w:line="340" w:lineRule="exact"/>
        <w:ind w:firstLine="470" w:firstLineChars="196"/>
        <w:jc w:val="lef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按照厂家规定的产品包装和随机标准附件为准。</w:t>
      </w:r>
    </w:p>
    <w:p>
      <w:pPr>
        <w:rPr>
          <w:rFonts w:hint="eastAsia" w:asciiTheme="minorEastAsia" w:hAnsiTheme="minorEastAsia" w:eastAsiaTheme="minorEastAsia" w:cstheme="minorEastAsia"/>
          <w:color w:val="000000" w:themeColor="text1"/>
          <w:szCs w:val="32"/>
        </w:rPr>
      </w:pPr>
      <w:r>
        <w:rPr>
          <w:rFonts w:hint="eastAsia" w:asciiTheme="minorEastAsia" w:hAnsiTheme="minorEastAsia" w:eastAsiaTheme="minorEastAsia" w:cstheme="minorEastAsia"/>
          <w:color w:val="000000" w:themeColor="text1"/>
          <w:szCs w:val="32"/>
        </w:rPr>
        <w:br w:type="page"/>
      </w:r>
    </w:p>
    <w:p>
      <w:pPr>
        <w:pStyle w:val="5"/>
        <w:spacing w:before="0" w:after="0" w:line="600" w:lineRule="exact"/>
        <w:jc w:val="center"/>
        <w:rPr>
          <w:rFonts w:hint="eastAsia" w:asciiTheme="minorEastAsia" w:hAnsiTheme="minorEastAsia" w:eastAsiaTheme="minorEastAsia" w:cstheme="minorEastAsia"/>
          <w:b w:val="0"/>
          <w:color w:val="000000" w:themeColor="text1"/>
          <w:szCs w:val="32"/>
          <w:lang w:eastAsia="zh-CN"/>
        </w:rPr>
      </w:pPr>
      <w:bookmarkStart w:id="94" w:name="_Toc6469"/>
      <w:r>
        <w:rPr>
          <w:rFonts w:hint="eastAsia" w:asciiTheme="minorEastAsia" w:hAnsiTheme="minorEastAsia" w:eastAsiaTheme="minorEastAsia" w:cstheme="minorEastAsia"/>
          <w:color w:val="000000" w:themeColor="text1"/>
          <w:szCs w:val="32"/>
        </w:rPr>
        <w:t xml:space="preserve">第四篇  </w:t>
      </w:r>
      <w:r>
        <w:rPr>
          <w:rFonts w:hint="eastAsia" w:asciiTheme="minorEastAsia" w:hAnsiTheme="minorEastAsia" w:eastAsiaTheme="minorEastAsia" w:cstheme="minorEastAsia"/>
          <w:color w:val="000000" w:themeColor="text1"/>
          <w:szCs w:val="32"/>
          <w:lang w:eastAsia="zh-CN"/>
        </w:rPr>
        <w:t>询价项目商务要求</w:t>
      </w:r>
      <w:bookmarkEnd w:id="94"/>
    </w:p>
    <w:p>
      <w:pPr>
        <w:spacing w:line="380" w:lineRule="exact"/>
        <w:ind w:firstLine="1928"/>
        <w:rPr>
          <w:rFonts w:hint="eastAsia" w:asciiTheme="minorEastAsia" w:hAnsiTheme="minorEastAsia" w:eastAsiaTheme="minorEastAsia" w:cstheme="minorEastAsia"/>
          <w:b/>
          <w:color w:val="000000" w:themeColor="text1"/>
          <w:sz w:val="24"/>
          <w:szCs w:val="24"/>
        </w:rPr>
      </w:pP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95" w:name="_Toc31000"/>
      <w:bookmarkStart w:id="96" w:name="_Toc344475120"/>
      <w:bookmarkStart w:id="97" w:name="_Toc487204789"/>
      <w:bookmarkStart w:id="98" w:name="_Toc11641055"/>
      <w:bookmarkStart w:id="99" w:name="_Toc12789059"/>
      <w:r>
        <w:rPr>
          <w:rFonts w:hint="eastAsia" w:asciiTheme="minorEastAsia" w:hAnsiTheme="minorEastAsia" w:eastAsiaTheme="minorEastAsia" w:cstheme="minorEastAsia"/>
          <w:color w:val="000000" w:themeColor="text1"/>
          <w:sz w:val="24"/>
          <w:szCs w:val="24"/>
        </w:rPr>
        <w:t>一、交货时间、地点及验收方式</w:t>
      </w:r>
      <w:bookmarkEnd w:id="95"/>
      <w:bookmarkEnd w:id="96"/>
      <w:bookmarkEnd w:id="97"/>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（一）交货时间</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成交供应商应在采购合同签订后</w:t>
      </w:r>
      <w:r>
        <w:rPr>
          <w:rFonts w:hint="eastAsia" w:asciiTheme="minorEastAsia" w:hAnsiTheme="minorEastAsia" w:eastAsiaTheme="minorEastAsia" w:cstheme="minorEastAsia"/>
          <w:color w:val="000000" w:themeColor="text1"/>
          <w:sz w:val="24"/>
          <w:szCs w:val="24"/>
          <w:lang w:val="en-US" w:eastAsia="zh-CN"/>
        </w:rPr>
        <w:t>30天内完成交货</w:t>
      </w:r>
      <w:r>
        <w:rPr>
          <w:rFonts w:hint="eastAsia" w:asciiTheme="minorEastAsia" w:hAnsiTheme="minorEastAsia" w:eastAsiaTheme="minorEastAsia" w:cstheme="minorEastAsia"/>
          <w:color w:val="000000" w:themeColor="text1"/>
          <w:sz w:val="24"/>
          <w:szCs w:val="24"/>
        </w:rPr>
        <w:t>。供应商须在规定时间内负责安装调试完毕，并负责此间的一切费用。</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（二）交货地点</w:t>
      </w:r>
    </w:p>
    <w:p>
      <w:pPr>
        <w:tabs>
          <w:tab w:val="left" w:pos="8332"/>
        </w:tabs>
        <w:spacing w:line="400" w:lineRule="exact"/>
        <w:ind w:firstLine="480" w:firstLineChars="200"/>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rPr>
        <w:t>交货地点：重庆市体育运动学校校内（采购人指定地点）</w:t>
      </w:r>
      <w:r>
        <w:rPr>
          <w:rFonts w:hint="eastAsia" w:asciiTheme="minorEastAsia" w:hAnsiTheme="minorEastAsia" w:eastAsiaTheme="minorEastAsia" w:cstheme="minorEastAsia"/>
          <w:color w:val="000000" w:themeColor="text1"/>
          <w:sz w:val="24"/>
          <w:szCs w:val="24"/>
          <w:lang w:eastAsia="zh-CN"/>
        </w:rPr>
        <w:tab/>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（三）验收方式</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bookmarkStart w:id="100" w:name="_Toc344475121"/>
      <w:bookmarkStart w:id="101" w:name="_Toc487204790"/>
      <w:bookmarkStart w:id="102" w:name="_Toc499733665"/>
      <w:bookmarkStart w:id="103" w:name="_Toc487204791"/>
      <w:bookmarkStart w:id="104" w:name="_Toc480882276"/>
      <w:bookmarkStart w:id="105" w:name="_Toc344475122"/>
      <w:r>
        <w:rPr>
          <w:rFonts w:hint="eastAsia" w:asciiTheme="minorEastAsia" w:hAnsiTheme="minorEastAsia" w:eastAsiaTheme="minorEastAsia" w:cstheme="minorEastAsia"/>
          <w:color w:val="000000" w:themeColor="text1"/>
          <w:sz w:val="24"/>
          <w:szCs w:val="24"/>
        </w:rPr>
        <w:t>1、货物到达现场，成交供应商应在使用单位人在场的情况下当面开箱，共同清点、检查外观，作出验收记录，双方签字确认。</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2、成交供应商应保证货物到达使用单位所在地完好无损，如有缺漏、损坏，由供应商负责调换、补齐或赔偿。</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3、成交供应商应提供完备的技术资料、装箱单和合格证等。</w:t>
      </w:r>
      <w:r>
        <w:rPr>
          <w:rFonts w:hint="eastAsia" w:asciiTheme="minorEastAsia" w:hAnsiTheme="minorEastAsia" w:eastAsiaTheme="minorEastAsia" w:cstheme="minorEastAsia"/>
          <w:color w:val="000000" w:themeColor="text1"/>
          <w:sz w:val="24"/>
          <w:szCs w:val="24"/>
          <w:lang w:val="en-US" w:eastAsia="zh-CN"/>
        </w:rPr>
        <w:t>设备</w:t>
      </w:r>
      <w:r>
        <w:rPr>
          <w:rFonts w:hint="eastAsia" w:asciiTheme="minorEastAsia" w:hAnsiTheme="minorEastAsia" w:eastAsiaTheme="minorEastAsia" w:cstheme="minorEastAsia"/>
          <w:color w:val="000000" w:themeColor="text1"/>
          <w:sz w:val="24"/>
          <w:szCs w:val="24"/>
        </w:rPr>
        <w:t>安装调试完毕</w:t>
      </w:r>
      <w:r>
        <w:rPr>
          <w:rFonts w:hint="eastAsia" w:asciiTheme="minorEastAsia" w:hAnsiTheme="minorEastAsia" w:eastAsiaTheme="minorEastAsia" w:cstheme="minorEastAsia"/>
          <w:color w:val="000000" w:themeColor="text1"/>
          <w:sz w:val="24"/>
          <w:szCs w:val="24"/>
          <w:lang w:val="en-US" w:eastAsia="zh-CN"/>
        </w:rPr>
        <w:t>，</w:t>
      </w:r>
      <w:r>
        <w:rPr>
          <w:rFonts w:hint="eastAsia" w:asciiTheme="minorEastAsia" w:hAnsiTheme="minorEastAsia" w:eastAsiaTheme="minorEastAsia" w:cstheme="minorEastAsia"/>
          <w:color w:val="000000" w:themeColor="text1"/>
          <w:sz w:val="24"/>
          <w:szCs w:val="24"/>
        </w:rPr>
        <w:t>成交供应商</w:t>
      </w:r>
      <w:r>
        <w:rPr>
          <w:rFonts w:hint="eastAsia" w:asciiTheme="minorEastAsia" w:hAnsiTheme="minorEastAsia" w:eastAsiaTheme="minorEastAsia" w:cstheme="minorEastAsia"/>
          <w:color w:val="000000" w:themeColor="text1"/>
          <w:sz w:val="24"/>
          <w:szCs w:val="24"/>
          <w:lang w:val="en-US" w:eastAsia="zh-CN"/>
        </w:rPr>
        <w:t>对</w:t>
      </w:r>
      <w:r>
        <w:rPr>
          <w:rFonts w:hint="eastAsia" w:asciiTheme="minorEastAsia" w:hAnsiTheme="minorEastAsia" w:eastAsiaTheme="minorEastAsia" w:cstheme="minorEastAsia"/>
          <w:color w:val="000000" w:themeColor="text1"/>
          <w:sz w:val="24"/>
          <w:szCs w:val="24"/>
        </w:rPr>
        <w:t>采购人使用人员进行设备</w:t>
      </w:r>
      <w:r>
        <w:rPr>
          <w:rFonts w:hint="eastAsia" w:asciiTheme="minorEastAsia" w:hAnsiTheme="minorEastAsia" w:eastAsiaTheme="minorEastAsia" w:cstheme="minorEastAsia"/>
          <w:color w:val="000000" w:themeColor="text1"/>
          <w:sz w:val="24"/>
          <w:szCs w:val="24"/>
          <w:lang w:val="en-US" w:eastAsia="zh-CN"/>
        </w:rPr>
        <w:t>的</w:t>
      </w:r>
      <w:r>
        <w:rPr>
          <w:rFonts w:hint="eastAsia" w:asciiTheme="minorEastAsia" w:hAnsiTheme="minorEastAsia" w:eastAsiaTheme="minorEastAsia" w:cstheme="minorEastAsia"/>
          <w:color w:val="000000" w:themeColor="text1"/>
          <w:sz w:val="24"/>
          <w:szCs w:val="24"/>
        </w:rPr>
        <w:t>操作培训</w:t>
      </w:r>
      <w:r>
        <w:rPr>
          <w:rFonts w:hint="eastAsia" w:asciiTheme="minorEastAsia" w:hAnsiTheme="minorEastAsia" w:eastAsiaTheme="minorEastAsia" w:cstheme="minorEastAsia"/>
          <w:color w:val="000000" w:themeColor="text1"/>
          <w:sz w:val="24"/>
          <w:szCs w:val="24"/>
          <w:lang w:val="en-US" w:eastAsia="zh-CN"/>
        </w:rPr>
        <w:t>，培训合格后采购人组织验收。</w:t>
      </w:r>
      <w:r>
        <w:rPr>
          <w:rFonts w:hint="eastAsia" w:asciiTheme="minorEastAsia" w:hAnsiTheme="minorEastAsia" w:eastAsiaTheme="minorEastAsia" w:cstheme="minorEastAsia"/>
          <w:color w:val="000000" w:themeColor="text1"/>
          <w:sz w:val="24"/>
          <w:szCs w:val="24"/>
        </w:rPr>
        <w:t>验收合格条件如下：</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3.1</w:t>
      </w:r>
      <w:r>
        <w:rPr>
          <w:rFonts w:hint="eastAsia" w:asciiTheme="minorEastAsia" w:hAnsiTheme="minorEastAsia" w:eastAsiaTheme="minorEastAsia" w:cstheme="minorEastAsia"/>
          <w:color w:val="000000" w:themeColor="text1"/>
          <w:kern w:val="0"/>
          <w:sz w:val="24"/>
          <w:szCs w:val="24"/>
        </w:rPr>
        <w:t>设备技术参数与采购合同一致，性能指标达到规定的标准。</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3.2货物技术资料、装箱单、合格证等资料齐全。</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3.3在规定时间内完成交货并验收，并经采购人确认。</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w:t>
      </w:r>
      <w:r>
        <w:rPr>
          <w:rFonts w:hint="eastAsia" w:asciiTheme="minorEastAsia" w:hAnsiTheme="minorEastAsia" w:eastAsiaTheme="minorEastAsia" w:cstheme="minorEastAsia"/>
          <w:color w:val="000000" w:themeColor="text1"/>
          <w:sz w:val="24"/>
          <w:szCs w:val="24"/>
          <w:lang w:val="en-US" w:eastAsia="zh-CN"/>
        </w:rPr>
        <w:t>4</w:t>
      </w:r>
      <w:r>
        <w:rPr>
          <w:rFonts w:hint="eastAsia" w:asciiTheme="minorEastAsia" w:hAnsiTheme="minorEastAsia" w:eastAsiaTheme="minorEastAsia" w:cstheme="minorEastAsia"/>
          <w:color w:val="000000" w:themeColor="text1"/>
          <w:sz w:val="24"/>
          <w:szCs w:val="24"/>
        </w:rPr>
        <w:t>货物送达后，成交人要按照采购方要求制作验收相关资料，货物、验收相关资料等全部合格后，验收资料制作时间计入工期（即：必须在询价文件规定的工期内交付货物和验收相关资料），不按时按照采购方要求制作验收相关资料的视为违约，采购方有权终止合同并拒绝支付货款。</w:t>
      </w:r>
    </w:p>
    <w:p>
      <w:pPr>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sz w:val="24"/>
          <w:szCs w:val="24"/>
        </w:rPr>
        <w:t>3.</w:t>
      </w:r>
      <w:r>
        <w:rPr>
          <w:rFonts w:hint="eastAsia" w:asciiTheme="minorEastAsia" w:hAnsiTheme="minorEastAsia" w:eastAsiaTheme="minorEastAsia" w:cstheme="minorEastAsia"/>
          <w:color w:val="000000" w:themeColor="text1"/>
          <w:sz w:val="24"/>
          <w:szCs w:val="24"/>
          <w:lang w:val="en-US" w:eastAsia="zh-CN"/>
        </w:rPr>
        <w:t>5</w:t>
      </w:r>
      <w:r>
        <w:rPr>
          <w:rFonts w:hint="eastAsia" w:asciiTheme="minorEastAsia" w:hAnsiTheme="minorEastAsia" w:eastAsiaTheme="minorEastAsia" w:cstheme="minorEastAsia"/>
          <w:color w:val="000000" w:themeColor="text1"/>
          <w:sz w:val="24"/>
          <w:szCs w:val="24"/>
        </w:rPr>
        <w:t>采购</w:t>
      </w:r>
      <w:r>
        <w:rPr>
          <w:rFonts w:hint="eastAsia" w:asciiTheme="minorEastAsia" w:hAnsiTheme="minorEastAsia" w:eastAsiaTheme="minorEastAsia" w:cstheme="minorEastAsia"/>
          <w:color w:val="000000" w:themeColor="text1"/>
          <w:kern w:val="0"/>
          <w:sz w:val="24"/>
          <w:szCs w:val="24"/>
        </w:rPr>
        <w:t>货物的所有技术参数（包括：样式、性能、尺寸等等）必须与询价文件要求的数据及图片一致，如果参数指标达不到文件的要求，视为验收不合格，采购方</w:t>
      </w:r>
      <w:r>
        <w:rPr>
          <w:rFonts w:hint="eastAsia" w:asciiTheme="minorEastAsia" w:hAnsiTheme="minorEastAsia" w:eastAsiaTheme="minorEastAsia" w:cstheme="minorEastAsia"/>
          <w:color w:val="000000" w:themeColor="text1"/>
          <w:sz w:val="24"/>
          <w:szCs w:val="24"/>
        </w:rPr>
        <w:t>有权拒绝支付</w:t>
      </w:r>
      <w:r>
        <w:rPr>
          <w:rFonts w:hint="eastAsia" w:asciiTheme="minorEastAsia" w:hAnsiTheme="minorEastAsia" w:eastAsiaTheme="minorEastAsia" w:cstheme="minorEastAsia"/>
          <w:color w:val="000000" w:themeColor="text1"/>
          <w:kern w:val="0"/>
          <w:sz w:val="24"/>
          <w:szCs w:val="24"/>
        </w:rPr>
        <w:t>采购款。</w:t>
      </w:r>
    </w:p>
    <w:p>
      <w:pPr>
        <w:spacing w:line="400" w:lineRule="exact"/>
        <w:ind w:firstLine="480" w:firstLineChars="200"/>
        <w:rPr>
          <w:rFonts w:hint="eastAsia"/>
        </w:rPr>
      </w:pPr>
      <w:r>
        <w:rPr>
          <w:rFonts w:hint="eastAsia" w:asciiTheme="minorEastAsia" w:hAnsiTheme="minorEastAsia" w:eastAsiaTheme="minorEastAsia" w:cstheme="minorEastAsia"/>
          <w:color w:val="000000" w:themeColor="text1"/>
          <w:sz w:val="24"/>
          <w:szCs w:val="24"/>
          <w:lang w:val="en-US" w:eastAsia="zh-CN"/>
        </w:rPr>
        <w:t>3.6</w:t>
      </w:r>
      <w:r>
        <w:rPr>
          <w:rFonts w:hint="eastAsia" w:asciiTheme="minorEastAsia" w:hAnsiTheme="minorEastAsia" w:eastAsiaTheme="minorEastAsia" w:cstheme="minorEastAsia"/>
          <w:color w:val="000000" w:themeColor="text1"/>
          <w:sz w:val="24"/>
          <w:szCs w:val="24"/>
        </w:rPr>
        <w:t>产品在安装调试并试运行符合要求后，包括自行规范接电，清理和完善教室线路等，才作为最终验收。</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4、成交供应商提供的货物未达到询价文件规定要求，且对采购方造成损失的，由供应商承担一切责任，并赔偿所造成的损失。</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采购人可邀请国家认可的质量检测机构、相关品牌权利所有人、产品生产厂家参加验收工作。采购方随时可对采购货物进行抽检，需要的情况下，可进行破坏性抽样检查，可送国家认可的质量检测机构进行检验。如检验不合格或有假冒伪劣产品等情况，采购方可要求供应商退货或换货处理，同时有权终止合同，拒绝支付采购款，并移交相关部门按程序进行处理。验收所涉及的一切费用（包括：抽检费、样品费等）由成交供应商负责支付。</w:t>
      </w:r>
    </w:p>
    <w:p>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sz w:val="24"/>
          <w:szCs w:val="24"/>
        </w:rPr>
        <w:t>6、</w:t>
      </w:r>
      <w:r>
        <w:rPr>
          <w:rFonts w:hint="eastAsia" w:asciiTheme="minorEastAsia" w:hAnsiTheme="minorEastAsia" w:eastAsiaTheme="minorEastAsia" w:cstheme="minorEastAsia"/>
          <w:color w:val="000000" w:themeColor="text1"/>
          <w:kern w:val="0"/>
          <w:sz w:val="24"/>
          <w:szCs w:val="24"/>
        </w:rPr>
        <w:t>采购人需要制造商对成交供应商交付的产品（包括质量、技术参数等）进行确认的，制造商应予以配合，并出具书面意见。</w:t>
      </w:r>
    </w:p>
    <w:p>
      <w:pPr>
        <w:spacing w:line="400" w:lineRule="exact"/>
        <w:ind w:firstLine="470" w:firstLineChars="196"/>
        <w:rPr>
          <w:rFonts w:hint="eastAsia" w:asciiTheme="minorEastAsia" w:hAnsiTheme="minorEastAsia" w:eastAsiaTheme="minorEastAsia" w:cstheme="minorEastAsia"/>
          <w:color w:val="000000" w:themeColor="text1"/>
          <w:sz w:val="24"/>
          <w:szCs w:val="24"/>
          <w:lang w:val="en-US" w:eastAsia="zh-CN"/>
        </w:rPr>
      </w:pPr>
      <w:r>
        <w:rPr>
          <w:rFonts w:hint="eastAsia" w:asciiTheme="minorEastAsia" w:hAnsiTheme="minorEastAsia" w:eastAsiaTheme="minorEastAsia" w:cstheme="minorEastAsia"/>
          <w:color w:val="000000" w:themeColor="text1"/>
          <w:sz w:val="24"/>
          <w:szCs w:val="24"/>
        </w:rPr>
        <w:t>7、产品包装材料归采购人所有。</w:t>
      </w:r>
      <w:bookmarkEnd w:id="100"/>
      <w:bookmarkEnd w:id="101"/>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06" w:name="_Toc13184"/>
      <w:r>
        <w:rPr>
          <w:rFonts w:hint="eastAsia" w:asciiTheme="minorEastAsia" w:hAnsiTheme="minorEastAsia" w:eastAsiaTheme="minorEastAsia" w:cstheme="minorEastAsia"/>
          <w:color w:val="000000" w:themeColor="text1"/>
          <w:sz w:val="24"/>
          <w:szCs w:val="24"/>
        </w:rPr>
        <w:t>二、质量保证及售后服务</w:t>
      </w:r>
      <w:bookmarkEnd w:id="102"/>
      <w:bookmarkEnd w:id="106"/>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（一）产品质量保证期</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1、供应商应明确承诺：自验收合格之日起1年（质量保证期承诺优于国家“三包”规定的，按供应商实际承诺执行）。</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2、采购货物属于国家规定“三包”范围的，其产品质量保证期不得低于“三包”规定。</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3、采购货物由产品制造商（指产品生产制造商以下同）负责标准售后服务，应当在响应文件中予以明确说明，并提供相关文件。</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（二）售后服务内容</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供应商和厂家在质量保证期内应当为采购人提供以下技术支持服务：</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1、质量保证期内服务要求</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1.1电话咨询</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成交供应商和厂家应当为用户提供技术援助电话，解答采购人在使用中遇到的问题，及时为其提出解决问题的建议。</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1.2现场响应</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采购人遇到使用及技术问题，电话咨询不能解决的，中标人和制造商应在4小内到达现场进行处理，确保产品正常使用；无法在12小时内解决的，应在24小时内提供备用产品，使采购人能够正常使用。</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2、质保期外服务要求</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2.1质量保证期过后，成交供应商和厂家应同样提供免费电话咨询服务，并应提供产品上门维护服务。</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2.2免费质保服务过后，采购人需要继续由原成交供应商和厂家提供售后服务的，成交供应商和厂家应以优惠价格提供售后服务。</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（三）维修配件</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成交供应商或厂家应提供备品备件，保证用户应急所需。使用的维修零配件应为原厂配件，未经用户同意不得使用非原厂配件。</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07" w:name="_Toc535312155"/>
      <w:bookmarkStart w:id="108" w:name="_Toc26386"/>
      <w:r>
        <w:rPr>
          <w:rFonts w:hint="eastAsia" w:asciiTheme="minorEastAsia" w:hAnsiTheme="minorEastAsia" w:eastAsiaTheme="minorEastAsia" w:cstheme="minorEastAsia"/>
          <w:color w:val="000000" w:themeColor="text1"/>
          <w:sz w:val="24"/>
          <w:szCs w:val="24"/>
        </w:rPr>
        <w:t>三、报价要求</w:t>
      </w:r>
      <w:bookmarkEnd w:id="107"/>
      <w:bookmarkEnd w:id="108"/>
    </w:p>
    <w:p>
      <w:pPr>
        <w:spacing w:line="400" w:lineRule="exact"/>
        <w:ind w:firstLine="480" w:firstLineChars="200"/>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 w:val="24"/>
          <w:szCs w:val="24"/>
          <w:lang w:val="en-US" w:eastAsia="zh-CN"/>
        </w:rPr>
        <w:t>竞标</w:t>
      </w:r>
      <w:r>
        <w:rPr>
          <w:rFonts w:hint="eastAsia" w:asciiTheme="minorEastAsia" w:hAnsiTheme="minorEastAsia" w:eastAsiaTheme="minorEastAsia" w:cstheme="minorEastAsia"/>
          <w:color w:val="000000" w:themeColor="text1"/>
          <w:sz w:val="24"/>
          <w:szCs w:val="24"/>
        </w:rPr>
        <w:t>报价</w:t>
      </w:r>
      <w:r>
        <w:rPr>
          <w:rFonts w:hint="eastAsia" w:asciiTheme="minorEastAsia" w:hAnsiTheme="minorEastAsia" w:eastAsiaTheme="minorEastAsia" w:cstheme="minorEastAsia"/>
          <w:color w:val="000000" w:themeColor="text1"/>
          <w:kern w:val="0"/>
          <w:sz w:val="24"/>
          <w:szCs w:val="24"/>
        </w:rPr>
        <w:t>须为人民币报价</w:t>
      </w:r>
      <w:r>
        <w:rPr>
          <w:rFonts w:hint="eastAsia" w:asciiTheme="minorEastAsia" w:hAnsiTheme="minorEastAsia" w:eastAsiaTheme="minorEastAsia" w:cstheme="minorEastAsia"/>
          <w:color w:val="000000" w:themeColor="text1"/>
          <w:sz w:val="24"/>
          <w:szCs w:val="24"/>
        </w:rPr>
        <w:t>，包括完成本项目所需的设备或货物购买（制造）费、辅材费、运输费、装卸费、安装调试费、培训费及各种应纳的税费。因成交供应商自身原因造成漏报、少报皆由其自行承担责任，采购人不再补偿。</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09" w:name="_Toc4776"/>
      <w:r>
        <w:rPr>
          <w:rFonts w:hint="eastAsia" w:asciiTheme="minorEastAsia" w:hAnsiTheme="minorEastAsia" w:eastAsiaTheme="minorEastAsia" w:cstheme="minorEastAsia"/>
          <w:color w:val="000000" w:themeColor="text1"/>
          <w:sz w:val="24"/>
          <w:szCs w:val="24"/>
          <w:lang w:val="en-US" w:eastAsia="zh-CN"/>
        </w:rPr>
        <w:t>四</w:t>
      </w:r>
      <w:r>
        <w:rPr>
          <w:rFonts w:hint="eastAsia" w:asciiTheme="minorEastAsia" w:hAnsiTheme="minorEastAsia" w:eastAsiaTheme="minorEastAsia" w:cstheme="minorEastAsia"/>
          <w:color w:val="000000" w:themeColor="text1"/>
          <w:sz w:val="24"/>
          <w:szCs w:val="24"/>
        </w:rPr>
        <w:t>、付款方式</w:t>
      </w:r>
      <w:bookmarkEnd w:id="103"/>
      <w:bookmarkEnd w:id="104"/>
      <w:bookmarkEnd w:id="105"/>
      <w:bookmarkEnd w:id="109"/>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bookmarkStart w:id="110" w:name="_Toc487204793"/>
      <w:bookmarkStart w:id="111" w:name="_Toc344475123"/>
      <w:r>
        <w:rPr>
          <w:rFonts w:hint="eastAsia" w:asciiTheme="minorEastAsia" w:hAnsiTheme="minorEastAsia" w:eastAsiaTheme="minorEastAsia" w:cstheme="minorEastAsia"/>
          <w:color w:val="000000" w:themeColor="text1"/>
          <w:sz w:val="24"/>
          <w:szCs w:val="24"/>
        </w:rPr>
        <w:t>（一）验收合格后，</w:t>
      </w:r>
      <w:r>
        <w:rPr>
          <w:rFonts w:hint="eastAsia" w:asciiTheme="minorEastAsia" w:hAnsiTheme="minorEastAsia" w:eastAsiaTheme="minorEastAsia" w:cstheme="minorEastAsia"/>
          <w:color w:val="000000" w:themeColor="text1"/>
          <w:sz w:val="24"/>
          <w:szCs w:val="24"/>
          <w:lang w:val="en-US" w:eastAsia="zh-CN"/>
        </w:rPr>
        <w:t>成交</w:t>
      </w:r>
      <w:r>
        <w:rPr>
          <w:rFonts w:hint="eastAsia" w:asciiTheme="minorEastAsia" w:hAnsiTheme="minorEastAsia" w:eastAsiaTheme="minorEastAsia" w:cstheme="minorEastAsia"/>
          <w:color w:val="000000" w:themeColor="text1"/>
          <w:sz w:val="24"/>
          <w:szCs w:val="24"/>
        </w:rPr>
        <w:t>供应商应按合同金额的5%付给采购人</w:t>
      </w:r>
      <w:r>
        <w:rPr>
          <w:rFonts w:hint="eastAsia" w:asciiTheme="minorEastAsia" w:hAnsiTheme="minorEastAsia" w:eastAsiaTheme="minorEastAsia" w:cstheme="minorEastAsia"/>
          <w:color w:val="000000" w:themeColor="text1"/>
          <w:sz w:val="24"/>
          <w:szCs w:val="24"/>
          <w:lang w:val="en-US" w:eastAsia="zh-CN"/>
        </w:rPr>
        <w:t>作为</w:t>
      </w:r>
      <w:r>
        <w:rPr>
          <w:rFonts w:hint="eastAsia" w:asciiTheme="minorEastAsia" w:hAnsiTheme="minorEastAsia" w:eastAsiaTheme="minorEastAsia" w:cstheme="minorEastAsia"/>
          <w:color w:val="000000" w:themeColor="text1"/>
          <w:sz w:val="24"/>
          <w:szCs w:val="24"/>
        </w:rPr>
        <w:t>质保金（汇入采购人指定对公账户）；</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（二）采购人收到</w:t>
      </w:r>
      <w:r>
        <w:rPr>
          <w:rFonts w:hint="eastAsia" w:asciiTheme="minorEastAsia" w:hAnsiTheme="minorEastAsia" w:eastAsiaTheme="minorEastAsia" w:cstheme="minorEastAsia"/>
          <w:color w:val="000000" w:themeColor="text1"/>
          <w:sz w:val="24"/>
          <w:szCs w:val="24"/>
          <w:lang w:val="en-US" w:eastAsia="zh-CN"/>
        </w:rPr>
        <w:t>成交</w:t>
      </w:r>
      <w:r>
        <w:rPr>
          <w:rFonts w:hint="eastAsia" w:asciiTheme="minorEastAsia" w:hAnsiTheme="minorEastAsia" w:eastAsiaTheme="minorEastAsia" w:cstheme="minorEastAsia"/>
          <w:color w:val="000000" w:themeColor="text1"/>
          <w:sz w:val="24"/>
          <w:szCs w:val="24"/>
        </w:rPr>
        <w:t>供应商质保金后，3个工作日内通知</w:t>
      </w:r>
      <w:r>
        <w:rPr>
          <w:rFonts w:hint="eastAsia" w:asciiTheme="minorEastAsia" w:hAnsiTheme="minorEastAsia" w:eastAsiaTheme="minorEastAsia" w:cstheme="minorEastAsia"/>
          <w:color w:val="000000" w:themeColor="text1"/>
          <w:sz w:val="24"/>
          <w:szCs w:val="24"/>
          <w:lang w:val="en-US" w:eastAsia="zh-CN"/>
        </w:rPr>
        <w:t>成交</w:t>
      </w:r>
      <w:r>
        <w:rPr>
          <w:rFonts w:hint="eastAsia" w:asciiTheme="minorEastAsia" w:hAnsiTheme="minorEastAsia" w:eastAsiaTheme="minorEastAsia" w:cstheme="minorEastAsia"/>
          <w:color w:val="000000" w:themeColor="text1"/>
          <w:sz w:val="24"/>
          <w:szCs w:val="24"/>
        </w:rPr>
        <w:t>供应商向采购人出具与合同总金额相同的发票，收到发票后10个工作日内由采购人一次性付清全款。</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（三）合同金额5%的质保金，一年后如无质量与售后问题，采购人于7个工作日内无息退还。</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12" w:name="_Toc12531"/>
      <w:r>
        <w:rPr>
          <w:rFonts w:hint="eastAsia" w:asciiTheme="minorEastAsia" w:hAnsiTheme="minorEastAsia" w:eastAsiaTheme="minorEastAsia" w:cstheme="minorEastAsia"/>
          <w:color w:val="000000" w:themeColor="text1"/>
          <w:sz w:val="24"/>
          <w:szCs w:val="24"/>
          <w:lang w:val="en-US" w:eastAsia="zh-CN"/>
        </w:rPr>
        <w:t>五</w:t>
      </w:r>
      <w:r>
        <w:rPr>
          <w:rFonts w:hint="eastAsia" w:asciiTheme="minorEastAsia" w:hAnsiTheme="minorEastAsia" w:eastAsiaTheme="minorEastAsia" w:cstheme="minorEastAsia"/>
          <w:color w:val="000000" w:themeColor="text1"/>
          <w:sz w:val="24"/>
          <w:szCs w:val="24"/>
        </w:rPr>
        <w:t>、知识产权</w:t>
      </w:r>
      <w:bookmarkEnd w:id="110"/>
      <w:bookmarkEnd w:id="111"/>
      <w:bookmarkEnd w:id="112"/>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采购人在中华人民共和国境内使用成交供应商提供的货物及服务时免受第三方提出的侵犯其专利权或其它知识产权的起诉。如果第三方提出侵权指控，成交供应商应承担由此而引起的一切法律责任和费用。</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13" w:name="_Toc487204794"/>
      <w:bookmarkStart w:id="114" w:name="_Toc344475124"/>
      <w:bookmarkStart w:id="115" w:name="_Toc22303"/>
      <w:r>
        <w:rPr>
          <w:rFonts w:hint="eastAsia" w:asciiTheme="minorEastAsia" w:hAnsiTheme="minorEastAsia" w:eastAsiaTheme="minorEastAsia" w:cstheme="minorEastAsia"/>
          <w:color w:val="000000" w:themeColor="text1"/>
          <w:sz w:val="24"/>
          <w:szCs w:val="24"/>
          <w:lang w:val="en-US" w:eastAsia="zh-CN"/>
        </w:rPr>
        <w:t>六</w:t>
      </w:r>
      <w:r>
        <w:rPr>
          <w:rFonts w:hint="eastAsia" w:asciiTheme="minorEastAsia" w:hAnsiTheme="minorEastAsia" w:eastAsiaTheme="minorEastAsia" w:cstheme="minorEastAsia"/>
          <w:color w:val="000000" w:themeColor="text1"/>
          <w:sz w:val="24"/>
          <w:szCs w:val="24"/>
        </w:rPr>
        <w:t>、培训</w:t>
      </w:r>
      <w:bookmarkEnd w:id="113"/>
      <w:bookmarkEnd w:id="114"/>
      <w:bookmarkEnd w:id="115"/>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采购产品需对采购人的使用人员进行培训，成交供应商提供对设备的操作培训，使采购人相关使用人员能够正常操作相关设备。</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16" w:name="_Toc487204795"/>
      <w:bookmarkStart w:id="117" w:name="_Toc29921"/>
      <w:r>
        <w:rPr>
          <w:rFonts w:hint="eastAsia" w:asciiTheme="minorEastAsia" w:hAnsiTheme="minorEastAsia" w:eastAsiaTheme="minorEastAsia" w:cstheme="minorEastAsia"/>
          <w:color w:val="000000" w:themeColor="text1"/>
          <w:sz w:val="24"/>
          <w:szCs w:val="24"/>
          <w:lang w:val="en-US" w:eastAsia="zh-CN"/>
        </w:rPr>
        <w:t>七</w:t>
      </w:r>
      <w:r>
        <w:rPr>
          <w:rFonts w:hint="eastAsia" w:asciiTheme="minorEastAsia" w:hAnsiTheme="minorEastAsia" w:eastAsiaTheme="minorEastAsia" w:cstheme="minorEastAsia"/>
          <w:color w:val="000000" w:themeColor="text1"/>
          <w:sz w:val="24"/>
          <w:szCs w:val="24"/>
        </w:rPr>
        <w:t>、</w:t>
      </w:r>
      <w:bookmarkStart w:id="118" w:name="_Toc344475125"/>
      <w:r>
        <w:rPr>
          <w:rFonts w:hint="eastAsia" w:asciiTheme="minorEastAsia" w:hAnsiTheme="minorEastAsia" w:eastAsiaTheme="minorEastAsia" w:cstheme="minorEastAsia"/>
          <w:color w:val="000000" w:themeColor="text1"/>
          <w:sz w:val="24"/>
          <w:szCs w:val="24"/>
        </w:rPr>
        <w:t>其他</w:t>
      </w:r>
      <w:bookmarkEnd w:id="116"/>
      <w:bookmarkEnd w:id="117"/>
    </w:p>
    <w:bookmarkEnd w:id="118"/>
    <w:p>
      <w:pPr>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（一）供应商必须在响应文件中对以上条款和服务承诺明确列出，承诺内容必须达到本篇及询价其他条款的要求。</w:t>
      </w:r>
    </w:p>
    <w:p>
      <w:pPr>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（二）其他未尽事宜由供需双方在采购合同中详细约定。</w:t>
      </w:r>
    </w:p>
    <w:p>
      <w:pPr>
        <w:snapToGrid w:val="0"/>
        <w:spacing w:line="400" w:lineRule="exact"/>
        <w:ind w:firstLine="540"/>
        <w:rPr>
          <w:rFonts w:hint="eastAsia" w:asciiTheme="minorEastAsia" w:hAnsiTheme="minorEastAsia" w:eastAsiaTheme="minorEastAsia" w:cstheme="minorEastAsia"/>
          <w:color w:val="000000" w:themeColor="text1"/>
          <w:sz w:val="24"/>
          <w:szCs w:val="24"/>
        </w:rPr>
      </w:pPr>
    </w:p>
    <w:p>
      <w:pPr>
        <w:snapToGrid w:val="0"/>
        <w:spacing w:line="400" w:lineRule="exact"/>
        <w:ind w:firstLine="540"/>
        <w:rPr>
          <w:rFonts w:hint="eastAsia" w:asciiTheme="minorEastAsia" w:hAnsiTheme="minorEastAsia" w:eastAsiaTheme="minorEastAsia" w:cstheme="minorEastAsia"/>
          <w:color w:val="000000" w:themeColor="text1"/>
          <w:sz w:val="24"/>
          <w:szCs w:val="24"/>
        </w:rPr>
      </w:pPr>
    </w:p>
    <w:p>
      <w:pPr>
        <w:pStyle w:val="5"/>
        <w:spacing w:before="0" w:after="0" w:line="600" w:lineRule="exact"/>
        <w:jc w:val="center"/>
        <w:rPr>
          <w:rFonts w:hint="eastAsia" w:asciiTheme="minorEastAsia" w:hAnsiTheme="minorEastAsia" w:eastAsiaTheme="minorEastAsia" w:cstheme="minorEastAsia"/>
          <w:color w:val="000000" w:themeColor="text1"/>
          <w:spacing w:val="-14"/>
          <w:szCs w:val="32"/>
        </w:rPr>
      </w:pPr>
      <w:r>
        <w:rPr>
          <w:rFonts w:hint="eastAsia" w:asciiTheme="minorEastAsia" w:hAnsiTheme="minorEastAsia" w:eastAsiaTheme="minorEastAsia" w:cstheme="minorEastAsia"/>
          <w:color w:val="000000" w:themeColor="text1"/>
          <w:sz w:val="24"/>
          <w:szCs w:val="24"/>
        </w:rPr>
        <w:br w:type="page"/>
      </w:r>
      <w:bookmarkStart w:id="119" w:name="_Toc470709501"/>
      <w:bookmarkStart w:id="120" w:name="_Toc28796"/>
      <w:r>
        <w:rPr>
          <w:rFonts w:hint="eastAsia" w:asciiTheme="minorEastAsia" w:hAnsiTheme="minorEastAsia" w:eastAsiaTheme="minorEastAsia" w:cstheme="minorEastAsia"/>
          <w:color w:val="000000" w:themeColor="text1"/>
          <w:szCs w:val="32"/>
        </w:rPr>
        <w:t>第五篇 合同主要条款和格式合同（样本）</w:t>
      </w:r>
      <w:bookmarkEnd w:id="119"/>
      <w:bookmarkEnd w:id="120"/>
      <w:bookmarkStart w:id="121" w:name="_Toc277084870"/>
      <w:bookmarkStart w:id="122" w:name="_Toc441065691"/>
      <w:bookmarkStart w:id="123" w:name="_Toc285722712"/>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一、合同主要条款</w:t>
      </w:r>
      <w:bookmarkEnd w:id="121"/>
      <w:bookmarkEnd w:id="122"/>
      <w:bookmarkEnd w:id="123"/>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1、定义</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（1）甲方（需方）即采购人，是指通过招标采购，接受合同货物及服务的各级国家机关、事业单位和团体组织。</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（2）乙方（供方）即成交供应商，是指中标后提供合同货物和服务的自然人、法人及其他组织。</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（3）合同是指由甲乙双方按照询价采购文件和投标文件的实质性内容，通过协商一致达成的书面协议。</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（4）合同价格指以中标价格为依据，在供方全面履行合同义务后，需方（或财政部门）应支付给供方的金额。</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（5）技术资料是指合同货物及其相关的设计、制造、监造、检验、验收等文件（包括图纸、各种文字说明、标准）。</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2、货物内容</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合同包括以下内容：货物名称、型号规格、技术参数、数量（单位）等内容。</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3、合同价格</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（1）合同价格即合同金额。</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（2）合同价格包括合同货物、技术资料、合同货物的税费、运杂费、保险费、包装费、装卸费及与货物有关的供方应纳的税费，所有税费由乙方负担。</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（3）合同货物单价为不变价。</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4、转包或分包</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（1）本合同范围的货物，应由乙方直接供应，不得转让他人供应；</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（2）非经甲方书面同意，乙方不得将本合同范围的货物全部或部分分包给他人供应；</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（3）如有转让和未经甲方同意的分包行为，甲方有权解除合同，没收履约保证金并追究乙方的违约责任。</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5、质量保证及售后服务</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5.1乙方应按询价采购文件规定的货物性能、技术要求、质量标准向甲方提供未经使用的全新产品。</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5.2乙方提供的货物在质保期内因货物本身的质量问题发生故障，乙方应负责免费更换。对达不到技术要求者，根据实际情况，经双方协商，可按以下办法执行：</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5.2.1更换：由乙方承担所发生的全部费用。</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5.1.2贬值处理：由甲乙双方合议定价。</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5.2.3退货处理：乙方应退还甲方支付的合同款，同时应承担该货物的直接费用（运输、保险、检验、货款利息及银行手续费等）。</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5.3如在使用过程中发生质量问题，乙方应按本项目“第四篇项目商务要求”中关于售后服务的要求执行。</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5.4在质保期内，乙方应对货物出现的质量及安全问题负责处理解决并承担一切费用。</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6、付款</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6.1本合同使用货币币制如未作特别说明均为人民币。</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6.2付款方式：银行转账、现金支票。</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6.3付款方法：同本项目“第四篇项目商务要求”中关于付款方式的约定。</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7、检查验收</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（1）供方应随货物提供合格证和质量证明文件，如是国外进口的货物还须提供入关证明。</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（2）货物验收</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按本项目“第四篇项目商务要求”中关于验收方式的要求执行。</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（3）货物验收报告应由需方、供方经办人签字，写明验收意见并加盖双方公章，以此作为支付凭据。</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8.履约保证金</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按按本项目“第四篇项目商务要求”中关于履约保证金的要求执行。</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9、索赔</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供方对货物与合同要求不符负有责任，并且需方已于规定交货内和质量保证期内提出索赔，供方应按需方同意的下述一种或多种方法解决索赔事宜。</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供方同意需方拒收货物并把拒收货物的金额以合同规定的同类货币付给需方，供方负担发生的一切损失和费用，包括利息、运输和保险费、检验费、仓储和装卸费以及为保管和保护被拒绝货物所需要的其它必要费用。</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（2）根据货物的疵劣和受损程度以及需方遭受损失的金额，经双方同意降低货物价格。</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10、知识产权</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需方在中华人民共和国境内使用供方提供的货物及服务时免受第三方提出的侵犯其专利权或其它知识产权的起诉。如果第三方提出侵权指控，供方应承担由此而引起的一切法律责任和费用。</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11、合同争议的解决</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（1）当事人友好协商达成一致</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（2）供需双方由于本合同引起的任何争议应友好协商解决，协商不成的，任何一方均可提交重庆仲裁委员会，按照该会仲裁规则进行仲裁。仲裁裁决是终局的，对双方均有约束力。</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12、违约责任</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按《中华人民共和国合同法》、《中华人民共和国政府采购法》有关条款，或由供需双方约定。</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13、合同生效及其它</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（1）合同生效及其效力应符合《中华人民共和国合同法》有关规定。</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（2）合同应经当事人法定代表人或委托代理人签字，加盖双方合同专用章或公章。</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（3）合同所包括附件，是合同不可分割的一部分，具有同等法法律效力。</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（4）合同需提供担保的，按《中华人民共和国担保法》规定执行。</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（5）本合同条件未尽事宜依照《中华人民共和国合同法》，由供需双方共同协商确定。</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sectPr>
          <w:headerReference r:id="rId6" w:type="default"/>
          <w:pgSz w:w="11907" w:h="16840"/>
          <w:pgMar w:top="1134" w:right="1191" w:bottom="1134" w:left="1304" w:header="964" w:footer="992" w:gutter="0"/>
          <w:pgNumType w:fmt="numberInDash"/>
          <w:cols w:space="720" w:num="1"/>
          <w:docGrid w:linePitch="381" w:charSpace="0"/>
        </w:sectPr>
      </w:pP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bookmarkStart w:id="124" w:name="_Toc441065692"/>
      <w:bookmarkStart w:id="125" w:name="_Toc277084871"/>
      <w:bookmarkStart w:id="126" w:name="_Toc285722713"/>
      <w:r>
        <w:rPr>
          <w:rFonts w:hint="eastAsia" w:asciiTheme="minorEastAsia" w:hAnsiTheme="minorEastAsia" w:eastAsiaTheme="minorEastAsia" w:cstheme="minorEastAsia"/>
          <w:bCs/>
          <w:color w:val="000000" w:themeColor="text1"/>
          <w:spacing w:val="-14"/>
          <w:sz w:val="24"/>
          <w:szCs w:val="24"/>
        </w:rPr>
        <w:t>二、政府采购合同（格式）</w:t>
      </w:r>
      <w:bookmarkEnd w:id="124"/>
      <w:bookmarkEnd w:id="125"/>
      <w:bookmarkEnd w:id="126"/>
    </w:p>
    <w:p>
      <w:pPr>
        <w:spacing w:line="380" w:lineRule="exact"/>
        <w:ind w:firstLine="424" w:firstLineChars="200"/>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(注：成交后采购人和成交供应商应按本项目询价采购文件、成交供应商的响应文件及本篇合同主要条款及格式，在规定时间内签订供货合同，</w:t>
      </w:r>
      <w:r>
        <w:rPr>
          <w:rFonts w:hint="eastAsia" w:asciiTheme="minorEastAsia" w:hAnsiTheme="minorEastAsia" w:eastAsiaTheme="minorEastAsia" w:cstheme="minorEastAsia"/>
          <w:color w:val="000000" w:themeColor="text1"/>
          <w:spacing w:val="-14"/>
          <w:sz w:val="24"/>
          <w:szCs w:val="24"/>
        </w:rPr>
        <w:t>所签订的合同不得对询价采购文件和</w:t>
      </w:r>
      <w:r>
        <w:rPr>
          <w:rFonts w:hint="eastAsia" w:asciiTheme="minorEastAsia" w:hAnsiTheme="minorEastAsia" w:eastAsiaTheme="minorEastAsia" w:cstheme="minorEastAsia"/>
          <w:bCs/>
          <w:color w:val="000000" w:themeColor="text1"/>
          <w:spacing w:val="-14"/>
          <w:sz w:val="24"/>
          <w:szCs w:val="24"/>
        </w:rPr>
        <w:t>成交供应商的</w:t>
      </w:r>
      <w:r>
        <w:rPr>
          <w:rFonts w:hint="eastAsia" w:asciiTheme="minorEastAsia" w:hAnsiTheme="minorEastAsia" w:eastAsiaTheme="minorEastAsia" w:cstheme="minorEastAsia"/>
          <w:color w:val="000000" w:themeColor="text1"/>
          <w:spacing w:val="-14"/>
          <w:sz w:val="24"/>
          <w:szCs w:val="24"/>
        </w:rPr>
        <w:t>响应文件作实质性修改。</w:t>
      </w:r>
      <w:r>
        <w:rPr>
          <w:rFonts w:hint="eastAsia" w:asciiTheme="minorEastAsia" w:hAnsiTheme="minorEastAsia" w:eastAsiaTheme="minorEastAsia" w:cstheme="minorEastAsia"/>
          <w:bCs/>
          <w:color w:val="000000" w:themeColor="text1"/>
          <w:spacing w:val="-14"/>
          <w:sz w:val="24"/>
          <w:szCs w:val="24"/>
        </w:rPr>
        <w:t>)</w:t>
      </w:r>
    </w:p>
    <w:p>
      <w:pPr>
        <w:snapToGrid w:val="0"/>
        <w:spacing w:line="380" w:lineRule="exact"/>
        <w:ind w:firstLine="1272" w:firstLineChars="6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 xml:space="preserve"> </w:t>
      </w:r>
    </w:p>
    <w:p>
      <w:pPr>
        <w:snapToGrid w:val="0"/>
        <w:spacing w:line="380" w:lineRule="exact"/>
        <w:ind w:firstLine="3666" w:firstLineChars="1250"/>
        <w:rPr>
          <w:rFonts w:hint="eastAsia" w:asciiTheme="minorEastAsia" w:hAnsiTheme="minorEastAsia" w:eastAsiaTheme="minorEastAsia" w:cstheme="minorEastAsia"/>
          <w:b/>
          <w:bCs/>
          <w:color w:val="000000" w:themeColor="text1"/>
          <w:spacing w:val="-14"/>
          <w:sz w:val="32"/>
          <w:szCs w:val="32"/>
        </w:rPr>
      </w:pPr>
      <w:r>
        <w:rPr>
          <w:rFonts w:hint="eastAsia" w:asciiTheme="minorEastAsia" w:hAnsiTheme="minorEastAsia" w:eastAsiaTheme="minorEastAsia" w:cstheme="minorEastAsia"/>
          <w:b/>
          <w:bCs/>
          <w:color w:val="000000" w:themeColor="text1"/>
          <w:spacing w:val="-14"/>
          <w:sz w:val="32"/>
          <w:szCs w:val="32"/>
        </w:rPr>
        <w:t>重庆市政府采购合同</w:t>
      </w:r>
    </w:p>
    <w:p>
      <w:pPr>
        <w:snapToGrid w:val="0"/>
        <w:spacing w:line="380" w:lineRule="exact"/>
        <w:ind w:firstLine="3180" w:firstLineChars="1500"/>
        <w:rPr>
          <w:rFonts w:hint="eastAsia" w:asciiTheme="minorEastAsia" w:hAnsiTheme="minorEastAsia" w:eastAsiaTheme="minorEastAsia" w:cstheme="minorEastAsia"/>
          <w:bCs/>
          <w:color w:val="000000" w:themeColor="text1"/>
          <w:spacing w:val="-14"/>
          <w:sz w:val="24"/>
          <w:szCs w:val="24"/>
        </w:rPr>
      </w:pPr>
    </w:p>
    <w:p>
      <w:pPr>
        <w:snapToGrid w:val="0"/>
        <w:spacing w:line="380" w:lineRule="exact"/>
        <w:ind w:firstLine="3180" w:firstLineChars="15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（采购项目编号及分包号：）</w:t>
      </w:r>
    </w:p>
    <w:p>
      <w:pPr>
        <w:snapToGrid w:val="0"/>
        <w:spacing w:line="380" w:lineRule="exact"/>
        <w:ind w:firstLine="3180" w:firstLineChars="1500"/>
        <w:rPr>
          <w:rFonts w:hint="eastAsia" w:asciiTheme="minorEastAsia" w:hAnsiTheme="minorEastAsia" w:eastAsiaTheme="minorEastAsia" w:cstheme="minorEastAsia"/>
          <w:bCs/>
          <w:color w:val="000000" w:themeColor="text1"/>
          <w:spacing w:val="-14"/>
          <w:sz w:val="24"/>
          <w:szCs w:val="24"/>
        </w:rPr>
      </w:pPr>
    </w:p>
    <w:p>
      <w:pPr>
        <w:snapToGrid w:val="0"/>
        <w:spacing w:line="380" w:lineRule="exact"/>
        <w:ind w:firstLine="3180" w:firstLineChars="1500"/>
        <w:rPr>
          <w:rFonts w:hint="eastAsia" w:asciiTheme="minorEastAsia" w:hAnsiTheme="minorEastAsia" w:eastAsiaTheme="minorEastAsia" w:cstheme="minorEastAsia"/>
          <w:bCs/>
          <w:color w:val="000000" w:themeColor="text1"/>
          <w:spacing w:val="-14"/>
          <w:sz w:val="24"/>
          <w:szCs w:val="24"/>
        </w:rPr>
      </w:pP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甲方（需方）：___________________________      计价单位：____________</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乙方（供方）：___________________________      计量单位：_____________</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经双方协商一致，达成以下购销合同：</w:t>
      </w:r>
    </w:p>
    <w:tbl>
      <w:tblPr>
        <w:tblStyle w:val="51"/>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1741"/>
        <w:gridCol w:w="984"/>
        <w:gridCol w:w="839"/>
        <w:gridCol w:w="459"/>
        <w:gridCol w:w="1134"/>
        <w:gridCol w:w="1559"/>
        <w:gridCol w:w="1567"/>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452" w:hRule="atLeast"/>
        </w:trPr>
        <w:tc>
          <w:tcPr>
            <w:tcW w:w="1330" w:type="dxa"/>
            <w:vAlign w:val="center"/>
          </w:tcPr>
          <w:p>
            <w:pPr>
              <w:snapToGrid w:val="0"/>
              <w:spacing w:line="380" w:lineRule="exact"/>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商品名称</w:t>
            </w: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规格型号</w:t>
            </w:r>
          </w:p>
        </w:tc>
        <w:tc>
          <w:tcPr>
            <w:tcW w:w="984" w:type="dxa"/>
            <w:vAlign w:val="center"/>
          </w:tcPr>
          <w:p>
            <w:pPr>
              <w:snapToGrid w:val="0"/>
              <w:spacing w:line="380" w:lineRule="exact"/>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数量</w:t>
            </w:r>
          </w:p>
        </w:tc>
        <w:tc>
          <w:tcPr>
            <w:tcW w:w="1298" w:type="dxa"/>
            <w:gridSpan w:val="2"/>
            <w:vAlign w:val="center"/>
          </w:tcPr>
          <w:p>
            <w:pPr>
              <w:snapToGrid w:val="0"/>
              <w:spacing w:line="380" w:lineRule="exact"/>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综合单价</w:t>
            </w:r>
          </w:p>
        </w:tc>
        <w:tc>
          <w:tcPr>
            <w:tcW w:w="1134" w:type="dxa"/>
            <w:vAlign w:val="center"/>
          </w:tcPr>
          <w:p>
            <w:pPr>
              <w:snapToGrid w:val="0"/>
              <w:spacing w:line="380" w:lineRule="exact"/>
              <w:ind w:firstLine="212" w:firstLineChars="1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总价</w:t>
            </w: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交货时间</w:t>
            </w: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交货地点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Pr>
        <w:tc>
          <w:tcPr>
            <w:tcW w:w="9613" w:type="dxa"/>
            <w:gridSpan w:val="8"/>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合计人民币（小写）：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Pr>
        <w:tc>
          <w:tcPr>
            <w:tcW w:w="9613" w:type="dxa"/>
            <w:gridSpan w:val="8"/>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合计人民币（大写）：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52" w:hRule="atLeast"/>
        </w:trPr>
        <w:tc>
          <w:tcPr>
            <w:tcW w:w="9613" w:type="dxa"/>
            <w:gridSpan w:val="8"/>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一、质量要求和技术标准。供方提供的商品必须是全新的，完全符合国家有关技术标准，供方的质量保证及售后服务承诺如下：</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1、质保期限：</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2、保修范围：</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3、服务措施：</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4、质保期后服务：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913" w:hRule="atLeast"/>
        </w:trPr>
        <w:tc>
          <w:tcPr>
            <w:tcW w:w="9613" w:type="dxa"/>
            <w:gridSpan w:val="8"/>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二、随机备品、附件、工具数量及供应方法：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751" w:hRule="atLeast"/>
        </w:trPr>
        <w:tc>
          <w:tcPr>
            <w:tcW w:w="9613" w:type="dxa"/>
            <w:gridSpan w:val="8"/>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三、交提货方式：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9628" w:type="dxa"/>
            <w:gridSpan w:val="9"/>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四、验收标准、方法：</w:t>
            </w:r>
          </w:p>
          <w:p>
            <w:pPr>
              <w:snapToGrid w:val="0"/>
              <w:spacing w:line="380" w:lineRule="exact"/>
              <w:rPr>
                <w:rFonts w:hint="eastAsia" w:asciiTheme="minorEastAsia" w:hAnsiTheme="minorEastAsia" w:eastAsiaTheme="minorEastAsia" w:cstheme="minorEastAsia"/>
                <w:bCs/>
                <w:color w:val="000000" w:themeColor="text1"/>
                <w:spacing w:val="-14"/>
                <w:sz w:val="24"/>
                <w:szCs w:val="24"/>
              </w:rPr>
            </w:pP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如有异议，请于日内提出。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9628" w:type="dxa"/>
            <w:gridSpan w:val="9"/>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五、付款方式：</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9628" w:type="dxa"/>
            <w:gridSpan w:val="9"/>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六、履约保证金：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2" w:hRule="atLeast"/>
        </w:trPr>
        <w:tc>
          <w:tcPr>
            <w:tcW w:w="9628" w:type="dxa"/>
            <w:gridSpan w:val="9"/>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七、违约责任：</w:t>
            </w:r>
          </w:p>
          <w:p>
            <w:pPr>
              <w:snapToGrid w:val="0"/>
              <w:spacing w:line="380" w:lineRule="exact"/>
              <w:ind w:firstLine="420" w:firstLineChars="200"/>
              <w:rPr>
                <w:rFonts w:hint="eastAsia" w:asciiTheme="minorEastAsia" w:hAnsiTheme="minorEastAsia" w:eastAsiaTheme="minorEastAsia" w:cstheme="minorEastAsia"/>
                <w:color w:val="000000" w:themeColor="text1"/>
                <w:sz w:val="21"/>
                <w:szCs w:val="21"/>
              </w:rPr>
            </w:pPr>
          </w:p>
          <w:p>
            <w:pPr>
              <w:snapToGrid w:val="0"/>
              <w:spacing w:line="380" w:lineRule="exact"/>
              <w:ind w:firstLine="420"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color w:val="000000" w:themeColor="text1"/>
                <w:sz w:val="21"/>
                <w:szCs w:val="21"/>
              </w:rPr>
              <w:t>按《合同法》、《政府采购法》执行，或按双方约定。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9628" w:type="dxa"/>
            <w:gridSpan w:val="9"/>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八、知识产权</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甲方在中华人民共和国境内使用乙方提供的货物及服务时免受第三方提出的侵犯其专利权或其它知识产权的起诉。如果第三方提出侵权指控，乙方应承担由此而引起的一切法律责任和费用。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trPr>
        <w:tc>
          <w:tcPr>
            <w:tcW w:w="9628" w:type="dxa"/>
            <w:gridSpan w:val="9"/>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九、其他约定事项：</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1、询价采购文件及其补遗文件、投标文件和承诺是本合同不可分割的部分。</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2、甲乙双方由于本合同引起的任何争议应友好协商解决，协商不成的，任何一方均可提交重庆仲裁委员会，按照该会仲裁规则进行仲裁。仲裁裁决是终局的，对双方均有约束力。</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3、合同应经甲乙双法定代表人或委托代理人签字，加盖双方合同专用章或公章后生效。本合同一式__份， 需方__份，供方__份，采购代理机构1份，财政部门1份，具同等法律效力。</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4、本合同条件未尽事宜依照《中华人民共和国合同法》，由甲乙双方共同协商确定。</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0" w:hRule="atLeast"/>
        </w:trPr>
        <w:tc>
          <w:tcPr>
            <w:tcW w:w="4894" w:type="dxa"/>
            <w:gridSpan w:val="4"/>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甲方（需方）：</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地址：</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联系电话：</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授权代表：</w:t>
            </w:r>
          </w:p>
        </w:tc>
        <w:tc>
          <w:tcPr>
            <w:tcW w:w="4734" w:type="dxa"/>
            <w:gridSpan w:val="5"/>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乙方（供方）：</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地址：</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电话：</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传真：</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开户银行：</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账号：</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授权代表：</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（本栏请用计算机打印以便于准确付款）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9628" w:type="dxa"/>
            <w:gridSpan w:val="9"/>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备注：</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bl>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签约时间：  年  月  日                                  签约地点：</w:t>
      </w:r>
    </w:p>
    <w:bookmarkEnd w:id="98"/>
    <w:bookmarkEnd w:id="99"/>
    <w:p>
      <w:pPr>
        <w:pStyle w:val="5"/>
        <w:spacing w:before="0" w:after="0" w:line="600" w:lineRule="exact"/>
        <w:jc w:val="center"/>
        <w:rPr>
          <w:rFonts w:hint="eastAsia" w:asciiTheme="minorEastAsia" w:hAnsiTheme="minorEastAsia" w:eastAsiaTheme="minorEastAsia" w:cstheme="minorEastAsia"/>
          <w:b w:val="0"/>
          <w:color w:val="000000" w:themeColor="text1"/>
          <w:szCs w:val="32"/>
        </w:rPr>
      </w:pPr>
      <w:bookmarkStart w:id="127" w:name="_Hlt41879464"/>
      <w:bookmarkEnd w:id="127"/>
      <w:bookmarkStart w:id="128" w:name="_Toc12789072"/>
      <w:r>
        <w:rPr>
          <w:rFonts w:hint="eastAsia" w:asciiTheme="minorEastAsia" w:hAnsiTheme="minorEastAsia" w:eastAsiaTheme="minorEastAsia" w:cstheme="minorEastAsia"/>
          <w:color w:val="000000" w:themeColor="text1"/>
          <w:sz w:val="24"/>
          <w:szCs w:val="24"/>
        </w:rPr>
        <w:br w:type="page"/>
      </w:r>
      <w:bookmarkStart w:id="129" w:name="_Toc11774"/>
      <w:bookmarkStart w:id="130" w:name="_Toc487204796"/>
      <w:r>
        <w:rPr>
          <w:rFonts w:hint="eastAsia" w:asciiTheme="minorEastAsia" w:hAnsiTheme="minorEastAsia" w:eastAsiaTheme="minorEastAsia" w:cstheme="minorEastAsia"/>
          <w:color w:val="000000" w:themeColor="text1"/>
          <w:szCs w:val="32"/>
        </w:rPr>
        <w:t>第六篇 响应文件格式要求</w:t>
      </w:r>
      <w:bookmarkEnd w:id="128"/>
      <w:bookmarkEnd w:id="129"/>
      <w:bookmarkEnd w:id="130"/>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一、经济部分</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（一）报价函</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（二）明细报价表</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二、技术部分</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（一）技术响应偏离表</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三、服务部分</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（一）服务响应偏离表</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（二）其它优惠承诺</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四、资格条件及其他</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（一）营业执照（副本）或事业单位法人证书（副本）复印件</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（二）组织机构代码证复印件</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（三）法定代表人身份证明书（格式）</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（四）法定代表人授权委托书（格式）</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（五）提供2018年度财务状况报告（表）复印件，本年度新成立的公司提供提交响应文件截止时间前一个月的财务状况报告（表）复印件</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（六）书面声明（格式）</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七）税务登记证（副本）复印件和社会保险缴纳证明材料（缴纳社会保障金的证明材料指：社会保险登记证或缴纳社会保险的凭据（专用收据或社会保险缴纳清单））。依法免税或不需要缴纳社会保障资金的供应商，应提供相应文件证明其依法免税或不需要缴纳社会保障资金。</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（八）供应商信用查询结果</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（九）特定资格条件证明文件（按询价采购文件第一篇第三条第（二）项要求提供）</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五、其他应提供的资料</w:t>
      </w:r>
    </w:p>
    <w:p>
      <w:pPr>
        <w:spacing w:line="360" w:lineRule="auto"/>
        <w:ind w:firstLine="480" w:firstLineChars="200"/>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color w:val="000000" w:themeColor="text1"/>
          <w:sz w:val="24"/>
          <w:szCs w:val="24"/>
        </w:rPr>
        <w:t>（一）供应商中小微企业声明函、微型企业承诺书、残疾人福利性单位声明函、监狱企业证明文件（不属于不提供）</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（二）节能环保政策性扣减</w:t>
      </w:r>
    </w:p>
    <w:p>
      <w:pPr>
        <w:tabs>
          <w:tab w:val="left" w:pos="1764"/>
        </w:tabs>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（三）其他资料</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1.保证金缴纳情况证明文件</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2.其他与项目有关的资料</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2.1.节能产品政策性扣减表（格式）</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2.2.其他资料</w:t>
      </w:r>
    </w:p>
    <w:p>
      <w:pPr>
        <w:pStyle w:val="2"/>
        <w:rPr>
          <w:rFonts w:hint="eastAsia" w:asciiTheme="minorEastAsia" w:hAnsiTheme="minorEastAsia" w:eastAsiaTheme="minorEastAsia" w:cstheme="minorEastAsia"/>
          <w:color w:val="000000" w:themeColor="text1"/>
        </w:rPr>
        <w:sectPr>
          <w:headerReference r:id="rId7" w:type="default"/>
          <w:footerReference r:id="rId8" w:type="default"/>
          <w:pgSz w:w="11907" w:h="16840"/>
          <w:pgMar w:top="1134" w:right="1191" w:bottom="1134" w:left="1304" w:header="851" w:footer="992" w:gutter="0"/>
          <w:pgNumType w:fmt="numberInDash"/>
          <w:cols w:space="720" w:num="1"/>
        </w:sectPr>
      </w:pP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31" w:name="_Toc486585240"/>
      <w:bookmarkStart w:id="132" w:name="_Toc6062"/>
      <w:bookmarkStart w:id="133" w:name="_Toc487204797"/>
      <w:bookmarkStart w:id="134" w:name="_Toc486608277"/>
      <w:r>
        <w:rPr>
          <w:rFonts w:hint="eastAsia" w:asciiTheme="minorEastAsia" w:hAnsiTheme="minorEastAsia" w:eastAsiaTheme="minorEastAsia" w:cstheme="minorEastAsia"/>
          <w:color w:val="000000" w:themeColor="text1"/>
          <w:sz w:val="24"/>
          <w:szCs w:val="24"/>
        </w:rPr>
        <w:t>一、经济部分</w:t>
      </w:r>
      <w:bookmarkEnd w:id="131"/>
      <w:bookmarkEnd w:id="132"/>
      <w:bookmarkEnd w:id="133"/>
      <w:bookmarkEnd w:id="134"/>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（一）报价函</w:t>
      </w:r>
    </w:p>
    <w:p>
      <w:pPr>
        <w:spacing w:line="400" w:lineRule="exact"/>
        <w:jc w:val="center"/>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b/>
          <w:color w:val="000000" w:themeColor="text1"/>
          <w:sz w:val="24"/>
          <w:szCs w:val="24"/>
        </w:rPr>
        <w:t>报价函</w:t>
      </w: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（采购代理机构名称）</w:t>
      </w:r>
      <w:r>
        <w:rPr>
          <w:rFonts w:hint="eastAsia" w:asciiTheme="minorEastAsia" w:hAnsiTheme="minorEastAsia" w:eastAsiaTheme="minorEastAsia" w:cstheme="minorEastAsia"/>
          <w:color w:val="000000" w:themeColor="text1"/>
          <w:sz w:val="24"/>
          <w:szCs w:val="24"/>
        </w:rPr>
        <w:t>：</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我方收到____________________________（询价项目名称）的询价采购文件，经详细研究，决定参加该询价项目的竞争询价。</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1.愿意按照询价采购文件中的一切要求，提供本项目的交货及技术服务，报价为人民币大写：</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元整；人民币小写：</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元。</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2.我方现提交的响应文件为：响应文件正本</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份，副本</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份，电子文档</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 xml:space="preserve"> 份。</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3.我方承诺：本次询价的有效期为90天。</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4.我方完全理解和接受贵方询价采购文件的一切规定和要求及询价评审办法。</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5.在整个询价过程中，我方若有违规行为，接受按照《中华人民共和国政府采购法》和《询价采购文件》之规定给予惩罚。</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6.我方若成为成交供应商，将按照最终询价结果签订合同，并且严格履行合同义务。本承诺函将成为合同不可分割的一部分，与合同具有同等的法律效力。</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7.我方同意按询价采购文件规定，交纳询价采购文件要求的保证金。如果我方成为成交供应商，保证在接到成交通知书后，向采购代理机构和交易中心交纳询价采购文件规定的采购代理服务费和交易服务费。</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8.我方未为采购项目提供整体设计、规范编制或者项目管理、监理、检测等服务。</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供应商（公章）：</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地址：</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电话：传真：</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网址：邮编：</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联系人：</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年   月   日</w:t>
      </w:r>
    </w:p>
    <w:p>
      <w:pPr>
        <w:widowControl/>
        <w:spacing w:line="400" w:lineRule="exact"/>
        <w:jc w:val="left"/>
        <w:rPr>
          <w:rFonts w:hint="eastAsia" w:asciiTheme="minorEastAsia" w:hAnsiTheme="minorEastAsia" w:eastAsiaTheme="minorEastAsia" w:cstheme="minorEastAsia"/>
          <w:color w:val="000000" w:themeColor="text1"/>
          <w:sz w:val="24"/>
          <w:szCs w:val="24"/>
        </w:rPr>
        <w:sectPr>
          <w:pgSz w:w="11907" w:h="16840"/>
          <w:pgMar w:top="1134" w:right="1191" w:bottom="1134" w:left="1304" w:header="851" w:footer="992" w:gutter="0"/>
          <w:pgNumType w:fmt="numberInDash"/>
          <w:cols w:space="720" w:num="1"/>
        </w:sectPr>
      </w:pPr>
    </w:p>
    <w:p>
      <w:pPr>
        <w:tabs>
          <w:tab w:val="left" w:pos="2895"/>
        </w:tabs>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（二）明细报价表</w:t>
      </w:r>
    </w:p>
    <w:p>
      <w:pPr>
        <w:spacing w:line="400" w:lineRule="exact"/>
        <w:jc w:val="center"/>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b/>
          <w:color w:val="000000" w:themeColor="text1"/>
          <w:sz w:val="24"/>
          <w:szCs w:val="24"/>
        </w:rPr>
        <w:t>明细报价表</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项目编号：</w:t>
      </w:r>
    </w:p>
    <w:p>
      <w:pPr>
        <w:spacing w:line="400" w:lineRule="exact"/>
        <w:rPr>
          <w:rFonts w:hint="eastAsia" w:asciiTheme="minorEastAsia" w:hAnsiTheme="minorEastAsia" w:eastAsiaTheme="minorEastAsia" w:cstheme="minorEastAsia"/>
          <w:color w:val="000000" w:themeColor="text1"/>
          <w:sz w:val="24"/>
          <w:szCs w:val="24"/>
          <w:u w:val="single"/>
        </w:rPr>
      </w:pPr>
      <w:r>
        <w:rPr>
          <w:rFonts w:hint="eastAsia" w:asciiTheme="minorEastAsia" w:hAnsiTheme="minorEastAsia" w:eastAsiaTheme="minorEastAsia" w:cstheme="minorEastAsia"/>
          <w:color w:val="000000" w:themeColor="text1"/>
          <w:sz w:val="24"/>
          <w:szCs w:val="24"/>
        </w:rPr>
        <w:t>项目名称：</w:t>
      </w:r>
    </w:p>
    <w:tbl>
      <w:tblPr>
        <w:tblStyle w:val="51"/>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8"/>
        <w:gridCol w:w="1721"/>
        <w:gridCol w:w="1417"/>
        <w:gridCol w:w="1250"/>
        <w:gridCol w:w="867"/>
        <w:gridCol w:w="10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产品名称</w:t>
            </w: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品牌及产地</w:t>
            </w: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制造商名称</w:t>
            </w: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规格型号</w:t>
            </w: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数量</w:t>
            </w: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单价</w:t>
            </w:r>
          </w:p>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合计</w:t>
            </w:r>
          </w:p>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bl>
    <w:p>
      <w:pPr>
        <w:snapToGrid w:val="0"/>
        <w:spacing w:line="400" w:lineRule="exact"/>
        <w:rPr>
          <w:rFonts w:hint="eastAsia" w:asciiTheme="minorEastAsia" w:hAnsiTheme="minorEastAsia" w:eastAsiaTheme="minorEastAsia" w:cstheme="minorEastAsia"/>
          <w:color w:val="000000" w:themeColor="text1"/>
          <w:sz w:val="24"/>
          <w:szCs w:val="24"/>
        </w:rPr>
      </w:pP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注：1.请供应商完整填写本表。</w:t>
      </w:r>
    </w:p>
    <w:p>
      <w:pPr>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2.该表可扩展，并逐页签字或盖章。</w:t>
      </w:r>
    </w:p>
    <w:p>
      <w:pPr>
        <w:snapToGrid w:val="0"/>
        <w:spacing w:line="400" w:lineRule="exact"/>
        <w:rPr>
          <w:rFonts w:hint="eastAsia" w:asciiTheme="minorEastAsia" w:hAnsiTheme="minorEastAsia" w:eastAsiaTheme="minorEastAsia" w:cstheme="minorEastAsia"/>
          <w:color w:val="000000" w:themeColor="text1"/>
          <w:sz w:val="24"/>
          <w:szCs w:val="24"/>
        </w:rPr>
      </w:pPr>
    </w:p>
    <w:p>
      <w:pPr>
        <w:pStyle w:val="36"/>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供应商名称（公章）：</w:t>
      </w:r>
    </w:p>
    <w:p>
      <w:pPr>
        <w:spacing w:line="400" w:lineRule="exact"/>
        <w:ind w:right="480" w:firstLine="6600" w:firstLineChars="27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年  月  日</w:t>
      </w:r>
    </w:p>
    <w:p>
      <w:pPr>
        <w:widowControl/>
        <w:spacing w:line="400" w:lineRule="exact"/>
        <w:jc w:val="left"/>
        <w:rPr>
          <w:rFonts w:hint="eastAsia" w:asciiTheme="minorEastAsia" w:hAnsiTheme="minorEastAsia" w:eastAsiaTheme="minorEastAsia" w:cstheme="minorEastAsia"/>
          <w:color w:val="000000" w:themeColor="text1"/>
          <w:sz w:val="24"/>
          <w:szCs w:val="24"/>
          <w:bdr w:val="single" w:color="auto" w:sz="4" w:space="0"/>
        </w:rPr>
        <w:sectPr>
          <w:pgSz w:w="11907" w:h="16840"/>
          <w:pgMar w:top="1134" w:right="1191" w:bottom="1134" w:left="1304" w:header="851" w:footer="992" w:gutter="0"/>
          <w:pgNumType w:fmt="numberInDash"/>
          <w:cols w:space="720" w:num="1"/>
        </w:sectPr>
      </w:pP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35" w:name="_Toc486585241"/>
      <w:bookmarkStart w:id="136" w:name="_Toc486608278"/>
      <w:bookmarkStart w:id="137" w:name="_Toc487204798"/>
      <w:bookmarkStart w:id="138" w:name="_Toc6759"/>
      <w:r>
        <w:rPr>
          <w:rFonts w:hint="eastAsia" w:asciiTheme="minorEastAsia" w:hAnsiTheme="minorEastAsia" w:eastAsiaTheme="minorEastAsia" w:cstheme="minorEastAsia"/>
          <w:color w:val="000000" w:themeColor="text1"/>
          <w:sz w:val="24"/>
          <w:szCs w:val="24"/>
        </w:rPr>
        <w:t>二、技术部分</w:t>
      </w:r>
      <w:bookmarkEnd w:id="135"/>
      <w:bookmarkEnd w:id="136"/>
      <w:bookmarkEnd w:id="137"/>
      <w:bookmarkEnd w:id="138"/>
    </w:p>
    <w:p>
      <w:pPr>
        <w:snapToGrid w:val="0"/>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（一）技术响应偏离表</w:t>
      </w:r>
    </w:p>
    <w:p>
      <w:pPr>
        <w:pStyle w:val="31"/>
        <w:tabs>
          <w:tab w:val="left" w:pos="6300"/>
        </w:tabs>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项目名称：</w:t>
      </w:r>
    </w:p>
    <w:tbl>
      <w:tblPr>
        <w:tblStyle w:val="51"/>
        <w:tblW w:w="90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2"/>
        <w:gridCol w:w="2783"/>
        <w:gridCol w:w="2889"/>
        <w:gridCol w:w="2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序号</w:t>
            </w: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采购需求</w:t>
            </w: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响应情况</w:t>
            </w: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差异说明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bl>
    <w:p>
      <w:pPr>
        <w:spacing w:line="400" w:lineRule="exact"/>
        <w:ind w:firstLine="600" w:firstLineChars="2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供应商：法定代表人授权代表：</w:t>
      </w: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（供应商公章）（签字或盖章）</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年     月     日</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注：</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1.本表即为对本项目“第三篇  询价项目技术需求”中所列技术要求进行比较和响应；</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2.该表必须按照询价要求逐条如实填写，根据响应情况在“差异说明”项填写正偏离或负偏离及原因，完全符合的填写“无差异”；</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3.该表可扩展，并逐页签字或盖章；</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4.可附相关技术支撑材料。（格式自定）</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5.若“响应情况”栏中仅填写“无偏离”或“有偏离”等内容而未作实质性参数描述，该供应商将失去成为成交供应商的资格。</w:t>
      </w:r>
    </w:p>
    <w:p>
      <w:pPr>
        <w:pStyle w:val="6"/>
        <w:spacing w:before="0" w:after="0"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br w:type="page"/>
      </w:r>
      <w:bookmarkStart w:id="139" w:name="_Toc487204799"/>
      <w:bookmarkStart w:id="140" w:name="_Toc486608279"/>
      <w:bookmarkStart w:id="141" w:name="_Toc486585242"/>
      <w:bookmarkStart w:id="142" w:name="_Toc8074"/>
      <w:r>
        <w:rPr>
          <w:rFonts w:hint="eastAsia" w:asciiTheme="minorEastAsia" w:hAnsiTheme="minorEastAsia" w:eastAsiaTheme="minorEastAsia" w:cstheme="minorEastAsia"/>
          <w:color w:val="000000" w:themeColor="text1"/>
          <w:sz w:val="24"/>
          <w:szCs w:val="24"/>
        </w:rPr>
        <w:t>三、服务部分</w:t>
      </w:r>
      <w:bookmarkEnd w:id="139"/>
      <w:bookmarkEnd w:id="140"/>
      <w:bookmarkEnd w:id="141"/>
      <w:bookmarkEnd w:id="142"/>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（一）服务响应偏离表</w:t>
      </w:r>
    </w:p>
    <w:p>
      <w:pPr>
        <w:snapToGrid w:val="0"/>
        <w:spacing w:line="400" w:lineRule="exact"/>
        <w:jc w:val="center"/>
        <w:rPr>
          <w:rFonts w:hint="eastAsia" w:asciiTheme="minorEastAsia" w:hAnsiTheme="minorEastAsia" w:eastAsiaTheme="minorEastAsia" w:cstheme="minorEastAsia"/>
          <w:b/>
          <w:color w:val="000000" w:themeColor="text1"/>
          <w:sz w:val="24"/>
          <w:szCs w:val="24"/>
        </w:rPr>
      </w:pPr>
    </w:p>
    <w:p>
      <w:pPr>
        <w:snapToGrid w:val="0"/>
        <w:spacing w:line="400" w:lineRule="exact"/>
        <w:jc w:val="center"/>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b/>
          <w:color w:val="000000" w:themeColor="text1"/>
          <w:sz w:val="24"/>
          <w:szCs w:val="24"/>
        </w:rPr>
        <w:t>服务响应偏离表（本表可自行设计格式）</w:t>
      </w:r>
    </w:p>
    <w:p>
      <w:pPr>
        <w:snapToGrid w:val="0"/>
        <w:spacing w:line="400" w:lineRule="exact"/>
        <w:ind w:firstLine="465"/>
        <w:rPr>
          <w:rFonts w:hint="eastAsia" w:asciiTheme="minorEastAsia" w:hAnsiTheme="minorEastAsia" w:eastAsiaTheme="minorEastAsia" w:cstheme="minorEastAsia"/>
          <w:color w:val="000000" w:themeColor="text1"/>
          <w:sz w:val="24"/>
          <w:szCs w:val="24"/>
        </w:rPr>
      </w:pPr>
    </w:p>
    <w:p>
      <w:pPr>
        <w:snapToGrid w:val="0"/>
        <w:spacing w:line="400" w:lineRule="exact"/>
        <w:ind w:firstLine="465"/>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对于询价采购文件的服务要求，如有任何偏离请如实填写下表：</w:t>
      </w:r>
    </w:p>
    <w:tbl>
      <w:tblPr>
        <w:tblStyle w:val="51"/>
        <w:tblW w:w="95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2888"/>
        <w:gridCol w:w="3040"/>
        <w:gridCol w:w="2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06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序号</w:t>
            </w:r>
          </w:p>
        </w:tc>
        <w:tc>
          <w:tcPr>
            <w:tcW w:w="288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询价项目需求</w:t>
            </w:r>
          </w:p>
        </w:tc>
        <w:tc>
          <w:tcPr>
            <w:tcW w:w="304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响应情况</w:t>
            </w:r>
          </w:p>
        </w:tc>
        <w:tc>
          <w:tcPr>
            <w:tcW w:w="258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bl>
    <w:p>
      <w:pPr>
        <w:snapToGrid w:val="0"/>
        <w:spacing w:line="400" w:lineRule="exact"/>
        <w:ind w:firstLine="465"/>
        <w:rPr>
          <w:rFonts w:hint="eastAsia" w:asciiTheme="minorEastAsia" w:hAnsiTheme="minorEastAsia" w:eastAsiaTheme="minorEastAsia" w:cstheme="minorEastAsia"/>
          <w:color w:val="000000" w:themeColor="text1"/>
          <w:sz w:val="24"/>
          <w:szCs w:val="24"/>
        </w:rPr>
      </w:pPr>
    </w:p>
    <w:p>
      <w:pPr>
        <w:spacing w:line="400" w:lineRule="exact"/>
        <w:ind w:firstLine="600" w:firstLineChars="2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                              法定代表人授权代表：</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（供应商公章）                                （签字或盖章）</w:t>
      </w: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年     月     日</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注：</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1.本表即为对本项目“第四篇 询价项目服务需求”中所列服务要求进行比较和响应；</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2.该表必须按照询价要求逐条如实填写，根据响应情况在“差异说明”项填写正偏离或负偏离及原因，完全符合的填写“无差异”；</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3.该表可扩展，并逐页签字或盖章；</w:t>
      </w: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（二）其它优惠承诺（格式自定）</w:t>
      </w:r>
    </w:p>
    <w:p>
      <w:pPr>
        <w:pStyle w:val="6"/>
        <w:spacing w:before="0" w:after="0"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color w:val="000000" w:themeColor="text1"/>
          <w:sz w:val="24"/>
          <w:szCs w:val="24"/>
        </w:rPr>
        <w:br w:type="page"/>
      </w:r>
      <w:bookmarkStart w:id="143" w:name="_Toc487204800"/>
      <w:bookmarkStart w:id="144" w:name="_Toc486608280"/>
      <w:bookmarkStart w:id="145" w:name="_Toc486585243"/>
      <w:bookmarkStart w:id="146" w:name="_Toc16938"/>
      <w:r>
        <w:rPr>
          <w:rFonts w:hint="eastAsia" w:asciiTheme="minorEastAsia" w:hAnsiTheme="minorEastAsia" w:eastAsiaTheme="minorEastAsia" w:cstheme="minorEastAsia"/>
          <w:color w:val="000000" w:themeColor="text1"/>
          <w:sz w:val="24"/>
          <w:szCs w:val="24"/>
        </w:rPr>
        <w:t>四、资格条件及其他</w:t>
      </w:r>
      <w:bookmarkEnd w:id="143"/>
      <w:bookmarkEnd w:id="144"/>
      <w:bookmarkEnd w:id="145"/>
      <w:bookmarkEnd w:id="146"/>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（一）营业执照（副本）或事业单位法人证书（副本）复印件</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（二）组织机构代码证复印件</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widowControl/>
        <w:spacing w:line="400" w:lineRule="exact"/>
        <w:ind w:firstLine="480" w:firstLineChars="200"/>
        <w:jc w:val="lef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br w:type="page"/>
      </w:r>
      <w:r>
        <w:rPr>
          <w:rFonts w:hint="eastAsia" w:asciiTheme="minorEastAsia" w:hAnsiTheme="minorEastAsia" w:eastAsiaTheme="minorEastAsia" w:cstheme="minorEastAsia"/>
          <w:color w:val="000000" w:themeColor="text1"/>
          <w:sz w:val="24"/>
          <w:szCs w:val="24"/>
        </w:rPr>
        <w:t>（三）法定代表人身份证明书（格式）</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项目名称：</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致：</w:t>
      </w:r>
      <w:r>
        <w:rPr>
          <w:rFonts w:hint="eastAsia" w:asciiTheme="minorEastAsia" w:hAnsiTheme="minorEastAsia" w:eastAsiaTheme="minorEastAsia" w:cstheme="minorEastAsia"/>
          <w:color w:val="000000" w:themeColor="text1"/>
          <w:sz w:val="24"/>
          <w:szCs w:val="24"/>
          <w:u w:val="single"/>
        </w:rPr>
        <w:t>（采购代理机构名称）：</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（法定代表人姓名）</w:t>
      </w:r>
      <w:r>
        <w:rPr>
          <w:rFonts w:hint="eastAsia" w:asciiTheme="minorEastAsia" w:hAnsiTheme="minorEastAsia" w:eastAsiaTheme="minorEastAsia" w:cstheme="minorEastAsia"/>
          <w:color w:val="000000" w:themeColor="text1"/>
          <w:sz w:val="24"/>
          <w:szCs w:val="24"/>
        </w:rPr>
        <w:t>在（供应商名称）任</w:t>
      </w:r>
      <w:r>
        <w:rPr>
          <w:rFonts w:hint="eastAsia" w:asciiTheme="minorEastAsia" w:hAnsiTheme="minorEastAsia" w:eastAsiaTheme="minorEastAsia" w:cstheme="minorEastAsia"/>
          <w:color w:val="000000" w:themeColor="text1"/>
          <w:sz w:val="24"/>
          <w:szCs w:val="24"/>
          <w:u w:val="single"/>
        </w:rPr>
        <w:t>（职务名称）</w:t>
      </w:r>
      <w:r>
        <w:rPr>
          <w:rFonts w:hint="eastAsia" w:asciiTheme="minorEastAsia" w:hAnsiTheme="minorEastAsia" w:eastAsiaTheme="minorEastAsia" w:cstheme="minorEastAsia"/>
          <w:color w:val="000000" w:themeColor="text1"/>
          <w:sz w:val="24"/>
          <w:szCs w:val="24"/>
        </w:rPr>
        <w:t>职务，是（供应商名称）的法定代表人。</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特此证明。</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（供应商公章）</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年   月   日</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（附：法定代表人身份证正反面复印件）</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br w:type="column"/>
      </w:r>
      <w:r>
        <w:rPr>
          <w:rFonts w:hint="eastAsia" w:asciiTheme="minorEastAsia" w:hAnsiTheme="minorEastAsia" w:eastAsiaTheme="minorEastAsia" w:cstheme="minorEastAsia"/>
          <w:color w:val="000000" w:themeColor="text1"/>
          <w:sz w:val="24"/>
          <w:szCs w:val="24"/>
        </w:rPr>
        <w:t>（四）法定代表人授权委托书（格式）</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项目名称：</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致：</w:t>
      </w:r>
      <w:r>
        <w:rPr>
          <w:rFonts w:hint="eastAsia" w:asciiTheme="minorEastAsia" w:hAnsiTheme="minorEastAsia" w:eastAsiaTheme="minorEastAsia" w:cstheme="minorEastAsia"/>
          <w:color w:val="000000" w:themeColor="text1"/>
          <w:sz w:val="24"/>
          <w:szCs w:val="24"/>
          <w:u w:val="single"/>
        </w:rPr>
        <w:t>（采购代理机构名称）：</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（供应商法定代表人名称）</w:t>
      </w:r>
      <w:r>
        <w:rPr>
          <w:rFonts w:hint="eastAsia" w:asciiTheme="minorEastAsia" w:hAnsiTheme="minorEastAsia" w:eastAsiaTheme="minorEastAsia" w:cstheme="minorEastAsia"/>
          <w:color w:val="000000" w:themeColor="text1"/>
          <w:sz w:val="24"/>
          <w:szCs w:val="24"/>
        </w:rPr>
        <w:t>是（供应商名称）的法定代表人，特授权</w:t>
      </w:r>
      <w:r>
        <w:rPr>
          <w:rFonts w:hint="eastAsia" w:asciiTheme="minorEastAsia" w:hAnsiTheme="minorEastAsia" w:eastAsiaTheme="minorEastAsia" w:cstheme="minorEastAsia"/>
          <w:color w:val="000000" w:themeColor="text1"/>
          <w:sz w:val="24"/>
          <w:szCs w:val="24"/>
          <w:u w:val="single"/>
        </w:rPr>
        <w:t>（被授权人姓名及身份证代码）</w:t>
      </w:r>
      <w:r>
        <w:rPr>
          <w:rFonts w:hint="eastAsia" w:asciiTheme="minorEastAsia" w:hAnsiTheme="minorEastAsia" w:eastAsiaTheme="minorEastAsia" w:cstheme="minorEastAsia"/>
          <w:color w:val="000000" w:themeColor="text1"/>
          <w:sz w:val="24"/>
          <w:szCs w:val="24"/>
        </w:rPr>
        <w:t>代表我单位全权办理上述项目的询价、签约等具体工作，并签署全部有关文件、协议及合同。</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我单位对被授权人的签字负全部责任。</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在撤消授权的书面通知以前，本授权书一直有效。被授权人在授权书有效期内签署的所有文件不因授权的撤消而失效。</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被授权人：供应商法定代表人：</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（签字或盖章）（签字或盖章）</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（附：被授权人身份证正反面复印件）</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right="480" w:firstLine="570"/>
        <w:jc w:val="righ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（供应商公章）</w:t>
      </w:r>
    </w:p>
    <w:p>
      <w:pPr>
        <w:tabs>
          <w:tab w:val="left" w:pos="6300"/>
        </w:tabs>
        <w:snapToGrid w:val="0"/>
        <w:spacing w:line="400" w:lineRule="exact"/>
        <w:ind w:right="480" w:firstLine="570"/>
        <w:jc w:val="righ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年  月  日</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br w:type="column"/>
      </w:r>
      <w:r>
        <w:rPr>
          <w:rFonts w:hint="eastAsia" w:asciiTheme="minorEastAsia" w:hAnsiTheme="minorEastAsia" w:eastAsiaTheme="minorEastAsia" w:cstheme="minorEastAsia"/>
          <w:color w:val="000000" w:themeColor="text1"/>
          <w:sz w:val="24"/>
          <w:szCs w:val="24"/>
        </w:rPr>
        <w:t>（五）提供2018年度财务状况报告（表）复印件，本年度新成立的公司提供提交响应文件截止时间前一个月的财务状况报告（表）复印件（新成立公司不足一个月的除外）</w:t>
      </w: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（六）书面声明格式</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书面声明</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项目名称：</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致：（采购代理机构名称）：</w:t>
      </w:r>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（供应商名称）</w:t>
      </w:r>
      <w:r>
        <w:rPr>
          <w:rFonts w:hint="eastAsia" w:asciiTheme="minorEastAsia" w:hAnsiTheme="minorEastAsia" w:eastAsiaTheme="minorEastAsia" w:cstheme="minorEastAsia"/>
          <w:color w:val="000000" w:themeColor="text1"/>
          <w:sz w:val="24"/>
          <w:szCs w:val="24"/>
        </w:rPr>
        <w:t>郑重声明，我公司具有良好的商业信誉和健全的财务会计制度，具有履行合同所必需的设备和专业技术能力，有依法缴纳税收和社会保障资金的良好记录，参加本项目采购活动前三年内无重大违法活动记录，在合同签订前后随时愿意提供相关证明材料；我公司还同时声明未列入在信用中国网站（www.creditchina.gov.cn）“失信被执行人”、“重大税收违法案件当事人名单”中，也未列入中国政府采购网（www.ccgp.gov.cn）“政府采购严重违法失信行为记录名单”中，并随时接受采购人、采购代理机构的检查验证。我方完全符合《政府采购法》规定的供应商资格条件并对以上声明负全部法律责任。</w:t>
      </w:r>
    </w:p>
    <w:p>
      <w:pPr>
        <w:tabs>
          <w:tab w:val="left" w:pos="6300"/>
        </w:tabs>
        <w:snapToGrid w:val="0"/>
        <w:spacing w:line="400" w:lineRule="exact"/>
        <w:ind w:firstLine="600" w:firstLineChars="2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特此声明。</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right="424" w:firstLine="570"/>
        <w:jc w:val="righ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（供应商公章）</w:t>
      </w:r>
    </w:p>
    <w:p>
      <w:pPr>
        <w:tabs>
          <w:tab w:val="left" w:pos="6300"/>
        </w:tabs>
        <w:snapToGrid w:val="0"/>
        <w:spacing w:line="400" w:lineRule="exact"/>
        <w:ind w:right="480" w:firstLine="570"/>
        <w:jc w:val="righ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年  月  日</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br w:type="page"/>
      </w:r>
      <w:r>
        <w:rPr>
          <w:rFonts w:hint="eastAsia" w:asciiTheme="minorEastAsia" w:hAnsiTheme="minorEastAsia" w:eastAsiaTheme="minorEastAsia" w:cstheme="minorEastAsia"/>
          <w:color w:val="000000" w:themeColor="text1"/>
          <w:sz w:val="24"/>
          <w:szCs w:val="24"/>
        </w:rPr>
        <w:t>（七）税务登记证（副本）复印件和社会保险缴纳证明材料</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缴纳社会保障金的证明材料指：社会保险登记证或缴纳社会保险的凭据（专用收据或社会保险缴纳清单）。依法免税或不需要缴纳社会保障资金的投标人，应提供相应文件证明其依法免税或不需要缴纳社会保障资金。</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（八）供应商信用查询结果</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投标人可以将信用中国网站及中国政府采购网查询结果附后（查询时间为本项目采购公告发布之日起至提交响应文件截止时间前）。</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1.信用中国网站（www.creditchina.gov.cn）查询结果（提供查询结果网页打印件或截图，并加盖投标人公章）</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1.1“失信被执行人”查询结果；</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1.2“重大税收违法案件当事人名单”查询结果；</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2.中国政府采购网（www.ccgp.gov.cn）（提供查询结果网页打印件或截图，并加盖投标人公章）</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“政府采购严重违法失信行为记录名单”查询结果。</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（九）特定资格条件证明文件（按询价采购文件第一篇第三条第（二）项要求提供）</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注：供应商按“多证合一”登记制度办理营业执照的，组织机构代码证和税务登记证以供应商所提供的营业执照（副本）复印件为准。</w:t>
      </w:r>
    </w:p>
    <w:p>
      <w:pPr>
        <w:pStyle w:val="6"/>
        <w:spacing w:before="0" w:after="0"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color w:val="000000" w:themeColor="text1"/>
          <w:sz w:val="24"/>
          <w:szCs w:val="24"/>
        </w:rPr>
        <w:br w:type="page"/>
      </w:r>
      <w:bookmarkStart w:id="147" w:name="_Toc487204801"/>
      <w:bookmarkStart w:id="148" w:name="_Toc486608281"/>
      <w:bookmarkStart w:id="149" w:name="_Toc486585244"/>
      <w:bookmarkStart w:id="150" w:name="_Toc30310"/>
      <w:r>
        <w:rPr>
          <w:rFonts w:hint="eastAsia" w:asciiTheme="minorEastAsia" w:hAnsiTheme="minorEastAsia" w:eastAsiaTheme="minorEastAsia" w:cstheme="minorEastAsia"/>
          <w:color w:val="000000" w:themeColor="text1"/>
          <w:sz w:val="24"/>
          <w:szCs w:val="24"/>
        </w:rPr>
        <w:t>五、其他应提供的资料</w:t>
      </w:r>
      <w:bookmarkEnd w:id="147"/>
      <w:bookmarkEnd w:id="148"/>
      <w:bookmarkEnd w:id="149"/>
      <w:bookmarkEnd w:id="150"/>
    </w:p>
    <w:p>
      <w:pPr>
        <w:tabs>
          <w:tab w:val="left" w:pos="6300"/>
        </w:tabs>
        <w:snapToGrid w:val="0"/>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（一）中小微企业声明函、监狱企业证明文件、残疾人福利性单位声明函</w:t>
      </w:r>
      <w:r>
        <w:rPr>
          <w:rFonts w:hint="eastAsia" w:asciiTheme="minorEastAsia" w:hAnsiTheme="minorEastAsia" w:eastAsiaTheme="minorEastAsia" w:cstheme="minorEastAsia"/>
          <w:color w:val="000000" w:themeColor="text1"/>
          <w:sz w:val="24"/>
          <w:szCs w:val="24"/>
        </w:rPr>
        <w:t>（不属于不提供）</w:t>
      </w:r>
    </w:p>
    <w:p>
      <w:pPr>
        <w:tabs>
          <w:tab w:val="left" w:pos="6300"/>
        </w:tabs>
        <w:snapToGrid w:val="0"/>
        <w:spacing w:line="5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1.中小微企业声明函</w:t>
      </w:r>
    </w:p>
    <w:p>
      <w:pPr>
        <w:tabs>
          <w:tab w:val="left" w:pos="6300"/>
        </w:tabs>
        <w:snapToGrid w:val="0"/>
        <w:spacing w:line="500" w:lineRule="exact"/>
        <w:ind w:firstLine="480" w:firstLineChars="20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中小微企业声明函</w:t>
      </w:r>
    </w:p>
    <w:p>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项目名称：</w:t>
      </w:r>
      <w:r>
        <w:rPr>
          <w:rFonts w:hint="eastAsia" w:asciiTheme="minorEastAsia" w:hAnsiTheme="minorEastAsia" w:eastAsiaTheme="minorEastAsia" w:cstheme="minorEastAsia"/>
          <w:sz w:val="22"/>
          <w:szCs w:val="24"/>
          <w:u w:val="single"/>
        </w:rPr>
        <w:t xml:space="preserve">                        </w:t>
      </w:r>
    </w:p>
    <w:p>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致：</w:t>
      </w:r>
      <w:r>
        <w:rPr>
          <w:rFonts w:hint="eastAsia" w:asciiTheme="minorEastAsia" w:hAnsiTheme="minorEastAsia" w:eastAsiaTheme="minorEastAsia" w:cstheme="minorEastAsia"/>
          <w:sz w:val="22"/>
          <w:szCs w:val="24"/>
          <w:u w:val="single"/>
        </w:rPr>
        <w:t xml:space="preserve">                   </w:t>
      </w:r>
      <w:r>
        <w:rPr>
          <w:rFonts w:hint="eastAsia" w:asciiTheme="minorEastAsia" w:hAnsiTheme="minorEastAsia" w:eastAsiaTheme="minorEastAsia" w:cstheme="minorEastAsia"/>
          <w:sz w:val="22"/>
          <w:szCs w:val="24"/>
        </w:rPr>
        <w:t>（采购人名称）：</w:t>
      </w:r>
    </w:p>
    <w:p>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本企业郑重声明，根据《政府采购促进中小企业发展暂行办法》（财库〔2011〕181号）的规定，本企业为</w:t>
      </w:r>
      <w:r>
        <w:rPr>
          <w:rFonts w:hint="eastAsia" w:asciiTheme="minorEastAsia" w:hAnsiTheme="minorEastAsia" w:eastAsiaTheme="minorEastAsia" w:cstheme="minorEastAsia"/>
          <w:sz w:val="22"/>
          <w:szCs w:val="24"/>
          <w:u w:val="single"/>
        </w:rPr>
        <w:t xml:space="preserve">          </w:t>
      </w:r>
      <w:r>
        <w:rPr>
          <w:rFonts w:hint="eastAsia" w:asciiTheme="minorEastAsia" w:hAnsiTheme="minorEastAsia" w:eastAsiaTheme="minorEastAsia" w:cstheme="minorEastAsia"/>
          <w:sz w:val="22"/>
          <w:szCs w:val="24"/>
        </w:rPr>
        <w:t>（请填写：中型、小型、微型）企业。即，本企业同时满足以下条件：</w:t>
      </w:r>
    </w:p>
    <w:p>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1.根据《工业和信息化部 国家统计局 国家发展和改革委员会 财政部关于印发中小企业划型标准规定的通知》（工信部联企业〔2011〕300号）的划分标准，本企业为行业</w:t>
      </w:r>
      <w:r>
        <w:rPr>
          <w:rFonts w:hint="eastAsia" w:asciiTheme="minorEastAsia" w:hAnsiTheme="minorEastAsia" w:eastAsiaTheme="minorEastAsia" w:cstheme="minorEastAsia"/>
          <w:sz w:val="22"/>
          <w:szCs w:val="24"/>
          <w:u w:val="single"/>
        </w:rPr>
        <w:t xml:space="preserve">  </w:t>
      </w:r>
      <w:r>
        <w:rPr>
          <w:rFonts w:hint="eastAsia" w:asciiTheme="minorEastAsia" w:hAnsiTheme="minorEastAsia" w:eastAsiaTheme="minorEastAsia" w:cstheme="minorEastAsia"/>
          <w:sz w:val="22"/>
          <w:szCs w:val="24"/>
        </w:rPr>
        <w:t xml:space="preserve">（行业类别）的 </w:t>
      </w:r>
      <w:r>
        <w:rPr>
          <w:rFonts w:hint="eastAsia" w:asciiTheme="minorEastAsia" w:hAnsiTheme="minorEastAsia" w:eastAsiaTheme="minorEastAsia" w:cstheme="minorEastAsia"/>
          <w:sz w:val="22"/>
          <w:szCs w:val="24"/>
          <w:u w:val="single"/>
        </w:rPr>
        <w:t xml:space="preserve">       </w:t>
      </w:r>
      <w:r>
        <w:rPr>
          <w:rFonts w:hint="eastAsia" w:asciiTheme="minorEastAsia" w:hAnsiTheme="minorEastAsia" w:eastAsiaTheme="minorEastAsia" w:cstheme="minorEastAsia"/>
          <w:sz w:val="22"/>
          <w:szCs w:val="24"/>
        </w:rPr>
        <w:t>（请填写：中型、小型、微型）企业。</w:t>
      </w:r>
    </w:p>
    <w:p>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2.本企业参加本项目提供本企业制造的货物、承担的工程或者服务，或者提供他小微企业制造的货物。</w:t>
      </w:r>
    </w:p>
    <w:p>
      <w:pPr>
        <w:tabs>
          <w:tab w:val="left" w:pos="6300"/>
        </w:tabs>
        <w:snapToGrid w:val="0"/>
        <w:spacing w:line="500" w:lineRule="exact"/>
        <w:ind w:firstLine="440" w:firstLineChars="200"/>
        <w:jc w:val="center"/>
        <w:rPr>
          <w:rFonts w:hint="eastAsia" w:asciiTheme="minorEastAsia" w:hAnsiTheme="minorEastAsia" w:eastAsiaTheme="minorEastAsia" w:cstheme="minorEastAsia"/>
          <w:kern w:val="0"/>
          <w:sz w:val="22"/>
          <w:szCs w:val="24"/>
        </w:rPr>
      </w:pPr>
      <w:r>
        <w:rPr>
          <w:rFonts w:hint="eastAsia" w:asciiTheme="minorEastAsia" w:hAnsiTheme="minorEastAsia" w:eastAsiaTheme="minorEastAsia" w:cstheme="minorEastAsia"/>
          <w:kern w:val="0"/>
          <w:sz w:val="22"/>
          <w:szCs w:val="24"/>
        </w:rPr>
        <w:t>企业基本情况表</w:t>
      </w:r>
    </w:p>
    <w:tbl>
      <w:tblPr>
        <w:tblStyle w:val="5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407"/>
        <w:gridCol w:w="2407"/>
        <w:gridCol w:w="2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2407" w:type="dxa"/>
            <w:noWrap w:val="0"/>
            <w:vAlign w:val="center"/>
          </w:tcPr>
          <w:p>
            <w:pPr>
              <w:spacing w:line="400" w:lineRule="exact"/>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行业类别</w:t>
            </w:r>
          </w:p>
        </w:tc>
        <w:tc>
          <w:tcPr>
            <w:tcW w:w="2407" w:type="dxa"/>
            <w:noWrap w:val="0"/>
            <w:vAlign w:val="center"/>
          </w:tcPr>
          <w:p>
            <w:pPr>
              <w:spacing w:line="400" w:lineRule="exact"/>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营业收入（万元）</w:t>
            </w:r>
          </w:p>
        </w:tc>
        <w:tc>
          <w:tcPr>
            <w:tcW w:w="2407" w:type="dxa"/>
            <w:noWrap w:val="0"/>
            <w:vAlign w:val="center"/>
          </w:tcPr>
          <w:p>
            <w:pPr>
              <w:spacing w:line="400" w:lineRule="exact"/>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从业人员（人）</w:t>
            </w:r>
          </w:p>
        </w:tc>
        <w:tc>
          <w:tcPr>
            <w:tcW w:w="2407" w:type="dxa"/>
            <w:noWrap w:val="0"/>
            <w:vAlign w:val="center"/>
          </w:tcPr>
          <w:p>
            <w:pPr>
              <w:spacing w:line="400" w:lineRule="exact"/>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资产总额（万元）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2407" w:type="dxa"/>
            <w:noWrap w:val="0"/>
            <w:vAlign w:val="center"/>
          </w:tcPr>
          <w:p>
            <w:pPr>
              <w:spacing w:line="400" w:lineRule="exact"/>
              <w:jc w:val="center"/>
              <w:rPr>
                <w:rFonts w:hint="eastAsia" w:asciiTheme="minorEastAsia" w:hAnsiTheme="minorEastAsia" w:eastAsiaTheme="minorEastAsia" w:cstheme="minorEastAsia"/>
                <w:sz w:val="22"/>
                <w:szCs w:val="22"/>
              </w:rPr>
            </w:pPr>
          </w:p>
        </w:tc>
        <w:tc>
          <w:tcPr>
            <w:tcW w:w="2407" w:type="dxa"/>
            <w:noWrap w:val="0"/>
            <w:vAlign w:val="center"/>
          </w:tcPr>
          <w:p>
            <w:pPr>
              <w:spacing w:line="400" w:lineRule="exact"/>
              <w:jc w:val="center"/>
              <w:rPr>
                <w:rFonts w:hint="eastAsia" w:asciiTheme="minorEastAsia" w:hAnsiTheme="minorEastAsia" w:eastAsiaTheme="minorEastAsia" w:cstheme="minorEastAsia"/>
                <w:sz w:val="22"/>
                <w:szCs w:val="22"/>
              </w:rPr>
            </w:pPr>
          </w:p>
        </w:tc>
        <w:tc>
          <w:tcPr>
            <w:tcW w:w="2407" w:type="dxa"/>
            <w:noWrap w:val="0"/>
            <w:vAlign w:val="center"/>
          </w:tcPr>
          <w:p>
            <w:pPr>
              <w:spacing w:line="400" w:lineRule="exact"/>
              <w:jc w:val="center"/>
              <w:rPr>
                <w:rFonts w:hint="eastAsia" w:asciiTheme="minorEastAsia" w:hAnsiTheme="minorEastAsia" w:eastAsiaTheme="minorEastAsia" w:cstheme="minorEastAsia"/>
                <w:sz w:val="22"/>
                <w:szCs w:val="22"/>
              </w:rPr>
            </w:pPr>
          </w:p>
        </w:tc>
        <w:tc>
          <w:tcPr>
            <w:tcW w:w="2407" w:type="dxa"/>
            <w:noWrap w:val="0"/>
            <w:vAlign w:val="center"/>
          </w:tcPr>
          <w:p>
            <w:pPr>
              <w:spacing w:line="400" w:lineRule="exact"/>
              <w:jc w:val="center"/>
              <w:rPr>
                <w:rFonts w:hint="eastAsia" w:asciiTheme="minorEastAsia" w:hAnsiTheme="minorEastAsia" w:eastAsiaTheme="minorEastAsia" w:cstheme="minorEastAsia"/>
                <w:sz w:val="22"/>
                <w:szCs w:val="22"/>
              </w:rPr>
            </w:pPr>
          </w:p>
        </w:tc>
      </w:tr>
    </w:tbl>
    <w:p>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本公司对上述声明的真实性负责。如有虚假，将依法承担相应责任。</w:t>
      </w:r>
    </w:p>
    <w:p>
      <w:pPr>
        <w:tabs>
          <w:tab w:val="left" w:pos="6300"/>
        </w:tabs>
        <w:snapToGrid w:val="0"/>
        <w:spacing w:line="500" w:lineRule="exact"/>
        <w:ind w:right="784" w:firstLine="5280" w:firstLineChars="24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供应商名称（公章）：</w:t>
      </w:r>
    </w:p>
    <w:p>
      <w:pPr>
        <w:tabs>
          <w:tab w:val="left" w:pos="6300"/>
        </w:tabs>
        <w:snapToGrid w:val="0"/>
        <w:spacing w:line="500" w:lineRule="exact"/>
        <w:ind w:right="784" w:firstLine="5280" w:firstLineChars="24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 xml:space="preserve">   年  月  日</w:t>
      </w:r>
    </w:p>
    <w:p>
      <w:pPr>
        <w:tabs>
          <w:tab w:val="left" w:pos="6300"/>
        </w:tabs>
        <w:snapToGrid w:val="0"/>
        <w:rPr>
          <w:rFonts w:hint="eastAsia" w:asciiTheme="minorEastAsia" w:hAnsiTheme="minorEastAsia" w:eastAsiaTheme="minorEastAsia" w:cstheme="minorEastAsia"/>
          <w:kern w:val="0"/>
          <w:sz w:val="22"/>
          <w:szCs w:val="24"/>
        </w:rPr>
      </w:pPr>
    </w:p>
    <w:p>
      <w:pPr>
        <w:tabs>
          <w:tab w:val="left" w:pos="6300"/>
        </w:tabs>
        <w:snapToGrid w:val="0"/>
        <w:spacing w:line="400" w:lineRule="exact"/>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填写《企业基本情况表》时，应注意以下事项：</w:t>
      </w:r>
    </w:p>
    <w:p>
      <w:pPr>
        <w:tabs>
          <w:tab w:val="left" w:pos="6300"/>
        </w:tabs>
        <w:snapToGrid w:val="0"/>
        <w:spacing w:line="4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1.除建筑业、房地产开发经营、租赁和商务服务业等三个行业外，其余行业无需填写资产总额项；</w:t>
      </w:r>
    </w:p>
    <w:p>
      <w:pPr>
        <w:tabs>
          <w:tab w:val="left" w:pos="6300"/>
        </w:tabs>
        <w:snapToGrid w:val="0"/>
        <w:spacing w:line="4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2.农、林、牧、渔业无需填写从业人员和资产总额项。</w:t>
      </w:r>
    </w:p>
    <w:p>
      <w:pPr>
        <w:tabs>
          <w:tab w:val="left" w:pos="6300"/>
        </w:tabs>
        <w:snapToGrid w:val="0"/>
        <w:spacing w:line="4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3.小微企业供应的产品若涉及到其他企业制造且符合扶持小微企业政策的，还需提供所涉及的其他企业的《中小微企业声明函》，否则将不被认定为小微企业。</w:t>
      </w:r>
    </w:p>
    <w:p>
      <w:pPr>
        <w:tabs>
          <w:tab w:val="left" w:pos="6300"/>
        </w:tabs>
        <w:snapToGrid w:val="0"/>
        <w:spacing w:line="4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kern w:val="0"/>
          <w:sz w:val="22"/>
          <w:szCs w:val="24"/>
        </w:rPr>
        <w:t>4.若成交供应商为小微企业的，将在结果公告时公告其属于小型企业或微型企业，成交供应商供应的产品若涉及到其他企业制造的将一并进行公告。</w:t>
      </w:r>
    </w:p>
    <w:p>
      <w:pPr>
        <w:tabs>
          <w:tab w:val="left" w:pos="6300"/>
        </w:tabs>
        <w:snapToGrid w:val="0"/>
        <w:spacing w:line="5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t>2.监狱企业证明文件</w:t>
      </w:r>
    </w:p>
    <w:p>
      <w:pPr>
        <w:tabs>
          <w:tab w:val="left" w:pos="6300"/>
        </w:tabs>
        <w:snapToGrid w:val="0"/>
        <w:spacing w:line="5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以省级以上监狱管理局、戒毒管理局（含新疆生产建设兵团）出具的属于监狱企业的证明文件为准。</w:t>
      </w: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t xml:space="preserve">   3.残疾人福利性单位声明函</w:t>
      </w:r>
    </w:p>
    <w:p>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p>
    <w:p>
      <w:pPr>
        <w:tabs>
          <w:tab w:val="left" w:pos="6300"/>
        </w:tabs>
        <w:snapToGrid w:val="0"/>
        <w:spacing w:line="500" w:lineRule="exact"/>
        <w:ind w:firstLine="480" w:firstLineChars="20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残疾人福利性单位声明函</w:t>
      </w:r>
    </w:p>
    <w:p>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本单位对上述声明的真实性负责。如有虚假，将依法承担相应责任。</w:t>
      </w:r>
    </w:p>
    <w:p>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p>
    <w:p>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p>
    <w:p>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p>
    <w:p>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p>
    <w:p>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 xml:space="preserve">                                                 供应商名称（盖章）：</w:t>
      </w:r>
    </w:p>
    <w:p>
      <w:pPr>
        <w:tabs>
          <w:tab w:val="left" w:pos="6300"/>
        </w:tabs>
        <w:snapToGrid w:val="0"/>
        <w:spacing w:line="500" w:lineRule="exact"/>
        <w:ind w:firstLine="57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2"/>
          <w:szCs w:val="24"/>
        </w:rPr>
        <w:t xml:space="preserve">                                                  日  期：</w:t>
      </w: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sz w:val="24"/>
          <w:szCs w:val="24"/>
        </w:rPr>
        <w:br w:type="page"/>
      </w:r>
    </w:p>
    <w:p>
      <w:pPr>
        <w:tabs>
          <w:tab w:val="left" w:pos="1764"/>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（二）节能环保政策性扣减</w:t>
      </w:r>
    </w:p>
    <w:p>
      <w:pPr>
        <w:tabs>
          <w:tab w:val="left" w:pos="1764"/>
        </w:tabs>
        <w:snapToGrid w:val="0"/>
        <w:spacing w:line="400" w:lineRule="exact"/>
        <w:jc w:val="center"/>
        <w:rPr>
          <w:rFonts w:hint="eastAsia" w:asciiTheme="minorEastAsia" w:hAnsiTheme="minorEastAsia" w:eastAsiaTheme="minorEastAsia" w:cstheme="minorEastAsia"/>
          <w:color w:val="000000" w:themeColor="text1"/>
          <w:spacing w:val="-14"/>
          <w:sz w:val="24"/>
          <w:szCs w:val="24"/>
        </w:rPr>
      </w:pPr>
    </w:p>
    <w:p>
      <w:pPr>
        <w:tabs>
          <w:tab w:val="left" w:pos="1764"/>
        </w:tabs>
        <w:snapToGrid w:val="0"/>
        <w:spacing w:line="400" w:lineRule="exact"/>
        <w:jc w:val="center"/>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节能环保政策性扣减表</w:t>
      </w:r>
    </w:p>
    <w:p>
      <w:pPr>
        <w:tabs>
          <w:tab w:val="left" w:pos="1764"/>
        </w:tabs>
        <w:snapToGrid w:val="0"/>
        <w:spacing w:line="400" w:lineRule="exact"/>
        <w:jc w:val="center"/>
        <w:rPr>
          <w:rFonts w:hint="eastAsia" w:asciiTheme="minorEastAsia" w:hAnsiTheme="minorEastAsia" w:eastAsiaTheme="minorEastAsia" w:cstheme="minorEastAsia"/>
          <w:color w:val="000000" w:themeColor="text1"/>
          <w:spacing w:val="-14"/>
          <w:sz w:val="24"/>
          <w:szCs w:val="24"/>
        </w:rPr>
      </w:pPr>
    </w:p>
    <w:p>
      <w:pPr>
        <w:tabs>
          <w:tab w:val="left" w:pos="1764"/>
        </w:tabs>
        <w:snapToGrid w:val="0"/>
        <w:spacing w:line="400" w:lineRule="exact"/>
        <w:jc w:val="center"/>
        <w:rPr>
          <w:rFonts w:hint="eastAsia" w:asciiTheme="minorEastAsia" w:hAnsiTheme="minorEastAsia" w:eastAsiaTheme="minorEastAsia" w:cstheme="minorEastAsia"/>
          <w:color w:val="000000" w:themeColor="text1"/>
          <w:spacing w:val="-14"/>
          <w:sz w:val="24"/>
          <w:szCs w:val="24"/>
        </w:rPr>
      </w:pPr>
    </w:p>
    <w:tbl>
      <w:tblPr>
        <w:tblStyle w:val="51"/>
        <w:tblW w:w="100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59"/>
        <w:gridCol w:w="1938"/>
        <w:gridCol w:w="1438"/>
        <w:gridCol w:w="1439"/>
        <w:gridCol w:w="1440"/>
        <w:gridCol w:w="1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817" w:type="dxa"/>
            <w:vAlign w:val="center"/>
          </w:tcPr>
          <w:p>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序号</w:t>
            </w:r>
          </w:p>
        </w:tc>
        <w:tc>
          <w:tcPr>
            <w:tcW w:w="1559" w:type="dxa"/>
            <w:vAlign w:val="center"/>
          </w:tcPr>
          <w:p>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产品名称</w:t>
            </w:r>
          </w:p>
        </w:tc>
        <w:tc>
          <w:tcPr>
            <w:tcW w:w="1938" w:type="dxa"/>
            <w:vAlign w:val="center"/>
          </w:tcPr>
          <w:p>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规格型号</w:t>
            </w:r>
          </w:p>
        </w:tc>
        <w:tc>
          <w:tcPr>
            <w:tcW w:w="4317" w:type="dxa"/>
            <w:gridSpan w:val="3"/>
            <w:vAlign w:val="center"/>
          </w:tcPr>
          <w:p>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所属政策扣减类别</w:t>
            </w:r>
          </w:p>
        </w:tc>
        <w:tc>
          <w:tcPr>
            <w:tcW w:w="1439" w:type="dxa"/>
            <w:vMerge w:val="restart"/>
            <w:vAlign w:val="center"/>
          </w:tcPr>
          <w:p>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817" w:type="dxa"/>
            <w:vAlign w:val="center"/>
          </w:tcPr>
          <w:p>
            <w:pPr>
              <w:keepNext/>
              <w:tabs>
                <w:tab w:val="left" w:pos="1764"/>
              </w:tabs>
              <w:snapToGrid w:val="0"/>
              <w:spacing w:line="400" w:lineRule="exact"/>
              <w:ind w:left="560" w:firstLine="424"/>
              <w:jc w:val="center"/>
              <w:outlineLvl w:val="0"/>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pPr>
              <w:keepNext/>
              <w:tabs>
                <w:tab w:val="left" w:pos="1764"/>
              </w:tabs>
              <w:snapToGrid w:val="0"/>
              <w:spacing w:line="400" w:lineRule="exact"/>
              <w:ind w:left="560" w:firstLine="424"/>
              <w:jc w:val="center"/>
              <w:outlineLvl w:val="0"/>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pPr>
              <w:keepNext/>
              <w:tabs>
                <w:tab w:val="left" w:pos="1764"/>
              </w:tabs>
              <w:snapToGrid w:val="0"/>
              <w:spacing w:line="400" w:lineRule="exact"/>
              <w:ind w:left="560" w:firstLine="424"/>
              <w:jc w:val="center"/>
              <w:outlineLvl w:val="0"/>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当期节能产品政府采购清单</w:t>
            </w:r>
          </w:p>
        </w:tc>
        <w:tc>
          <w:tcPr>
            <w:tcW w:w="1439" w:type="dxa"/>
            <w:vAlign w:val="center"/>
          </w:tcPr>
          <w:p>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当期环境标志产品政府采购清单</w:t>
            </w:r>
          </w:p>
        </w:tc>
        <w:tc>
          <w:tcPr>
            <w:tcW w:w="1440" w:type="dxa"/>
            <w:vAlign w:val="center"/>
          </w:tcPr>
          <w:p>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所有投标产品的原产地在西部地区的</w:t>
            </w:r>
          </w:p>
        </w:tc>
        <w:tc>
          <w:tcPr>
            <w:tcW w:w="1439" w:type="dxa"/>
            <w:vMerge w:val="continue"/>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17"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40"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17"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40"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817"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40"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817"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40"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17"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40"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bl>
    <w:p>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p>
    <w:p>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p>
    <w:p>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p>
    <w:p>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p>
    <w:p>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说明：供应商如有属于政策性扣减范围的，请在对应加分类别上划“√”，并提供相应的证明材料。证明材料未提供或提供不齐全或无法辨认的，不予扣减。</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 ）其他资料</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1.保证金缴纳情况证明文件</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2.其他与项目有关的资料：</w:t>
      </w:r>
      <w:r>
        <w:rPr>
          <w:rFonts w:ascii="宋体" w:hAnsi="宋体"/>
          <w:sz w:val="24"/>
          <w:szCs w:val="24"/>
        </w:rPr>
        <w:t>供应商基本情况表</w:t>
      </w:r>
      <w:r>
        <w:rPr>
          <w:rFonts w:hint="eastAsia" w:asciiTheme="minorEastAsia" w:hAnsiTheme="minorEastAsia" w:eastAsiaTheme="minorEastAsia" w:cstheme="minorEastAsia"/>
          <w:color w:val="000000" w:themeColor="text1"/>
          <w:sz w:val="24"/>
          <w:szCs w:val="24"/>
        </w:rPr>
        <w:t>、其他与本项目有关的资料等。</w:t>
      </w:r>
    </w:p>
    <w:p>
      <w:pPr>
        <w:numPr>
          <w:ilvl w:val="0"/>
          <w:numId w:val="0"/>
        </w:numPr>
        <w:tabs>
          <w:tab w:val="left" w:pos="6300"/>
        </w:tabs>
        <w:snapToGrid w:val="0"/>
        <w:spacing w:line="380" w:lineRule="exact"/>
        <w:ind w:firstLine="720" w:firstLineChars="300"/>
        <w:rPr>
          <w:rFonts w:hint="eastAsia" w:ascii="宋体" w:hAnsi="宋体"/>
          <w:sz w:val="24"/>
          <w:szCs w:val="24"/>
          <w:lang w:val="en-US" w:eastAsia="zh-CN"/>
        </w:rPr>
      </w:pPr>
    </w:p>
    <w:p>
      <w:pPr>
        <w:numPr>
          <w:ilvl w:val="0"/>
          <w:numId w:val="0"/>
        </w:numPr>
        <w:tabs>
          <w:tab w:val="left" w:pos="6300"/>
        </w:tabs>
        <w:snapToGrid w:val="0"/>
        <w:spacing w:line="380" w:lineRule="exact"/>
        <w:ind w:firstLine="480" w:firstLineChars="200"/>
        <w:rPr>
          <w:rFonts w:ascii="宋体" w:hAnsi="宋体"/>
          <w:sz w:val="24"/>
          <w:szCs w:val="24"/>
        </w:rPr>
      </w:pPr>
      <w:r>
        <w:rPr>
          <w:rFonts w:hint="eastAsia" w:ascii="宋体" w:hAnsi="宋体"/>
          <w:sz w:val="24"/>
          <w:szCs w:val="24"/>
          <w:lang w:val="en-US" w:eastAsia="zh-CN"/>
        </w:rPr>
        <w:t>2.1</w:t>
      </w:r>
      <w:r>
        <w:rPr>
          <w:rFonts w:ascii="宋体" w:hAnsi="宋体"/>
          <w:sz w:val="24"/>
          <w:szCs w:val="24"/>
        </w:rPr>
        <w:t>供应商及采购货物生产厂家基本情况表（非小微企业不填写）</w:t>
      </w:r>
    </w:p>
    <w:tbl>
      <w:tblPr>
        <w:tblStyle w:val="51"/>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1836"/>
        <w:gridCol w:w="3307"/>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2830" w:type="dxa"/>
            <w:gridSpan w:val="2"/>
            <w:noWrap w:val="0"/>
            <w:vAlign w:val="top"/>
          </w:tcPr>
          <w:p>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项目</w:t>
            </w:r>
          </w:p>
        </w:tc>
        <w:tc>
          <w:tcPr>
            <w:tcW w:w="3307" w:type="dxa"/>
            <w:noWrap w:val="0"/>
            <w:vAlign w:val="top"/>
          </w:tcPr>
          <w:p>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数据资料</w:t>
            </w:r>
          </w:p>
        </w:tc>
        <w:tc>
          <w:tcPr>
            <w:tcW w:w="1953" w:type="dxa"/>
            <w:noWrap w:val="0"/>
            <w:vAlign w:val="top"/>
          </w:tcPr>
          <w:p>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994" w:type="dxa"/>
            <w:vMerge w:val="restart"/>
            <w:noWrap w:val="0"/>
            <w:vAlign w:val="center"/>
          </w:tcPr>
          <w:p>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供应商</w:t>
            </w:r>
          </w:p>
        </w:tc>
        <w:tc>
          <w:tcPr>
            <w:tcW w:w="1836" w:type="dxa"/>
            <w:noWrap w:val="0"/>
            <w:vAlign w:val="center"/>
          </w:tcPr>
          <w:p>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企业性质</w:t>
            </w:r>
          </w:p>
        </w:tc>
        <w:tc>
          <w:tcPr>
            <w:tcW w:w="3307" w:type="dxa"/>
            <w:noWrap w:val="0"/>
            <w:vAlign w:val="center"/>
          </w:tcPr>
          <w:p>
            <w:pPr>
              <w:keepNext/>
              <w:tabs>
                <w:tab w:val="left" w:pos="6300"/>
              </w:tabs>
              <w:snapToGrid w:val="0"/>
              <w:spacing w:line="380" w:lineRule="exact"/>
              <w:jc w:val="center"/>
              <w:outlineLvl w:val="0"/>
              <w:rPr>
                <w:rFonts w:ascii="宋体" w:hAnsi="宋体"/>
                <w:sz w:val="24"/>
                <w:szCs w:val="24"/>
              </w:rPr>
            </w:pPr>
          </w:p>
        </w:tc>
        <w:tc>
          <w:tcPr>
            <w:tcW w:w="1953" w:type="dxa"/>
            <w:noWrap w:val="0"/>
            <w:vAlign w:val="center"/>
          </w:tcPr>
          <w:p>
            <w:pPr>
              <w:keepNext/>
              <w:tabs>
                <w:tab w:val="left" w:pos="6300"/>
              </w:tabs>
              <w:snapToGrid w:val="0"/>
              <w:spacing w:line="380" w:lineRule="exact"/>
              <w:jc w:val="center"/>
              <w:outlineLvl w:val="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994" w:type="dxa"/>
            <w:vMerge w:val="continue"/>
            <w:noWrap w:val="0"/>
            <w:vAlign w:val="center"/>
          </w:tcPr>
          <w:p>
            <w:pPr>
              <w:keepNext/>
              <w:tabs>
                <w:tab w:val="left" w:pos="6300"/>
              </w:tabs>
              <w:snapToGrid w:val="0"/>
              <w:spacing w:line="380" w:lineRule="exact"/>
              <w:jc w:val="center"/>
              <w:outlineLvl w:val="0"/>
              <w:rPr>
                <w:rFonts w:ascii="宋体" w:hAnsi="宋体"/>
                <w:sz w:val="24"/>
                <w:szCs w:val="24"/>
              </w:rPr>
            </w:pPr>
          </w:p>
        </w:tc>
        <w:tc>
          <w:tcPr>
            <w:tcW w:w="1836" w:type="dxa"/>
            <w:noWrap w:val="0"/>
            <w:vAlign w:val="center"/>
          </w:tcPr>
          <w:p>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职工人数</w:t>
            </w:r>
          </w:p>
        </w:tc>
        <w:tc>
          <w:tcPr>
            <w:tcW w:w="3307" w:type="dxa"/>
            <w:noWrap w:val="0"/>
            <w:vAlign w:val="center"/>
          </w:tcPr>
          <w:p>
            <w:pPr>
              <w:keepNext/>
              <w:tabs>
                <w:tab w:val="left" w:pos="6300"/>
              </w:tabs>
              <w:snapToGrid w:val="0"/>
              <w:spacing w:line="380" w:lineRule="exact"/>
              <w:jc w:val="center"/>
              <w:outlineLvl w:val="0"/>
              <w:rPr>
                <w:rFonts w:ascii="宋体" w:hAnsi="宋体"/>
                <w:sz w:val="24"/>
                <w:szCs w:val="24"/>
              </w:rPr>
            </w:pPr>
          </w:p>
        </w:tc>
        <w:tc>
          <w:tcPr>
            <w:tcW w:w="1953" w:type="dxa"/>
            <w:noWrap w:val="0"/>
            <w:vAlign w:val="center"/>
          </w:tcPr>
          <w:p>
            <w:pPr>
              <w:keepNext/>
              <w:tabs>
                <w:tab w:val="left" w:pos="6300"/>
              </w:tabs>
              <w:snapToGrid w:val="0"/>
              <w:spacing w:line="380" w:lineRule="exact"/>
              <w:jc w:val="center"/>
              <w:outlineLvl w:val="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994" w:type="dxa"/>
            <w:vMerge w:val="continue"/>
            <w:noWrap w:val="0"/>
            <w:vAlign w:val="center"/>
          </w:tcPr>
          <w:p>
            <w:pPr>
              <w:keepNext/>
              <w:tabs>
                <w:tab w:val="left" w:pos="6300"/>
              </w:tabs>
              <w:snapToGrid w:val="0"/>
              <w:spacing w:line="380" w:lineRule="exact"/>
              <w:jc w:val="center"/>
              <w:outlineLvl w:val="0"/>
              <w:rPr>
                <w:rFonts w:ascii="宋体" w:hAnsi="宋体"/>
                <w:sz w:val="24"/>
                <w:szCs w:val="24"/>
              </w:rPr>
            </w:pPr>
          </w:p>
        </w:tc>
        <w:tc>
          <w:tcPr>
            <w:tcW w:w="1836" w:type="dxa"/>
            <w:noWrap w:val="0"/>
            <w:vAlign w:val="center"/>
          </w:tcPr>
          <w:p>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销售额</w:t>
            </w:r>
          </w:p>
        </w:tc>
        <w:tc>
          <w:tcPr>
            <w:tcW w:w="3307" w:type="dxa"/>
            <w:noWrap w:val="0"/>
            <w:vAlign w:val="center"/>
          </w:tcPr>
          <w:p>
            <w:pPr>
              <w:keepNext/>
              <w:tabs>
                <w:tab w:val="left" w:pos="6300"/>
              </w:tabs>
              <w:snapToGrid w:val="0"/>
              <w:spacing w:line="380" w:lineRule="exact"/>
              <w:jc w:val="center"/>
              <w:outlineLvl w:val="0"/>
              <w:rPr>
                <w:rFonts w:ascii="宋体" w:hAnsi="宋体"/>
                <w:sz w:val="24"/>
                <w:szCs w:val="24"/>
              </w:rPr>
            </w:pPr>
          </w:p>
        </w:tc>
        <w:tc>
          <w:tcPr>
            <w:tcW w:w="1953" w:type="dxa"/>
            <w:noWrap w:val="0"/>
            <w:vAlign w:val="center"/>
          </w:tcPr>
          <w:p>
            <w:pPr>
              <w:keepNext/>
              <w:tabs>
                <w:tab w:val="left" w:pos="6300"/>
              </w:tabs>
              <w:snapToGrid w:val="0"/>
              <w:spacing w:line="380" w:lineRule="exact"/>
              <w:jc w:val="center"/>
              <w:outlineLvl w:val="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994" w:type="dxa"/>
            <w:vMerge w:val="continue"/>
            <w:noWrap w:val="0"/>
            <w:vAlign w:val="center"/>
          </w:tcPr>
          <w:p>
            <w:pPr>
              <w:keepNext/>
              <w:tabs>
                <w:tab w:val="left" w:pos="6300"/>
              </w:tabs>
              <w:snapToGrid w:val="0"/>
              <w:spacing w:line="380" w:lineRule="exact"/>
              <w:jc w:val="center"/>
              <w:outlineLvl w:val="0"/>
              <w:rPr>
                <w:rFonts w:ascii="宋体" w:hAnsi="宋体"/>
                <w:sz w:val="24"/>
                <w:szCs w:val="24"/>
              </w:rPr>
            </w:pPr>
          </w:p>
        </w:tc>
        <w:tc>
          <w:tcPr>
            <w:tcW w:w="1836" w:type="dxa"/>
            <w:noWrap w:val="0"/>
            <w:vAlign w:val="center"/>
          </w:tcPr>
          <w:p>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资产总额</w:t>
            </w:r>
          </w:p>
        </w:tc>
        <w:tc>
          <w:tcPr>
            <w:tcW w:w="3307" w:type="dxa"/>
            <w:noWrap w:val="0"/>
            <w:vAlign w:val="center"/>
          </w:tcPr>
          <w:p>
            <w:pPr>
              <w:keepNext/>
              <w:tabs>
                <w:tab w:val="left" w:pos="6300"/>
              </w:tabs>
              <w:snapToGrid w:val="0"/>
              <w:spacing w:line="380" w:lineRule="exact"/>
              <w:jc w:val="center"/>
              <w:outlineLvl w:val="0"/>
              <w:rPr>
                <w:rFonts w:ascii="宋体" w:hAnsi="宋体"/>
                <w:sz w:val="24"/>
                <w:szCs w:val="24"/>
              </w:rPr>
            </w:pPr>
          </w:p>
        </w:tc>
        <w:tc>
          <w:tcPr>
            <w:tcW w:w="1953" w:type="dxa"/>
            <w:noWrap w:val="0"/>
            <w:vAlign w:val="center"/>
          </w:tcPr>
          <w:p>
            <w:pPr>
              <w:keepNext/>
              <w:tabs>
                <w:tab w:val="left" w:pos="6300"/>
              </w:tabs>
              <w:snapToGrid w:val="0"/>
              <w:spacing w:line="380" w:lineRule="exact"/>
              <w:jc w:val="center"/>
              <w:outlineLvl w:val="0"/>
              <w:rPr>
                <w:rFonts w:ascii="宋体" w:hAnsi="宋体"/>
                <w:sz w:val="24"/>
                <w:szCs w:val="24"/>
              </w:rPr>
            </w:pPr>
          </w:p>
        </w:tc>
      </w:tr>
    </w:tbl>
    <w:p>
      <w:pPr>
        <w:rPr>
          <w:rFonts w:ascii="宋体" w:hAnsi="宋体"/>
        </w:rPr>
      </w:pPr>
    </w:p>
    <w:p>
      <w:pPr>
        <w:tabs>
          <w:tab w:val="left" w:pos="6300"/>
        </w:tabs>
        <w:snapToGrid w:val="0"/>
        <w:spacing w:line="380" w:lineRule="exact"/>
        <w:ind w:firstLine="5640" w:firstLineChars="2350"/>
        <w:rPr>
          <w:rFonts w:ascii="宋体" w:hAnsi="宋体"/>
          <w:sz w:val="24"/>
          <w:szCs w:val="24"/>
        </w:rPr>
      </w:pPr>
      <w:r>
        <w:rPr>
          <w:rFonts w:hint="eastAsia" w:ascii="宋体" w:hAnsi="宋体"/>
          <w:sz w:val="24"/>
          <w:szCs w:val="24"/>
        </w:rPr>
        <w:t>（供应商公章）</w:t>
      </w:r>
    </w:p>
    <w:p>
      <w:pPr>
        <w:tabs>
          <w:tab w:val="left" w:pos="6300"/>
        </w:tabs>
        <w:snapToGrid w:val="0"/>
        <w:spacing w:line="380" w:lineRule="exact"/>
        <w:ind w:right="120" w:firstLine="480" w:firstLineChars="200"/>
        <w:jc w:val="right"/>
        <w:rPr>
          <w:rFonts w:ascii="宋体" w:hAnsi="宋体"/>
          <w:sz w:val="24"/>
          <w:szCs w:val="24"/>
        </w:rPr>
      </w:pPr>
    </w:p>
    <w:p>
      <w:pPr>
        <w:jc w:val="right"/>
        <w:rPr>
          <w:rFonts w:ascii="宋体" w:hAnsi="宋体"/>
        </w:rPr>
      </w:pPr>
      <w:r>
        <w:rPr>
          <w:rFonts w:ascii="宋体" w:hAnsi="宋体"/>
          <w:sz w:val="24"/>
          <w:szCs w:val="24"/>
        </w:rPr>
        <w:t xml:space="preserve">                  年   月   日</w:t>
      </w:r>
    </w:p>
    <w:p>
      <w:pPr>
        <w:rPr>
          <w:rFonts w:ascii="宋体" w:hAnsi="宋体"/>
        </w:rPr>
      </w:pPr>
    </w:p>
    <w:p>
      <w:pPr>
        <w:rPr>
          <w:rFonts w:ascii="宋体" w:hAnsi="宋体"/>
          <w:sz w:val="24"/>
          <w:szCs w:val="24"/>
        </w:rPr>
      </w:pPr>
      <w:r>
        <w:rPr>
          <w:rFonts w:hint="eastAsia" w:ascii="宋体" w:hAnsi="宋体"/>
          <w:sz w:val="24"/>
          <w:szCs w:val="24"/>
        </w:rPr>
        <w:t>注：</w:t>
      </w:r>
    </w:p>
    <w:p>
      <w:pPr>
        <w:tabs>
          <w:tab w:val="left" w:pos="6300"/>
        </w:tabs>
        <w:snapToGrid w:val="0"/>
        <w:spacing w:line="380" w:lineRule="exact"/>
        <w:ind w:firstLine="480" w:firstLineChars="200"/>
        <w:outlineLvl w:val="0"/>
        <w:rPr>
          <w:rFonts w:ascii="宋体" w:hAnsi="宋体"/>
          <w:sz w:val="24"/>
          <w:szCs w:val="24"/>
        </w:rPr>
      </w:pPr>
      <w:r>
        <w:rPr>
          <w:rFonts w:ascii="宋体" w:hAnsi="宋体"/>
          <w:sz w:val="24"/>
          <w:szCs w:val="24"/>
        </w:rPr>
        <w:t>1）以上</w:t>
      </w:r>
      <w:r>
        <w:rPr>
          <w:rFonts w:hint="eastAsia" w:ascii="宋体" w:hAnsi="宋体"/>
          <w:sz w:val="24"/>
          <w:szCs w:val="24"/>
          <w:lang w:val="en-US" w:eastAsia="zh-CN"/>
        </w:rPr>
        <w:t>表格内容</w:t>
      </w:r>
      <w:r>
        <w:rPr>
          <w:rFonts w:ascii="宋体" w:hAnsi="宋体"/>
          <w:sz w:val="24"/>
          <w:szCs w:val="24"/>
        </w:rPr>
        <w:t>按工业和信息化部、财政部等4部委《关于印发中小企业划型标准规定的通知》的规定（工信部联企业〔2011〕300号）填列，以企业上一年度末数据为准。</w:t>
      </w:r>
    </w:p>
    <w:p>
      <w:pPr>
        <w:spacing w:line="380" w:lineRule="exact"/>
        <w:rPr>
          <w:rFonts w:ascii="宋体" w:hAnsi="宋体"/>
          <w:sz w:val="24"/>
          <w:szCs w:val="24"/>
        </w:rPr>
      </w:pPr>
    </w:p>
    <w:p>
      <w:pPr>
        <w:spacing w:line="380" w:lineRule="exact"/>
        <w:rPr>
          <w:rFonts w:ascii="宋体" w:hAnsi="宋体"/>
          <w:sz w:val="24"/>
          <w:szCs w:val="24"/>
        </w:rPr>
      </w:pPr>
    </w:p>
    <w:p>
      <w:pPr>
        <w:spacing w:line="380" w:lineRule="exact"/>
        <w:rPr>
          <w:rFonts w:ascii="宋体" w:hAnsi="宋体"/>
          <w:sz w:val="24"/>
          <w:szCs w:val="24"/>
        </w:rPr>
      </w:pPr>
    </w:p>
    <w:p>
      <w:pPr>
        <w:tabs>
          <w:tab w:val="left" w:pos="6300"/>
        </w:tabs>
        <w:snapToGrid w:val="0"/>
        <w:spacing w:line="380" w:lineRule="exact"/>
        <w:ind w:firstLine="480" w:firstLineChars="200"/>
        <w:rPr>
          <w:rFonts w:ascii="宋体" w:hAnsi="宋体"/>
          <w:sz w:val="24"/>
          <w:szCs w:val="24"/>
        </w:rPr>
      </w:pPr>
    </w:p>
    <w:p>
      <w:pPr>
        <w:tabs>
          <w:tab w:val="left" w:pos="6300"/>
        </w:tabs>
        <w:snapToGrid w:val="0"/>
        <w:spacing w:line="380" w:lineRule="exact"/>
        <w:ind w:firstLine="480" w:firstLineChars="200"/>
        <w:rPr>
          <w:rFonts w:ascii="宋体" w:hAnsi="宋体"/>
          <w:sz w:val="24"/>
          <w:szCs w:val="24"/>
        </w:rPr>
      </w:pPr>
      <w:r>
        <w:rPr>
          <w:rFonts w:ascii="宋体" w:hAnsi="宋体"/>
          <w:sz w:val="24"/>
          <w:szCs w:val="24"/>
        </w:rPr>
        <w:br w:type="page"/>
      </w:r>
    </w:p>
    <w:p>
      <w:pPr>
        <w:tabs>
          <w:tab w:val="left" w:pos="6300"/>
        </w:tabs>
        <w:snapToGrid w:val="0"/>
        <w:spacing w:line="380" w:lineRule="exact"/>
        <w:ind w:firstLine="480" w:firstLineChars="200"/>
        <w:rPr>
          <w:rFonts w:ascii="宋体" w:hAnsi="宋体"/>
          <w:sz w:val="24"/>
          <w:szCs w:val="24"/>
        </w:rPr>
      </w:pPr>
    </w:p>
    <w:p>
      <w:pPr>
        <w:tabs>
          <w:tab w:val="left" w:pos="6300"/>
        </w:tabs>
        <w:snapToGrid w:val="0"/>
        <w:spacing w:line="380" w:lineRule="exact"/>
        <w:ind w:firstLine="480" w:firstLineChars="200"/>
        <w:rPr>
          <w:rFonts w:ascii="宋体" w:hAnsi="宋体"/>
          <w:sz w:val="24"/>
          <w:szCs w:val="24"/>
        </w:rPr>
      </w:pPr>
      <w:r>
        <w:rPr>
          <w:rFonts w:hint="eastAsia" w:ascii="宋体" w:hAnsi="宋体"/>
          <w:sz w:val="24"/>
          <w:szCs w:val="24"/>
          <w:lang w:val="en-US" w:eastAsia="zh-CN"/>
        </w:rPr>
        <w:t>2</w:t>
      </w:r>
      <w:r>
        <w:rPr>
          <w:rFonts w:ascii="宋体" w:hAnsi="宋体"/>
          <w:sz w:val="24"/>
          <w:szCs w:val="24"/>
        </w:rPr>
        <w:t>.2采购货物非供应商生产的,其生产厂家基本情况表</w:t>
      </w:r>
    </w:p>
    <w:p>
      <w:pPr>
        <w:tabs>
          <w:tab w:val="left" w:pos="6300"/>
        </w:tabs>
        <w:snapToGrid w:val="0"/>
        <w:spacing w:line="380" w:lineRule="exact"/>
        <w:ind w:firstLine="600" w:firstLineChars="250"/>
        <w:rPr>
          <w:rFonts w:ascii="宋体" w:hAnsi="宋体"/>
          <w:sz w:val="24"/>
          <w:szCs w:val="24"/>
        </w:rPr>
      </w:pPr>
    </w:p>
    <w:tbl>
      <w:tblPr>
        <w:tblStyle w:val="51"/>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9"/>
        <w:gridCol w:w="1863"/>
        <w:gridCol w:w="3356"/>
        <w:gridCol w:w="1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restart"/>
            <w:noWrap w:val="0"/>
            <w:vAlign w:val="center"/>
          </w:tcPr>
          <w:p>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采购货物生产厂家</w:t>
            </w:r>
          </w:p>
        </w:tc>
        <w:tc>
          <w:tcPr>
            <w:tcW w:w="1863" w:type="dxa"/>
            <w:noWrap w:val="0"/>
            <w:vAlign w:val="top"/>
          </w:tcPr>
          <w:p>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生产厂家名称</w:t>
            </w:r>
          </w:p>
        </w:tc>
        <w:tc>
          <w:tcPr>
            <w:tcW w:w="3356" w:type="dxa"/>
            <w:noWrap w:val="0"/>
            <w:vAlign w:val="top"/>
          </w:tcPr>
          <w:p>
            <w:pPr>
              <w:keepNext/>
              <w:tabs>
                <w:tab w:val="left" w:pos="6300"/>
              </w:tabs>
              <w:snapToGrid w:val="0"/>
              <w:spacing w:line="380" w:lineRule="exact"/>
              <w:outlineLvl w:val="0"/>
              <w:rPr>
                <w:rFonts w:ascii="宋体" w:hAnsi="宋体"/>
                <w:sz w:val="24"/>
                <w:szCs w:val="24"/>
              </w:rPr>
            </w:pPr>
          </w:p>
        </w:tc>
        <w:tc>
          <w:tcPr>
            <w:tcW w:w="1982" w:type="dxa"/>
            <w:noWrap w:val="0"/>
            <w:vAlign w:val="top"/>
          </w:tcPr>
          <w:p>
            <w:pPr>
              <w:keepNext/>
              <w:tabs>
                <w:tab w:val="left" w:pos="6300"/>
              </w:tabs>
              <w:snapToGrid w:val="0"/>
              <w:spacing w:line="380" w:lineRule="exact"/>
              <w:outlineLvl w:val="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continue"/>
            <w:noWrap w:val="0"/>
            <w:vAlign w:val="center"/>
          </w:tcPr>
          <w:p>
            <w:pPr>
              <w:keepNext/>
              <w:tabs>
                <w:tab w:val="left" w:pos="6300"/>
              </w:tabs>
              <w:snapToGrid w:val="0"/>
              <w:spacing w:line="380" w:lineRule="exact"/>
              <w:jc w:val="center"/>
              <w:outlineLvl w:val="0"/>
              <w:rPr>
                <w:rFonts w:ascii="宋体" w:hAnsi="宋体"/>
                <w:sz w:val="24"/>
                <w:szCs w:val="24"/>
              </w:rPr>
            </w:pPr>
          </w:p>
        </w:tc>
        <w:tc>
          <w:tcPr>
            <w:tcW w:w="1863" w:type="dxa"/>
            <w:noWrap w:val="0"/>
            <w:vAlign w:val="top"/>
          </w:tcPr>
          <w:p>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企业性质</w:t>
            </w:r>
          </w:p>
        </w:tc>
        <w:tc>
          <w:tcPr>
            <w:tcW w:w="3356" w:type="dxa"/>
            <w:noWrap w:val="0"/>
            <w:vAlign w:val="top"/>
          </w:tcPr>
          <w:p>
            <w:pPr>
              <w:keepNext/>
              <w:tabs>
                <w:tab w:val="left" w:pos="6300"/>
              </w:tabs>
              <w:snapToGrid w:val="0"/>
              <w:spacing w:line="380" w:lineRule="exact"/>
              <w:outlineLvl w:val="0"/>
              <w:rPr>
                <w:rFonts w:ascii="宋体" w:hAnsi="宋体"/>
                <w:sz w:val="24"/>
                <w:szCs w:val="24"/>
              </w:rPr>
            </w:pPr>
          </w:p>
        </w:tc>
        <w:tc>
          <w:tcPr>
            <w:tcW w:w="1982" w:type="dxa"/>
            <w:noWrap w:val="0"/>
            <w:vAlign w:val="top"/>
          </w:tcPr>
          <w:p>
            <w:pPr>
              <w:keepNext/>
              <w:tabs>
                <w:tab w:val="left" w:pos="6300"/>
              </w:tabs>
              <w:snapToGrid w:val="0"/>
              <w:spacing w:line="380" w:lineRule="exact"/>
              <w:outlineLvl w:val="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continue"/>
            <w:noWrap w:val="0"/>
            <w:vAlign w:val="top"/>
          </w:tcPr>
          <w:p>
            <w:pPr>
              <w:keepNext/>
              <w:tabs>
                <w:tab w:val="left" w:pos="6300"/>
              </w:tabs>
              <w:snapToGrid w:val="0"/>
              <w:spacing w:line="380" w:lineRule="exact"/>
              <w:jc w:val="center"/>
              <w:outlineLvl w:val="0"/>
              <w:rPr>
                <w:rFonts w:ascii="宋体" w:hAnsi="宋体"/>
                <w:sz w:val="24"/>
                <w:szCs w:val="24"/>
              </w:rPr>
            </w:pPr>
          </w:p>
        </w:tc>
        <w:tc>
          <w:tcPr>
            <w:tcW w:w="1863" w:type="dxa"/>
            <w:noWrap w:val="0"/>
            <w:vAlign w:val="top"/>
          </w:tcPr>
          <w:p>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职工人数</w:t>
            </w:r>
          </w:p>
        </w:tc>
        <w:tc>
          <w:tcPr>
            <w:tcW w:w="3356" w:type="dxa"/>
            <w:noWrap w:val="0"/>
            <w:vAlign w:val="top"/>
          </w:tcPr>
          <w:p>
            <w:pPr>
              <w:keepNext/>
              <w:tabs>
                <w:tab w:val="left" w:pos="6300"/>
              </w:tabs>
              <w:snapToGrid w:val="0"/>
              <w:spacing w:line="380" w:lineRule="exact"/>
              <w:outlineLvl w:val="0"/>
              <w:rPr>
                <w:rFonts w:ascii="宋体" w:hAnsi="宋体"/>
                <w:sz w:val="24"/>
                <w:szCs w:val="24"/>
              </w:rPr>
            </w:pPr>
          </w:p>
        </w:tc>
        <w:tc>
          <w:tcPr>
            <w:tcW w:w="1982" w:type="dxa"/>
            <w:noWrap w:val="0"/>
            <w:vAlign w:val="top"/>
          </w:tcPr>
          <w:p>
            <w:pPr>
              <w:keepNext/>
              <w:tabs>
                <w:tab w:val="left" w:pos="6300"/>
              </w:tabs>
              <w:snapToGrid w:val="0"/>
              <w:spacing w:line="380" w:lineRule="exact"/>
              <w:outlineLvl w:val="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continue"/>
            <w:noWrap w:val="0"/>
            <w:vAlign w:val="top"/>
          </w:tcPr>
          <w:p>
            <w:pPr>
              <w:keepNext/>
              <w:tabs>
                <w:tab w:val="left" w:pos="6300"/>
              </w:tabs>
              <w:snapToGrid w:val="0"/>
              <w:spacing w:line="380" w:lineRule="exact"/>
              <w:jc w:val="center"/>
              <w:outlineLvl w:val="0"/>
              <w:rPr>
                <w:rFonts w:ascii="宋体" w:hAnsi="宋体"/>
                <w:sz w:val="24"/>
                <w:szCs w:val="24"/>
              </w:rPr>
            </w:pPr>
          </w:p>
        </w:tc>
        <w:tc>
          <w:tcPr>
            <w:tcW w:w="1863" w:type="dxa"/>
            <w:noWrap w:val="0"/>
            <w:vAlign w:val="top"/>
          </w:tcPr>
          <w:p>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销售额</w:t>
            </w:r>
          </w:p>
        </w:tc>
        <w:tc>
          <w:tcPr>
            <w:tcW w:w="3356" w:type="dxa"/>
            <w:noWrap w:val="0"/>
            <w:vAlign w:val="top"/>
          </w:tcPr>
          <w:p>
            <w:pPr>
              <w:keepNext/>
              <w:tabs>
                <w:tab w:val="left" w:pos="6300"/>
              </w:tabs>
              <w:snapToGrid w:val="0"/>
              <w:spacing w:line="380" w:lineRule="exact"/>
              <w:outlineLvl w:val="0"/>
              <w:rPr>
                <w:rFonts w:ascii="宋体" w:hAnsi="宋体"/>
                <w:sz w:val="24"/>
                <w:szCs w:val="24"/>
              </w:rPr>
            </w:pPr>
          </w:p>
        </w:tc>
        <w:tc>
          <w:tcPr>
            <w:tcW w:w="1982" w:type="dxa"/>
            <w:noWrap w:val="0"/>
            <w:vAlign w:val="top"/>
          </w:tcPr>
          <w:p>
            <w:pPr>
              <w:keepNext/>
              <w:tabs>
                <w:tab w:val="left" w:pos="6300"/>
              </w:tabs>
              <w:snapToGrid w:val="0"/>
              <w:spacing w:line="380" w:lineRule="exact"/>
              <w:outlineLvl w:val="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continue"/>
            <w:noWrap w:val="0"/>
            <w:vAlign w:val="top"/>
          </w:tcPr>
          <w:p>
            <w:pPr>
              <w:keepNext/>
              <w:tabs>
                <w:tab w:val="left" w:pos="6300"/>
              </w:tabs>
              <w:snapToGrid w:val="0"/>
              <w:spacing w:line="380" w:lineRule="exact"/>
              <w:jc w:val="center"/>
              <w:outlineLvl w:val="0"/>
              <w:rPr>
                <w:rFonts w:ascii="宋体" w:hAnsi="宋体"/>
                <w:sz w:val="24"/>
                <w:szCs w:val="24"/>
              </w:rPr>
            </w:pPr>
          </w:p>
        </w:tc>
        <w:tc>
          <w:tcPr>
            <w:tcW w:w="1863" w:type="dxa"/>
            <w:noWrap w:val="0"/>
            <w:vAlign w:val="top"/>
          </w:tcPr>
          <w:p>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资产总额</w:t>
            </w:r>
          </w:p>
        </w:tc>
        <w:tc>
          <w:tcPr>
            <w:tcW w:w="3356" w:type="dxa"/>
            <w:noWrap w:val="0"/>
            <w:vAlign w:val="top"/>
          </w:tcPr>
          <w:p>
            <w:pPr>
              <w:keepNext/>
              <w:tabs>
                <w:tab w:val="left" w:pos="6300"/>
              </w:tabs>
              <w:snapToGrid w:val="0"/>
              <w:spacing w:line="380" w:lineRule="exact"/>
              <w:outlineLvl w:val="0"/>
              <w:rPr>
                <w:rFonts w:ascii="宋体" w:hAnsi="宋体"/>
                <w:sz w:val="24"/>
                <w:szCs w:val="24"/>
              </w:rPr>
            </w:pPr>
          </w:p>
        </w:tc>
        <w:tc>
          <w:tcPr>
            <w:tcW w:w="1982" w:type="dxa"/>
            <w:noWrap w:val="0"/>
            <w:vAlign w:val="top"/>
          </w:tcPr>
          <w:p>
            <w:pPr>
              <w:keepNext/>
              <w:tabs>
                <w:tab w:val="left" w:pos="6300"/>
              </w:tabs>
              <w:snapToGrid w:val="0"/>
              <w:spacing w:line="380" w:lineRule="exact"/>
              <w:outlineLvl w:val="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continue"/>
            <w:noWrap w:val="0"/>
            <w:vAlign w:val="top"/>
          </w:tcPr>
          <w:p>
            <w:pPr>
              <w:keepNext/>
              <w:tabs>
                <w:tab w:val="left" w:pos="6300"/>
              </w:tabs>
              <w:snapToGrid w:val="0"/>
              <w:spacing w:line="380" w:lineRule="exact"/>
              <w:jc w:val="center"/>
              <w:outlineLvl w:val="0"/>
              <w:rPr>
                <w:rFonts w:ascii="宋体" w:hAnsi="宋体"/>
                <w:sz w:val="24"/>
                <w:szCs w:val="24"/>
              </w:rPr>
            </w:pPr>
          </w:p>
        </w:tc>
        <w:tc>
          <w:tcPr>
            <w:tcW w:w="7201" w:type="dxa"/>
            <w:gridSpan w:val="3"/>
            <w:noWrap w:val="0"/>
            <w:vAlign w:val="top"/>
          </w:tcPr>
          <w:p>
            <w:pPr>
              <w:tabs>
                <w:tab w:val="left" w:pos="6300"/>
              </w:tabs>
              <w:snapToGrid w:val="0"/>
              <w:spacing w:line="380" w:lineRule="exact"/>
              <w:outlineLvl w:val="0"/>
              <w:rPr>
                <w:rFonts w:ascii="宋体" w:hAnsi="宋体"/>
                <w:sz w:val="24"/>
                <w:szCs w:val="24"/>
              </w:rPr>
            </w:pPr>
            <w:r>
              <w:rPr>
                <w:rFonts w:hint="eastAsia" w:ascii="宋体" w:hAnsi="宋体"/>
                <w:sz w:val="24"/>
                <w:szCs w:val="24"/>
              </w:rPr>
              <w:t>备注：如果有多个采购货物，应分别填写相关信息。</w:t>
            </w:r>
          </w:p>
        </w:tc>
      </w:tr>
    </w:tbl>
    <w:p>
      <w:pPr>
        <w:rPr>
          <w:rFonts w:ascii="宋体" w:hAnsi="宋体"/>
        </w:rPr>
      </w:pPr>
    </w:p>
    <w:p>
      <w:pPr>
        <w:rPr>
          <w:rFonts w:ascii="宋体" w:hAnsi="宋体"/>
        </w:rPr>
      </w:pPr>
    </w:p>
    <w:p>
      <w:pPr>
        <w:tabs>
          <w:tab w:val="left" w:pos="6300"/>
        </w:tabs>
        <w:snapToGrid w:val="0"/>
        <w:spacing w:line="380" w:lineRule="exact"/>
        <w:ind w:firstLine="5640" w:firstLineChars="2350"/>
        <w:rPr>
          <w:rFonts w:ascii="宋体" w:hAnsi="宋体"/>
          <w:sz w:val="24"/>
          <w:szCs w:val="24"/>
        </w:rPr>
      </w:pPr>
      <w:r>
        <w:rPr>
          <w:rFonts w:hint="eastAsia" w:ascii="宋体" w:hAnsi="宋体"/>
          <w:sz w:val="24"/>
          <w:szCs w:val="24"/>
        </w:rPr>
        <w:t>（供应商公章）</w:t>
      </w:r>
    </w:p>
    <w:p>
      <w:pPr>
        <w:tabs>
          <w:tab w:val="left" w:pos="6300"/>
        </w:tabs>
        <w:snapToGrid w:val="0"/>
        <w:spacing w:line="380" w:lineRule="exact"/>
        <w:ind w:right="120" w:firstLine="480" w:firstLineChars="200"/>
        <w:jc w:val="right"/>
        <w:rPr>
          <w:rFonts w:ascii="宋体" w:hAnsi="宋体"/>
          <w:sz w:val="24"/>
          <w:szCs w:val="24"/>
        </w:rPr>
      </w:pPr>
    </w:p>
    <w:p>
      <w:pPr>
        <w:jc w:val="right"/>
        <w:rPr>
          <w:rFonts w:ascii="宋体" w:hAnsi="宋体"/>
        </w:rPr>
      </w:pPr>
      <w:r>
        <w:rPr>
          <w:rFonts w:ascii="宋体" w:hAnsi="宋体"/>
          <w:sz w:val="24"/>
          <w:szCs w:val="24"/>
        </w:rPr>
        <w:t xml:space="preserve">                  年   月   日</w:t>
      </w:r>
    </w:p>
    <w:p>
      <w:pPr>
        <w:tabs>
          <w:tab w:val="left" w:pos="6300"/>
        </w:tabs>
        <w:snapToGrid w:val="0"/>
        <w:spacing w:line="380" w:lineRule="exact"/>
        <w:ind w:firstLine="480" w:firstLineChars="200"/>
        <w:outlineLvl w:val="0"/>
        <w:rPr>
          <w:rFonts w:ascii="宋体" w:hAnsi="宋体"/>
          <w:sz w:val="24"/>
          <w:szCs w:val="24"/>
        </w:rPr>
      </w:pPr>
      <w:r>
        <w:rPr>
          <w:rFonts w:hint="eastAsia" w:ascii="宋体" w:hAnsi="宋体"/>
          <w:sz w:val="24"/>
          <w:szCs w:val="24"/>
        </w:rPr>
        <w:t>注：</w:t>
      </w:r>
    </w:p>
    <w:p>
      <w:pPr>
        <w:tabs>
          <w:tab w:val="left" w:pos="6300"/>
        </w:tabs>
        <w:snapToGrid w:val="0"/>
        <w:spacing w:line="380" w:lineRule="exact"/>
        <w:ind w:firstLine="480" w:firstLineChars="200"/>
        <w:outlineLvl w:val="0"/>
        <w:rPr>
          <w:rFonts w:ascii="宋体" w:hAnsi="宋体"/>
          <w:b/>
          <w:sz w:val="24"/>
          <w:szCs w:val="24"/>
        </w:rPr>
      </w:pPr>
      <w:r>
        <w:rPr>
          <w:rFonts w:ascii="宋体" w:hAnsi="宋体"/>
          <w:sz w:val="24"/>
          <w:szCs w:val="24"/>
        </w:rPr>
        <w:t>1）</w:t>
      </w:r>
      <w:r>
        <w:rPr>
          <w:rFonts w:hint="eastAsia" w:ascii="宋体" w:hAnsi="宋体"/>
          <w:b/>
          <w:sz w:val="24"/>
          <w:szCs w:val="24"/>
        </w:rPr>
        <w:t>如采购货物非供应商生产，但其采购货物生产厂家属小微企业的，需填写此表；其采购货物生产厂家非小微企业的，则不填写此表。</w:t>
      </w:r>
    </w:p>
    <w:p>
      <w:pPr>
        <w:tabs>
          <w:tab w:val="left" w:pos="6300"/>
        </w:tabs>
        <w:snapToGrid w:val="0"/>
        <w:spacing w:line="380" w:lineRule="exact"/>
        <w:ind w:firstLine="480" w:firstLineChars="200"/>
        <w:outlineLvl w:val="0"/>
        <w:rPr>
          <w:rFonts w:ascii="宋体" w:hAnsi="宋体"/>
          <w:sz w:val="24"/>
          <w:szCs w:val="24"/>
        </w:rPr>
      </w:pPr>
      <w:r>
        <w:rPr>
          <w:rFonts w:ascii="宋体" w:hAnsi="宋体"/>
          <w:sz w:val="24"/>
          <w:szCs w:val="24"/>
        </w:rPr>
        <w:t>2）以上</w:t>
      </w:r>
      <w:r>
        <w:rPr>
          <w:rFonts w:hint="eastAsia" w:ascii="宋体" w:hAnsi="宋体"/>
          <w:sz w:val="24"/>
          <w:szCs w:val="24"/>
          <w:lang w:val="en-US" w:eastAsia="zh-CN"/>
        </w:rPr>
        <w:t>表格</w:t>
      </w:r>
      <w:r>
        <w:rPr>
          <w:rFonts w:ascii="宋体" w:hAnsi="宋体"/>
          <w:sz w:val="24"/>
          <w:szCs w:val="24"/>
        </w:rPr>
        <w:t>内容按工业和信息化部、财政部等4部委《关于印发中小企业划型标准规定的通知》的规定（工信部联企业〔2011〕300号）填列，以企业上一年度末数据为准。</w:t>
      </w:r>
    </w:p>
    <w:p>
      <w:pPr>
        <w:spacing w:line="400" w:lineRule="exact"/>
        <w:jc w:val="both"/>
        <w:rPr>
          <w:rFonts w:hint="eastAsia" w:asciiTheme="minorEastAsia" w:hAnsiTheme="minorEastAsia" w:eastAsiaTheme="minorEastAsia" w:cstheme="minorEastAsia"/>
          <w:color w:val="000000" w:themeColor="text1"/>
          <w:sz w:val="24"/>
          <w:szCs w:val="24"/>
        </w:rPr>
      </w:pPr>
    </w:p>
    <w:p>
      <w:pPr>
        <w:pStyle w:val="2"/>
        <w:rPr>
          <w:rFonts w:hint="eastAsia" w:asciiTheme="minorEastAsia" w:hAnsiTheme="minorEastAsia" w:eastAsiaTheme="minorEastAsia" w:cstheme="minorEastAsia"/>
          <w:color w:val="000000" w:themeColor="text1"/>
          <w:sz w:val="24"/>
          <w:szCs w:val="24"/>
        </w:rPr>
      </w:pPr>
    </w:p>
    <w:p>
      <w:pPr>
        <w:pStyle w:val="2"/>
        <w:rPr>
          <w:rFonts w:hint="eastAsia" w:asciiTheme="minorEastAsia" w:hAnsiTheme="minorEastAsia" w:eastAsiaTheme="minorEastAsia" w:cstheme="minorEastAsia"/>
          <w:color w:val="000000" w:themeColor="text1"/>
          <w:sz w:val="24"/>
          <w:szCs w:val="24"/>
        </w:rPr>
      </w:pPr>
    </w:p>
    <w:p>
      <w:pPr>
        <w:pStyle w:val="2"/>
        <w:rPr>
          <w:rFonts w:hint="eastAsia" w:asciiTheme="minorEastAsia" w:hAnsiTheme="minorEastAsia" w:eastAsiaTheme="minorEastAsia" w:cstheme="minorEastAsia"/>
          <w:color w:val="000000" w:themeColor="text1"/>
          <w:sz w:val="24"/>
          <w:szCs w:val="24"/>
        </w:rPr>
      </w:pPr>
    </w:p>
    <w:p>
      <w:pPr>
        <w:pStyle w:val="2"/>
        <w:rPr>
          <w:rFonts w:hint="eastAsia" w:asciiTheme="minorEastAsia" w:hAnsiTheme="minorEastAsia" w:eastAsiaTheme="minorEastAsia" w:cstheme="minorEastAsia"/>
          <w:color w:val="000000" w:themeColor="text1"/>
          <w:sz w:val="24"/>
          <w:szCs w:val="24"/>
        </w:rPr>
      </w:pPr>
    </w:p>
    <w:p>
      <w:pPr>
        <w:pStyle w:val="2"/>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（结束）</w:t>
      </w:r>
    </w:p>
    <w:p>
      <w:pPr>
        <w:spacing w:line="400" w:lineRule="exact"/>
        <w:rPr>
          <w:rFonts w:hint="eastAsia" w:asciiTheme="minorEastAsia" w:hAnsiTheme="minorEastAsia" w:eastAsiaTheme="minorEastAsia" w:cstheme="minorEastAsia"/>
          <w:color w:val="000000" w:themeColor="text1"/>
        </w:rPr>
      </w:pPr>
    </w:p>
    <w:sectPr>
      <w:pgSz w:w="11906" w:h="16838"/>
      <w:pgMar w:top="1440" w:right="1080" w:bottom="1440" w:left="108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PMingLiUfalt">
    <w:altName w:val="MingLiU-ExtB"/>
    <w:panose1 w:val="00000000000000000000"/>
    <w:charset w:val="88"/>
    <w:family w:val="auto"/>
    <w:pitch w:val="default"/>
    <w:sig w:usb0="00000000" w:usb1="00000000" w:usb2="00000010" w:usb3="00000000" w:csb0="00100000"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昆仑楷体">
    <w:altName w:val="宋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文鼎粗黑">
    <w:altName w:val="宋体"/>
    <w:panose1 w:val="00000000000000000000"/>
    <w:charset w:val="86"/>
    <w:family w:val="modern"/>
    <w:pitch w:val="default"/>
    <w:sig w:usb0="00000000" w:usb1="00000000" w:usb2="00000010" w:usb3="00000000" w:csb0="00040000" w:csb1="00000000"/>
  </w:font>
  <w:font w:name="Futura Bk">
    <w:altName w:val="Courier New"/>
    <w:panose1 w:val="00000000000000000000"/>
    <w:charset w:val="00"/>
    <w:family w:val="swiss"/>
    <w:pitch w:val="default"/>
    <w:sig w:usb0="00000000" w:usb1="00000000" w:usb2="00000000" w:usb3="00000000" w:csb0="00000001" w:csb1="00000000"/>
  </w:font>
  <w:font w:name="方正仿宋_GBK">
    <w:altName w:val="微软雅黑"/>
    <w:panose1 w:val="00000000000000000000"/>
    <w:charset w:val="86"/>
    <w:family w:val="script"/>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Gulim">
    <w:panose1 w:val="020B0600000101010101"/>
    <w:charset w:val="81"/>
    <w:family w:val="auto"/>
    <w:pitch w:val="default"/>
    <w:sig w:usb0="B00002AF" w:usb1="69D77CFB" w:usb2="00000030" w:usb3="00000000" w:csb0="4008009F" w:csb1="DFD70000"/>
  </w:font>
  <w:font w:name="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framePr w:wrap="around" w:vAnchor="text" w:hAnchor="margin" w:xAlign="center" w:y="1"/>
      <w:jc w:val="center"/>
      <w:rPr>
        <w:rStyle w:val="55"/>
        <w:rFonts w:ascii="宋体"/>
        <w:sz w:val="21"/>
        <w:szCs w:val="21"/>
      </w:rPr>
    </w:pPr>
    <w:r>
      <w:rPr>
        <w:rStyle w:val="55"/>
        <w:rFonts w:ascii="宋体" w:cs="宋体"/>
        <w:sz w:val="21"/>
        <w:szCs w:val="21"/>
      </w:rPr>
      <w:fldChar w:fldCharType="begin"/>
    </w:r>
    <w:r>
      <w:rPr>
        <w:rStyle w:val="55"/>
        <w:rFonts w:ascii="宋体" w:cs="宋体"/>
        <w:sz w:val="21"/>
        <w:szCs w:val="21"/>
      </w:rPr>
      <w:instrText xml:space="preserve">PAGE  </w:instrText>
    </w:r>
    <w:r>
      <w:rPr>
        <w:rStyle w:val="55"/>
        <w:rFonts w:ascii="宋体" w:cs="宋体"/>
        <w:sz w:val="21"/>
        <w:szCs w:val="21"/>
      </w:rPr>
      <w:fldChar w:fldCharType="separate"/>
    </w:r>
    <w:r>
      <w:rPr>
        <w:rStyle w:val="55"/>
        <w:rFonts w:ascii="宋体" w:cs="宋体"/>
        <w:sz w:val="21"/>
        <w:szCs w:val="21"/>
      </w:rPr>
      <w:t>- 16 -</w:t>
    </w:r>
    <w:r>
      <w:rPr>
        <w:rStyle w:val="55"/>
        <w:rFonts w:ascii="宋体" w:cs="宋体"/>
        <w:sz w:val="21"/>
        <w:szCs w:val="21"/>
      </w:rPr>
      <w:fldChar w:fldCharType="end"/>
    </w:r>
  </w:p>
  <w:p>
    <w:pPr>
      <w:pStyle w:val="3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jc w:val="center"/>
      <w:rPr>
        <w:rFonts w:ascii="宋体"/>
        <w:sz w:val="21"/>
        <w:szCs w:val="21"/>
      </w:rPr>
    </w:pPr>
    <w:r>
      <w:rPr>
        <w:rStyle w:val="55"/>
        <w:rFonts w:ascii="宋体" w:hAnsi="宋体" w:cs="宋体"/>
        <w:sz w:val="21"/>
        <w:szCs w:val="21"/>
      </w:rPr>
      <w:fldChar w:fldCharType="begin"/>
    </w:r>
    <w:r>
      <w:rPr>
        <w:rStyle w:val="55"/>
        <w:rFonts w:ascii="宋体" w:hAnsi="宋体" w:cs="宋体"/>
        <w:sz w:val="21"/>
        <w:szCs w:val="21"/>
      </w:rPr>
      <w:instrText xml:space="preserve"> PAGE </w:instrText>
    </w:r>
    <w:r>
      <w:rPr>
        <w:rStyle w:val="55"/>
        <w:rFonts w:ascii="宋体" w:hAnsi="宋体" w:cs="宋体"/>
        <w:sz w:val="21"/>
        <w:szCs w:val="21"/>
      </w:rPr>
      <w:fldChar w:fldCharType="separate"/>
    </w:r>
    <w:r>
      <w:rPr>
        <w:rStyle w:val="55"/>
        <w:rFonts w:ascii="宋体" w:hAnsi="宋体" w:cs="宋体"/>
        <w:sz w:val="21"/>
        <w:szCs w:val="21"/>
      </w:rPr>
      <w:t>59</w:t>
    </w:r>
    <w:r>
      <w:rPr>
        <w:rStyle w:val="55"/>
        <w:rFonts w:ascii="宋体" w:hAnsi="宋体" w:cs="宋体"/>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rPr>
        <w:rFonts w:ascii="方正仿宋_GBK" w:eastAsia="方正仿宋_GBK"/>
        <w:sz w:val="21"/>
        <w:szCs w:val="21"/>
      </w:rPr>
    </w:pPr>
    <w:r>
      <w:drawing>
        <wp:inline distT="0" distB="0" distL="114300" distR="114300">
          <wp:extent cx="361950" cy="323850"/>
          <wp:effectExtent l="0" t="0" r="0" b="0"/>
          <wp:docPr id="5" name="图片 1" descr="图形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图形2"/>
                  <pic:cNvPicPr>
                    <a:picLocks noChangeAspect="1"/>
                  </pic:cNvPicPr>
                </pic:nvPicPr>
                <pic:blipFill>
                  <a:blip r:embed="rId1"/>
                  <a:stretch>
                    <a:fillRect/>
                  </a:stretch>
                </pic:blipFill>
                <pic:spPr>
                  <a:xfrm>
                    <a:off x="0" y="0"/>
                    <a:ext cx="361950" cy="323850"/>
                  </a:xfrm>
                  <a:prstGeom prst="rect">
                    <a:avLst/>
                  </a:prstGeom>
                  <a:noFill/>
                  <a:ln w="9525">
                    <a:noFill/>
                  </a:ln>
                </pic:spPr>
              </pic:pic>
            </a:graphicData>
          </a:graphic>
        </wp:inline>
      </w:drawing>
    </w:r>
    <w:r>
      <w:rPr>
        <w:rFonts w:hint="eastAsia" w:ascii="文鼎粗黑" w:hAnsi="文鼎粗黑"/>
        <w:szCs w:val="18"/>
      </w:rPr>
      <w:t>重庆众合招标代理有限公司                                                          询价</w:t>
    </w:r>
    <w:r>
      <w:rPr>
        <w:rFonts w:ascii="文鼎粗黑" w:hAnsi="文鼎粗黑"/>
        <w:szCs w:val="18"/>
      </w:rPr>
      <w:t>采购</w:t>
    </w:r>
    <w:r>
      <w:rPr>
        <w:rFonts w:hint="eastAsia" w:ascii="文鼎粗黑" w:hAnsi="文鼎粗黑"/>
        <w:szCs w:val="18"/>
      </w:rPr>
      <w:t>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pPr>
    <w:r>
      <w:drawing>
        <wp:inline distT="0" distB="0" distL="114300" distR="114300">
          <wp:extent cx="361950" cy="323850"/>
          <wp:effectExtent l="0" t="0" r="0" b="0"/>
          <wp:docPr id="6" name="图片 2" descr="图形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图形2"/>
                  <pic:cNvPicPr>
                    <a:picLocks noChangeAspect="1"/>
                  </pic:cNvPicPr>
                </pic:nvPicPr>
                <pic:blipFill>
                  <a:blip r:embed="rId1"/>
                  <a:stretch>
                    <a:fillRect/>
                  </a:stretch>
                </pic:blipFill>
                <pic:spPr>
                  <a:xfrm>
                    <a:off x="0" y="0"/>
                    <a:ext cx="361950" cy="323850"/>
                  </a:xfrm>
                  <a:prstGeom prst="rect">
                    <a:avLst/>
                  </a:prstGeom>
                  <a:noFill/>
                  <a:ln w="9525">
                    <a:noFill/>
                  </a:ln>
                </pic:spPr>
              </pic:pic>
            </a:graphicData>
          </a:graphic>
        </wp:inline>
      </w:drawing>
    </w:r>
    <w:r>
      <w:rPr>
        <w:rFonts w:hint="eastAsia" w:ascii="文鼎粗黑" w:hAnsi="文鼎粗黑"/>
        <w:szCs w:val="18"/>
      </w:rPr>
      <w:t>重庆众合招标代理有限公司                                                          询价</w:t>
    </w:r>
    <w:r>
      <w:rPr>
        <w:rFonts w:ascii="文鼎粗黑" w:hAnsi="文鼎粗黑"/>
        <w:szCs w:val="18"/>
      </w:rPr>
      <w:t>采购</w:t>
    </w:r>
    <w:r>
      <w:rPr>
        <w:rFonts w:hint="eastAsia" w:ascii="文鼎粗黑" w:hAnsi="文鼎粗黑"/>
        <w:szCs w:val="18"/>
      </w:rPr>
      <w:t>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rPr>
        <w:rFonts w:ascii="仿宋" w:hAnsi="仿宋" w:eastAsia="仿宋"/>
        <w:sz w:val="21"/>
        <w:szCs w:val="24"/>
      </w:rPr>
    </w:pPr>
    <w:r>
      <w:drawing>
        <wp:inline distT="0" distB="0" distL="114300" distR="114300">
          <wp:extent cx="361950" cy="323850"/>
          <wp:effectExtent l="0" t="0" r="0" b="0"/>
          <wp:docPr id="7" name="图片 3" descr="图形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图形2"/>
                  <pic:cNvPicPr>
                    <a:picLocks noChangeAspect="1"/>
                  </pic:cNvPicPr>
                </pic:nvPicPr>
                <pic:blipFill>
                  <a:blip r:embed="rId1"/>
                  <a:stretch>
                    <a:fillRect/>
                  </a:stretch>
                </pic:blipFill>
                <pic:spPr>
                  <a:xfrm>
                    <a:off x="0" y="0"/>
                    <a:ext cx="361950" cy="323850"/>
                  </a:xfrm>
                  <a:prstGeom prst="rect">
                    <a:avLst/>
                  </a:prstGeom>
                  <a:noFill/>
                  <a:ln w="9525">
                    <a:noFill/>
                  </a:ln>
                </pic:spPr>
              </pic:pic>
            </a:graphicData>
          </a:graphic>
        </wp:inline>
      </w:drawing>
    </w:r>
    <w:r>
      <w:rPr>
        <w:rFonts w:hint="eastAsia" w:ascii="文鼎粗黑" w:hAnsi="文鼎粗黑"/>
        <w:szCs w:val="18"/>
      </w:rPr>
      <w:t>重庆众合招标代理有限公司                                                          询价</w:t>
    </w:r>
    <w:r>
      <w:rPr>
        <w:rFonts w:ascii="文鼎粗黑" w:hAnsi="文鼎粗黑"/>
        <w:szCs w:val="18"/>
      </w:rPr>
      <w:t>采购</w:t>
    </w:r>
    <w:r>
      <w:rPr>
        <w:rFonts w:hint="eastAsia" w:ascii="文鼎粗黑" w:hAnsi="文鼎粗黑"/>
        <w:szCs w:val="18"/>
      </w:rPr>
      <w:t>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CC81FE"/>
    <w:multiLevelType w:val="singleLevel"/>
    <w:tmpl w:val="88CC81FE"/>
    <w:lvl w:ilvl="0" w:tentative="0">
      <w:start w:val="1"/>
      <w:numFmt w:val="decimal"/>
      <w:suff w:val="nothing"/>
      <w:lvlText w:val="%1、"/>
      <w:lvlJc w:val="left"/>
      <w:rPr>
        <w:color w:val="auto"/>
      </w:rPr>
    </w:lvl>
  </w:abstractNum>
  <w:abstractNum w:abstractNumId="1">
    <w:nsid w:val="09DD1126"/>
    <w:multiLevelType w:val="singleLevel"/>
    <w:tmpl w:val="09DD1126"/>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26DFC"/>
    <w:rsid w:val="00002694"/>
    <w:rsid w:val="000B5058"/>
    <w:rsid w:val="000F1F97"/>
    <w:rsid w:val="00130CE0"/>
    <w:rsid w:val="001439F0"/>
    <w:rsid w:val="001E1D13"/>
    <w:rsid w:val="00226DFC"/>
    <w:rsid w:val="0028272C"/>
    <w:rsid w:val="002A305C"/>
    <w:rsid w:val="002F29E0"/>
    <w:rsid w:val="002F631F"/>
    <w:rsid w:val="00340C89"/>
    <w:rsid w:val="003C03AC"/>
    <w:rsid w:val="003D4690"/>
    <w:rsid w:val="00475EF4"/>
    <w:rsid w:val="00482803"/>
    <w:rsid w:val="00494E58"/>
    <w:rsid w:val="004D26AB"/>
    <w:rsid w:val="005D29FC"/>
    <w:rsid w:val="0063443C"/>
    <w:rsid w:val="006807DC"/>
    <w:rsid w:val="006B250C"/>
    <w:rsid w:val="006D0806"/>
    <w:rsid w:val="006D1D9A"/>
    <w:rsid w:val="006E2B45"/>
    <w:rsid w:val="00742A7F"/>
    <w:rsid w:val="007864BF"/>
    <w:rsid w:val="007B7705"/>
    <w:rsid w:val="007F02CE"/>
    <w:rsid w:val="008D34A9"/>
    <w:rsid w:val="00906CAA"/>
    <w:rsid w:val="00910BD5"/>
    <w:rsid w:val="00956F1C"/>
    <w:rsid w:val="00992442"/>
    <w:rsid w:val="009B35F9"/>
    <w:rsid w:val="00A84BEA"/>
    <w:rsid w:val="00AB2EC0"/>
    <w:rsid w:val="00B20429"/>
    <w:rsid w:val="00B4124B"/>
    <w:rsid w:val="00B50710"/>
    <w:rsid w:val="00BE2AE0"/>
    <w:rsid w:val="00C00222"/>
    <w:rsid w:val="00C05661"/>
    <w:rsid w:val="00C07920"/>
    <w:rsid w:val="00C247C0"/>
    <w:rsid w:val="00C62D66"/>
    <w:rsid w:val="00C6617E"/>
    <w:rsid w:val="00D31371"/>
    <w:rsid w:val="00D548C5"/>
    <w:rsid w:val="00DB7DD0"/>
    <w:rsid w:val="00E2539D"/>
    <w:rsid w:val="00E46B22"/>
    <w:rsid w:val="00E54BE4"/>
    <w:rsid w:val="00E730CC"/>
    <w:rsid w:val="00E76648"/>
    <w:rsid w:val="00F44445"/>
    <w:rsid w:val="00F81FBD"/>
    <w:rsid w:val="00FA12FA"/>
    <w:rsid w:val="01A14E9A"/>
    <w:rsid w:val="01CD0B6D"/>
    <w:rsid w:val="01CD2D34"/>
    <w:rsid w:val="023C2223"/>
    <w:rsid w:val="02A26404"/>
    <w:rsid w:val="02AB7F05"/>
    <w:rsid w:val="030A76C4"/>
    <w:rsid w:val="032F020E"/>
    <w:rsid w:val="03693728"/>
    <w:rsid w:val="03760389"/>
    <w:rsid w:val="039D7B07"/>
    <w:rsid w:val="03B75E00"/>
    <w:rsid w:val="04090E27"/>
    <w:rsid w:val="043B1277"/>
    <w:rsid w:val="04461B18"/>
    <w:rsid w:val="047E4686"/>
    <w:rsid w:val="04C32B8C"/>
    <w:rsid w:val="04CA62DD"/>
    <w:rsid w:val="05544141"/>
    <w:rsid w:val="05B5231D"/>
    <w:rsid w:val="05C27DC4"/>
    <w:rsid w:val="05DC7704"/>
    <w:rsid w:val="05E85501"/>
    <w:rsid w:val="061354EB"/>
    <w:rsid w:val="06146247"/>
    <w:rsid w:val="062A5E11"/>
    <w:rsid w:val="0633457F"/>
    <w:rsid w:val="06407E42"/>
    <w:rsid w:val="069F13BD"/>
    <w:rsid w:val="06A75C0E"/>
    <w:rsid w:val="06E16F8D"/>
    <w:rsid w:val="06F27A20"/>
    <w:rsid w:val="07D64527"/>
    <w:rsid w:val="08805FF6"/>
    <w:rsid w:val="08903539"/>
    <w:rsid w:val="08A829FE"/>
    <w:rsid w:val="08DB2B67"/>
    <w:rsid w:val="08E31CF1"/>
    <w:rsid w:val="08FF05CB"/>
    <w:rsid w:val="09084464"/>
    <w:rsid w:val="09186872"/>
    <w:rsid w:val="094A1ABB"/>
    <w:rsid w:val="096E608B"/>
    <w:rsid w:val="09701368"/>
    <w:rsid w:val="09887B04"/>
    <w:rsid w:val="09D11C48"/>
    <w:rsid w:val="09D472D1"/>
    <w:rsid w:val="0A6227EB"/>
    <w:rsid w:val="0A675904"/>
    <w:rsid w:val="0A73536E"/>
    <w:rsid w:val="0A797676"/>
    <w:rsid w:val="0A8757D8"/>
    <w:rsid w:val="0AB57D0F"/>
    <w:rsid w:val="0AF36E56"/>
    <w:rsid w:val="0AFD4C15"/>
    <w:rsid w:val="0B115574"/>
    <w:rsid w:val="0B271F50"/>
    <w:rsid w:val="0B340293"/>
    <w:rsid w:val="0B8B44EB"/>
    <w:rsid w:val="0B9A0BDE"/>
    <w:rsid w:val="0BB50541"/>
    <w:rsid w:val="0BEE1119"/>
    <w:rsid w:val="0C312FA9"/>
    <w:rsid w:val="0C6A56FE"/>
    <w:rsid w:val="0C9B3214"/>
    <w:rsid w:val="0CAC669A"/>
    <w:rsid w:val="0CB27392"/>
    <w:rsid w:val="0CC1755A"/>
    <w:rsid w:val="0CD44BA0"/>
    <w:rsid w:val="0CDB0309"/>
    <w:rsid w:val="0D6F7FD9"/>
    <w:rsid w:val="0D993193"/>
    <w:rsid w:val="0DD0438A"/>
    <w:rsid w:val="0DFE1564"/>
    <w:rsid w:val="0E301637"/>
    <w:rsid w:val="0E3878B0"/>
    <w:rsid w:val="0E783E59"/>
    <w:rsid w:val="0E7B4787"/>
    <w:rsid w:val="0E9529D2"/>
    <w:rsid w:val="0EA4723C"/>
    <w:rsid w:val="0EF04798"/>
    <w:rsid w:val="0F2C05A1"/>
    <w:rsid w:val="0F5454E2"/>
    <w:rsid w:val="0FA65842"/>
    <w:rsid w:val="1000434D"/>
    <w:rsid w:val="10107DEE"/>
    <w:rsid w:val="10410803"/>
    <w:rsid w:val="104A4B6F"/>
    <w:rsid w:val="10A1438F"/>
    <w:rsid w:val="11361719"/>
    <w:rsid w:val="11636562"/>
    <w:rsid w:val="116D0EBD"/>
    <w:rsid w:val="117369E8"/>
    <w:rsid w:val="118537C0"/>
    <w:rsid w:val="119D3F30"/>
    <w:rsid w:val="11AA4F01"/>
    <w:rsid w:val="11B36739"/>
    <w:rsid w:val="11F2633A"/>
    <w:rsid w:val="11F81925"/>
    <w:rsid w:val="12403F1F"/>
    <w:rsid w:val="127E5D77"/>
    <w:rsid w:val="12BE1A8F"/>
    <w:rsid w:val="12DE0A6B"/>
    <w:rsid w:val="12E179EB"/>
    <w:rsid w:val="13281EBD"/>
    <w:rsid w:val="1450506B"/>
    <w:rsid w:val="145675C9"/>
    <w:rsid w:val="14FE470C"/>
    <w:rsid w:val="15CA55F9"/>
    <w:rsid w:val="15EC0182"/>
    <w:rsid w:val="15F86B96"/>
    <w:rsid w:val="1634579A"/>
    <w:rsid w:val="16657B98"/>
    <w:rsid w:val="167343D1"/>
    <w:rsid w:val="168B1E71"/>
    <w:rsid w:val="16A649EB"/>
    <w:rsid w:val="16B332FA"/>
    <w:rsid w:val="16BF21E9"/>
    <w:rsid w:val="16E61C45"/>
    <w:rsid w:val="173D117B"/>
    <w:rsid w:val="176A35FF"/>
    <w:rsid w:val="179702D9"/>
    <w:rsid w:val="17BD7BD9"/>
    <w:rsid w:val="17E26325"/>
    <w:rsid w:val="180C4F2A"/>
    <w:rsid w:val="181A2970"/>
    <w:rsid w:val="181D29F9"/>
    <w:rsid w:val="18E71B89"/>
    <w:rsid w:val="19173D81"/>
    <w:rsid w:val="1948276F"/>
    <w:rsid w:val="197A5FA9"/>
    <w:rsid w:val="198D4530"/>
    <w:rsid w:val="19B818CF"/>
    <w:rsid w:val="19F00CC2"/>
    <w:rsid w:val="1A14128F"/>
    <w:rsid w:val="1A184C02"/>
    <w:rsid w:val="1A947992"/>
    <w:rsid w:val="1AC3331D"/>
    <w:rsid w:val="1AE91CB2"/>
    <w:rsid w:val="1B6B5B3B"/>
    <w:rsid w:val="1B9263F6"/>
    <w:rsid w:val="1BA21830"/>
    <w:rsid w:val="1BAB0E29"/>
    <w:rsid w:val="1BFF68C3"/>
    <w:rsid w:val="1C64758A"/>
    <w:rsid w:val="1C6B141A"/>
    <w:rsid w:val="1C7F6823"/>
    <w:rsid w:val="1C9E3EE7"/>
    <w:rsid w:val="1CC77A78"/>
    <w:rsid w:val="1CD75A1D"/>
    <w:rsid w:val="1D962589"/>
    <w:rsid w:val="1DA829C6"/>
    <w:rsid w:val="1DAF4E32"/>
    <w:rsid w:val="1DD17F16"/>
    <w:rsid w:val="1E446CAA"/>
    <w:rsid w:val="1E6924BC"/>
    <w:rsid w:val="1E8A66BC"/>
    <w:rsid w:val="1E9141A9"/>
    <w:rsid w:val="1EC13032"/>
    <w:rsid w:val="1EDB3AB3"/>
    <w:rsid w:val="1F0276F9"/>
    <w:rsid w:val="1F833A03"/>
    <w:rsid w:val="200B3589"/>
    <w:rsid w:val="202C08EA"/>
    <w:rsid w:val="20841110"/>
    <w:rsid w:val="209C221E"/>
    <w:rsid w:val="20BC500D"/>
    <w:rsid w:val="21246521"/>
    <w:rsid w:val="213C7F0E"/>
    <w:rsid w:val="213F39AA"/>
    <w:rsid w:val="217670C4"/>
    <w:rsid w:val="21A206E1"/>
    <w:rsid w:val="21AA741C"/>
    <w:rsid w:val="2202399B"/>
    <w:rsid w:val="226F673C"/>
    <w:rsid w:val="227D12C7"/>
    <w:rsid w:val="228F0E14"/>
    <w:rsid w:val="22A33515"/>
    <w:rsid w:val="23010237"/>
    <w:rsid w:val="235B2004"/>
    <w:rsid w:val="235C41AB"/>
    <w:rsid w:val="236110CC"/>
    <w:rsid w:val="2367044B"/>
    <w:rsid w:val="242A595D"/>
    <w:rsid w:val="25025422"/>
    <w:rsid w:val="25071CC0"/>
    <w:rsid w:val="25362F2B"/>
    <w:rsid w:val="2540117D"/>
    <w:rsid w:val="25570862"/>
    <w:rsid w:val="25692946"/>
    <w:rsid w:val="25990450"/>
    <w:rsid w:val="259C6A4C"/>
    <w:rsid w:val="25A60C31"/>
    <w:rsid w:val="25B40641"/>
    <w:rsid w:val="25BE1558"/>
    <w:rsid w:val="25D51CB5"/>
    <w:rsid w:val="261E1F5B"/>
    <w:rsid w:val="262549C1"/>
    <w:rsid w:val="26A0452A"/>
    <w:rsid w:val="26D968AC"/>
    <w:rsid w:val="271B37D3"/>
    <w:rsid w:val="275E51AB"/>
    <w:rsid w:val="27706B36"/>
    <w:rsid w:val="27775DA5"/>
    <w:rsid w:val="277B76F1"/>
    <w:rsid w:val="27892080"/>
    <w:rsid w:val="27A07D5C"/>
    <w:rsid w:val="27B44E53"/>
    <w:rsid w:val="27C84927"/>
    <w:rsid w:val="28027FAC"/>
    <w:rsid w:val="28224C9D"/>
    <w:rsid w:val="2867330F"/>
    <w:rsid w:val="287621B1"/>
    <w:rsid w:val="289E3B5B"/>
    <w:rsid w:val="28D6266C"/>
    <w:rsid w:val="29034ABD"/>
    <w:rsid w:val="29244941"/>
    <w:rsid w:val="29294BDE"/>
    <w:rsid w:val="295D5F91"/>
    <w:rsid w:val="297970E1"/>
    <w:rsid w:val="297E111E"/>
    <w:rsid w:val="2997359F"/>
    <w:rsid w:val="29BD16C1"/>
    <w:rsid w:val="2A007AEF"/>
    <w:rsid w:val="2A270BA3"/>
    <w:rsid w:val="2A4B4070"/>
    <w:rsid w:val="2A612C1D"/>
    <w:rsid w:val="2AAF78AB"/>
    <w:rsid w:val="2AC85BCC"/>
    <w:rsid w:val="2B927F57"/>
    <w:rsid w:val="2C176C43"/>
    <w:rsid w:val="2C2C1403"/>
    <w:rsid w:val="2C3A635C"/>
    <w:rsid w:val="2C605A20"/>
    <w:rsid w:val="2CF36C33"/>
    <w:rsid w:val="2D08659D"/>
    <w:rsid w:val="2DA65DD8"/>
    <w:rsid w:val="2DBD673A"/>
    <w:rsid w:val="2DF77F5C"/>
    <w:rsid w:val="2EA157AF"/>
    <w:rsid w:val="2EC84991"/>
    <w:rsid w:val="2ED67544"/>
    <w:rsid w:val="2F010902"/>
    <w:rsid w:val="2F8A3F06"/>
    <w:rsid w:val="304F5754"/>
    <w:rsid w:val="3059159D"/>
    <w:rsid w:val="305954F7"/>
    <w:rsid w:val="308D6816"/>
    <w:rsid w:val="30A80E00"/>
    <w:rsid w:val="31475EE8"/>
    <w:rsid w:val="31516D8D"/>
    <w:rsid w:val="31682B04"/>
    <w:rsid w:val="31770884"/>
    <w:rsid w:val="31AE6F7A"/>
    <w:rsid w:val="31DA4F43"/>
    <w:rsid w:val="31FF1DF5"/>
    <w:rsid w:val="321206FA"/>
    <w:rsid w:val="32173A98"/>
    <w:rsid w:val="32427295"/>
    <w:rsid w:val="328A03C9"/>
    <w:rsid w:val="32B00CA9"/>
    <w:rsid w:val="32B37BB1"/>
    <w:rsid w:val="32C530E9"/>
    <w:rsid w:val="32D02662"/>
    <w:rsid w:val="33675CBF"/>
    <w:rsid w:val="337120BF"/>
    <w:rsid w:val="338E0465"/>
    <w:rsid w:val="33DB5F38"/>
    <w:rsid w:val="34313E59"/>
    <w:rsid w:val="344366D3"/>
    <w:rsid w:val="34733444"/>
    <w:rsid w:val="34A61870"/>
    <w:rsid w:val="34C1187D"/>
    <w:rsid w:val="34C13FB2"/>
    <w:rsid w:val="34C8269D"/>
    <w:rsid w:val="34D051E4"/>
    <w:rsid w:val="34EC7F2D"/>
    <w:rsid w:val="34FB7648"/>
    <w:rsid w:val="34FE156F"/>
    <w:rsid w:val="350D3903"/>
    <w:rsid w:val="35353133"/>
    <w:rsid w:val="3547131E"/>
    <w:rsid w:val="354F7E2D"/>
    <w:rsid w:val="35666EE2"/>
    <w:rsid w:val="35F712DB"/>
    <w:rsid w:val="36320869"/>
    <w:rsid w:val="36521758"/>
    <w:rsid w:val="36661A91"/>
    <w:rsid w:val="36EE75B6"/>
    <w:rsid w:val="371E4254"/>
    <w:rsid w:val="37513064"/>
    <w:rsid w:val="37620B6A"/>
    <w:rsid w:val="378818CE"/>
    <w:rsid w:val="37ED5E00"/>
    <w:rsid w:val="380A589D"/>
    <w:rsid w:val="38207DA2"/>
    <w:rsid w:val="382931FA"/>
    <w:rsid w:val="38512C9B"/>
    <w:rsid w:val="385540C3"/>
    <w:rsid w:val="38681346"/>
    <w:rsid w:val="38742370"/>
    <w:rsid w:val="389076FC"/>
    <w:rsid w:val="39375839"/>
    <w:rsid w:val="39AA2D73"/>
    <w:rsid w:val="39FE4660"/>
    <w:rsid w:val="3A111970"/>
    <w:rsid w:val="3A2C0D8F"/>
    <w:rsid w:val="3A2F726F"/>
    <w:rsid w:val="3A333010"/>
    <w:rsid w:val="3A6610C2"/>
    <w:rsid w:val="3AFA0406"/>
    <w:rsid w:val="3B275225"/>
    <w:rsid w:val="3B330B07"/>
    <w:rsid w:val="3BF47683"/>
    <w:rsid w:val="3C052637"/>
    <w:rsid w:val="3C3A18AA"/>
    <w:rsid w:val="3C3E66F5"/>
    <w:rsid w:val="3CA32A16"/>
    <w:rsid w:val="3CA56AEC"/>
    <w:rsid w:val="3CAB0AD7"/>
    <w:rsid w:val="3CBD5A40"/>
    <w:rsid w:val="3CBE1D5A"/>
    <w:rsid w:val="3CED751A"/>
    <w:rsid w:val="3CF861F3"/>
    <w:rsid w:val="3CFF505B"/>
    <w:rsid w:val="3DB83F05"/>
    <w:rsid w:val="3DDF1131"/>
    <w:rsid w:val="3DF45496"/>
    <w:rsid w:val="3E1F2545"/>
    <w:rsid w:val="3E434877"/>
    <w:rsid w:val="3EBF013D"/>
    <w:rsid w:val="3F2F7779"/>
    <w:rsid w:val="3F4E6297"/>
    <w:rsid w:val="3F7358BD"/>
    <w:rsid w:val="3F9B3DDD"/>
    <w:rsid w:val="3FEF419A"/>
    <w:rsid w:val="402552EA"/>
    <w:rsid w:val="402F1EDE"/>
    <w:rsid w:val="408116E0"/>
    <w:rsid w:val="40EA2117"/>
    <w:rsid w:val="40FC6581"/>
    <w:rsid w:val="415D4AA2"/>
    <w:rsid w:val="41817A7B"/>
    <w:rsid w:val="418976CC"/>
    <w:rsid w:val="41B57597"/>
    <w:rsid w:val="424C7BD6"/>
    <w:rsid w:val="4303437D"/>
    <w:rsid w:val="43193FE3"/>
    <w:rsid w:val="431E43E1"/>
    <w:rsid w:val="434E6D9A"/>
    <w:rsid w:val="436D2F8F"/>
    <w:rsid w:val="43C00395"/>
    <w:rsid w:val="43DA56D0"/>
    <w:rsid w:val="43ED065C"/>
    <w:rsid w:val="44103678"/>
    <w:rsid w:val="44422F7E"/>
    <w:rsid w:val="444C23A9"/>
    <w:rsid w:val="445E7296"/>
    <w:rsid w:val="44761ED6"/>
    <w:rsid w:val="448E1CC3"/>
    <w:rsid w:val="449655BA"/>
    <w:rsid w:val="454358B2"/>
    <w:rsid w:val="45ED31EA"/>
    <w:rsid w:val="4612390F"/>
    <w:rsid w:val="46485135"/>
    <w:rsid w:val="465246B6"/>
    <w:rsid w:val="4666105E"/>
    <w:rsid w:val="470C5B74"/>
    <w:rsid w:val="472F7679"/>
    <w:rsid w:val="47776655"/>
    <w:rsid w:val="477910EE"/>
    <w:rsid w:val="47A77ECA"/>
    <w:rsid w:val="47B23378"/>
    <w:rsid w:val="47D52A48"/>
    <w:rsid w:val="47DE22C5"/>
    <w:rsid w:val="47E910EB"/>
    <w:rsid w:val="48030673"/>
    <w:rsid w:val="481F281B"/>
    <w:rsid w:val="482C3830"/>
    <w:rsid w:val="48841DC4"/>
    <w:rsid w:val="48AB2E99"/>
    <w:rsid w:val="48B1527D"/>
    <w:rsid w:val="48D40FBE"/>
    <w:rsid w:val="491128CD"/>
    <w:rsid w:val="4926558D"/>
    <w:rsid w:val="49283EB8"/>
    <w:rsid w:val="493F215C"/>
    <w:rsid w:val="494A7E1B"/>
    <w:rsid w:val="497C343F"/>
    <w:rsid w:val="49A21D41"/>
    <w:rsid w:val="49C26977"/>
    <w:rsid w:val="49F347B0"/>
    <w:rsid w:val="4A071D74"/>
    <w:rsid w:val="4A261256"/>
    <w:rsid w:val="4A44535C"/>
    <w:rsid w:val="4A566C95"/>
    <w:rsid w:val="4AB6784D"/>
    <w:rsid w:val="4AB969F4"/>
    <w:rsid w:val="4ACD2228"/>
    <w:rsid w:val="4ACF0F07"/>
    <w:rsid w:val="4B24759F"/>
    <w:rsid w:val="4B705B85"/>
    <w:rsid w:val="4B943775"/>
    <w:rsid w:val="4B9C7654"/>
    <w:rsid w:val="4BBD1ACC"/>
    <w:rsid w:val="4BC77753"/>
    <w:rsid w:val="4BF003C3"/>
    <w:rsid w:val="4C3B7A91"/>
    <w:rsid w:val="4C3B7CC3"/>
    <w:rsid w:val="4C6023EC"/>
    <w:rsid w:val="4C851A70"/>
    <w:rsid w:val="4CA172EC"/>
    <w:rsid w:val="4CCA2812"/>
    <w:rsid w:val="4CDE3B9D"/>
    <w:rsid w:val="4D20202E"/>
    <w:rsid w:val="4D996426"/>
    <w:rsid w:val="4DB50E21"/>
    <w:rsid w:val="4DB93011"/>
    <w:rsid w:val="4E4C2A81"/>
    <w:rsid w:val="4E87143D"/>
    <w:rsid w:val="4E886871"/>
    <w:rsid w:val="4E94194C"/>
    <w:rsid w:val="4E9A5BA8"/>
    <w:rsid w:val="4EB34868"/>
    <w:rsid w:val="4F4C11FE"/>
    <w:rsid w:val="4F667CA2"/>
    <w:rsid w:val="4F7E6930"/>
    <w:rsid w:val="4FDB587B"/>
    <w:rsid w:val="5047390A"/>
    <w:rsid w:val="50711266"/>
    <w:rsid w:val="5095384C"/>
    <w:rsid w:val="50D50C41"/>
    <w:rsid w:val="50E61218"/>
    <w:rsid w:val="51220702"/>
    <w:rsid w:val="51292B62"/>
    <w:rsid w:val="51343BEF"/>
    <w:rsid w:val="519D3CC4"/>
    <w:rsid w:val="51AF7572"/>
    <w:rsid w:val="51CD4976"/>
    <w:rsid w:val="51CF5390"/>
    <w:rsid w:val="520327B1"/>
    <w:rsid w:val="521A5735"/>
    <w:rsid w:val="522E0F6A"/>
    <w:rsid w:val="522F5341"/>
    <w:rsid w:val="525471FF"/>
    <w:rsid w:val="5255451A"/>
    <w:rsid w:val="528C7C13"/>
    <w:rsid w:val="52B229A3"/>
    <w:rsid w:val="52BB45C7"/>
    <w:rsid w:val="53275B9F"/>
    <w:rsid w:val="53C8639D"/>
    <w:rsid w:val="53D63251"/>
    <w:rsid w:val="53DE3E6F"/>
    <w:rsid w:val="542776BF"/>
    <w:rsid w:val="54B500D4"/>
    <w:rsid w:val="54C6465A"/>
    <w:rsid w:val="54FB39D6"/>
    <w:rsid w:val="5505314B"/>
    <w:rsid w:val="551423C9"/>
    <w:rsid w:val="552624A8"/>
    <w:rsid w:val="552A2692"/>
    <w:rsid w:val="5531300B"/>
    <w:rsid w:val="55405573"/>
    <w:rsid w:val="55540187"/>
    <w:rsid w:val="55CD4881"/>
    <w:rsid w:val="561B6ECD"/>
    <w:rsid w:val="565C6965"/>
    <w:rsid w:val="56705888"/>
    <w:rsid w:val="56854C9B"/>
    <w:rsid w:val="56990E67"/>
    <w:rsid w:val="56E06CA9"/>
    <w:rsid w:val="57047ADE"/>
    <w:rsid w:val="5720040B"/>
    <w:rsid w:val="572F0ADA"/>
    <w:rsid w:val="573A0901"/>
    <w:rsid w:val="573F34E1"/>
    <w:rsid w:val="574D6DFE"/>
    <w:rsid w:val="575D3C5A"/>
    <w:rsid w:val="57852760"/>
    <w:rsid w:val="579E5451"/>
    <w:rsid w:val="57A24A84"/>
    <w:rsid w:val="57BE5468"/>
    <w:rsid w:val="57D43A66"/>
    <w:rsid w:val="580170AE"/>
    <w:rsid w:val="582165A2"/>
    <w:rsid w:val="583D74D3"/>
    <w:rsid w:val="585673B1"/>
    <w:rsid w:val="58792DED"/>
    <w:rsid w:val="587E747D"/>
    <w:rsid w:val="58830479"/>
    <w:rsid w:val="58AF48CC"/>
    <w:rsid w:val="58D32782"/>
    <w:rsid w:val="58EF4456"/>
    <w:rsid w:val="58F00532"/>
    <w:rsid w:val="594E3968"/>
    <w:rsid w:val="59555840"/>
    <w:rsid w:val="599B4E84"/>
    <w:rsid w:val="59AC0AA7"/>
    <w:rsid w:val="59C1137A"/>
    <w:rsid w:val="59FB43C2"/>
    <w:rsid w:val="5A1767B7"/>
    <w:rsid w:val="5A196791"/>
    <w:rsid w:val="5A2012D5"/>
    <w:rsid w:val="5A4005E6"/>
    <w:rsid w:val="5A4410D2"/>
    <w:rsid w:val="5A976187"/>
    <w:rsid w:val="5AB172A0"/>
    <w:rsid w:val="5AE979C9"/>
    <w:rsid w:val="5AF13C7F"/>
    <w:rsid w:val="5AF86609"/>
    <w:rsid w:val="5B117F98"/>
    <w:rsid w:val="5B7D00B1"/>
    <w:rsid w:val="5BC20200"/>
    <w:rsid w:val="5C154D83"/>
    <w:rsid w:val="5C1E7E99"/>
    <w:rsid w:val="5C2A281B"/>
    <w:rsid w:val="5C643F94"/>
    <w:rsid w:val="5C832AB7"/>
    <w:rsid w:val="5CAF6D25"/>
    <w:rsid w:val="5D0E48F1"/>
    <w:rsid w:val="5D224477"/>
    <w:rsid w:val="5D263E84"/>
    <w:rsid w:val="5D932759"/>
    <w:rsid w:val="5DB56447"/>
    <w:rsid w:val="5DDF4612"/>
    <w:rsid w:val="5EC218D8"/>
    <w:rsid w:val="5EDF587F"/>
    <w:rsid w:val="5F5B10FD"/>
    <w:rsid w:val="5F614ABE"/>
    <w:rsid w:val="5FEE1548"/>
    <w:rsid w:val="5FF736A2"/>
    <w:rsid w:val="60076D6D"/>
    <w:rsid w:val="60442732"/>
    <w:rsid w:val="607B2C79"/>
    <w:rsid w:val="60A05223"/>
    <w:rsid w:val="60C01CEA"/>
    <w:rsid w:val="60CC547F"/>
    <w:rsid w:val="60CD13DF"/>
    <w:rsid w:val="60E55C2B"/>
    <w:rsid w:val="60FA1FD4"/>
    <w:rsid w:val="612A2F0D"/>
    <w:rsid w:val="612B443A"/>
    <w:rsid w:val="612D7BFD"/>
    <w:rsid w:val="61653694"/>
    <w:rsid w:val="61A219FB"/>
    <w:rsid w:val="61AF6E2E"/>
    <w:rsid w:val="61DA75EB"/>
    <w:rsid w:val="61F94E43"/>
    <w:rsid w:val="621005CB"/>
    <w:rsid w:val="626A2861"/>
    <w:rsid w:val="627B46C1"/>
    <w:rsid w:val="62862874"/>
    <w:rsid w:val="62937460"/>
    <w:rsid w:val="630D581D"/>
    <w:rsid w:val="637844CF"/>
    <w:rsid w:val="639125D3"/>
    <w:rsid w:val="639324BD"/>
    <w:rsid w:val="63A03798"/>
    <w:rsid w:val="63A82743"/>
    <w:rsid w:val="63CB6DF4"/>
    <w:rsid w:val="644E1C1A"/>
    <w:rsid w:val="64621B96"/>
    <w:rsid w:val="647B1EF1"/>
    <w:rsid w:val="647B2ED1"/>
    <w:rsid w:val="64BD0960"/>
    <w:rsid w:val="64E25A72"/>
    <w:rsid w:val="65621607"/>
    <w:rsid w:val="65791B20"/>
    <w:rsid w:val="657F27AD"/>
    <w:rsid w:val="65B2278B"/>
    <w:rsid w:val="65E83AFE"/>
    <w:rsid w:val="66157903"/>
    <w:rsid w:val="668B2469"/>
    <w:rsid w:val="669628DC"/>
    <w:rsid w:val="66DD7F0D"/>
    <w:rsid w:val="670E6633"/>
    <w:rsid w:val="67313550"/>
    <w:rsid w:val="674633FF"/>
    <w:rsid w:val="675E4F56"/>
    <w:rsid w:val="677C1FAC"/>
    <w:rsid w:val="678235AA"/>
    <w:rsid w:val="678468EF"/>
    <w:rsid w:val="67946A80"/>
    <w:rsid w:val="67B23ED3"/>
    <w:rsid w:val="67C45173"/>
    <w:rsid w:val="67E317A5"/>
    <w:rsid w:val="67E65C83"/>
    <w:rsid w:val="681E4EE3"/>
    <w:rsid w:val="68440C1E"/>
    <w:rsid w:val="688C5E3F"/>
    <w:rsid w:val="68A34A89"/>
    <w:rsid w:val="68A55E79"/>
    <w:rsid w:val="695E69F6"/>
    <w:rsid w:val="69AA22CE"/>
    <w:rsid w:val="69E900DE"/>
    <w:rsid w:val="6A320C17"/>
    <w:rsid w:val="6A3B6B80"/>
    <w:rsid w:val="6A520109"/>
    <w:rsid w:val="6A606878"/>
    <w:rsid w:val="6A6B455D"/>
    <w:rsid w:val="6A8936E0"/>
    <w:rsid w:val="6ABB2F1F"/>
    <w:rsid w:val="6B0366CE"/>
    <w:rsid w:val="6B3E4300"/>
    <w:rsid w:val="6B431EBD"/>
    <w:rsid w:val="6B565FC8"/>
    <w:rsid w:val="6B5F7F65"/>
    <w:rsid w:val="6B6104A0"/>
    <w:rsid w:val="6BA249EB"/>
    <w:rsid w:val="6BA33101"/>
    <w:rsid w:val="6BAF4232"/>
    <w:rsid w:val="6BD20186"/>
    <w:rsid w:val="6BFB3617"/>
    <w:rsid w:val="6C0A1E51"/>
    <w:rsid w:val="6C131CC6"/>
    <w:rsid w:val="6C42611A"/>
    <w:rsid w:val="6C4528B5"/>
    <w:rsid w:val="6C522EEF"/>
    <w:rsid w:val="6C523FAE"/>
    <w:rsid w:val="6C987E4E"/>
    <w:rsid w:val="6CDD0843"/>
    <w:rsid w:val="6D094FD4"/>
    <w:rsid w:val="6D6A3E28"/>
    <w:rsid w:val="6D741965"/>
    <w:rsid w:val="6DC14195"/>
    <w:rsid w:val="6DC23B5D"/>
    <w:rsid w:val="6E0E0155"/>
    <w:rsid w:val="6E6A6266"/>
    <w:rsid w:val="6E6F4EC3"/>
    <w:rsid w:val="6E8C19D3"/>
    <w:rsid w:val="6EB04653"/>
    <w:rsid w:val="6F0860D5"/>
    <w:rsid w:val="6F286078"/>
    <w:rsid w:val="6F344674"/>
    <w:rsid w:val="6F604E53"/>
    <w:rsid w:val="6F6D6C43"/>
    <w:rsid w:val="6F7B4493"/>
    <w:rsid w:val="6FC40963"/>
    <w:rsid w:val="6FDC18B9"/>
    <w:rsid w:val="701077C3"/>
    <w:rsid w:val="701F1138"/>
    <w:rsid w:val="702C29E6"/>
    <w:rsid w:val="70551ABC"/>
    <w:rsid w:val="70DD3C25"/>
    <w:rsid w:val="711E5609"/>
    <w:rsid w:val="712575D2"/>
    <w:rsid w:val="713D07B3"/>
    <w:rsid w:val="718702D5"/>
    <w:rsid w:val="71D05743"/>
    <w:rsid w:val="726A10AF"/>
    <w:rsid w:val="7287747B"/>
    <w:rsid w:val="72B43ECF"/>
    <w:rsid w:val="72CB316C"/>
    <w:rsid w:val="735A3B5F"/>
    <w:rsid w:val="736C2F37"/>
    <w:rsid w:val="73C85C7E"/>
    <w:rsid w:val="73CA20BB"/>
    <w:rsid w:val="73D360BC"/>
    <w:rsid w:val="73D478E7"/>
    <w:rsid w:val="741E6DFF"/>
    <w:rsid w:val="74497047"/>
    <w:rsid w:val="747D2B2C"/>
    <w:rsid w:val="74830A2B"/>
    <w:rsid w:val="74952563"/>
    <w:rsid w:val="74F37032"/>
    <w:rsid w:val="75221ED3"/>
    <w:rsid w:val="75396BF1"/>
    <w:rsid w:val="757C3720"/>
    <w:rsid w:val="758D373D"/>
    <w:rsid w:val="76294B6F"/>
    <w:rsid w:val="76411B70"/>
    <w:rsid w:val="766F7EBC"/>
    <w:rsid w:val="767165BB"/>
    <w:rsid w:val="767E51A0"/>
    <w:rsid w:val="76924805"/>
    <w:rsid w:val="76B821EE"/>
    <w:rsid w:val="76D04649"/>
    <w:rsid w:val="76F45167"/>
    <w:rsid w:val="77300536"/>
    <w:rsid w:val="77327C4B"/>
    <w:rsid w:val="77535807"/>
    <w:rsid w:val="77E80B9C"/>
    <w:rsid w:val="7820216B"/>
    <w:rsid w:val="7826795A"/>
    <w:rsid w:val="78547865"/>
    <w:rsid w:val="78A72BD0"/>
    <w:rsid w:val="78DE666A"/>
    <w:rsid w:val="790A0849"/>
    <w:rsid w:val="79480E07"/>
    <w:rsid w:val="795569DC"/>
    <w:rsid w:val="796E2629"/>
    <w:rsid w:val="798546B1"/>
    <w:rsid w:val="79C706FC"/>
    <w:rsid w:val="79E41E70"/>
    <w:rsid w:val="79E960A7"/>
    <w:rsid w:val="7A2F352E"/>
    <w:rsid w:val="7A3648F8"/>
    <w:rsid w:val="7A3D46A5"/>
    <w:rsid w:val="7A4E01FB"/>
    <w:rsid w:val="7A596B15"/>
    <w:rsid w:val="7A722317"/>
    <w:rsid w:val="7A9C481A"/>
    <w:rsid w:val="7AC714BF"/>
    <w:rsid w:val="7AD53302"/>
    <w:rsid w:val="7B017527"/>
    <w:rsid w:val="7B1D5639"/>
    <w:rsid w:val="7B2E3EA2"/>
    <w:rsid w:val="7B3903D3"/>
    <w:rsid w:val="7B4F0F77"/>
    <w:rsid w:val="7BBB2F8B"/>
    <w:rsid w:val="7BCC13C6"/>
    <w:rsid w:val="7BDD65E7"/>
    <w:rsid w:val="7BFF461F"/>
    <w:rsid w:val="7C42678A"/>
    <w:rsid w:val="7C6C76B4"/>
    <w:rsid w:val="7CB21A95"/>
    <w:rsid w:val="7D152B57"/>
    <w:rsid w:val="7D694D26"/>
    <w:rsid w:val="7D9E73D1"/>
    <w:rsid w:val="7DBA4B0C"/>
    <w:rsid w:val="7DBB33FF"/>
    <w:rsid w:val="7DD92B4F"/>
    <w:rsid w:val="7DE57DEC"/>
    <w:rsid w:val="7DEA36AA"/>
    <w:rsid w:val="7DEB7997"/>
    <w:rsid w:val="7DF33DCA"/>
    <w:rsid w:val="7E0E3706"/>
    <w:rsid w:val="7E351DB6"/>
    <w:rsid w:val="7E920AB1"/>
    <w:rsid w:val="7E934C8C"/>
    <w:rsid w:val="7EA138DB"/>
    <w:rsid w:val="7ECD0558"/>
    <w:rsid w:val="7F074EFE"/>
    <w:rsid w:val="7F541A29"/>
    <w:rsid w:val="7F775213"/>
    <w:rsid w:val="7F775294"/>
    <w:rsid w:val="7F971E05"/>
    <w:rsid w:val="7FA7595E"/>
    <w:rsid w:val="7FB14CDD"/>
    <w:rsid w:val="7FCA32B5"/>
    <w:rsid w:val="7FEC0708"/>
    <w:rsid w:val="7FFD4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0"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name="toc 1"/>
    <w:lsdException w:qFormat="1" w:unhideWhenUsed="0" w:uiPriority="39" w:semiHidden="0" w:name="toc 2"/>
    <w:lsdException w:qFormat="1" w:unhideWhenUsed="0" w:uiPriority="39" w:semiHidden="0" w:name="toc 3"/>
    <w:lsdException w:qFormat="1" w:uiPriority="99" w:name="toc 4"/>
    <w:lsdException w:qFormat="1" w:unhideWhenUsed="0" w:uiPriority="99" w:name="toc 5"/>
    <w:lsdException w:qFormat="1" w:uiPriority="99" w:name="toc 6"/>
    <w:lsdException w:qFormat="1" w:unhideWhenUsed="0" w:uiPriority="99" w:name="toc 7"/>
    <w:lsdException w:qFormat="1" w:uiPriority="99" w:name="toc 8"/>
    <w:lsdException w:qFormat="1" w:uiPriority="99" w:name="toc 9"/>
    <w:lsdException w:qFormat="1" w:unhideWhenUsed="0" w:uiPriority="99" w:semiHidden="0" w:name="Normal Indent"/>
    <w:lsdException w:qFormat="1" w:unhideWhenUsed="0" w:uiPriority="99" w:name="footnote text"/>
    <w:lsdException w:qFormat="1"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99" w:semiHidden="0" w:name="caption"/>
    <w:lsdException w:qFormat="1" w:uiPriority="99" w:name="table of figures"/>
    <w:lsdException w:uiPriority="99" w:name="envelope address"/>
    <w:lsdException w:uiPriority="99" w:name="envelope return"/>
    <w:lsdException w:qFormat="1"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iPriority="99" w:name="toa heading"/>
    <w:lsdException w:uiPriority="99" w:name="List"/>
    <w:lsdException w:uiPriority="99" w:name="List Bullet"/>
    <w:lsdException w:uiPriority="99"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uiPriority="99" w:name="List Bullet 5"/>
    <w:lsdException w:qFormat="1" w:unhideWhenUsed="0" w:uiPriority="99" w:semiHidden="0" w:name="List Number 2"/>
    <w:lsdException w:qFormat="1" w:unhideWhenUsed="0" w:uiPriority="99" w:semiHidden="0"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iPriority="99" w:name="Document Map"/>
    <w:lsdException w:qFormat="1"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8"/>
      <w:lang w:val="en-US" w:eastAsia="zh-CN" w:bidi="ar-SA"/>
    </w:rPr>
  </w:style>
  <w:style w:type="paragraph" w:styleId="4">
    <w:name w:val="heading 1"/>
    <w:basedOn w:val="1"/>
    <w:next w:val="1"/>
    <w:link w:val="60"/>
    <w:qFormat/>
    <w:uiPriority w:val="99"/>
    <w:pPr>
      <w:keepNext/>
      <w:snapToGrid w:val="0"/>
      <w:spacing w:line="360" w:lineRule="atLeast"/>
      <w:outlineLvl w:val="0"/>
    </w:pPr>
    <w:rPr>
      <w:b/>
      <w:kern w:val="44"/>
      <w:sz w:val="44"/>
      <w:szCs w:val="20"/>
    </w:rPr>
  </w:style>
  <w:style w:type="paragraph" w:styleId="5">
    <w:name w:val="heading 2"/>
    <w:basedOn w:val="1"/>
    <w:next w:val="1"/>
    <w:link w:val="61"/>
    <w:qFormat/>
    <w:uiPriority w:val="99"/>
    <w:pPr>
      <w:keepNext/>
      <w:keepLines/>
      <w:spacing w:before="260" w:after="260" w:line="413" w:lineRule="auto"/>
      <w:outlineLvl w:val="1"/>
    </w:pPr>
    <w:rPr>
      <w:rFonts w:ascii="Arial" w:hAnsi="Arial" w:eastAsia="黑体"/>
      <w:b/>
      <w:sz w:val="32"/>
      <w:szCs w:val="20"/>
    </w:rPr>
  </w:style>
  <w:style w:type="paragraph" w:styleId="6">
    <w:name w:val="heading 3"/>
    <w:basedOn w:val="1"/>
    <w:next w:val="1"/>
    <w:link w:val="62"/>
    <w:qFormat/>
    <w:uiPriority w:val="0"/>
    <w:pPr>
      <w:keepNext/>
      <w:keepLines/>
      <w:spacing w:before="260" w:after="260" w:line="413" w:lineRule="auto"/>
      <w:outlineLvl w:val="2"/>
    </w:pPr>
    <w:rPr>
      <w:b/>
      <w:sz w:val="32"/>
      <w:szCs w:val="20"/>
    </w:rPr>
  </w:style>
  <w:style w:type="paragraph" w:styleId="7">
    <w:name w:val="heading 4"/>
    <w:basedOn w:val="1"/>
    <w:next w:val="1"/>
    <w:link w:val="63"/>
    <w:qFormat/>
    <w:uiPriority w:val="99"/>
    <w:pPr>
      <w:keepNext/>
      <w:keepLines/>
      <w:spacing w:before="280" w:after="290" w:line="372" w:lineRule="auto"/>
      <w:outlineLvl w:val="3"/>
    </w:pPr>
    <w:rPr>
      <w:rFonts w:ascii="Cambria" w:hAnsi="Cambria"/>
      <w:b/>
      <w:kern w:val="0"/>
      <w:szCs w:val="20"/>
    </w:rPr>
  </w:style>
  <w:style w:type="paragraph" w:styleId="8">
    <w:name w:val="heading 5"/>
    <w:basedOn w:val="1"/>
    <w:next w:val="1"/>
    <w:link w:val="64"/>
    <w:qFormat/>
    <w:uiPriority w:val="99"/>
    <w:pPr>
      <w:keepNext/>
      <w:keepLines/>
      <w:tabs>
        <w:tab w:val="left" w:pos="2551"/>
      </w:tabs>
      <w:spacing w:before="280" w:after="290" w:line="372" w:lineRule="auto"/>
      <w:ind w:left="2551" w:hanging="850"/>
      <w:outlineLvl w:val="4"/>
    </w:pPr>
    <w:rPr>
      <w:b/>
      <w:kern w:val="0"/>
      <w:szCs w:val="20"/>
    </w:rPr>
  </w:style>
  <w:style w:type="paragraph" w:styleId="9">
    <w:name w:val="heading 6"/>
    <w:basedOn w:val="1"/>
    <w:next w:val="1"/>
    <w:link w:val="65"/>
    <w:qFormat/>
    <w:uiPriority w:val="99"/>
    <w:pPr>
      <w:keepNext/>
      <w:keepLines/>
      <w:tabs>
        <w:tab w:val="left" w:pos="1152"/>
      </w:tabs>
      <w:adjustRightInd w:val="0"/>
      <w:snapToGrid w:val="0"/>
      <w:spacing w:before="240" w:after="64" w:line="317" w:lineRule="auto"/>
      <w:ind w:left="1152" w:hanging="1152"/>
      <w:outlineLvl w:val="5"/>
    </w:pPr>
    <w:rPr>
      <w:rFonts w:ascii="Cambria" w:hAnsi="Cambria"/>
      <w:b/>
      <w:kern w:val="0"/>
      <w:sz w:val="24"/>
      <w:szCs w:val="20"/>
    </w:rPr>
  </w:style>
  <w:style w:type="paragraph" w:styleId="10">
    <w:name w:val="heading 7"/>
    <w:basedOn w:val="1"/>
    <w:next w:val="1"/>
    <w:link w:val="66"/>
    <w:qFormat/>
    <w:uiPriority w:val="99"/>
    <w:pPr>
      <w:keepNext/>
      <w:keepLines/>
      <w:tabs>
        <w:tab w:val="left" w:pos="1296"/>
      </w:tabs>
      <w:adjustRightInd w:val="0"/>
      <w:snapToGrid w:val="0"/>
      <w:spacing w:before="240" w:after="64" w:line="317" w:lineRule="auto"/>
      <w:ind w:left="1296" w:hanging="1296"/>
      <w:outlineLvl w:val="6"/>
    </w:pPr>
    <w:rPr>
      <w:b/>
      <w:kern w:val="0"/>
      <w:sz w:val="24"/>
      <w:szCs w:val="20"/>
    </w:rPr>
  </w:style>
  <w:style w:type="paragraph" w:styleId="11">
    <w:name w:val="heading 8"/>
    <w:basedOn w:val="1"/>
    <w:next w:val="1"/>
    <w:link w:val="67"/>
    <w:qFormat/>
    <w:uiPriority w:val="99"/>
    <w:pPr>
      <w:keepNext/>
      <w:keepLines/>
      <w:tabs>
        <w:tab w:val="left" w:pos="1440"/>
      </w:tabs>
      <w:adjustRightInd w:val="0"/>
      <w:snapToGrid w:val="0"/>
      <w:spacing w:before="240" w:after="64" w:line="317" w:lineRule="auto"/>
      <w:ind w:left="1440" w:hanging="1440"/>
      <w:outlineLvl w:val="7"/>
    </w:pPr>
    <w:rPr>
      <w:rFonts w:ascii="Cambria" w:hAnsi="Cambria"/>
      <w:kern w:val="0"/>
      <w:sz w:val="24"/>
      <w:szCs w:val="20"/>
    </w:rPr>
  </w:style>
  <w:style w:type="paragraph" w:styleId="12">
    <w:name w:val="heading 9"/>
    <w:basedOn w:val="1"/>
    <w:next w:val="1"/>
    <w:link w:val="68"/>
    <w:qFormat/>
    <w:uiPriority w:val="99"/>
    <w:pPr>
      <w:keepNext/>
      <w:keepLines/>
      <w:tabs>
        <w:tab w:val="left" w:pos="1584"/>
      </w:tabs>
      <w:adjustRightInd w:val="0"/>
      <w:snapToGrid w:val="0"/>
      <w:spacing w:before="240" w:after="64" w:line="317" w:lineRule="auto"/>
      <w:ind w:left="1584" w:hanging="1584"/>
      <w:outlineLvl w:val="8"/>
    </w:pPr>
    <w:rPr>
      <w:rFonts w:ascii="Cambria" w:hAnsi="Cambria"/>
      <w:kern w:val="0"/>
      <w:sz w:val="21"/>
      <w:szCs w:val="20"/>
    </w:rPr>
  </w:style>
  <w:style w:type="character" w:default="1" w:styleId="53">
    <w:name w:val="Default Paragraph Font"/>
    <w:semiHidden/>
    <w:unhideWhenUsed/>
    <w:qFormat/>
    <w:uiPriority w:val="1"/>
  </w:style>
  <w:style w:type="table" w:default="1" w:styleId="5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83"/>
    <w:qFormat/>
    <w:uiPriority w:val="99"/>
    <w:pPr>
      <w:spacing w:after="120" w:line="240" w:lineRule="auto"/>
      <w:ind w:left="420" w:leftChars="200" w:firstLine="420" w:firstLineChars="200"/>
    </w:pPr>
  </w:style>
  <w:style w:type="paragraph" w:styleId="3">
    <w:name w:val="Body Text Indent"/>
    <w:basedOn w:val="1"/>
    <w:link w:val="80"/>
    <w:qFormat/>
    <w:uiPriority w:val="0"/>
    <w:pPr>
      <w:spacing w:line="700" w:lineRule="exact"/>
      <w:ind w:left="960"/>
    </w:pPr>
    <w:rPr>
      <w:sz w:val="44"/>
      <w:szCs w:val="20"/>
    </w:rPr>
  </w:style>
  <w:style w:type="paragraph" w:styleId="13">
    <w:name w:val="List 3"/>
    <w:basedOn w:val="1"/>
    <w:qFormat/>
    <w:uiPriority w:val="99"/>
    <w:pPr>
      <w:adjustRightInd w:val="0"/>
      <w:snapToGrid w:val="0"/>
      <w:spacing w:line="360" w:lineRule="auto"/>
      <w:ind w:left="100" w:leftChars="400" w:hanging="200" w:hangingChars="200"/>
    </w:pPr>
    <w:rPr>
      <w:sz w:val="24"/>
      <w:szCs w:val="24"/>
    </w:rPr>
  </w:style>
  <w:style w:type="paragraph" w:styleId="14">
    <w:name w:val="toc 7"/>
    <w:basedOn w:val="1"/>
    <w:next w:val="1"/>
    <w:semiHidden/>
    <w:qFormat/>
    <w:uiPriority w:val="99"/>
    <w:pPr>
      <w:ind w:left="2520" w:leftChars="1200"/>
    </w:pPr>
  </w:style>
  <w:style w:type="paragraph" w:styleId="15">
    <w:name w:val="List Number 2"/>
    <w:basedOn w:val="1"/>
    <w:qFormat/>
    <w:uiPriority w:val="99"/>
    <w:pPr>
      <w:tabs>
        <w:tab w:val="left" w:pos="780"/>
      </w:tabs>
      <w:spacing w:line="360" w:lineRule="auto"/>
      <w:ind w:left="425" w:hanging="425"/>
    </w:pPr>
    <w:rPr>
      <w:sz w:val="24"/>
      <w:szCs w:val="24"/>
    </w:rPr>
  </w:style>
  <w:style w:type="paragraph" w:styleId="16">
    <w:name w:val="List Bullet 4"/>
    <w:basedOn w:val="1"/>
    <w:qFormat/>
    <w:uiPriority w:val="99"/>
    <w:pPr>
      <w:widowControl/>
      <w:tabs>
        <w:tab w:val="left" w:pos="1134"/>
      </w:tabs>
      <w:adjustRightInd w:val="0"/>
      <w:snapToGrid w:val="0"/>
      <w:spacing w:before="120" w:line="280" w:lineRule="atLeast"/>
      <w:ind w:left="1418" w:hanging="284"/>
      <w:jc w:val="left"/>
    </w:pPr>
    <w:rPr>
      <w:rFonts w:ascii="宋体" w:cs="宋体"/>
      <w:kern w:val="0"/>
      <w:sz w:val="22"/>
      <w:szCs w:val="22"/>
    </w:rPr>
  </w:style>
  <w:style w:type="paragraph" w:styleId="17">
    <w:name w:val="Normal Indent"/>
    <w:basedOn w:val="1"/>
    <w:qFormat/>
    <w:uiPriority w:val="99"/>
    <w:pPr>
      <w:adjustRightInd w:val="0"/>
      <w:snapToGrid w:val="0"/>
      <w:spacing w:line="360" w:lineRule="auto"/>
      <w:ind w:firstLine="420"/>
    </w:pPr>
    <w:rPr>
      <w:sz w:val="24"/>
      <w:szCs w:val="24"/>
    </w:rPr>
  </w:style>
  <w:style w:type="paragraph" w:styleId="18">
    <w:name w:val="caption"/>
    <w:basedOn w:val="1"/>
    <w:next w:val="1"/>
    <w:qFormat/>
    <w:uiPriority w:val="99"/>
    <w:pPr>
      <w:widowControl/>
      <w:tabs>
        <w:tab w:val="left" w:pos="1134"/>
      </w:tabs>
      <w:adjustRightInd w:val="0"/>
      <w:snapToGrid w:val="0"/>
      <w:spacing w:line="280" w:lineRule="atLeast"/>
      <w:jc w:val="left"/>
    </w:pPr>
    <w:rPr>
      <w:rFonts w:eastAsia="PMingLiUfalt"/>
      <w:b/>
      <w:bCs/>
      <w:kern w:val="0"/>
      <w:sz w:val="24"/>
      <w:szCs w:val="24"/>
      <w:lang w:eastAsia="zh-TW"/>
    </w:rPr>
  </w:style>
  <w:style w:type="paragraph" w:styleId="19">
    <w:name w:val="Document Map"/>
    <w:basedOn w:val="1"/>
    <w:link w:val="74"/>
    <w:semiHidden/>
    <w:unhideWhenUsed/>
    <w:qFormat/>
    <w:uiPriority w:val="99"/>
    <w:rPr>
      <w:rFonts w:ascii="宋体"/>
      <w:sz w:val="18"/>
      <w:szCs w:val="18"/>
    </w:rPr>
  </w:style>
  <w:style w:type="paragraph" w:styleId="20">
    <w:name w:val="annotation text"/>
    <w:basedOn w:val="1"/>
    <w:link w:val="75"/>
    <w:unhideWhenUsed/>
    <w:qFormat/>
    <w:uiPriority w:val="0"/>
    <w:pPr>
      <w:jc w:val="left"/>
    </w:pPr>
  </w:style>
  <w:style w:type="paragraph" w:styleId="21">
    <w:name w:val="Body Text 3"/>
    <w:basedOn w:val="1"/>
    <w:link w:val="79"/>
    <w:qFormat/>
    <w:uiPriority w:val="99"/>
    <w:pPr>
      <w:adjustRightInd w:val="0"/>
      <w:snapToGrid w:val="0"/>
      <w:spacing w:after="120" w:line="360" w:lineRule="auto"/>
    </w:pPr>
    <w:rPr>
      <w:kern w:val="0"/>
      <w:sz w:val="16"/>
      <w:szCs w:val="20"/>
    </w:rPr>
  </w:style>
  <w:style w:type="paragraph" w:styleId="22">
    <w:name w:val="List Bullet 3"/>
    <w:basedOn w:val="1"/>
    <w:qFormat/>
    <w:uiPriority w:val="99"/>
    <w:pPr>
      <w:tabs>
        <w:tab w:val="left" w:pos="1200"/>
      </w:tabs>
      <w:adjustRightInd w:val="0"/>
      <w:snapToGrid w:val="0"/>
      <w:spacing w:line="360" w:lineRule="auto"/>
      <w:ind w:left="1200" w:hanging="360"/>
    </w:pPr>
    <w:rPr>
      <w:sz w:val="24"/>
      <w:szCs w:val="24"/>
    </w:rPr>
  </w:style>
  <w:style w:type="paragraph" w:styleId="23">
    <w:name w:val="Body Text"/>
    <w:basedOn w:val="1"/>
    <w:link w:val="77"/>
    <w:unhideWhenUsed/>
    <w:qFormat/>
    <w:uiPriority w:val="99"/>
    <w:pPr>
      <w:spacing w:after="120"/>
    </w:pPr>
  </w:style>
  <w:style w:type="paragraph" w:styleId="24">
    <w:name w:val="List Number 3"/>
    <w:basedOn w:val="1"/>
    <w:qFormat/>
    <w:uiPriority w:val="99"/>
    <w:pPr>
      <w:tabs>
        <w:tab w:val="left" w:pos="2120"/>
      </w:tabs>
      <w:adjustRightInd w:val="0"/>
      <w:snapToGrid w:val="0"/>
      <w:spacing w:line="360" w:lineRule="auto"/>
      <w:ind w:left="2120" w:hanging="720"/>
    </w:pPr>
    <w:rPr>
      <w:sz w:val="24"/>
      <w:szCs w:val="24"/>
    </w:rPr>
  </w:style>
  <w:style w:type="paragraph" w:styleId="25">
    <w:name w:val="List 2"/>
    <w:basedOn w:val="1"/>
    <w:qFormat/>
    <w:uiPriority w:val="99"/>
    <w:pPr>
      <w:adjustRightInd w:val="0"/>
      <w:snapToGrid w:val="0"/>
      <w:spacing w:line="360" w:lineRule="auto"/>
      <w:ind w:left="100" w:leftChars="200" w:hanging="200" w:hangingChars="200"/>
    </w:pPr>
    <w:rPr>
      <w:sz w:val="24"/>
      <w:szCs w:val="24"/>
    </w:rPr>
  </w:style>
  <w:style w:type="paragraph" w:styleId="26">
    <w:name w:val="List Continue"/>
    <w:basedOn w:val="1"/>
    <w:qFormat/>
    <w:uiPriority w:val="99"/>
    <w:pPr>
      <w:adjustRightInd w:val="0"/>
      <w:snapToGrid w:val="0"/>
      <w:spacing w:after="120" w:line="360" w:lineRule="auto"/>
      <w:ind w:left="420" w:leftChars="200"/>
    </w:pPr>
    <w:rPr>
      <w:sz w:val="24"/>
      <w:szCs w:val="24"/>
    </w:rPr>
  </w:style>
  <w:style w:type="paragraph" w:styleId="27">
    <w:name w:val="List Bullet 2"/>
    <w:basedOn w:val="1"/>
    <w:qFormat/>
    <w:uiPriority w:val="99"/>
    <w:pPr>
      <w:tabs>
        <w:tab w:val="left" w:pos="780"/>
      </w:tabs>
      <w:adjustRightInd w:val="0"/>
      <w:snapToGrid w:val="0"/>
      <w:spacing w:line="360" w:lineRule="auto"/>
      <w:ind w:left="780" w:hanging="360"/>
    </w:pPr>
    <w:rPr>
      <w:sz w:val="24"/>
      <w:szCs w:val="24"/>
    </w:rPr>
  </w:style>
  <w:style w:type="paragraph" w:styleId="28">
    <w:name w:val="toc 5"/>
    <w:basedOn w:val="1"/>
    <w:next w:val="1"/>
    <w:semiHidden/>
    <w:qFormat/>
    <w:uiPriority w:val="99"/>
    <w:pPr>
      <w:ind w:left="1680" w:leftChars="800"/>
    </w:pPr>
  </w:style>
  <w:style w:type="paragraph" w:styleId="29">
    <w:name w:val="toc 3"/>
    <w:basedOn w:val="1"/>
    <w:next w:val="1"/>
    <w:qFormat/>
    <w:uiPriority w:val="39"/>
    <w:pPr>
      <w:ind w:left="840" w:leftChars="400"/>
    </w:pPr>
  </w:style>
  <w:style w:type="paragraph" w:styleId="30">
    <w:name w:val="Plain Text"/>
    <w:basedOn w:val="1"/>
    <w:link w:val="72"/>
    <w:unhideWhenUsed/>
    <w:qFormat/>
    <w:uiPriority w:val="99"/>
    <w:rPr>
      <w:rFonts w:ascii="宋体" w:hAnsi="Courier New" w:cs="Courier New"/>
      <w:sz w:val="21"/>
      <w:szCs w:val="21"/>
    </w:rPr>
  </w:style>
  <w:style w:type="paragraph" w:styleId="31">
    <w:name w:val="Date"/>
    <w:basedOn w:val="1"/>
    <w:next w:val="1"/>
    <w:link w:val="81"/>
    <w:qFormat/>
    <w:uiPriority w:val="99"/>
    <w:rPr>
      <w:szCs w:val="20"/>
    </w:rPr>
  </w:style>
  <w:style w:type="paragraph" w:styleId="32">
    <w:name w:val="Body Text Indent 2"/>
    <w:basedOn w:val="1"/>
    <w:link w:val="82"/>
    <w:qFormat/>
    <w:uiPriority w:val="99"/>
    <w:pPr>
      <w:snapToGrid w:val="0"/>
      <w:spacing w:line="560" w:lineRule="atLeast"/>
      <w:ind w:firstLine="540"/>
    </w:pPr>
    <w:rPr>
      <w:szCs w:val="20"/>
    </w:rPr>
  </w:style>
  <w:style w:type="paragraph" w:styleId="33">
    <w:name w:val="Balloon Text"/>
    <w:basedOn w:val="1"/>
    <w:link w:val="73"/>
    <w:semiHidden/>
    <w:unhideWhenUsed/>
    <w:qFormat/>
    <w:uiPriority w:val="99"/>
    <w:rPr>
      <w:sz w:val="18"/>
      <w:szCs w:val="18"/>
    </w:rPr>
  </w:style>
  <w:style w:type="paragraph" w:styleId="34">
    <w:name w:val="footer"/>
    <w:basedOn w:val="1"/>
    <w:link w:val="69"/>
    <w:qFormat/>
    <w:uiPriority w:val="0"/>
    <w:pPr>
      <w:tabs>
        <w:tab w:val="center" w:pos="4153"/>
        <w:tab w:val="right" w:pos="8306"/>
      </w:tabs>
      <w:snapToGrid w:val="0"/>
      <w:jc w:val="left"/>
    </w:pPr>
    <w:rPr>
      <w:kern w:val="0"/>
      <w:sz w:val="18"/>
      <w:szCs w:val="20"/>
    </w:rPr>
  </w:style>
  <w:style w:type="paragraph" w:styleId="35">
    <w:name w:val="header"/>
    <w:basedOn w:val="1"/>
    <w:link w:val="70"/>
    <w:qFormat/>
    <w:uiPriority w:val="0"/>
    <w:pPr>
      <w:pBdr>
        <w:bottom w:val="single" w:color="auto" w:sz="6" w:space="1"/>
      </w:pBdr>
      <w:tabs>
        <w:tab w:val="center" w:pos="4153"/>
        <w:tab w:val="right" w:pos="8306"/>
      </w:tabs>
      <w:snapToGrid w:val="0"/>
      <w:jc w:val="center"/>
    </w:pPr>
    <w:rPr>
      <w:sz w:val="18"/>
      <w:szCs w:val="20"/>
    </w:rPr>
  </w:style>
  <w:style w:type="paragraph" w:styleId="36">
    <w:name w:val="toc 1"/>
    <w:basedOn w:val="1"/>
    <w:next w:val="1"/>
    <w:semiHidden/>
    <w:qFormat/>
    <w:uiPriority w:val="99"/>
    <w:pPr>
      <w:spacing w:line="180" w:lineRule="auto"/>
      <w:jc w:val="center"/>
    </w:pPr>
    <w:rPr>
      <w:sz w:val="30"/>
      <w:szCs w:val="30"/>
    </w:rPr>
  </w:style>
  <w:style w:type="paragraph" w:styleId="37">
    <w:name w:val="List Continue 4"/>
    <w:basedOn w:val="1"/>
    <w:qFormat/>
    <w:uiPriority w:val="99"/>
    <w:pPr>
      <w:adjustRightInd w:val="0"/>
      <w:snapToGrid w:val="0"/>
      <w:spacing w:after="120" w:line="360" w:lineRule="auto"/>
      <w:ind w:left="1680" w:leftChars="800"/>
    </w:pPr>
    <w:rPr>
      <w:sz w:val="24"/>
      <w:szCs w:val="24"/>
    </w:rPr>
  </w:style>
  <w:style w:type="paragraph" w:styleId="38">
    <w:name w:val="footnote text"/>
    <w:basedOn w:val="1"/>
    <w:link w:val="84"/>
    <w:semiHidden/>
    <w:qFormat/>
    <w:uiPriority w:val="99"/>
    <w:pPr>
      <w:spacing w:line="360" w:lineRule="auto"/>
    </w:pPr>
    <w:rPr>
      <w:sz w:val="18"/>
      <w:szCs w:val="20"/>
    </w:rPr>
  </w:style>
  <w:style w:type="paragraph" w:styleId="39">
    <w:name w:val="List 5"/>
    <w:basedOn w:val="1"/>
    <w:qFormat/>
    <w:uiPriority w:val="99"/>
    <w:pPr>
      <w:adjustRightInd w:val="0"/>
      <w:snapToGrid w:val="0"/>
      <w:spacing w:line="360" w:lineRule="auto"/>
      <w:ind w:left="100" w:leftChars="800" w:hanging="200" w:hangingChars="200"/>
    </w:pPr>
    <w:rPr>
      <w:sz w:val="24"/>
      <w:szCs w:val="24"/>
    </w:rPr>
  </w:style>
  <w:style w:type="paragraph" w:styleId="40">
    <w:name w:val="Body Text Indent 3"/>
    <w:basedOn w:val="1"/>
    <w:link w:val="85"/>
    <w:qFormat/>
    <w:uiPriority w:val="99"/>
    <w:pPr>
      <w:spacing w:line="360" w:lineRule="auto"/>
      <w:ind w:firstLine="632"/>
    </w:pPr>
    <w:rPr>
      <w:kern w:val="0"/>
      <w:sz w:val="16"/>
      <w:szCs w:val="20"/>
    </w:rPr>
  </w:style>
  <w:style w:type="paragraph" w:styleId="41">
    <w:name w:val="toc 2"/>
    <w:basedOn w:val="1"/>
    <w:next w:val="1"/>
    <w:qFormat/>
    <w:uiPriority w:val="39"/>
    <w:pPr>
      <w:ind w:left="420" w:leftChars="200"/>
    </w:pPr>
  </w:style>
  <w:style w:type="paragraph" w:styleId="42">
    <w:name w:val="Body Text 2"/>
    <w:basedOn w:val="1"/>
    <w:link w:val="86"/>
    <w:qFormat/>
    <w:uiPriority w:val="99"/>
    <w:pPr>
      <w:adjustRightInd w:val="0"/>
      <w:snapToGrid w:val="0"/>
      <w:spacing w:after="120" w:line="480" w:lineRule="auto"/>
    </w:pPr>
    <w:rPr>
      <w:kern w:val="0"/>
      <w:sz w:val="20"/>
      <w:szCs w:val="20"/>
    </w:rPr>
  </w:style>
  <w:style w:type="paragraph" w:styleId="43">
    <w:name w:val="List 4"/>
    <w:basedOn w:val="1"/>
    <w:qFormat/>
    <w:uiPriority w:val="99"/>
    <w:pPr>
      <w:adjustRightInd w:val="0"/>
      <w:snapToGrid w:val="0"/>
      <w:spacing w:line="360" w:lineRule="auto"/>
      <w:ind w:left="100" w:leftChars="600" w:hanging="200" w:hangingChars="200"/>
    </w:pPr>
    <w:rPr>
      <w:sz w:val="24"/>
      <w:szCs w:val="24"/>
    </w:rPr>
  </w:style>
  <w:style w:type="paragraph" w:styleId="44">
    <w:name w:val="List Continue 2"/>
    <w:basedOn w:val="1"/>
    <w:qFormat/>
    <w:uiPriority w:val="99"/>
    <w:pPr>
      <w:adjustRightInd w:val="0"/>
      <w:snapToGrid w:val="0"/>
      <w:spacing w:after="120" w:line="360" w:lineRule="auto"/>
      <w:ind w:left="840" w:leftChars="400"/>
    </w:pPr>
    <w:rPr>
      <w:sz w:val="24"/>
      <w:szCs w:val="24"/>
    </w:rPr>
  </w:style>
  <w:style w:type="paragraph" w:styleId="4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46">
    <w:name w:val="List Continue 3"/>
    <w:basedOn w:val="1"/>
    <w:qFormat/>
    <w:uiPriority w:val="99"/>
    <w:pPr>
      <w:adjustRightInd w:val="0"/>
      <w:snapToGrid w:val="0"/>
      <w:spacing w:after="120" w:line="360" w:lineRule="auto"/>
      <w:ind w:left="1260" w:leftChars="600"/>
    </w:pPr>
    <w:rPr>
      <w:sz w:val="24"/>
      <w:szCs w:val="24"/>
    </w:rPr>
  </w:style>
  <w:style w:type="paragraph" w:styleId="47">
    <w:name w:val="index 1"/>
    <w:basedOn w:val="1"/>
    <w:next w:val="1"/>
    <w:semiHidden/>
    <w:qFormat/>
    <w:uiPriority w:val="99"/>
    <w:pPr>
      <w:adjustRightInd w:val="0"/>
      <w:spacing w:line="240" w:lineRule="atLeast"/>
      <w:textAlignment w:val="baseline"/>
    </w:pPr>
    <w:rPr>
      <w:rFonts w:ascii="宋体" w:cs="宋体"/>
      <w:kern w:val="0"/>
      <w:sz w:val="21"/>
      <w:szCs w:val="21"/>
    </w:rPr>
  </w:style>
  <w:style w:type="paragraph" w:styleId="48">
    <w:name w:val="Title"/>
    <w:basedOn w:val="1"/>
    <w:link w:val="87"/>
    <w:qFormat/>
    <w:uiPriority w:val="99"/>
    <w:pPr>
      <w:widowControl/>
      <w:spacing w:after="240" w:line="360" w:lineRule="auto"/>
      <w:jc w:val="center"/>
    </w:pPr>
    <w:rPr>
      <w:rFonts w:ascii="Cambria" w:hAnsi="Cambria"/>
      <w:b/>
      <w:kern w:val="0"/>
      <w:sz w:val="32"/>
      <w:szCs w:val="20"/>
    </w:rPr>
  </w:style>
  <w:style w:type="paragraph" w:styleId="49">
    <w:name w:val="annotation subject"/>
    <w:basedOn w:val="20"/>
    <w:next w:val="20"/>
    <w:link w:val="76"/>
    <w:semiHidden/>
    <w:qFormat/>
    <w:uiPriority w:val="99"/>
    <w:rPr>
      <w:szCs w:val="20"/>
    </w:rPr>
  </w:style>
  <w:style w:type="paragraph" w:styleId="50">
    <w:name w:val="Body Text First Indent"/>
    <w:basedOn w:val="1"/>
    <w:link w:val="78"/>
    <w:qFormat/>
    <w:uiPriority w:val="99"/>
    <w:pPr>
      <w:spacing w:line="360" w:lineRule="auto"/>
      <w:ind w:firstLine="420"/>
    </w:pPr>
    <w:rPr>
      <w:kern w:val="0"/>
      <w:sz w:val="20"/>
      <w:szCs w:val="20"/>
    </w:rPr>
  </w:style>
  <w:style w:type="table" w:styleId="52">
    <w:name w:val="Table Grid"/>
    <w:basedOn w:val="51"/>
    <w:qFormat/>
    <w:uiPriority w:val="0"/>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4">
    <w:name w:val="Strong"/>
    <w:qFormat/>
    <w:uiPriority w:val="99"/>
    <w:rPr>
      <w:rFonts w:cs="Times New Roman"/>
      <w:b/>
    </w:rPr>
  </w:style>
  <w:style w:type="character" w:styleId="55">
    <w:name w:val="page number"/>
    <w:qFormat/>
    <w:uiPriority w:val="0"/>
    <w:rPr>
      <w:rFonts w:cs="Times New Roman"/>
    </w:rPr>
  </w:style>
  <w:style w:type="character" w:styleId="56">
    <w:name w:val="FollowedHyperlink"/>
    <w:qFormat/>
    <w:uiPriority w:val="99"/>
    <w:rPr>
      <w:rFonts w:cs="Times New Roman"/>
      <w:color w:val="800080"/>
      <w:u w:val="single"/>
    </w:rPr>
  </w:style>
  <w:style w:type="character" w:styleId="57">
    <w:name w:val="Emphasis"/>
    <w:qFormat/>
    <w:uiPriority w:val="99"/>
    <w:rPr>
      <w:rFonts w:cs="Times New Roman"/>
      <w:i/>
    </w:rPr>
  </w:style>
  <w:style w:type="character" w:styleId="58">
    <w:name w:val="Hyperlink"/>
    <w:qFormat/>
    <w:uiPriority w:val="99"/>
    <w:rPr>
      <w:rFonts w:cs="Times New Roman"/>
      <w:color w:val="0000FF"/>
      <w:u w:val="single"/>
    </w:rPr>
  </w:style>
  <w:style w:type="character" w:styleId="59">
    <w:name w:val="annotation reference"/>
    <w:qFormat/>
    <w:uiPriority w:val="0"/>
    <w:rPr>
      <w:rFonts w:eastAsia="宋体" w:cs="Times New Roman"/>
      <w:sz w:val="28"/>
    </w:rPr>
  </w:style>
  <w:style w:type="character" w:customStyle="1" w:styleId="60">
    <w:name w:val="标题 1 Char"/>
    <w:basedOn w:val="53"/>
    <w:link w:val="4"/>
    <w:qFormat/>
    <w:uiPriority w:val="99"/>
    <w:rPr>
      <w:rFonts w:ascii="Times New Roman" w:hAnsi="Times New Roman" w:eastAsia="宋体" w:cs="Times New Roman"/>
      <w:b/>
      <w:kern w:val="44"/>
      <w:sz w:val="44"/>
      <w:szCs w:val="20"/>
    </w:rPr>
  </w:style>
  <w:style w:type="character" w:customStyle="1" w:styleId="61">
    <w:name w:val="标题 2 Char"/>
    <w:basedOn w:val="53"/>
    <w:link w:val="5"/>
    <w:qFormat/>
    <w:uiPriority w:val="99"/>
    <w:rPr>
      <w:rFonts w:ascii="Arial" w:hAnsi="Arial" w:eastAsia="黑体" w:cs="Times New Roman"/>
      <w:b/>
      <w:sz w:val="32"/>
      <w:szCs w:val="20"/>
    </w:rPr>
  </w:style>
  <w:style w:type="character" w:customStyle="1" w:styleId="62">
    <w:name w:val="标题 3 Char"/>
    <w:basedOn w:val="53"/>
    <w:link w:val="6"/>
    <w:qFormat/>
    <w:uiPriority w:val="0"/>
    <w:rPr>
      <w:rFonts w:ascii="Times New Roman" w:hAnsi="Times New Roman" w:eastAsia="宋体" w:cs="Times New Roman"/>
      <w:b/>
      <w:sz w:val="32"/>
      <w:szCs w:val="20"/>
    </w:rPr>
  </w:style>
  <w:style w:type="character" w:customStyle="1" w:styleId="63">
    <w:name w:val="标题 4 Char"/>
    <w:basedOn w:val="53"/>
    <w:link w:val="7"/>
    <w:qFormat/>
    <w:uiPriority w:val="99"/>
    <w:rPr>
      <w:rFonts w:ascii="Cambria" w:hAnsi="Cambria" w:eastAsia="宋体" w:cs="Times New Roman"/>
      <w:b/>
      <w:kern w:val="0"/>
      <w:sz w:val="28"/>
      <w:szCs w:val="20"/>
    </w:rPr>
  </w:style>
  <w:style w:type="character" w:customStyle="1" w:styleId="64">
    <w:name w:val="标题 5 Char"/>
    <w:basedOn w:val="53"/>
    <w:link w:val="8"/>
    <w:qFormat/>
    <w:uiPriority w:val="99"/>
    <w:rPr>
      <w:rFonts w:ascii="Times New Roman" w:hAnsi="Times New Roman" w:eastAsia="宋体" w:cs="Times New Roman"/>
      <w:b/>
      <w:kern w:val="0"/>
      <w:sz w:val="28"/>
      <w:szCs w:val="20"/>
    </w:rPr>
  </w:style>
  <w:style w:type="character" w:customStyle="1" w:styleId="65">
    <w:name w:val="标题 6 Char"/>
    <w:basedOn w:val="53"/>
    <w:link w:val="9"/>
    <w:qFormat/>
    <w:uiPriority w:val="99"/>
    <w:rPr>
      <w:rFonts w:ascii="Cambria" w:hAnsi="Cambria" w:eastAsia="宋体" w:cs="Times New Roman"/>
      <w:b/>
      <w:kern w:val="0"/>
      <w:sz w:val="24"/>
      <w:szCs w:val="20"/>
    </w:rPr>
  </w:style>
  <w:style w:type="character" w:customStyle="1" w:styleId="66">
    <w:name w:val="标题 7 Char"/>
    <w:basedOn w:val="53"/>
    <w:link w:val="10"/>
    <w:qFormat/>
    <w:uiPriority w:val="99"/>
    <w:rPr>
      <w:rFonts w:ascii="Times New Roman" w:hAnsi="Times New Roman" w:eastAsia="宋体" w:cs="Times New Roman"/>
      <w:b/>
      <w:kern w:val="0"/>
      <w:sz w:val="24"/>
      <w:szCs w:val="20"/>
    </w:rPr>
  </w:style>
  <w:style w:type="character" w:customStyle="1" w:styleId="67">
    <w:name w:val="标题 8 Char"/>
    <w:basedOn w:val="53"/>
    <w:link w:val="11"/>
    <w:qFormat/>
    <w:uiPriority w:val="99"/>
    <w:rPr>
      <w:rFonts w:ascii="Cambria" w:hAnsi="Cambria" w:eastAsia="宋体" w:cs="Times New Roman"/>
      <w:kern w:val="0"/>
      <w:sz w:val="24"/>
      <w:szCs w:val="20"/>
    </w:rPr>
  </w:style>
  <w:style w:type="character" w:customStyle="1" w:styleId="68">
    <w:name w:val="标题 9 Char"/>
    <w:basedOn w:val="53"/>
    <w:link w:val="12"/>
    <w:qFormat/>
    <w:uiPriority w:val="99"/>
    <w:rPr>
      <w:rFonts w:ascii="Cambria" w:hAnsi="Cambria" w:eastAsia="宋体" w:cs="Times New Roman"/>
      <w:kern w:val="0"/>
      <w:szCs w:val="20"/>
    </w:rPr>
  </w:style>
  <w:style w:type="character" w:customStyle="1" w:styleId="69">
    <w:name w:val="页脚 Char"/>
    <w:basedOn w:val="53"/>
    <w:link w:val="34"/>
    <w:qFormat/>
    <w:uiPriority w:val="0"/>
    <w:rPr>
      <w:rFonts w:ascii="Times New Roman" w:hAnsi="Times New Roman" w:eastAsia="宋体" w:cs="Times New Roman"/>
      <w:kern w:val="0"/>
      <w:sz w:val="18"/>
      <w:szCs w:val="20"/>
    </w:rPr>
  </w:style>
  <w:style w:type="character" w:customStyle="1" w:styleId="70">
    <w:name w:val="页眉 Char"/>
    <w:basedOn w:val="53"/>
    <w:link w:val="35"/>
    <w:qFormat/>
    <w:uiPriority w:val="0"/>
    <w:rPr>
      <w:rFonts w:ascii="Times New Roman" w:hAnsi="Times New Roman" w:eastAsia="宋体" w:cs="Times New Roman"/>
      <w:sz w:val="18"/>
      <w:szCs w:val="20"/>
    </w:rPr>
  </w:style>
  <w:style w:type="paragraph" w:customStyle="1" w:styleId="71">
    <w:name w:val="1"/>
    <w:basedOn w:val="1"/>
    <w:next w:val="30"/>
    <w:qFormat/>
    <w:uiPriority w:val="99"/>
    <w:rPr>
      <w:rFonts w:ascii="宋体" w:hAnsi="Courier New" w:cs="宋体"/>
      <w:sz w:val="21"/>
      <w:szCs w:val="21"/>
    </w:rPr>
  </w:style>
  <w:style w:type="character" w:customStyle="1" w:styleId="72">
    <w:name w:val="纯文本 Char"/>
    <w:basedOn w:val="53"/>
    <w:link w:val="30"/>
    <w:qFormat/>
    <w:uiPriority w:val="99"/>
    <w:rPr>
      <w:rFonts w:ascii="宋体" w:hAnsi="Courier New" w:eastAsia="宋体" w:cs="Courier New"/>
      <w:szCs w:val="21"/>
    </w:rPr>
  </w:style>
  <w:style w:type="character" w:customStyle="1" w:styleId="73">
    <w:name w:val="批注框文本 Char"/>
    <w:basedOn w:val="53"/>
    <w:link w:val="33"/>
    <w:semiHidden/>
    <w:qFormat/>
    <w:uiPriority w:val="99"/>
    <w:rPr>
      <w:rFonts w:ascii="Times New Roman" w:hAnsi="Times New Roman" w:eastAsia="宋体" w:cs="Times New Roman"/>
      <w:sz w:val="18"/>
      <w:szCs w:val="18"/>
    </w:rPr>
  </w:style>
  <w:style w:type="character" w:customStyle="1" w:styleId="74">
    <w:name w:val="文档结构图 Char"/>
    <w:basedOn w:val="53"/>
    <w:link w:val="19"/>
    <w:semiHidden/>
    <w:qFormat/>
    <w:uiPriority w:val="99"/>
    <w:rPr>
      <w:rFonts w:ascii="宋体" w:hAnsi="Times New Roman" w:eastAsia="宋体" w:cs="Times New Roman"/>
      <w:sz w:val="18"/>
      <w:szCs w:val="18"/>
    </w:rPr>
  </w:style>
  <w:style w:type="character" w:customStyle="1" w:styleId="75">
    <w:name w:val="批注文字 Char"/>
    <w:basedOn w:val="53"/>
    <w:link w:val="20"/>
    <w:qFormat/>
    <w:uiPriority w:val="0"/>
    <w:rPr>
      <w:rFonts w:ascii="Times New Roman" w:hAnsi="Times New Roman" w:eastAsia="宋体" w:cs="Times New Roman"/>
      <w:sz w:val="28"/>
      <w:szCs w:val="28"/>
    </w:rPr>
  </w:style>
  <w:style w:type="character" w:customStyle="1" w:styleId="76">
    <w:name w:val="批注主题 Char"/>
    <w:basedOn w:val="75"/>
    <w:link w:val="49"/>
    <w:semiHidden/>
    <w:qFormat/>
    <w:uiPriority w:val="99"/>
    <w:rPr>
      <w:rFonts w:ascii="Times New Roman" w:hAnsi="Times New Roman" w:eastAsia="宋体" w:cs="Times New Roman"/>
      <w:sz w:val="28"/>
      <w:szCs w:val="20"/>
    </w:rPr>
  </w:style>
  <w:style w:type="character" w:customStyle="1" w:styleId="77">
    <w:name w:val="正文文本 Char"/>
    <w:basedOn w:val="53"/>
    <w:link w:val="23"/>
    <w:semiHidden/>
    <w:qFormat/>
    <w:uiPriority w:val="99"/>
    <w:rPr>
      <w:rFonts w:ascii="Times New Roman" w:hAnsi="Times New Roman" w:eastAsia="宋体" w:cs="Times New Roman"/>
      <w:sz w:val="28"/>
      <w:szCs w:val="28"/>
    </w:rPr>
  </w:style>
  <w:style w:type="character" w:customStyle="1" w:styleId="78">
    <w:name w:val="正文首行缩进 Char"/>
    <w:basedOn w:val="77"/>
    <w:link w:val="50"/>
    <w:qFormat/>
    <w:uiPriority w:val="99"/>
    <w:rPr>
      <w:rFonts w:ascii="Times New Roman" w:hAnsi="Times New Roman" w:eastAsia="宋体" w:cs="Times New Roman"/>
      <w:kern w:val="0"/>
      <w:sz w:val="20"/>
      <w:szCs w:val="20"/>
    </w:rPr>
  </w:style>
  <w:style w:type="character" w:customStyle="1" w:styleId="79">
    <w:name w:val="正文文本 3 Char"/>
    <w:basedOn w:val="53"/>
    <w:link w:val="21"/>
    <w:qFormat/>
    <w:uiPriority w:val="99"/>
    <w:rPr>
      <w:rFonts w:ascii="Times New Roman" w:hAnsi="Times New Roman" w:eastAsia="宋体" w:cs="Times New Roman"/>
      <w:kern w:val="0"/>
      <w:sz w:val="16"/>
      <w:szCs w:val="20"/>
    </w:rPr>
  </w:style>
  <w:style w:type="character" w:customStyle="1" w:styleId="80">
    <w:name w:val="正文文本缩进 Char"/>
    <w:basedOn w:val="53"/>
    <w:link w:val="3"/>
    <w:qFormat/>
    <w:uiPriority w:val="0"/>
    <w:rPr>
      <w:rFonts w:ascii="Times New Roman" w:hAnsi="Times New Roman" w:eastAsia="宋体" w:cs="Times New Roman"/>
      <w:sz w:val="44"/>
      <w:szCs w:val="20"/>
    </w:rPr>
  </w:style>
  <w:style w:type="character" w:customStyle="1" w:styleId="81">
    <w:name w:val="日期 Char"/>
    <w:basedOn w:val="53"/>
    <w:link w:val="31"/>
    <w:qFormat/>
    <w:uiPriority w:val="99"/>
    <w:rPr>
      <w:rFonts w:ascii="Times New Roman" w:hAnsi="Times New Roman" w:eastAsia="宋体" w:cs="Times New Roman"/>
      <w:sz w:val="28"/>
      <w:szCs w:val="20"/>
    </w:rPr>
  </w:style>
  <w:style w:type="character" w:customStyle="1" w:styleId="82">
    <w:name w:val="正文文本缩进 2 Char"/>
    <w:basedOn w:val="53"/>
    <w:link w:val="32"/>
    <w:qFormat/>
    <w:uiPriority w:val="99"/>
    <w:rPr>
      <w:rFonts w:ascii="Times New Roman" w:hAnsi="Times New Roman" w:eastAsia="宋体" w:cs="Times New Roman"/>
      <w:sz w:val="28"/>
      <w:szCs w:val="20"/>
    </w:rPr>
  </w:style>
  <w:style w:type="character" w:customStyle="1" w:styleId="83">
    <w:name w:val="正文首行缩进 2 Char"/>
    <w:basedOn w:val="80"/>
    <w:link w:val="2"/>
    <w:qFormat/>
    <w:uiPriority w:val="99"/>
    <w:rPr>
      <w:rFonts w:ascii="Times New Roman" w:hAnsi="Times New Roman" w:eastAsia="宋体" w:cs="Times New Roman"/>
      <w:sz w:val="44"/>
      <w:szCs w:val="20"/>
    </w:rPr>
  </w:style>
  <w:style w:type="character" w:customStyle="1" w:styleId="84">
    <w:name w:val="脚注文本 Char"/>
    <w:basedOn w:val="53"/>
    <w:link w:val="38"/>
    <w:semiHidden/>
    <w:qFormat/>
    <w:uiPriority w:val="99"/>
    <w:rPr>
      <w:rFonts w:ascii="Times New Roman" w:hAnsi="Times New Roman" w:eastAsia="宋体" w:cs="Times New Roman"/>
      <w:sz w:val="18"/>
      <w:szCs w:val="20"/>
    </w:rPr>
  </w:style>
  <w:style w:type="character" w:customStyle="1" w:styleId="85">
    <w:name w:val="正文文本缩进 3 Char"/>
    <w:basedOn w:val="53"/>
    <w:link w:val="40"/>
    <w:qFormat/>
    <w:uiPriority w:val="99"/>
    <w:rPr>
      <w:rFonts w:ascii="Times New Roman" w:hAnsi="Times New Roman" w:eastAsia="宋体" w:cs="Times New Roman"/>
      <w:kern w:val="0"/>
      <w:sz w:val="16"/>
      <w:szCs w:val="20"/>
    </w:rPr>
  </w:style>
  <w:style w:type="character" w:customStyle="1" w:styleId="86">
    <w:name w:val="正文文本 2 Char"/>
    <w:basedOn w:val="53"/>
    <w:link w:val="42"/>
    <w:qFormat/>
    <w:uiPriority w:val="99"/>
    <w:rPr>
      <w:rFonts w:ascii="Times New Roman" w:hAnsi="Times New Roman" w:eastAsia="宋体" w:cs="Times New Roman"/>
      <w:kern w:val="0"/>
      <w:sz w:val="20"/>
      <w:szCs w:val="20"/>
    </w:rPr>
  </w:style>
  <w:style w:type="character" w:customStyle="1" w:styleId="87">
    <w:name w:val="标题 Char"/>
    <w:basedOn w:val="53"/>
    <w:link w:val="48"/>
    <w:qFormat/>
    <w:uiPriority w:val="99"/>
    <w:rPr>
      <w:rFonts w:ascii="Cambria" w:hAnsi="Cambria" w:eastAsia="宋体" w:cs="Times New Roman"/>
      <w:b/>
      <w:kern w:val="0"/>
      <w:sz w:val="32"/>
      <w:szCs w:val="20"/>
    </w:rPr>
  </w:style>
  <w:style w:type="character" w:customStyle="1" w:styleId="88">
    <w:name w:val="Char Char3"/>
    <w:qFormat/>
    <w:uiPriority w:val="99"/>
    <w:rPr>
      <w:rFonts w:eastAsia="宋体"/>
      <w:kern w:val="2"/>
      <w:sz w:val="18"/>
      <w:lang w:val="en-US" w:eastAsia="zh-CN"/>
    </w:rPr>
  </w:style>
  <w:style w:type="character" w:customStyle="1" w:styleId="89">
    <w:name w:val="top-det1"/>
    <w:qFormat/>
    <w:uiPriority w:val="99"/>
    <w:rPr>
      <w:b/>
      <w:color w:val="000000"/>
    </w:rPr>
  </w:style>
  <w:style w:type="character" w:customStyle="1" w:styleId="90">
    <w:name w:val="font51"/>
    <w:qFormat/>
    <w:uiPriority w:val="99"/>
    <w:rPr>
      <w:rFonts w:ascii="宋体" w:hAnsi="宋体" w:eastAsia="宋体"/>
      <w:color w:val="000000"/>
      <w:sz w:val="32"/>
      <w:u w:val="none"/>
    </w:rPr>
  </w:style>
  <w:style w:type="character" w:customStyle="1" w:styleId="91">
    <w:name w:val="文字 Char Char"/>
    <w:link w:val="92"/>
    <w:qFormat/>
    <w:locked/>
    <w:uiPriority w:val="99"/>
    <w:rPr>
      <w:rFonts w:ascii="宋体"/>
      <w:sz w:val="28"/>
    </w:rPr>
  </w:style>
  <w:style w:type="paragraph" w:customStyle="1" w:styleId="92">
    <w:name w:val="文字"/>
    <w:basedOn w:val="1"/>
    <w:link w:val="91"/>
    <w:qFormat/>
    <w:uiPriority w:val="99"/>
    <w:pPr>
      <w:tabs>
        <w:tab w:val="left" w:pos="8520"/>
      </w:tabs>
      <w:spacing w:line="312" w:lineRule="auto"/>
      <w:ind w:right="-210" w:firstLine="556"/>
    </w:pPr>
    <w:rPr>
      <w:rFonts w:ascii="宋体" w:hAnsiTheme="minorHAnsi" w:eastAsiaTheme="minorEastAsia" w:cstheme="minorBidi"/>
      <w:szCs w:val="22"/>
    </w:rPr>
  </w:style>
  <w:style w:type="character" w:customStyle="1" w:styleId="93">
    <w:name w:val="正文 + 三号 Char"/>
    <w:qFormat/>
    <w:uiPriority w:val="99"/>
    <w:rPr>
      <w:rFonts w:eastAsia="宋体"/>
      <w:kern w:val="2"/>
      <w:sz w:val="21"/>
      <w:lang w:val="en-US" w:eastAsia="zh-CN"/>
    </w:rPr>
  </w:style>
  <w:style w:type="character" w:customStyle="1" w:styleId="94">
    <w:name w:val="样式 宋体"/>
    <w:qFormat/>
    <w:uiPriority w:val="99"/>
    <w:rPr>
      <w:rFonts w:ascii="宋体" w:hAnsi="宋体" w:eastAsia="宋体"/>
      <w:sz w:val="28"/>
    </w:rPr>
  </w:style>
  <w:style w:type="character" w:customStyle="1" w:styleId="95">
    <w:name w:val="Char Char4"/>
    <w:qFormat/>
    <w:uiPriority w:val="99"/>
    <w:rPr>
      <w:rFonts w:eastAsia="宋体"/>
      <w:b/>
      <w:kern w:val="2"/>
      <w:sz w:val="21"/>
      <w:lang w:val="en-US" w:eastAsia="zh-CN"/>
    </w:rPr>
  </w:style>
  <w:style w:type="character" w:customStyle="1" w:styleId="96">
    <w:name w:val="apple-converted-space"/>
    <w:qFormat/>
    <w:uiPriority w:val="99"/>
  </w:style>
  <w:style w:type="character" w:customStyle="1" w:styleId="97">
    <w:name w:val="Table Heading Char Char"/>
    <w:qFormat/>
    <w:uiPriority w:val="99"/>
    <w:rPr>
      <w:rFonts w:ascii="Arial" w:hAnsi="Arial" w:eastAsia="黑体"/>
      <w:kern w:val="2"/>
      <w:sz w:val="18"/>
      <w:lang w:val="en-US" w:eastAsia="zh-CN"/>
    </w:rPr>
  </w:style>
  <w:style w:type="character" w:customStyle="1" w:styleId="98">
    <w:name w:val="未命名11"/>
    <w:qFormat/>
    <w:uiPriority w:val="99"/>
    <w:rPr>
      <w:color w:val="auto"/>
      <w:sz w:val="24"/>
    </w:rPr>
  </w:style>
  <w:style w:type="character" w:customStyle="1" w:styleId="99">
    <w:name w:val="font31"/>
    <w:qFormat/>
    <w:uiPriority w:val="99"/>
    <w:rPr>
      <w:rFonts w:ascii="Times New Roman" w:hAnsi="Times New Roman"/>
      <w:color w:val="000000"/>
      <w:sz w:val="36"/>
      <w:u w:val="none"/>
    </w:rPr>
  </w:style>
  <w:style w:type="character" w:customStyle="1" w:styleId="100">
    <w:name w:val="font61"/>
    <w:qFormat/>
    <w:uiPriority w:val="99"/>
    <w:rPr>
      <w:rFonts w:ascii="宋体" w:hAnsi="宋体" w:eastAsia="宋体"/>
      <w:color w:val="000000"/>
      <w:sz w:val="30"/>
      <w:u w:val="none"/>
    </w:rPr>
  </w:style>
  <w:style w:type="character" w:customStyle="1" w:styleId="101">
    <w:name w:val="crowed11"/>
    <w:qFormat/>
    <w:uiPriority w:val="99"/>
    <w:rPr>
      <w:sz w:val="24"/>
    </w:rPr>
  </w:style>
  <w:style w:type="character" w:customStyle="1" w:styleId="102">
    <w:name w:val="content-white1"/>
    <w:qFormat/>
    <w:uiPriority w:val="99"/>
    <w:rPr>
      <w:color w:val="auto"/>
      <w:sz w:val="18"/>
      <w:u w:val="none"/>
    </w:rPr>
  </w:style>
  <w:style w:type="character" w:customStyle="1" w:styleId="103">
    <w:name w:val="title_emph1"/>
    <w:qFormat/>
    <w:uiPriority w:val="99"/>
    <w:rPr>
      <w:rFonts w:ascii="Arial" w:hAnsi="Arial"/>
      <w:b/>
      <w:sz w:val="20"/>
    </w:rPr>
  </w:style>
  <w:style w:type="character" w:customStyle="1" w:styleId="104">
    <w:name w:val="Table Text Char1 Char Char"/>
    <w:qFormat/>
    <w:uiPriority w:val="99"/>
    <w:rPr>
      <w:rFonts w:ascii="Arial" w:hAnsi="Arial"/>
      <w:kern w:val="2"/>
      <w:sz w:val="18"/>
      <w:lang w:val="en-US" w:eastAsia="zh-CN"/>
    </w:rPr>
  </w:style>
  <w:style w:type="character" w:customStyle="1" w:styleId="105">
    <w:name w:val="Char Char Char Char Char Char Char Char Char"/>
    <w:qFormat/>
    <w:uiPriority w:val="99"/>
    <w:rPr>
      <w:rFonts w:ascii="宋体" w:hAnsi="宋体" w:eastAsia="宋体"/>
      <w:kern w:val="2"/>
      <w:sz w:val="24"/>
      <w:lang w:val="en-US" w:eastAsia="zh-CN"/>
    </w:rPr>
  </w:style>
  <w:style w:type="character" w:customStyle="1" w:styleId="106">
    <w:name w:val="font11"/>
    <w:qFormat/>
    <w:uiPriority w:val="99"/>
    <w:rPr>
      <w:rFonts w:ascii="宋体" w:hAnsi="宋体" w:eastAsia="宋体"/>
      <w:color w:val="000000"/>
      <w:sz w:val="36"/>
      <w:u w:val="none"/>
    </w:rPr>
  </w:style>
  <w:style w:type="character" w:customStyle="1" w:styleId="107">
    <w:name w:val="Table Text Char Char Char Char"/>
    <w:link w:val="108"/>
    <w:qFormat/>
    <w:locked/>
    <w:uiPriority w:val="99"/>
    <w:rPr>
      <w:rFonts w:ascii="Arial" w:hAnsi="Arial"/>
      <w:sz w:val="18"/>
    </w:rPr>
  </w:style>
  <w:style w:type="paragraph" w:customStyle="1" w:styleId="108">
    <w:name w:val="Table Text"/>
    <w:link w:val="107"/>
    <w:qFormat/>
    <w:uiPriority w:val="99"/>
    <w:pPr>
      <w:snapToGrid w:val="0"/>
      <w:spacing w:before="80" w:after="80"/>
    </w:pPr>
    <w:rPr>
      <w:rFonts w:ascii="Arial" w:hAnsi="Arial" w:eastAsiaTheme="minorEastAsia" w:cstheme="minorBidi"/>
      <w:kern w:val="2"/>
      <w:sz w:val="18"/>
      <w:szCs w:val="22"/>
      <w:lang w:val="en-US" w:eastAsia="zh-CN" w:bidi="ar-SA"/>
    </w:rPr>
  </w:style>
  <w:style w:type="character" w:customStyle="1" w:styleId="109">
    <w:name w:val="font41"/>
    <w:qFormat/>
    <w:uiPriority w:val="99"/>
    <w:rPr>
      <w:rFonts w:ascii="宋体" w:hAnsi="宋体" w:eastAsia="宋体"/>
      <w:color w:val="000000"/>
      <w:sz w:val="36"/>
      <w:u w:val="none"/>
    </w:rPr>
  </w:style>
  <w:style w:type="character" w:customStyle="1" w:styleId="110">
    <w:name w:val="Char Char2"/>
    <w:qFormat/>
    <w:uiPriority w:val="99"/>
    <w:rPr>
      <w:rFonts w:eastAsia="宋体"/>
      <w:kern w:val="2"/>
      <w:sz w:val="18"/>
      <w:lang w:val="en-US" w:eastAsia="zh-CN"/>
    </w:rPr>
  </w:style>
  <w:style w:type="character" w:customStyle="1" w:styleId="111">
    <w:name w:val="Char Char6"/>
    <w:qFormat/>
    <w:uiPriority w:val="99"/>
    <w:rPr>
      <w:rFonts w:ascii="仿宋_GB2312" w:eastAsia="仿宋_GB2312"/>
      <w:kern w:val="2"/>
      <w:sz w:val="32"/>
    </w:rPr>
  </w:style>
  <w:style w:type="character" w:customStyle="1" w:styleId="112">
    <w:name w:val="Char Char5"/>
    <w:qFormat/>
    <w:uiPriority w:val="99"/>
    <w:rPr>
      <w:rFonts w:ascii="Arial" w:hAnsi="Arial" w:eastAsia="宋体"/>
      <w:b/>
      <w:smallCaps/>
      <w:kern w:val="28"/>
      <w:sz w:val="36"/>
      <w:lang w:val="en-US" w:eastAsia="en-US"/>
    </w:rPr>
  </w:style>
  <w:style w:type="character" w:customStyle="1" w:styleId="113">
    <w:name w:val="param-name1"/>
    <w:qFormat/>
    <w:uiPriority w:val="99"/>
    <w:rPr>
      <w:b/>
    </w:rPr>
  </w:style>
  <w:style w:type="character" w:customStyle="1" w:styleId="114">
    <w:name w:val="v151"/>
    <w:qFormat/>
    <w:uiPriority w:val="99"/>
    <w:rPr>
      <w:sz w:val="18"/>
    </w:rPr>
  </w:style>
  <w:style w:type="character" w:customStyle="1" w:styleId="115">
    <w:name w:val="H2 Char"/>
    <w:qFormat/>
    <w:uiPriority w:val="99"/>
    <w:rPr>
      <w:rFonts w:ascii="Arial" w:hAnsi="Arial" w:eastAsia="宋体"/>
      <w:kern w:val="2"/>
      <w:sz w:val="28"/>
      <w:lang w:val="en-US" w:eastAsia="zh-CN"/>
    </w:rPr>
  </w:style>
  <w:style w:type="character" w:customStyle="1" w:styleId="116">
    <w:name w:val="小 Char"/>
    <w:qFormat/>
    <w:uiPriority w:val="99"/>
    <w:rPr>
      <w:rFonts w:ascii="宋体" w:hAnsi="Courier New" w:eastAsia="宋体"/>
      <w:kern w:val="2"/>
      <w:sz w:val="21"/>
      <w:lang w:val="en-US" w:eastAsia="zh-CN"/>
    </w:rPr>
  </w:style>
  <w:style w:type="character" w:customStyle="1" w:styleId="117">
    <w:name w:val="Char Char11"/>
    <w:qFormat/>
    <w:uiPriority w:val="99"/>
    <w:rPr>
      <w:rFonts w:ascii="宋体"/>
      <w:kern w:val="2"/>
      <w:sz w:val="28"/>
    </w:rPr>
  </w:style>
  <w:style w:type="character" w:customStyle="1" w:styleId="118">
    <w:name w:val="font1"/>
    <w:qFormat/>
    <w:uiPriority w:val="99"/>
    <w:rPr>
      <w:color w:val="000000"/>
      <w:sz w:val="18"/>
    </w:rPr>
  </w:style>
  <w:style w:type="character" w:customStyle="1" w:styleId="119">
    <w:name w:val="标书正文:  0.74 厘米 Char1"/>
    <w:qFormat/>
    <w:uiPriority w:val="99"/>
    <w:rPr>
      <w:rFonts w:eastAsia="宋体"/>
      <w:kern w:val="2"/>
      <w:sz w:val="24"/>
      <w:lang w:val="en-US" w:eastAsia="zh-CN"/>
    </w:rPr>
  </w:style>
  <w:style w:type="character" w:customStyle="1" w:styleId="120">
    <w:name w:val="Char Char7"/>
    <w:qFormat/>
    <w:uiPriority w:val="99"/>
    <w:rPr>
      <w:rFonts w:ascii="宋体" w:hAnsi="宋体" w:eastAsia="宋体"/>
      <w:kern w:val="2"/>
      <w:sz w:val="28"/>
    </w:rPr>
  </w:style>
  <w:style w:type="paragraph" w:customStyle="1" w:styleId="121">
    <w:name w:val="正文文本 21"/>
    <w:basedOn w:val="1"/>
    <w:qFormat/>
    <w:uiPriority w:val="99"/>
    <w:pPr>
      <w:adjustRightInd w:val="0"/>
      <w:spacing w:before="120" w:line="360" w:lineRule="auto"/>
      <w:ind w:firstLine="480"/>
      <w:textAlignment w:val="baseline"/>
    </w:pPr>
    <w:rPr>
      <w:sz w:val="24"/>
      <w:szCs w:val="24"/>
    </w:rPr>
  </w:style>
  <w:style w:type="paragraph" w:customStyle="1" w:styleId="122">
    <w:name w:val="图标"/>
    <w:basedOn w:val="1"/>
    <w:next w:val="1"/>
    <w:qFormat/>
    <w:uiPriority w:val="99"/>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szCs w:val="24"/>
    </w:rPr>
  </w:style>
  <w:style w:type="paragraph" w:customStyle="1" w:styleId="123">
    <w:name w:val="可研正文"/>
    <w:basedOn w:val="23"/>
    <w:qFormat/>
    <w:uiPriority w:val="99"/>
    <w:pPr>
      <w:adjustRightInd w:val="0"/>
      <w:snapToGrid w:val="0"/>
      <w:spacing w:after="0" w:line="440" w:lineRule="exact"/>
      <w:ind w:firstLine="567"/>
    </w:pPr>
    <w:rPr>
      <w:rFonts w:ascii="仿宋_GB2312" w:eastAsia="仿宋_GB2312" w:cs="仿宋_GB2312"/>
      <w:kern w:val="0"/>
      <w:sz w:val="20"/>
      <w:szCs w:val="20"/>
    </w:rPr>
  </w:style>
  <w:style w:type="paragraph" w:customStyle="1" w:styleId="124">
    <w:name w:val="Char Char1"/>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25">
    <w:name w:val="Pull Quote"/>
    <w:basedOn w:val="1"/>
    <w:qFormat/>
    <w:uiPriority w:val="99"/>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bCs/>
      <w:i/>
      <w:iCs/>
      <w:sz w:val="24"/>
      <w:szCs w:val="24"/>
    </w:rPr>
  </w:style>
  <w:style w:type="paragraph" w:customStyle="1" w:styleId="126">
    <w:name w:val="没有缩进（为图形使用）"/>
    <w:basedOn w:val="1"/>
    <w:qFormat/>
    <w:uiPriority w:val="99"/>
    <w:pPr>
      <w:spacing w:before="120" w:after="120" w:line="360" w:lineRule="auto"/>
    </w:pPr>
    <w:rPr>
      <w:sz w:val="24"/>
      <w:szCs w:val="24"/>
    </w:rPr>
  </w:style>
  <w:style w:type="paragraph" w:customStyle="1" w:styleId="127">
    <w:name w:val="样式 正文首行缩进 2 + 首行缩进:  2 字符"/>
    <w:basedOn w:val="1"/>
    <w:qFormat/>
    <w:uiPriority w:val="99"/>
    <w:pPr>
      <w:tabs>
        <w:tab w:val="left" w:pos="987"/>
      </w:tabs>
      <w:adjustRightInd w:val="0"/>
      <w:snapToGrid w:val="0"/>
      <w:spacing w:line="360" w:lineRule="auto"/>
      <w:ind w:left="987" w:hanging="420"/>
    </w:pPr>
    <w:rPr>
      <w:rFonts w:ascii="Arial" w:hAnsi="Arial" w:cs="Arial"/>
      <w:b/>
      <w:bCs/>
      <w:sz w:val="24"/>
      <w:szCs w:val="24"/>
    </w:rPr>
  </w:style>
  <w:style w:type="paragraph" w:customStyle="1" w:styleId="128">
    <w:name w:val="样式1xz"/>
    <w:basedOn w:val="1"/>
    <w:qFormat/>
    <w:uiPriority w:val="99"/>
    <w:pPr>
      <w:tabs>
        <w:tab w:val="left" w:pos="1050"/>
        <w:tab w:val="right" w:leader="dot" w:pos="8296"/>
      </w:tabs>
    </w:pPr>
    <w:rPr>
      <w:caps/>
      <w:spacing w:val="20"/>
      <w:sz w:val="24"/>
      <w:szCs w:val="24"/>
    </w:rPr>
  </w:style>
  <w:style w:type="paragraph" w:customStyle="1" w:styleId="129">
    <w:name w:val="简单回函地址"/>
    <w:basedOn w:val="1"/>
    <w:qFormat/>
    <w:uiPriority w:val="99"/>
    <w:pPr>
      <w:adjustRightInd w:val="0"/>
      <w:snapToGrid w:val="0"/>
      <w:spacing w:line="360" w:lineRule="auto"/>
    </w:pPr>
    <w:rPr>
      <w:sz w:val="24"/>
      <w:szCs w:val="24"/>
    </w:rPr>
  </w:style>
  <w:style w:type="paragraph" w:customStyle="1" w:styleId="130">
    <w:name w:val="Table Description"/>
    <w:next w:val="1"/>
    <w:qFormat/>
    <w:uiPriority w:val="99"/>
    <w:pPr>
      <w:keepNext/>
      <w:snapToGrid w:val="0"/>
      <w:spacing w:before="160" w:after="80"/>
      <w:ind w:left="1134"/>
      <w:jc w:val="center"/>
    </w:pPr>
    <w:rPr>
      <w:rFonts w:ascii="Arial" w:hAnsi="Arial" w:eastAsia="黑体" w:cs="Arial"/>
      <w:sz w:val="18"/>
      <w:szCs w:val="18"/>
      <w:lang w:val="en-US" w:eastAsia="zh-CN" w:bidi="ar-SA"/>
    </w:rPr>
  </w:style>
  <w:style w:type="paragraph" w:customStyle="1" w:styleId="131">
    <w:name w:val="样式 标题 1章标题Heading 0Section HeadPIM 1H1h11st levell11H1..."/>
    <w:basedOn w:val="4"/>
    <w:qFormat/>
    <w:uiPriority w:val="99"/>
    <w:pPr>
      <w:keepLines/>
      <w:pageBreakBefore/>
      <w:tabs>
        <w:tab w:val="left" w:pos="432"/>
      </w:tabs>
      <w:autoSpaceDE w:val="0"/>
      <w:autoSpaceDN w:val="0"/>
      <w:adjustRightInd w:val="0"/>
      <w:spacing w:before="340" w:after="330" w:line="578" w:lineRule="atLeast"/>
      <w:textAlignment w:val="bottom"/>
    </w:pPr>
    <w:rPr>
      <w:rFonts w:hAnsi="宋体" w:eastAsia="黑体"/>
      <w:sz w:val="36"/>
      <w:szCs w:val="36"/>
    </w:rPr>
  </w:style>
  <w:style w:type="paragraph" w:customStyle="1" w:styleId="132">
    <w:name w:val="xl23"/>
    <w:basedOn w:val="1"/>
    <w:qFormat/>
    <w:uiPriority w:val="99"/>
    <w:pPr>
      <w:widowControl/>
      <w:spacing w:before="100" w:beforeAutospacing="1" w:after="100" w:afterAutospacing="1" w:line="360" w:lineRule="auto"/>
      <w:textAlignment w:val="top"/>
    </w:pPr>
    <w:rPr>
      <w:kern w:val="0"/>
      <w:sz w:val="24"/>
      <w:szCs w:val="24"/>
    </w:rPr>
  </w:style>
  <w:style w:type="paragraph" w:customStyle="1" w:styleId="133">
    <w:name w:val="Char Char14 Char Char"/>
    <w:basedOn w:val="1"/>
    <w:qFormat/>
    <w:uiPriority w:val="99"/>
    <w:rPr>
      <w:sz w:val="21"/>
      <w:szCs w:val="21"/>
    </w:rPr>
  </w:style>
  <w:style w:type="paragraph" w:customStyle="1" w:styleId="134">
    <w:name w:val="IN Feature"/>
    <w:next w:val="135"/>
    <w:qFormat/>
    <w:uiPriority w:val="99"/>
    <w:pPr>
      <w:keepNext/>
      <w:keepLines/>
      <w:spacing w:before="240" w:after="240"/>
      <w:outlineLvl w:val="7"/>
    </w:pPr>
    <w:rPr>
      <w:rFonts w:ascii="Arial" w:hAnsi="Arial" w:eastAsia="黑体" w:cs="Arial"/>
      <w:sz w:val="21"/>
      <w:szCs w:val="21"/>
      <w:lang w:val="en-US" w:eastAsia="zh-CN" w:bidi="ar-SA"/>
    </w:rPr>
  </w:style>
  <w:style w:type="paragraph" w:customStyle="1" w:styleId="135">
    <w:name w:val="IN Step"/>
    <w:basedOn w:val="1"/>
    <w:qFormat/>
    <w:uiPriority w:val="99"/>
    <w:pPr>
      <w:keepLines/>
      <w:widowControl/>
      <w:tabs>
        <w:tab w:val="left" w:pos="1134"/>
      </w:tabs>
      <w:spacing w:before="80" w:after="80" w:line="300" w:lineRule="auto"/>
      <w:ind w:left="1134" w:hanging="907"/>
      <w:outlineLvl w:val="8"/>
    </w:pPr>
    <w:rPr>
      <w:rFonts w:ascii="Arial" w:hAnsi="Arial" w:cs="Arial"/>
      <w:kern w:val="0"/>
      <w:sz w:val="21"/>
      <w:szCs w:val="21"/>
    </w:rPr>
  </w:style>
  <w:style w:type="paragraph" w:customStyle="1" w:styleId="136">
    <w:name w:val="正文4"/>
    <w:basedOn w:val="1"/>
    <w:qFormat/>
    <w:uiPriority w:val="99"/>
    <w:pPr>
      <w:tabs>
        <w:tab w:val="left" w:pos="1275"/>
      </w:tabs>
      <w:spacing w:before="60" w:after="60" w:line="360" w:lineRule="auto"/>
      <w:ind w:left="820" w:leftChars="400" w:hanging="705"/>
    </w:pPr>
    <w:rPr>
      <w:sz w:val="24"/>
      <w:szCs w:val="24"/>
    </w:rPr>
  </w:style>
  <w:style w:type="paragraph" w:customStyle="1" w:styleId="137">
    <w:name w:val="样式 样式 正文首行缩进 2 + 左  0 字符 + 首行缩进:  2.57 字符"/>
    <w:basedOn w:val="1"/>
    <w:next w:val="1"/>
    <w:qFormat/>
    <w:uiPriority w:val="99"/>
    <w:pPr>
      <w:adjustRightInd w:val="0"/>
      <w:snapToGrid w:val="0"/>
      <w:spacing w:after="120"/>
      <w:ind w:firstLine="540" w:firstLineChars="257"/>
    </w:pPr>
    <w:rPr>
      <w:sz w:val="21"/>
      <w:szCs w:val="21"/>
    </w:rPr>
  </w:style>
  <w:style w:type="paragraph" w:customStyle="1" w:styleId="138">
    <w:name w:val="一级条标题"/>
    <w:basedOn w:val="139"/>
    <w:next w:val="140"/>
    <w:qFormat/>
    <w:uiPriority w:val="99"/>
    <w:pPr>
      <w:spacing w:beforeLines="0" w:afterLines="0"/>
      <w:ind w:left="525"/>
      <w:outlineLvl w:val="2"/>
    </w:pPr>
    <w:rPr>
      <w:sz w:val="21"/>
      <w:szCs w:val="21"/>
    </w:rPr>
  </w:style>
  <w:style w:type="paragraph" w:customStyle="1" w:styleId="139">
    <w:name w:val="章标题"/>
    <w:next w:val="1"/>
    <w:qFormat/>
    <w:uiPriority w:val="99"/>
    <w:pPr>
      <w:spacing w:beforeLines="50" w:afterLines="50"/>
      <w:jc w:val="both"/>
      <w:outlineLvl w:val="1"/>
    </w:pPr>
    <w:rPr>
      <w:rFonts w:ascii="黑体" w:hAnsi="Times New Roman" w:eastAsia="黑体" w:cs="黑体"/>
      <w:sz w:val="24"/>
      <w:szCs w:val="24"/>
      <w:lang w:val="en-US" w:eastAsia="zh-CN" w:bidi="ar-SA"/>
    </w:rPr>
  </w:style>
  <w:style w:type="paragraph" w:customStyle="1" w:styleId="140">
    <w:name w:val="段"/>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141">
    <w:name w:val="文档正文"/>
    <w:basedOn w:val="1"/>
    <w:qFormat/>
    <w:uiPriority w:val="99"/>
    <w:pPr>
      <w:adjustRightInd w:val="0"/>
      <w:snapToGrid w:val="0"/>
      <w:spacing w:line="440" w:lineRule="exact"/>
      <w:ind w:firstLine="567"/>
      <w:textAlignment w:val="baseline"/>
    </w:pPr>
    <w:rPr>
      <w:rFonts w:ascii="Arial Narrow" w:hAnsi="Arial Narrow" w:cs="Arial Narrow"/>
      <w:kern w:val="0"/>
      <w:sz w:val="24"/>
      <w:szCs w:val="24"/>
    </w:rPr>
  </w:style>
  <w:style w:type="paragraph" w:customStyle="1" w:styleId="142">
    <w:name w:val="Note"/>
    <w:basedOn w:val="1"/>
    <w:qFormat/>
    <w:uiPriority w:val="99"/>
    <w:pPr>
      <w:pBdr>
        <w:top w:val="single" w:color="auto" w:sz="12" w:space="3"/>
        <w:bottom w:val="single" w:color="auto" w:sz="12" w:space="3"/>
      </w:pBdr>
      <w:spacing w:line="360" w:lineRule="auto"/>
    </w:pPr>
    <w:rPr>
      <w:sz w:val="24"/>
      <w:szCs w:val="24"/>
    </w:rPr>
  </w:style>
  <w:style w:type="paragraph" w:customStyle="1" w:styleId="143">
    <w:name w:val="图片文字"/>
    <w:basedOn w:val="1"/>
    <w:qFormat/>
    <w:uiPriority w:val="99"/>
    <w:pPr>
      <w:spacing w:line="240" w:lineRule="atLeast"/>
      <w:jc w:val="center"/>
    </w:pPr>
    <w:rPr>
      <w:sz w:val="21"/>
      <w:szCs w:val="21"/>
    </w:rPr>
  </w:style>
  <w:style w:type="paragraph" w:customStyle="1" w:styleId="144">
    <w:name w:val="二级条标题"/>
    <w:basedOn w:val="138"/>
    <w:next w:val="140"/>
    <w:qFormat/>
    <w:uiPriority w:val="99"/>
    <w:pPr>
      <w:ind w:left="840"/>
      <w:outlineLvl w:val="3"/>
    </w:pPr>
  </w:style>
  <w:style w:type="paragraph" w:customStyle="1" w:styleId="145">
    <w:name w:val="项目"/>
    <w:basedOn w:val="1"/>
    <w:qFormat/>
    <w:uiPriority w:val="99"/>
    <w:pPr>
      <w:tabs>
        <w:tab w:val="left" w:pos="1280"/>
      </w:tabs>
      <w:spacing w:before="120" w:after="120" w:line="360" w:lineRule="auto"/>
      <w:ind w:left="-7" w:firstLine="567"/>
      <w:jc w:val="left"/>
      <w:textAlignment w:val="baseline"/>
    </w:pPr>
    <w:rPr>
      <w:rFonts w:ascii="宋体" w:cs="宋体"/>
      <w:kern w:val="0"/>
      <w:sz w:val="24"/>
      <w:szCs w:val="24"/>
    </w:rPr>
  </w:style>
  <w:style w:type="paragraph" w:customStyle="1" w:styleId="146">
    <w:name w:val="表文字"/>
    <w:qFormat/>
    <w:uiPriority w:val="99"/>
    <w:rPr>
      <w:rFonts w:ascii="宋体" w:hAnsi="Times New Roman" w:eastAsia="宋体" w:cs="宋体"/>
      <w:kern w:val="2"/>
      <w:lang w:val="en-US" w:eastAsia="zh-CN" w:bidi="ar-SA"/>
    </w:rPr>
  </w:style>
  <w:style w:type="paragraph" w:customStyle="1" w:styleId="147">
    <w:name w:val="表头样式"/>
    <w:basedOn w:val="1"/>
    <w:qFormat/>
    <w:uiPriority w:val="99"/>
    <w:pPr>
      <w:autoSpaceDE w:val="0"/>
      <w:autoSpaceDN w:val="0"/>
      <w:adjustRightInd w:val="0"/>
      <w:spacing w:line="360" w:lineRule="auto"/>
      <w:jc w:val="left"/>
    </w:pPr>
    <w:rPr>
      <w:b/>
      <w:bCs/>
      <w:kern w:val="0"/>
      <w:sz w:val="21"/>
      <w:szCs w:val="21"/>
    </w:rPr>
  </w:style>
  <w:style w:type="paragraph" w:customStyle="1" w:styleId="148">
    <w:name w:val="Char Char Char1 Char Char Char Char Char Char Char Char Char Char Char Char Char"/>
    <w:basedOn w:val="1"/>
    <w:qFormat/>
    <w:uiPriority w:val="99"/>
    <w:pPr>
      <w:widowControl/>
      <w:spacing w:after="160" w:line="240" w:lineRule="exact"/>
      <w:jc w:val="left"/>
    </w:pPr>
    <w:rPr>
      <w:rFonts w:ascii="Verdana" w:hAnsi="Verdana" w:cs="Verdana"/>
      <w:kern w:val="0"/>
      <w:sz w:val="18"/>
      <w:szCs w:val="18"/>
      <w:lang w:eastAsia="en-US"/>
    </w:rPr>
  </w:style>
  <w:style w:type="paragraph" w:customStyle="1" w:styleId="149">
    <w:name w:val="标题5"/>
    <w:basedOn w:val="1"/>
    <w:qFormat/>
    <w:uiPriority w:val="99"/>
    <w:pPr>
      <w:tabs>
        <w:tab w:val="left" w:pos="0"/>
      </w:tabs>
      <w:autoSpaceDE w:val="0"/>
      <w:autoSpaceDN w:val="0"/>
      <w:adjustRightInd w:val="0"/>
      <w:snapToGrid w:val="0"/>
      <w:spacing w:line="320" w:lineRule="atLeast"/>
    </w:pPr>
    <w:rPr>
      <w:rFonts w:ascii="宋体" w:cs="宋体"/>
      <w:kern w:val="0"/>
      <w:sz w:val="21"/>
      <w:szCs w:val="21"/>
    </w:rPr>
  </w:style>
  <w:style w:type="paragraph" w:customStyle="1" w:styleId="150">
    <w:name w:val="标书正文:  0.74 厘米"/>
    <w:basedOn w:val="1"/>
    <w:qFormat/>
    <w:uiPriority w:val="99"/>
    <w:pPr>
      <w:snapToGrid w:val="0"/>
      <w:spacing w:line="360" w:lineRule="auto"/>
      <w:ind w:firstLine="420"/>
    </w:pPr>
    <w:rPr>
      <w:sz w:val="24"/>
      <w:szCs w:val="24"/>
    </w:rPr>
  </w:style>
  <w:style w:type="paragraph" w:customStyle="1" w:styleId="151">
    <w:name w:val="修订1"/>
    <w:qFormat/>
    <w:uiPriority w:val="99"/>
    <w:rPr>
      <w:rFonts w:ascii="Times New Roman" w:hAnsi="Times New Roman" w:eastAsia="宋体" w:cs="Times New Roman"/>
      <w:kern w:val="2"/>
      <w:sz w:val="21"/>
      <w:szCs w:val="21"/>
      <w:lang w:val="en-US" w:eastAsia="zh-CN" w:bidi="ar-SA"/>
    </w:rPr>
  </w:style>
  <w:style w:type="paragraph" w:customStyle="1" w:styleId="152">
    <w:name w:val="表号"/>
    <w:basedOn w:val="1"/>
    <w:qFormat/>
    <w:uiPriority w:val="99"/>
    <w:pPr>
      <w:tabs>
        <w:tab w:val="left" w:pos="648"/>
      </w:tabs>
      <w:autoSpaceDE w:val="0"/>
      <w:autoSpaceDN w:val="0"/>
      <w:adjustRightInd w:val="0"/>
      <w:spacing w:before="210" w:after="210"/>
      <w:ind w:left="425" w:hanging="137"/>
      <w:jc w:val="center"/>
    </w:pPr>
    <w:rPr>
      <w:kern w:val="0"/>
      <w:sz w:val="21"/>
      <w:szCs w:val="21"/>
      <w:lang w:eastAsia="en-US"/>
    </w:rPr>
  </w:style>
  <w:style w:type="paragraph" w:customStyle="1" w:styleId="153">
    <w:name w:val="列表项目"/>
    <w:basedOn w:val="1"/>
    <w:qFormat/>
    <w:uiPriority w:val="99"/>
    <w:pPr>
      <w:tabs>
        <w:tab w:val="left" w:pos="420"/>
      </w:tabs>
      <w:spacing w:line="288" w:lineRule="auto"/>
      <w:ind w:left="840" w:leftChars="200" w:hanging="420" w:hangingChars="200"/>
    </w:pPr>
    <w:rPr>
      <w:sz w:val="21"/>
      <w:szCs w:val="21"/>
    </w:rPr>
  </w:style>
  <w:style w:type="paragraph" w:customStyle="1" w:styleId="154">
    <w:name w:val="AA Numbering"/>
    <w:basedOn w:val="1"/>
    <w:qFormat/>
    <w:uiPriority w:val="99"/>
    <w:pPr>
      <w:widowControl/>
      <w:tabs>
        <w:tab w:val="left" w:pos="1134"/>
        <w:tab w:val="left" w:pos="1280"/>
      </w:tabs>
      <w:adjustRightInd w:val="0"/>
      <w:snapToGrid w:val="0"/>
      <w:spacing w:line="280" w:lineRule="atLeast"/>
      <w:jc w:val="left"/>
    </w:pPr>
    <w:rPr>
      <w:rFonts w:eastAsia="PMingLiUfalt"/>
      <w:kern w:val="0"/>
      <w:sz w:val="24"/>
      <w:szCs w:val="24"/>
      <w:lang w:eastAsia="zh-TW"/>
    </w:rPr>
  </w:style>
  <w:style w:type="paragraph" w:customStyle="1" w:styleId="155">
    <w:name w:val="样式 样式 首行缩进:  2 字符 + 首行缩进:  2 字符"/>
    <w:basedOn w:val="1"/>
    <w:qFormat/>
    <w:uiPriority w:val="99"/>
    <w:pPr>
      <w:spacing w:line="360" w:lineRule="auto"/>
      <w:ind w:firstLine="480" w:firstLineChars="200"/>
    </w:pPr>
    <w:rPr>
      <w:sz w:val="24"/>
      <w:szCs w:val="24"/>
    </w:rPr>
  </w:style>
  <w:style w:type="paragraph" w:customStyle="1" w:styleId="156">
    <w:name w:val="样式 标题 1 + 居中 段前: 6 磅 段后: 6 磅 行距: 1.5 倍行距"/>
    <w:basedOn w:val="4"/>
    <w:qFormat/>
    <w:uiPriority w:val="99"/>
    <w:pPr>
      <w:keepLines/>
      <w:adjustRightInd w:val="0"/>
      <w:spacing w:before="120" w:after="120" w:line="360" w:lineRule="auto"/>
      <w:jc w:val="center"/>
    </w:pPr>
    <w:rPr>
      <w:sz w:val="32"/>
      <w:szCs w:val="32"/>
    </w:rPr>
  </w:style>
  <w:style w:type="paragraph" w:customStyle="1" w:styleId="157">
    <w:name w:val="样式 标题 6第五层条 + 三号 段前: 0.5 行"/>
    <w:basedOn w:val="9"/>
    <w:qFormat/>
    <w:uiPriority w:val="99"/>
    <w:pPr>
      <w:widowControl/>
      <w:adjustRightInd/>
      <w:snapToGrid/>
      <w:spacing w:beforeLines="50"/>
      <w:jc w:val="left"/>
    </w:pPr>
    <w:rPr>
      <w:kern w:val="24"/>
      <w:sz w:val="28"/>
      <w:szCs w:val="28"/>
    </w:rPr>
  </w:style>
  <w:style w:type="paragraph" w:customStyle="1" w:styleId="158">
    <w:name w:val="关键词"/>
    <w:basedOn w:val="1"/>
    <w:next w:val="1"/>
    <w:qFormat/>
    <w:uiPriority w:val="99"/>
    <w:pPr>
      <w:spacing w:line="360" w:lineRule="auto"/>
    </w:pPr>
    <w:rPr>
      <w:rFonts w:eastAsia="黑体"/>
      <w:sz w:val="20"/>
      <w:szCs w:val="20"/>
    </w:rPr>
  </w:style>
  <w:style w:type="paragraph" w:customStyle="1" w:styleId="159">
    <w:name w:val="Char2 Char Char Char Char Char Char"/>
    <w:basedOn w:val="1"/>
    <w:qFormat/>
    <w:uiPriority w:val="99"/>
    <w:rPr>
      <w:rFonts w:ascii="仿宋_GB2312" w:cs="仿宋_GB2312"/>
      <w:b/>
      <w:bCs/>
      <w:sz w:val="30"/>
      <w:szCs w:val="30"/>
    </w:rPr>
  </w:style>
  <w:style w:type="paragraph" w:customStyle="1" w:styleId="160">
    <w:name w:val="Char Char Char"/>
    <w:basedOn w:val="1"/>
    <w:qFormat/>
    <w:uiPriority w:val="99"/>
    <w:rPr>
      <w:rFonts w:ascii="Tahoma" w:hAnsi="Tahoma" w:cs="Tahoma"/>
      <w:sz w:val="24"/>
      <w:szCs w:val="24"/>
    </w:rPr>
  </w:style>
  <w:style w:type="paragraph" w:customStyle="1" w:styleId="161">
    <w:name w:val="表头文本"/>
    <w:qFormat/>
    <w:uiPriority w:val="99"/>
    <w:pPr>
      <w:jc w:val="center"/>
    </w:pPr>
    <w:rPr>
      <w:rFonts w:ascii="Arial" w:hAnsi="Arial" w:eastAsia="宋体" w:cs="Arial"/>
      <w:b/>
      <w:bCs/>
      <w:sz w:val="21"/>
      <w:szCs w:val="21"/>
      <w:lang w:val="en-US" w:eastAsia="zh-CN" w:bidi="ar-SA"/>
    </w:rPr>
  </w:style>
  <w:style w:type="paragraph" w:customStyle="1" w:styleId="162">
    <w:name w:val="样式1"/>
    <w:basedOn w:val="7"/>
    <w:qFormat/>
    <w:uiPriority w:val="99"/>
    <w:pPr>
      <w:tabs>
        <w:tab w:val="left" w:pos="720"/>
      </w:tabs>
      <w:spacing w:before="500" w:after="260" w:line="560" w:lineRule="atLeast"/>
      <w:ind w:left="420" w:hanging="420"/>
    </w:pPr>
  </w:style>
  <w:style w:type="paragraph" w:customStyle="1" w:styleId="163">
    <w:name w:val="Char Char Char Char Char"/>
    <w:basedOn w:val="1"/>
    <w:qFormat/>
    <w:uiPriority w:val="99"/>
    <w:pPr>
      <w:tabs>
        <w:tab w:val="left" w:pos="425"/>
      </w:tabs>
      <w:ind w:left="1620" w:hanging="360"/>
    </w:pPr>
    <w:rPr>
      <w:rFonts w:ascii="Tahoma" w:hAnsi="Tahoma" w:cs="Tahoma"/>
      <w:sz w:val="24"/>
      <w:szCs w:val="24"/>
    </w:rPr>
  </w:style>
  <w:style w:type="paragraph" w:customStyle="1" w:styleId="164">
    <w:name w:val="xl40"/>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165">
    <w:name w:val="Char Char1 Char Char Char Char Char Char Char Char Char Char Char Char Char Char"/>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66">
    <w:name w:val="_Style 240"/>
    <w:basedOn w:val="1"/>
    <w:next w:val="1"/>
    <w:qFormat/>
    <w:uiPriority w:val="99"/>
    <w:pPr>
      <w:pBdr>
        <w:top w:val="single" w:color="auto" w:sz="6" w:space="1"/>
      </w:pBdr>
      <w:jc w:val="center"/>
    </w:pPr>
    <w:rPr>
      <w:rFonts w:ascii="Arial" w:cs="Arial"/>
      <w:vanish/>
      <w:sz w:val="16"/>
      <w:szCs w:val="16"/>
    </w:rPr>
  </w:style>
  <w:style w:type="paragraph" w:customStyle="1" w:styleId="167">
    <w:name w:val="Char"/>
    <w:basedOn w:val="1"/>
    <w:qFormat/>
    <w:uiPriority w:val="99"/>
    <w:pPr>
      <w:spacing w:line="240" w:lineRule="atLeast"/>
      <w:ind w:left="420" w:firstLine="420"/>
    </w:pPr>
    <w:rPr>
      <w:kern w:val="0"/>
      <w:sz w:val="21"/>
      <w:szCs w:val="21"/>
    </w:rPr>
  </w:style>
  <w:style w:type="paragraph" w:customStyle="1" w:styleId="168">
    <w:name w:val="摘要"/>
    <w:basedOn w:val="1"/>
    <w:next w:val="5"/>
    <w:qFormat/>
    <w:uiPriority w:val="99"/>
    <w:pPr>
      <w:spacing w:line="360" w:lineRule="auto"/>
    </w:pPr>
    <w:rPr>
      <w:rFonts w:eastAsia="黑体"/>
      <w:sz w:val="20"/>
      <w:szCs w:val="20"/>
    </w:rPr>
  </w:style>
  <w:style w:type="paragraph" w:customStyle="1" w:styleId="169">
    <w:name w:val="Char1"/>
    <w:basedOn w:val="1"/>
    <w:qFormat/>
    <w:uiPriority w:val="99"/>
    <w:rPr>
      <w:sz w:val="21"/>
      <w:szCs w:val="21"/>
    </w:rPr>
  </w:style>
  <w:style w:type="paragraph" w:customStyle="1" w:styleId="170">
    <w:name w:val="普通正文"/>
    <w:basedOn w:val="1"/>
    <w:qFormat/>
    <w:uiPriority w:val="99"/>
    <w:pPr>
      <w:adjustRightInd w:val="0"/>
      <w:spacing w:before="120" w:after="120" w:line="360" w:lineRule="auto"/>
      <w:ind w:firstLine="480"/>
      <w:jc w:val="left"/>
      <w:textAlignment w:val="baseline"/>
    </w:pPr>
    <w:rPr>
      <w:rFonts w:ascii="Arial" w:hAnsi="Arial" w:cs="Arial"/>
      <w:kern w:val="0"/>
      <w:sz w:val="24"/>
      <w:szCs w:val="24"/>
    </w:rPr>
  </w:style>
  <w:style w:type="paragraph" w:customStyle="1" w:styleId="171">
    <w:name w:val="Style Heading 3h3Heading 3 - oldLevel 3 HeadH3level_3PIM 3se..."/>
    <w:basedOn w:val="6"/>
    <w:qFormat/>
    <w:uiPriority w:val="99"/>
    <w:pPr>
      <w:tabs>
        <w:tab w:val="left" w:pos="709"/>
        <w:tab w:val="left" w:pos="1620"/>
      </w:tabs>
      <w:ind w:left="1620" w:hanging="360"/>
    </w:pPr>
  </w:style>
  <w:style w:type="paragraph" w:customStyle="1" w:styleId="172">
    <w:name w:val="Title - Revision"/>
    <w:basedOn w:val="48"/>
    <w:qFormat/>
    <w:uiPriority w:val="99"/>
    <w:pPr>
      <w:spacing w:before="720"/>
    </w:pPr>
  </w:style>
  <w:style w:type="paragraph" w:customStyle="1" w:styleId="173">
    <w:name w:val="Char1 Char Char Char1"/>
    <w:basedOn w:val="1"/>
    <w:qFormat/>
    <w:uiPriority w:val="99"/>
    <w:rPr>
      <w:rFonts w:ascii="Tahoma" w:hAnsi="Tahoma" w:cs="Tahoma"/>
      <w:sz w:val="24"/>
      <w:szCs w:val="24"/>
    </w:rPr>
  </w:style>
  <w:style w:type="paragraph" w:customStyle="1" w:styleId="174">
    <w:name w:val="样式4"/>
    <w:basedOn w:val="7"/>
    <w:qFormat/>
    <w:uiPriority w:val="99"/>
    <w:pPr>
      <w:adjustRightInd w:val="0"/>
      <w:snapToGrid w:val="0"/>
    </w:pPr>
  </w:style>
  <w:style w:type="paragraph" w:customStyle="1" w:styleId="175">
    <w:name w:val="操作步骤"/>
    <w:basedOn w:val="1"/>
    <w:qFormat/>
    <w:uiPriority w:val="99"/>
    <w:pPr>
      <w:tabs>
        <w:tab w:val="left" w:pos="425"/>
      </w:tabs>
      <w:autoSpaceDE w:val="0"/>
      <w:autoSpaceDN w:val="0"/>
      <w:adjustRightInd w:val="0"/>
      <w:snapToGrid w:val="0"/>
      <w:spacing w:line="40" w:lineRule="atLeast"/>
      <w:ind w:left="425" w:hanging="425"/>
      <w:textAlignment w:val="bottom"/>
    </w:pPr>
    <w:rPr>
      <w:rFonts w:ascii="昆仑楷体" w:eastAsia="楷体_GB2312" w:cs="昆仑楷体"/>
      <w:kern w:val="0"/>
      <w:sz w:val="21"/>
      <w:szCs w:val="21"/>
    </w:rPr>
  </w:style>
  <w:style w:type="paragraph" w:customStyle="1" w:styleId="176">
    <w:name w:val="Char Char Char Char"/>
    <w:basedOn w:val="1"/>
    <w:qFormat/>
    <w:uiPriority w:val="99"/>
    <w:pPr>
      <w:pageBreakBefore/>
      <w:widowControl/>
      <w:spacing w:after="160" w:line="240" w:lineRule="exact"/>
      <w:jc w:val="left"/>
    </w:pPr>
    <w:rPr>
      <w:rFonts w:ascii="Verdana" w:hAnsi="Verdana" w:cs="Verdana"/>
      <w:kern w:val="0"/>
      <w:sz w:val="20"/>
      <w:szCs w:val="20"/>
      <w:lang w:eastAsia="en-US"/>
    </w:rPr>
  </w:style>
  <w:style w:type="paragraph" w:customStyle="1" w:styleId="177">
    <w:name w:val="首行缩进 1"/>
    <w:basedOn w:val="1"/>
    <w:qFormat/>
    <w:uiPriority w:val="99"/>
    <w:pPr>
      <w:spacing w:after="120" w:line="360" w:lineRule="auto"/>
      <w:ind w:firstLine="200" w:firstLineChars="200"/>
    </w:pPr>
    <w:rPr>
      <w:sz w:val="24"/>
      <w:szCs w:val="24"/>
    </w:rPr>
  </w:style>
  <w:style w:type="paragraph" w:customStyle="1" w:styleId="178">
    <w:name w:val="Char Char Char Char Char Char Char"/>
    <w:basedOn w:val="19"/>
    <w:qFormat/>
    <w:uiPriority w:val="99"/>
    <w:pPr>
      <w:shd w:val="clear" w:color="auto" w:fill="000080"/>
    </w:pPr>
    <w:rPr>
      <w:rFonts w:hAnsi="Tahoma" w:cs="宋体"/>
      <w:kern w:val="0"/>
      <w:sz w:val="2"/>
      <w:szCs w:val="20"/>
    </w:rPr>
  </w:style>
  <w:style w:type="paragraph" w:customStyle="1" w:styleId="179">
    <w:name w:val="正文格式"/>
    <w:basedOn w:val="1"/>
    <w:qFormat/>
    <w:uiPriority w:val="99"/>
    <w:pPr>
      <w:widowControl/>
      <w:adjustRightInd w:val="0"/>
      <w:snapToGrid w:val="0"/>
      <w:spacing w:before="60" w:line="360" w:lineRule="auto"/>
      <w:ind w:firstLine="480" w:firstLineChars="200"/>
      <w:jc w:val="left"/>
      <w:textAlignment w:val="baseline"/>
    </w:pPr>
    <w:rPr>
      <w:rFonts w:ascii="宋体" w:hAnsi="宋体" w:cs="宋体"/>
      <w:color w:val="000000"/>
      <w:kern w:val="0"/>
      <w:sz w:val="24"/>
      <w:szCs w:val="24"/>
    </w:rPr>
  </w:style>
  <w:style w:type="paragraph" w:customStyle="1" w:styleId="180">
    <w:name w:val="正文（首行不缩进）"/>
    <w:basedOn w:val="1"/>
    <w:qFormat/>
    <w:uiPriority w:val="99"/>
    <w:pPr>
      <w:autoSpaceDE w:val="0"/>
      <w:autoSpaceDN w:val="0"/>
      <w:adjustRightInd w:val="0"/>
      <w:spacing w:line="360" w:lineRule="auto"/>
      <w:jc w:val="left"/>
    </w:pPr>
    <w:rPr>
      <w:kern w:val="0"/>
      <w:sz w:val="21"/>
      <w:szCs w:val="21"/>
    </w:rPr>
  </w:style>
  <w:style w:type="paragraph" w:customStyle="1" w:styleId="181">
    <w:name w:val="默认段落字体 Para Char Char Char Char Char Char Char"/>
    <w:basedOn w:val="1"/>
    <w:qFormat/>
    <w:uiPriority w:val="99"/>
    <w:rPr>
      <w:rFonts w:ascii="Tahoma" w:hAnsi="Tahoma" w:cs="Tahoma"/>
      <w:sz w:val="24"/>
      <w:szCs w:val="24"/>
    </w:rPr>
  </w:style>
  <w:style w:type="paragraph" w:customStyle="1" w:styleId="182">
    <w:name w:val="段 Char"/>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183">
    <w:name w:val="正文表格"/>
    <w:basedOn w:val="1"/>
    <w:qFormat/>
    <w:uiPriority w:val="99"/>
    <w:pPr>
      <w:adjustRightInd w:val="0"/>
      <w:spacing w:before="40" w:after="40"/>
    </w:pPr>
    <w:rPr>
      <w:sz w:val="24"/>
      <w:szCs w:val="24"/>
    </w:rPr>
  </w:style>
  <w:style w:type="paragraph" w:customStyle="1" w:styleId="184">
    <w:name w:val="标题无"/>
    <w:basedOn w:val="1"/>
    <w:qFormat/>
    <w:uiPriority w:val="99"/>
    <w:pPr>
      <w:spacing w:line="360" w:lineRule="auto"/>
    </w:pPr>
    <w:rPr>
      <w:sz w:val="24"/>
      <w:szCs w:val="24"/>
    </w:rPr>
  </w:style>
  <w:style w:type="paragraph" w:customStyle="1" w:styleId="185">
    <w:name w:val="样式2"/>
    <w:basedOn w:val="7"/>
    <w:qFormat/>
    <w:uiPriority w:val="99"/>
    <w:pPr>
      <w:tabs>
        <w:tab w:val="left" w:pos="720"/>
      </w:tabs>
      <w:spacing w:before="560" w:line="400" w:lineRule="exact"/>
      <w:ind w:left="420" w:hanging="420"/>
      <w:jc w:val="center"/>
      <w:outlineLvl w:val="0"/>
    </w:pPr>
    <w:rPr>
      <w:b w:val="0"/>
      <w:sz w:val="44"/>
      <w:szCs w:val="44"/>
    </w:rPr>
  </w:style>
  <w:style w:type="paragraph" w:customStyle="1" w:styleId="186">
    <w:name w:val="正文 + 三号"/>
    <w:basedOn w:val="1"/>
    <w:qFormat/>
    <w:uiPriority w:val="99"/>
    <w:rPr>
      <w:sz w:val="21"/>
      <w:szCs w:val="21"/>
    </w:rPr>
  </w:style>
  <w:style w:type="paragraph" w:customStyle="1" w:styleId="187">
    <w:name w:val="标题3——2"/>
    <w:basedOn w:val="6"/>
    <w:next w:val="50"/>
    <w:qFormat/>
    <w:uiPriority w:val="99"/>
    <w:pPr>
      <w:tabs>
        <w:tab w:val="left" w:pos="1280"/>
        <w:tab w:val="right" w:leader="dot" w:pos="8777"/>
      </w:tabs>
      <w:spacing w:beforeLines="100" w:after="0" w:line="240" w:lineRule="auto"/>
      <w:ind w:left="851" w:hanging="851"/>
      <w:outlineLvl w:val="9"/>
    </w:pPr>
    <w:rPr>
      <w:rFonts w:ascii="黑体" w:hAnsi="宋体" w:eastAsia="黑体" w:cs="黑体"/>
      <w:sz w:val="30"/>
      <w:szCs w:val="30"/>
    </w:rPr>
  </w:style>
  <w:style w:type="paragraph" w:customStyle="1" w:styleId="188">
    <w:name w:val="tabletext"/>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89">
    <w:name w:val="Table Contents"/>
    <w:basedOn w:val="23"/>
    <w:qFormat/>
    <w:uiPriority w:val="99"/>
    <w:pPr>
      <w:suppressAutoHyphens/>
      <w:spacing w:after="0"/>
      <w:jc w:val="left"/>
    </w:pPr>
    <w:rPr>
      <w:kern w:val="0"/>
      <w:sz w:val="24"/>
      <w:szCs w:val="24"/>
    </w:rPr>
  </w:style>
  <w:style w:type="paragraph" w:customStyle="1" w:styleId="190">
    <w:name w:val="Char Char Char Char Char Char Char Char Char Char Char 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91">
    <w:name w:val="内容标题"/>
    <w:basedOn w:val="19"/>
    <w:qFormat/>
    <w:uiPriority w:val="99"/>
    <w:pPr>
      <w:shd w:val="clear" w:color="auto" w:fill="000080"/>
    </w:pPr>
    <w:rPr>
      <w:rFonts w:ascii="Tahoma" w:hAnsi="Tahoma" w:cs="Tahoma"/>
      <w:kern w:val="0"/>
      <w:sz w:val="24"/>
      <w:szCs w:val="24"/>
    </w:rPr>
  </w:style>
  <w:style w:type="paragraph" w:customStyle="1" w:styleId="192">
    <w:name w:val="段落正文"/>
    <w:basedOn w:val="1"/>
    <w:qFormat/>
    <w:uiPriority w:val="99"/>
    <w:pPr>
      <w:spacing w:beforeLines="50" w:line="360" w:lineRule="auto"/>
      <w:ind w:firstLine="200" w:firstLineChars="200"/>
    </w:pPr>
    <w:rPr>
      <w:spacing w:val="2"/>
      <w:sz w:val="24"/>
      <w:szCs w:val="24"/>
    </w:rPr>
  </w:style>
  <w:style w:type="paragraph" w:customStyle="1" w:styleId="193">
    <w:name w:val="Char Char 字元 字元 字元 Char Char Char Char"/>
    <w:basedOn w:val="1"/>
    <w:qFormat/>
    <w:uiPriority w:val="99"/>
    <w:pPr>
      <w:adjustRightInd w:val="0"/>
      <w:spacing w:line="360" w:lineRule="auto"/>
    </w:pPr>
    <w:rPr>
      <w:kern w:val="0"/>
      <w:sz w:val="24"/>
      <w:szCs w:val="24"/>
    </w:rPr>
  </w:style>
  <w:style w:type="paragraph" w:customStyle="1" w:styleId="194">
    <w:name w:val="附录3"/>
    <w:basedOn w:val="1"/>
    <w:next w:val="1"/>
    <w:qFormat/>
    <w:uiPriority w:val="99"/>
    <w:pPr>
      <w:tabs>
        <w:tab w:val="left" w:pos="851"/>
      </w:tabs>
      <w:ind w:left="425" w:hanging="425"/>
      <w:outlineLvl w:val="2"/>
    </w:pPr>
    <w:rPr>
      <w:rFonts w:eastAsia="黑体"/>
      <w:b/>
      <w:bCs/>
      <w:sz w:val="32"/>
      <w:szCs w:val="32"/>
    </w:rPr>
  </w:style>
  <w:style w:type="paragraph" w:customStyle="1" w:styleId="195">
    <w:name w:val="样式 首行缩进:  0.74 厘米"/>
    <w:basedOn w:val="1"/>
    <w:qFormat/>
    <w:uiPriority w:val="99"/>
    <w:pPr>
      <w:spacing w:line="360" w:lineRule="auto"/>
      <w:ind w:firstLine="420"/>
    </w:pPr>
    <w:rPr>
      <w:sz w:val="24"/>
      <w:szCs w:val="24"/>
    </w:rPr>
  </w:style>
  <w:style w:type="paragraph" w:customStyle="1" w:styleId="196">
    <w:name w:val="bt"/>
    <w:basedOn w:val="1"/>
    <w:next w:val="23"/>
    <w:qFormat/>
    <w:uiPriority w:val="99"/>
    <w:pPr>
      <w:overflowPunct w:val="0"/>
      <w:autoSpaceDE w:val="0"/>
      <w:autoSpaceDN w:val="0"/>
      <w:adjustRightInd w:val="0"/>
      <w:snapToGrid w:val="0"/>
      <w:spacing w:before="100" w:after="100" w:line="240" w:lineRule="atLeast"/>
      <w:ind w:left="2880" w:hanging="360"/>
      <w:textAlignment w:val="baseline"/>
    </w:pPr>
    <w:rPr>
      <w:rFonts w:ascii="宋体" w:cs="宋体"/>
      <w:kern w:val="0"/>
      <w:sz w:val="20"/>
      <w:szCs w:val="20"/>
    </w:rPr>
  </w:style>
  <w:style w:type="paragraph" w:customStyle="1" w:styleId="197">
    <w:name w:val="Char2"/>
    <w:basedOn w:val="1"/>
    <w:qFormat/>
    <w:uiPriority w:val="99"/>
    <w:pPr>
      <w:spacing w:line="240" w:lineRule="atLeast"/>
      <w:ind w:left="420" w:firstLine="420"/>
    </w:pPr>
    <w:rPr>
      <w:kern w:val="0"/>
      <w:sz w:val="21"/>
      <w:szCs w:val="21"/>
    </w:rPr>
  </w:style>
  <w:style w:type="paragraph" w:customStyle="1" w:styleId="198">
    <w:name w:val="xl27"/>
    <w:basedOn w:val="1"/>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1"/>
      <w:szCs w:val="21"/>
    </w:rPr>
  </w:style>
  <w:style w:type="paragraph" w:customStyle="1" w:styleId="199">
    <w:name w:val="表格1"/>
    <w:basedOn w:val="1"/>
    <w:next w:val="1"/>
    <w:qFormat/>
    <w:uiPriority w:val="99"/>
    <w:pPr>
      <w:kinsoku w:val="0"/>
      <w:wordWrap w:val="0"/>
      <w:overflowPunct w:val="0"/>
      <w:autoSpaceDE w:val="0"/>
      <w:autoSpaceDN w:val="0"/>
      <w:adjustRightInd w:val="0"/>
      <w:spacing w:line="288" w:lineRule="auto"/>
      <w:jc w:val="center"/>
      <w:textAlignment w:val="baseline"/>
    </w:pPr>
    <w:rPr>
      <w:rFonts w:ascii="宋体" w:cs="宋体"/>
      <w:kern w:val="0"/>
      <w:sz w:val="18"/>
      <w:szCs w:val="18"/>
    </w:rPr>
  </w:style>
  <w:style w:type="paragraph" w:customStyle="1" w:styleId="200">
    <w:name w:val="首行缩进"/>
    <w:basedOn w:val="1"/>
    <w:qFormat/>
    <w:uiPriority w:val="99"/>
    <w:pPr>
      <w:tabs>
        <w:tab w:val="left" w:pos="540"/>
      </w:tabs>
      <w:spacing w:line="360" w:lineRule="auto"/>
      <w:ind w:left="540"/>
    </w:pPr>
    <w:rPr>
      <w:rFonts w:eastAsia="仿宋_GB2312"/>
    </w:rPr>
  </w:style>
  <w:style w:type="paragraph" w:customStyle="1" w:styleId="201">
    <w:name w:val="表格文本"/>
    <w:qFormat/>
    <w:uiPriority w:val="99"/>
    <w:pPr>
      <w:tabs>
        <w:tab w:val="decimal" w:pos="0"/>
      </w:tabs>
    </w:pPr>
    <w:rPr>
      <w:rFonts w:ascii="Arial" w:hAnsi="Arial" w:eastAsia="宋体" w:cs="Arial"/>
      <w:sz w:val="21"/>
      <w:szCs w:val="21"/>
      <w:lang w:val="en-US" w:eastAsia="zh-CN" w:bidi="ar-SA"/>
    </w:rPr>
  </w:style>
  <w:style w:type="paragraph" w:customStyle="1" w:styleId="202">
    <w:name w:val="文档正文 Char Char Char Char"/>
    <w:basedOn w:val="1"/>
    <w:qFormat/>
    <w:uiPriority w:val="99"/>
    <w:pPr>
      <w:adjustRightInd w:val="0"/>
      <w:spacing w:line="440" w:lineRule="exact"/>
      <w:ind w:firstLine="420"/>
      <w:textAlignment w:val="baseline"/>
    </w:pPr>
    <w:rPr>
      <w:rFonts w:ascii="Arial Narrow" w:hAnsi="Arial Narrow" w:cs="Arial Narrow"/>
      <w:kern w:val="0"/>
      <w:sz w:val="24"/>
      <w:szCs w:val="24"/>
    </w:rPr>
  </w:style>
  <w:style w:type="paragraph" w:customStyle="1" w:styleId="203">
    <w:name w:val="标题2"/>
    <w:basedOn w:val="5"/>
    <w:qFormat/>
    <w:uiPriority w:val="99"/>
    <w:pPr>
      <w:keepNext w:val="0"/>
      <w:keepLines w:val="0"/>
      <w:adjustRightInd w:val="0"/>
      <w:snapToGrid w:val="0"/>
      <w:spacing w:before="0" w:after="0" w:line="360" w:lineRule="auto"/>
      <w:ind w:firstLine="574" w:firstLineChars="196"/>
      <w:outlineLvl w:val="9"/>
    </w:pPr>
    <w:rPr>
      <w:rFonts w:ascii="宋体" w:hAnsi="宋体" w:eastAsia="宋体" w:cs="宋体"/>
      <w:spacing w:val="6"/>
      <w:sz w:val="28"/>
      <w:szCs w:val="28"/>
      <w:u w:val="single"/>
    </w:rPr>
  </w:style>
  <w:style w:type="paragraph" w:customStyle="1" w:styleId="204">
    <w:name w:val="Char Char1 Char"/>
    <w:basedOn w:val="1"/>
    <w:qFormat/>
    <w:uiPriority w:val="99"/>
    <w:rPr>
      <w:rFonts w:ascii="Tahoma" w:hAnsi="Tahoma" w:cs="Tahoma"/>
      <w:sz w:val="24"/>
      <w:szCs w:val="24"/>
    </w:rPr>
  </w:style>
  <w:style w:type="paragraph" w:customStyle="1" w:styleId="205">
    <w:name w:val="xl53"/>
    <w:basedOn w:val="1"/>
    <w:qFormat/>
    <w:uiPriority w:val="99"/>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206">
    <w:name w:val="Table Text Char1"/>
    <w:qFormat/>
    <w:uiPriority w:val="99"/>
    <w:pPr>
      <w:snapToGrid w:val="0"/>
      <w:spacing w:before="80" w:after="80"/>
    </w:pPr>
    <w:rPr>
      <w:rFonts w:ascii="Arial" w:hAnsi="Arial" w:eastAsia="宋体" w:cs="Arial"/>
      <w:kern w:val="2"/>
      <w:sz w:val="18"/>
      <w:szCs w:val="18"/>
      <w:lang w:val="en-US" w:eastAsia="zh-CN" w:bidi="ar-SA"/>
    </w:rPr>
  </w:style>
  <w:style w:type="paragraph" w:customStyle="1" w:styleId="207">
    <w:name w:val="content"/>
    <w:basedOn w:val="1"/>
    <w:qFormat/>
    <w:uiPriority w:val="99"/>
    <w:pPr>
      <w:widowControl/>
      <w:spacing w:before="100" w:beforeAutospacing="1" w:after="100" w:afterAutospacing="1" w:line="280" w:lineRule="atLeast"/>
      <w:ind w:firstLine="375"/>
      <w:jc w:val="left"/>
    </w:pPr>
    <w:rPr>
      <w:rFonts w:ascii="宋体" w:hAnsi="宋体" w:cs="宋体"/>
      <w:color w:val="000000"/>
      <w:kern w:val="0"/>
      <w:sz w:val="18"/>
      <w:szCs w:val="18"/>
    </w:rPr>
  </w:style>
  <w:style w:type="paragraph" w:customStyle="1" w:styleId="208">
    <w:name w:val="正文文本缩进 21"/>
    <w:basedOn w:val="1"/>
    <w:qFormat/>
    <w:uiPriority w:val="99"/>
    <w:pPr>
      <w:adjustRightInd w:val="0"/>
      <w:spacing w:before="120"/>
      <w:ind w:firstLine="420"/>
      <w:textAlignment w:val="baseline"/>
    </w:pPr>
    <w:rPr>
      <w:sz w:val="24"/>
      <w:szCs w:val="24"/>
    </w:rPr>
  </w:style>
  <w:style w:type="paragraph" w:customStyle="1" w:styleId="209">
    <w:name w:val="È¡ÀÊ¡ÎÄ¡À¾"/>
    <w:basedOn w:val="1"/>
    <w:qFormat/>
    <w:uiPriority w:val="99"/>
    <w:pPr>
      <w:widowControl/>
      <w:overflowPunct w:val="0"/>
      <w:autoSpaceDE w:val="0"/>
      <w:autoSpaceDN w:val="0"/>
      <w:adjustRightInd w:val="0"/>
      <w:jc w:val="left"/>
      <w:textAlignment w:val="baseline"/>
    </w:pPr>
    <w:rPr>
      <w:kern w:val="0"/>
      <w:sz w:val="24"/>
      <w:szCs w:val="24"/>
    </w:rPr>
  </w:style>
  <w:style w:type="paragraph" w:customStyle="1" w:styleId="210">
    <w:name w:val="文本1"/>
    <w:basedOn w:val="1"/>
    <w:qFormat/>
    <w:uiPriority w:val="99"/>
    <w:pPr>
      <w:adjustRightInd w:val="0"/>
      <w:spacing w:line="312" w:lineRule="atLeast"/>
      <w:jc w:val="center"/>
      <w:textAlignment w:val="baseline"/>
    </w:pPr>
    <w:rPr>
      <w:kern w:val="0"/>
      <w:sz w:val="18"/>
      <w:szCs w:val="18"/>
    </w:rPr>
  </w:style>
  <w:style w:type="paragraph" w:customStyle="1" w:styleId="211">
    <w:name w:val="样式 宋体 五号 两端对齐 行距: 单倍行距"/>
    <w:basedOn w:val="1"/>
    <w:qFormat/>
    <w:uiPriority w:val="99"/>
    <w:pPr>
      <w:adjustRightInd w:val="0"/>
      <w:textAlignment w:val="baseline"/>
    </w:pPr>
    <w:rPr>
      <w:rFonts w:ascii="宋体" w:hAnsi="宋体" w:cs="宋体"/>
      <w:kern w:val="0"/>
      <w:sz w:val="21"/>
      <w:szCs w:val="21"/>
    </w:rPr>
  </w:style>
  <w:style w:type="paragraph" w:customStyle="1" w:styleId="212">
    <w:name w:val="Figure Description"/>
    <w:next w:val="1"/>
    <w:qFormat/>
    <w:uiPriority w:val="99"/>
    <w:pPr>
      <w:snapToGrid w:val="0"/>
      <w:spacing w:before="80" w:after="320"/>
      <w:ind w:left="1134"/>
      <w:jc w:val="center"/>
    </w:pPr>
    <w:rPr>
      <w:rFonts w:ascii="Arial" w:hAnsi="Arial" w:eastAsia="黑体" w:cs="Arial"/>
      <w:sz w:val="18"/>
      <w:szCs w:val="18"/>
      <w:lang w:val="en-US" w:eastAsia="zh-CN" w:bidi="ar-SA"/>
    </w:rPr>
  </w:style>
  <w:style w:type="paragraph" w:customStyle="1" w:styleId="213">
    <w:name w:val="文档正文 Char Char Char Char Char"/>
    <w:basedOn w:val="1"/>
    <w:qFormat/>
    <w:uiPriority w:val="99"/>
    <w:pPr>
      <w:adjustRightInd w:val="0"/>
      <w:spacing w:line="440" w:lineRule="exact"/>
      <w:ind w:firstLine="420"/>
      <w:textAlignment w:val="baseline"/>
    </w:pPr>
    <w:rPr>
      <w:rFonts w:ascii="Arial Narrow" w:hAnsi="Arial Narrow" w:cs="Arial Narrow"/>
      <w:kern w:val="0"/>
      <w:sz w:val="24"/>
      <w:szCs w:val="24"/>
    </w:rPr>
  </w:style>
  <w:style w:type="paragraph" w:customStyle="1" w:styleId="214">
    <w:name w:val="Char Char Char Char Char Char Char Char Char Char Char Char Char Char Char Char"/>
    <w:basedOn w:val="1"/>
    <w:qFormat/>
    <w:uiPriority w:val="99"/>
    <w:pPr>
      <w:tabs>
        <w:tab w:val="left" w:pos="360"/>
      </w:tabs>
    </w:pPr>
    <w:rPr>
      <w:sz w:val="24"/>
      <w:szCs w:val="24"/>
    </w:rPr>
  </w:style>
  <w:style w:type="paragraph" w:customStyle="1" w:styleId="215">
    <w:name w:val="00"/>
    <w:basedOn w:val="1"/>
    <w:qFormat/>
    <w:uiPriority w:val="99"/>
    <w:pPr>
      <w:autoSpaceDE w:val="0"/>
      <w:autoSpaceDN w:val="0"/>
      <w:adjustRightInd w:val="0"/>
      <w:jc w:val="left"/>
    </w:pPr>
    <w:rPr>
      <w:rFonts w:ascii="黑体" w:eastAsia="黑体" w:cs="黑体"/>
      <w:b/>
      <w:bCs/>
      <w:kern w:val="0"/>
      <w:sz w:val="20"/>
      <w:szCs w:val="20"/>
    </w:rPr>
  </w:style>
  <w:style w:type="paragraph" w:customStyle="1" w:styleId="216">
    <w:name w:val="Char Char Char Char Char Char1 Char"/>
    <w:basedOn w:val="1"/>
    <w:qFormat/>
    <w:uiPriority w:val="99"/>
    <w:pPr>
      <w:widowControl/>
      <w:spacing w:after="160" w:line="240" w:lineRule="exact"/>
      <w:jc w:val="left"/>
    </w:pPr>
    <w:rPr>
      <w:rFonts w:ascii="Verdana" w:hAnsi="Verdana" w:cs="Verdana"/>
      <w:kern w:val="0"/>
      <w:sz w:val="21"/>
      <w:szCs w:val="21"/>
      <w:lang w:eastAsia="en-US"/>
    </w:rPr>
  </w:style>
  <w:style w:type="paragraph" w:customStyle="1" w:styleId="217">
    <w:name w:val="Char1 Char Char Char"/>
    <w:basedOn w:val="1"/>
    <w:qFormat/>
    <w:uiPriority w:val="99"/>
    <w:rPr>
      <w:rFonts w:ascii="Tahoma" w:hAnsi="Tahoma" w:cs="Tahoma"/>
      <w:sz w:val="30"/>
      <w:szCs w:val="30"/>
    </w:rPr>
  </w:style>
  <w:style w:type="paragraph" w:customStyle="1" w:styleId="218">
    <w:name w:val="小标题 1"/>
    <w:basedOn w:val="1"/>
    <w:qFormat/>
    <w:uiPriority w:val="99"/>
    <w:pPr>
      <w:autoSpaceDE w:val="0"/>
      <w:autoSpaceDN w:val="0"/>
      <w:adjustRightInd w:val="0"/>
      <w:spacing w:line="360" w:lineRule="atLeast"/>
    </w:pPr>
    <w:rPr>
      <w:rFonts w:ascii="文鼎粗黑" w:eastAsia="文鼎粗黑" w:cs="文鼎粗黑"/>
      <w:kern w:val="0"/>
      <w:sz w:val="22"/>
      <w:szCs w:val="22"/>
    </w:rPr>
  </w:style>
  <w:style w:type="paragraph" w:customStyle="1" w:styleId="219">
    <w:name w:val="Table Heading"/>
    <w:qFormat/>
    <w:uiPriority w:val="99"/>
    <w:pPr>
      <w:keepNext/>
      <w:snapToGrid w:val="0"/>
      <w:spacing w:before="80" w:after="80"/>
      <w:jc w:val="center"/>
    </w:pPr>
    <w:rPr>
      <w:rFonts w:ascii="Arial" w:hAnsi="Arial" w:eastAsia="黑体" w:cs="Arial"/>
      <w:sz w:val="18"/>
      <w:szCs w:val="18"/>
      <w:lang w:val="en-US" w:eastAsia="zh-CN" w:bidi="ar-SA"/>
    </w:rPr>
  </w:style>
  <w:style w:type="paragraph" w:customStyle="1" w:styleId="220">
    <w:name w:val="_"/>
    <w:basedOn w:val="1"/>
    <w:qFormat/>
    <w:uiPriority w:val="99"/>
    <w:pPr>
      <w:adjustRightInd w:val="0"/>
      <w:spacing w:line="360" w:lineRule="auto"/>
      <w:ind w:left="480" w:firstLine="200" w:firstLineChars="200"/>
      <w:textAlignment w:val="baseline"/>
    </w:pPr>
    <w:rPr>
      <w:kern w:val="0"/>
      <w:sz w:val="24"/>
      <w:szCs w:val="24"/>
    </w:rPr>
  </w:style>
  <w:style w:type="paragraph" w:customStyle="1" w:styleId="221">
    <w:name w:val="样式3"/>
    <w:basedOn w:val="4"/>
    <w:next w:val="4"/>
    <w:qFormat/>
    <w:uiPriority w:val="99"/>
    <w:pPr>
      <w:keepLines/>
      <w:adjustRightInd w:val="0"/>
      <w:spacing w:before="340" w:after="330" w:line="576" w:lineRule="auto"/>
    </w:pPr>
    <w:rPr>
      <w:rFonts w:eastAsia="黑体"/>
    </w:rPr>
  </w:style>
  <w:style w:type="paragraph" w:customStyle="1" w:styleId="222">
    <w:name w:val="1.正文"/>
    <w:basedOn w:val="1"/>
    <w:qFormat/>
    <w:uiPriority w:val="99"/>
    <w:pPr>
      <w:spacing w:line="360" w:lineRule="auto"/>
      <w:ind w:left="540" w:leftChars="225" w:firstLine="540" w:firstLineChars="225"/>
    </w:pPr>
    <w:rPr>
      <w:sz w:val="24"/>
      <w:szCs w:val="24"/>
    </w:rPr>
  </w:style>
  <w:style w:type="paragraph" w:customStyle="1" w:styleId="223">
    <w:name w:val="附录1"/>
    <w:basedOn w:val="1"/>
    <w:next w:val="1"/>
    <w:qFormat/>
    <w:uiPriority w:val="99"/>
    <w:pPr>
      <w:tabs>
        <w:tab w:val="left" w:pos="1304"/>
      </w:tabs>
      <w:ind w:left="425" w:hanging="425"/>
      <w:outlineLvl w:val="0"/>
    </w:pPr>
    <w:rPr>
      <w:rFonts w:ascii="黑体" w:hAnsi="黑体" w:eastAsia="黑体" w:cs="黑体"/>
      <w:b/>
      <w:bCs/>
      <w:sz w:val="44"/>
      <w:szCs w:val="44"/>
    </w:rPr>
  </w:style>
  <w:style w:type="paragraph" w:customStyle="1" w:styleId="224">
    <w:name w:val="默认段落字体 Para Char Char Char Char Char Char Char Char Char1 Char Char Char Char"/>
    <w:basedOn w:val="1"/>
    <w:qFormat/>
    <w:uiPriority w:val="99"/>
    <w:rPr>
      <w:rFonts w:ascii="Tahoma" w:hAnsi="Tahoma" w:cs="Tahoma"/>
      <w:sz w:val="24"/>
      <w:szCs w:val="24"/>
    </w:rPr>
  </w:style>
  <w:style w:type="paragraph" w:customStyle="1" w:styleId="225">
    <w:name w:val="CSS1级正文 Char"/>
    <w:basedOn w:val="23"/>
    <w:qFormat/>
    <w:uiPriority w:val="99"/>
    <w:pPr>
      <w:adjustRightInd w:val="0"/>
      <w:snapToGrid w:val="0"/>
      <w:spacing w:after="0" w:line="360" w:lineRule="auto"/>
      <w:ind w:firstLine="480"/>
    </w:pPr>
    <w:rPr>
      <w:kern w:val="0"/>
      <w:sz w:val="24"/>
      <w:szCs w:val="24"/>
    </w:rPr>
  </w:style>
  <w:style w:type="paragraph" w:customStyle="1" w:styleId="226">
    <w:name w:val="Item Step in Table"/>
    <w:qFormat/>
    <w:uiPriority w:val="99"/>
    <w:pPr>
      <w:tabs>
        <w:tab w:val="left" w:pos="397"/>
      </w:tabs>
      <w:spacing w:before="40" w:after="40"/>
      <w:jc w:val="both"/>
    </w:pPr>
    <w:rPr>
      <w:rFonts w:ascii="Arial" w:hAnsi="Arial" w:eastAsia="宋体" w:cs="Arial"/>
      <w:sz w:val="18"/>
      <w:szCs w:val="18"/>
      <w:lang w:val="en-US" w:eastAsia="zh-CN" w:bidi="ar-SA"/>
    </w:rPr>
  </w:style>
  <w:style w:type="paragraph" w:customStyle="1" w:styleId="227">
    <w:name w:val="司法正文"/>
    <w:qFormat/>
    <w:uiPriority w:val="99"/>
    <w:pPr>
      <w:widowControl w:val="0"/>
      <w:ind w:firstLine="200" w:firstLineChars="200"/>
      <w:jc w:val="both"/>
    </w:pPr>
    <w:rPr>
      <w:rFonts w:ascii="Times New Roman" w:hAnsi="Times New Roman" w:eastAsia="仿宋_GB2312" w:cs="Times New Roman"/>
      <w:sz w:val="32"/>
      <w:szCs w:val="32"/>
      <w:lang w:val="en-US" w:eastAsia="zh-CN" w:bidi="ar-SA"/>
    </w:rPr>
  </w:style>
  <w:style w:type="paragraph" w:customStyle="1" w:styleId="228">
    <w:name w:val="Item Step"/>
    <w:qFormat/>
    <w:uiPriority w:val="99"/>
    <w:pPr>
      <w:tabs>
        <w:tab w:val="left" w:pos="1644"/>
      </w:tabs>
      <w:ind w:left="1644" w:hanging="510"/>
      <w:outlineLvl w:val="4"/>
    </w:pPr>
    <w:rPr>
      <w:rFonts w:ascii="Arial" w:hAnsi="Arial" w:eastAsia="宋体" w:cs="Arial"/>
      <w:sz w:val="21"/>
      <w:szCs w:val="21"/>
      <w:lang w:val="en-US" w:eastAsia="zh-CN" w:bidi="ar-SA"/>
    </w:rPr>
  </w:style>
  <w:style w:type="paragraph" w:customStyle="1" w:styleId="229">
    <w:name w:val="正文1"/>
    <w:basedOn w:val="1"/>
    <w:qFormat/>
    <w:uiPriority w:val="99"/>
    <w:pPr>
      <w:spacing w:line="300" w:lineRule="auto"/>
      <w:ind w:firstLine="200" w:firstLineChars="200"/>
    </w:pPr>
    <w:rPr>
      <w:sz w:val="24"/>
      <w:szCs w:val="24"/>
    </w:rPr>
  </w:style>
  <w:style w:type="paragraph" w:customStyle="1" w:styleId="230">
    <w:name w:val="样式 行距: 1.5 倍行距1"/>
    <w:basedOn w:val="1"/>
    <w:qFormat/>
    <w:uiPriority w:val="99"/>
    <w:pPr>
      <w:snapToGrid w:val="0"/>
    </w:pPr>
    <w:rPr>
      <w:sz w:val="21"/>
      <w:szCs w:val="21"/>
    </w:rPr>
  </w:style>
  <w:style w:type="paragraph" w:customStyle="1" w:styleId="231">
    <w:name w:val="样式 宋体 五号 行距: 单倍行距"/>
    <w:basedOn w:val="1"/>
    <w:qFormat/>
    <w:uiPriority w:val="99"/>
    <w:pPr>
      <w:adjustRightInd w:val="0"/>
      <w:jc w:val="left"/>
    </w:pPr>
    <w:rPr>
      <w:rFonts w:ascii="宋体" w:hAnsi="宋体" w:cs="宋体"/>
      <w:kern w:val="0"/>
      <w:sz w:val="21"/>
      <w:szCs w:val="21"/>
    </w:rPr>
  </w:style>
  <w:style w:type="paragraph" w:customStyle="1" w:styleId="232">
    <w:name w:val="Item List"/>
    <w:qFormat/>
    <w:uiPriority w:val="99"/>
    <w:pPr>
      <w:tabs>
        <w:tab w:val="left" w:pos="1644"/>
      </w:tabs>
      <w:spacing w:line="300" w:lineRule="auto"/>
      <w:ind w:left="1644" w:hanging="510"/>
      <w:jc w:val="both"/>
    </w:pPr>
    <w:rPr>
      <w:rFonts w:ascii="Arial" w:hAnsi="Arial" w:eastAsia="宋体" w:cs="Arial"/>
      <w:sz w:val="21"/>
      <w:szCs w:val="21"/>
      <w:lang w:val="en-US" w:eastAsia="zh-CN" w:bidi="ar-SA"/>
    </w:rPr>
  </w:style>
  <w:style w:type="paragraph" w:customStyle="1" w:styleId="233">
    <w:name w:val="附录2"/>
    <w:basedOn w:val="1"/>
    <w:next w:val="1"/>
    <w:qFormat/>
    <w:uiPriority w:val="99"/>
    <w:pPr>
      <w:tabs>
        <w:tab w:val="left" w:pos="420"/>
        <w:tab w:val="left" w:pos="624"/>
      </w:tabs>
      <w:ind w:left="420" w:hanging="420"/>
      <w:outlineLvl w:val="1"/>
    </w:pPr>
    <w:rPr>
      <w:rFonts w:ascii="黑体" w:hAnsi="黑体" w:eastAsia="黑体" w:cs="黑体"/>
      <w:b/>
      <w:bCs/>
      <w:sz w:val="32"/>
      <w:szCs w:val="32"/>
    </w:rPr>
  </w:style>
  <w:style w:type="paragraph" w:customStyle="1" w:styleId="234">
    <w:name w:val="样式 正文缩进正文（首行缩进两字）表正文正文非缩进特点标题4段1 + 首行缩进:  2 字符"/>
    <w:basedOn w:val="17"/>
    <w:qFormat/>
    <w:uiPriority w:val="99"/>
    <w:pPr>
      <w:ind w:firstLine="480" w:firstLineChars="200"/>
    </w:pPr>
  </w:style>
  <w:style w:type="paragraph" w:customStyle="1" w:styleId="235">
    <w:name w:val="style1"/>
    <w:basedOn w:val="1"/>
    <w:qFormat/>
    <w:uiPriority w:val="99"/>
    <w:pPr>
      <w:widowControl/>
      <w:spacing w:before="100" w:beforeAutospacing="1" w:after="100" w:afterAutospacing="1"/>
      <w:jc w:val="left"/>
    </w:pPr>
    <w:rPr>
      <w:rFonts w:ascii="宋体" w:hAnsi="宋体" w:cs="宋体"/>
      <w:kern w:val="0"/>
      <w:sz w:val="21"/>
      <w:szCs w:val="21"/>
    </w:rPr>
  </w:style>
  <w:style w:type="paragraph" w:customStyle="1" w:styleId="236">
    <w:name w:val="标准正文"/>
    <w:basedOn w:val="3"/>
    <w:qFormat/>
    <w:uiPriority w:val="99"/>
    <w:pPr>
      <w:spacing w:before="60" w:after="60" w:line="360" w:lineRule="auto"/>
      <w:ind w:left="0" w:firstLine="482"/>
    </w:pPr>
    <w:rPr>
      <w:rFonts w:ascii="Arial" w:hAnsi="Arial" w:cs="Arial"/>
      <w:sz w:val="24"/>
      <w:szCs w:val="24"/>
    </w:rPr>
  </w:style>
  <w:style w:type="paragraph" w:customStyle="1" w:styleId="237">
    <w:name w:val="正文字缩2字"/>
    <w:basedOn w:val="1"/>
    <w:qFormat/>
    <w:uiPriority w:val="99"/>
    <w:pPr>
      <w:spacing w:before="60" w:after="60" w:line="360" w:lineRule="auto"/>
      <w:ind w:left="200" w:leftChars="200" w:firstLine="200" w:firstLineChars="200"/>
    </w:pPr>
    <w:rPr>
      <w:sz w:val="24"/>
      <w:szCs w:val="24"/>
    </w:rPr>
  </w:style>
  <w:style w:type="paragraph" w:customStyle="1" w:styleId="238">
    <w:name w:val="Title - Date"/>
    <w:basedOn w:val="48"/>
    <w:next w:val="1"/>
    <w:qFormat/>
    <w:uiPriority w:val="99"/>
    <w:pPr>
      <w:spacing w:before="240" w:after="720"/>
    </w:pPr>
    <w:rPr>
      <w:sz w:val="28"/>
      <w:szCs w:val="28"/>
    </w:rPr>
  </w:style>
  <w:style w:type="paragraph" w:customStyle="1" w:styleId="239">
    <w:name w:val="List Paragraph1"/>
    <w:basedOn w:val="1"/>
    <w:qFormat/>
    <w:uiPriority w:val="99"/>
    <w:pPr>
      <w:ind w:firstLine="420" w:firstLineChars="200"/>
    </w:pPr>
  </w:style>
  <w:style w:type="paragraph" w:customStyle="1" w:styleId="240">
    <w:name w:val="Table Text Char Char"/>
    <w:qFormat/>
    <w:uiPriority w:val="99"/>
    <w:pPr>
      <w:snapToGrid w:val="0"/>
      <w:spacing w:before="80" w:after="80"/>
    </w:pPr>
    <w:rPr>
      <w:rFonts w:ascii="Arial" w:hAnsi="Arial" w:eastAsia="宋体" w:cs="Arial"/>
      <w:kern w:val="2"/>
      <w:sz w:val="18"/>
      <w:szCs w:val="18"/>
      <w:lang w:val="en-US" w:eastAsia="zh-CN" w:bidi="ar-SA"/>
    </w:rPr>
  </w:style>
  <w:style w:type="paragraph" w:customStyle="1" w:styleId="241">
    <w:name w:val="附录4"/>
    <w:basedOn w:val="1"/>
    <w:next w:val="1"/>
    <w:qFormat/>
    <w:uiPriority w:val="99"/>
    <w:pPr>
      <w:widowControl/>
      <w:tabs>
        <w:tab w:val="left" w:pos="1134"/>
      </w:tabs>
      <w:spacing w:line="300" w:lineRule="auto"/>
      <w:ind w:left="1361" w:hanging="1361"/>
      <w:outlineLvl w:val="3"/>
    </w:pPr>
    <w:rPr>
      <w:rFonts w:ascii="Arial" w:hAnsi="Arial" w:eastAsia="黑体" w:cs="Arial"/>
      <w:kern w:val="0"/>
    </w:rPr>
  </w:style>
  <w:style w:type="paragraph" w:customStyle="1" w:styleId="242">
    <w:name w:val="af"/>
    <w:basedOn w:val="1"/>
    <w:qFormat/>
    <w:uiPriority w:val="99"/>
    <w:pPr>
      <w:widowControl/>
      <w:spacing w:line="300" w:lineRule="atLeast"/>
      <w:jc w:val="left"/>
    </w:pPr>
    <w:rPr>
      <w:rFonts w:ascii="宋体" w:hAnsi="宋体" w:cs="宋体"/>
      <w:kern w:val="0"/>
      <w:sz w:val="18"/>
      <w:szCs w:val="18"/>
    </w:rPr>
  </w:style>
  <w:style w:type="paragraph" w:customStyle="1" w:styleId="243">
    <w:name w:val="Char Char Char Char Char Char Char1"/>
    <w:basedOn w:val="1"/>
    <w:qFormat/>
    <w:uiPriority w:val="99"/>
    <w:rPr>
      <w:rFonts w:ascii="Tahoma" w:hAnsi="Tahoma" w:cs="Tahoma"/>
      <w:sz w:val="24"/>
      <w:szCs w:val="24"/>
    </w:rPr>
  </w:style>
  <w:style w:type="paragraph" w:customStyle="1" w:styleId="244">
    <w:name w:val="_Style 239"/>
    <w:basedOn w:val="1"/>
    <w:next w:val="1"/>
    <w:qFormat/>
    <w:uiPriority w:val="99"/>
    <w:pPr>
      <w:pBdr>
        <w:bottom w:val="single" w:color="auto" w:sz="6" w:space="1"/>
      </w:pBdr>
      <w:jc w:val="center"/>
    </w:pPr>
    <w:rPr>
      <w:rFonts w:ascii="Arial" w:cs="Arial"/>
      <w:vanish/>
      <w:sz w:val="16"/>
      <w:szCs w:val="16"/>
    </w:rPr>
  </w:style>
  <w:style w:type="paragraph" w:customStyle="1" w:styleId="245">
    <w:name w:val="文本框样式1"/>
    <w:basedOn w:val="1"/>
    <w:qFormat/>
    <w:uiPriority w:val="99"/>
    <w:pPr>
      <w:adjustRightInd w:val="0"/>
      <w:snapToGrid w:val="0"/>
      <w:spacing w:before="60" w:line="180" w:lineRule="exact"/>
      <w:jc w:val="center"/>
    </w:pPr>
    <w:rPr>
      <w:sz w:val="21"/>
      <w:szCs w:val="21"/>
    </w:rPr>
  </w:style>
  <w:style w:type="paragraph" w:customStyle="1" w:styleId="246">
    <w:name w:val="样式 仿宋_GB2312 首行缩进:  2 字符"/>
    <w:basedOn w:val="1"/>
    <w:qFormat/>
    <w:uiPriority w:val="99"/>
    <w:pPr>
      <w:spacing w:line="600" w:lineRule="exact"/>
      <w:ind w:firstLine="420" w:firstLineChars="150"/>
      <w:jc w:val="left"/>
    </w:pPr>
    <w:rPr>
      <w:rFonts w:ascii="仿宋_GB2312" w:hAnsi="Arial" w:eastAsia="仿宋_GB2312" w:cs="仿宋_GB2312"/>
      <w:color w:val="000000"/>
      <w:kern w:val="0"/>
      <w:lang w:val="zh-CN"/>
    </w:rPr>
  </w:style>
  <w:style w:type="paragraph" w:customStyle="1" w:styleId="247">
    <w:name w:val="缺省文本"/>
    <w:basedOn w:val="1"/>
    <w:qFormat/>
    <w:uiPriority w:val="99"/>
    <w:pPr>
      <w:tabs>
        <w:tab w:val="left" w:pos="1260"/>
      </w:tabs>
      <w:autoSpaceDE w:val="0"/>
      <w:autoSpaceDN w:val="0"/>
      <w:adjustRightInd w:val="0"/>
      <w:spacing w:line="360" w:lineRule="auto"/>
      <w:jc w:val="left"/>
    </w:pPr>
    <w:rPr>
      <w:kern w:val="0"/>
      <w:sz w:val="24"/>
      <w:szCs w:val="24"/>
    </w:rPr>
  </w:style>
  <w:style w:type="paragraph" w:customStyle="1" w:styleId="248">
    <w:name w:val="图例"/>
    <w:basedOn w:val="1"/>
    <w:qFormat/>
    <w:uiPriority w:val="99"/>
    <w:pPr>
      <w:spacing w:before="120" w:after="120" w:line="360" w:lineRule="auto"/>
      <w:jc w:val="center"/>
    </w:pPr>
    <w:rPr>
      <w:rFonts w:eastAsia="仿宋_GB2312"/>
      <w:b/>
      <w:bCs/>
      <w:sz w:val="24"/>
      <w:szCs w:val="24"/>
    </w:rPr>
  </w:style>
  <w:style w:type="paragraph" w:customStyle="1" w:styleId="249">
    <w:name w:val="编号正文"/>
    <w:basedOn w:val="141"/>
    <w:qFormat/>
    <w:uiPriority w:val="99"/>
    <w:pPr>
      <w:snapToGrid/>
      <w:spacing w:line="360" w:lineRule="auto"/>
      <w:ind w:left="1407" w:hanging="1047"/>
      <w:jc w:val="left"/>
    </w:pPr>
    <w:rPr>
      <w:rFonts w:eastAsia="仿宋_GB2312"/>
    </w:rPr>
  </w:style>
  <w:style w:type="paragraph" w:customStyle="1" w:styleId="250">
    <w:name w:val="文章正文"/>
    <w:basedOn w:val="1"/>
    <w:qFormat/>
    <w:uiPriority w:val="99"/>
    <w:pPr>
      <w:ind w:firstLine="560" w:firstLineChars="200"/>
    </w:pPr>
    <w:rPr>
      <w:rFonts w:ascii="仿宋_GB2312" w:hAnsi="宋体" w:eastAsia="仿宋_GB2312" w:cs="仿宋_GB2312"/>
      <w:color w:val="000000"/>
    </w:rPr>
  </w:style>
  <w:style w:type="paragraph" w:customStyle="1" w:styleId="251">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52">
    <w:name w:val="表格内文字"/>
    <w:basedOn w:val="30"/>
    <w:qFormat/>
    <w:uiPriority w:val="99"/>
    <w:pPr>
      <w:adjustRightInd w:val="0"/>
    </w:pPr>
    <w:rPr>
      <w:rFonts w:cs="Times New Roman"/>
      <w:color w:val="000000"/>
      <w:kern w:val="0"/>
      <w:szCs w:val="20"/>
      <w:lang w:val="en-GB"/>
    </w:rPr>
  </w:style>
  <w:style w:type="paragraph" w:customStyle="1" w:styleId="253">
    <w:name w:val="二级列表"/>
    <w:basedOn w:val="192"/>
    <w:next w:val="192"/>
    <w:qFormat/>
    <w:uiPriority w:val="99"/>
    <w:pPr>
      <w:tabs>
        <w:tab w:val="left" w:pos="2120"/>
      </w:tabs>
      <w:ind w:firstLine="0" w:firstLineChars="0"/>
    </w:pPr>
    <w:rPr>
      <w:b/>
      <w:bCs/>
    </w:rPr>
  </w:style>
  <w:style w:type="paragraph" w:customStyle="1" w:styleId="254">
    <w:name w:val="表格非标题文字"/>
    <w:link w:val="255"/>
    <w:qFormat/>
    <w:uiPriority w:val="99"/>
    <w:pPr>
      <w:snapToGrid w:val="0"/>
      <w:spacing w:before="80" w:after="40"/>
    </w:pPr>
    <w:rPr>
      <w:rFonts w:ascii="Futura Bk" w:hAnsi="Futura Bk" w:eastAsia="宋体" w:cs="Times New Roman"/>
      <w:sz w:val="18"/>
      <w:szCs w:val="21"/>
      <w:lang w:val="en-US" w:eastAsia="zh-CN" w:bidi="ar-SA"/>
    </w:rPr>
  </w:style>
  <w:style w:type="character" w:customStyle="1" w:styleId="255">
    <w:name w:val="表格非标题文字 Char"/>
    <w:link w:val="254"/>
    <w:qFormat/>
    <w:locked/>
    <w:uiPriority w:val="99"/>
    <w:rPr>
      <w:rFonts w:ascii="Futura Bk" w:hAnsi="Futura Bk" w:eastAsia="宋体" w:cs="Times New Roman"/>
      <w:kern w:val="0"/>
      <w:sz w:val="18"/>
      <w:szCs w:val="21"/>
    </w:rPr>
  </w:style>
  <w:style w:type="paragraph" w:styleId="25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A2F277-0952-482A-B894-CAD352D4789B}">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62</Pages>
  <Words>5783</Words>
  <Characters>32965</Characters>
  <Lines>274</Lines>
  <Paragraphs>77</Paragraphs>
  <TotalTime>12</TotalTime>
  <ScaleCrop>false</ScaleCrop>
  <LinksUpToDate>false</LinksUpToDate>
  <CharactersWithSpaces>38671</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2018-09-26T03:54:00Z</dcterms:created>
  <dc:creator>Sky123.Org</dc:creator>
  <cp:lastModifiedBy>Administrator</cp:lastModifiedBy>
  <cp:lastPrinted>2019-06-06T02:14:00Z</cp:lastPrinted>
  <dcterms:modified xsi:type="dcterms:W3CDTF">2019-11-18T04:34:11Z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