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450" w:afterAutospacing="0" w:line="240" w:lineRule="atLeast"/>
        <w:ind w:left="450" w:right="450"/>
        <w:jc w:val="center"/>
        <w:rPr>
          <w:rFonts w:hint="eastAsia" w:ascii="黑体" w:hAnsi="宋体" w:eastAsia="黑体" w:cs="黑体"/>
          <w:i w:val="0"/>
          <w:color w:val="3E3E3E"/>
          <w:sz w:val="24"/>
          <w:szCs w:val="24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E3E3E"/>
          <w:spacing w:val="0"/>
          <w:sz w:val="24"/>
          <w:szCs w:val="24"/>
        </w:rPr>
        <w:t>废止的规章和规范性文件目录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1170" w:right="450" w:hanging="720"/>
        <w:rPr>
          <w:i w:val="0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  <w:t>一、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14"/>
          <w:szCs w:val="14"/>
        </w:rPr>
        <w:t>       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</w:rPr>
        <w:t>规章（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>3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</w:rPr>
        <w:t>件）</w:t>
      </w:r>
    </w:p>
    <w:tbl>
      <w:tblPr>
        <w:tblStyle w:val="4"/>
        <w:tblW w:w="8070" w:type="dxa"/>
        <w:tblCellSpacing w:w="0" w:type="dxa"/>
        <w:tblInd w:w="4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631"/>
        <w:gridCol w:w="1265"/>
        <w:gridCol w:w="1450"/>
        <w:gridCol w:w="1343"/>
        <w:gridCol w:w="16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tblCellSpacing w:w="0" w:type="dxa"/>
        </w:trPr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发布机关</w:t>
            </w:r>
          </w:p>
        </w:tc>
        <w:tc>
          <w:tcPr>
            <w:tcW w:w="1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文号</w:t>
            </w:r>
          </w:p>
        </w:tc>
        <w:tc>
          <w:tcPr>
            <w:tcW w:w="13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发布时间</w:t>
            </w:r>
          </w:p>
        </w:tc>
        <w:tc>
          <w:tcPr>
            <w:tcW w:w="1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废止原因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</w:trPr>
        <w:tc>
          <w:tcPr>
            <w:tcW w:w="6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教练员管理工作暂行规定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国家体委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）体干字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103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1988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形势变化，实际已失效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6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射击运动枪支弹药管理办法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国家体委、公安部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国家体委、公安部令第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18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1992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25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已被《射击竞技体育运动枪支管理办法》（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2010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国家体育总局、公安部第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号令发布）代替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6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运动员使用运动营养补品管理暂行办法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国家体委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(93)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体科字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136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1993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形势变化，实际已失效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1170" w:right="450" w:hanging="720"/>
        <w:rPr>
          <w:i w:val="0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  <w:t>二、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14"/>
          <w:szCs w:val="14"/>
        </w:rPr>
        <w:t>       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</w:rPr>
        <w:t>规范性文件（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>9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</w:rPr>
        <w:t>件）</w:t>
      </w:r>
    </w:p>
    <w:tbl>
      <w:tblPr>
        <w:tblStyle w:val="4"/>
        <w:tblW w:w="8069" w:type="dxa"/>
        <w:tblCellSpacing w:w="0" w:type="dxa"/>
        <w:tblInd w:w="4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628"/>
        <w:gridCol w:w="1206"/>
        <w:gridCol w:w="1537"/>
        <w:gridCol w:w="1276"/>
        <w:gridCol w:w="17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发布机关</w:t>
            </w:r>
          </w:p>
        </w:tc>
        <w:tc>
          <w:tcPr>
            <w:tcW w:w="15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文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发布时间</w:t>
            </w:r>
          </w:p>
        </w:tc>
        <w:tc>
          <w:tcPr>
            <w:tcW w:w="1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废止原因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关于著名优秀运动员上大学有关事宜的通知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国家体委、国家教委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）体干字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1241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1987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已被《关于进一步做好退役运动员就业安置工作的意见》（体人字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[2002]411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号）代替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国家田径队教练员、运动员确定和公布试行办法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国家体委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体训竞三字（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1993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122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1993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形势变化，实际已失效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关于加速培养跨世纪优秀中青年教练员的意见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国家体委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体人字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[1997]171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1997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适用期已过，实际已失效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关于加速优秀中青年专业技术人才培养工作的意见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国家体委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体人字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[1997]172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1997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适用期已过，实际已失效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关于进一步加强直属事业单位财务管理的通知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国家体育总局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体经济字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[2001]414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2001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已被新的规范性文件代替，实际已失效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关于进一步加强运动员文化教育工作的意见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国家体育总局、教育部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体科字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[2003]6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2003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已被新的规范性文件代替，实际已失效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外派体育技术人员待遇和财务管理规定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国家体育总局、财政部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体经济字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[2004]6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2004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已被新的规范性文件代替，实际已失效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关于实施农民体育健身工程的意见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国家体育总局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体发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[2006]13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2006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适用期已过，实际已失效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国家体育总局体育社会科学研究项目管理办法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国家体育总局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体政字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[2006]59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i w:val="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2006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已被新的规范性文件代替，实际已失效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5191A"/>
    <w:rsid w:val="5C4519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2018-11-13T12:31:00Z</dcterms:created>
  <dc:creator>致都</dc:creator>
  <cp:lastModifiedBy>致都</cp:lastModifiedBy>
  <dcterms:modified xsi:type="dcterms:W3CDTF">2018-11-13T12:31:37Z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