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line="315" w:lineRule="atLeas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重庆市体育局</w:t>
      </w:r>
    </w:p>
    <w:p>
      <w:pPr>
        <w:pStyle w:val="2"/>
        <w:keepNext w:val="0"/>
        <w:keepLines w:val="0"/>
        <w:widowControl/>
        <w:suppressLineNumbers w:val="0"/>
        <w:spacing w:before="0" w:beforeAutospacing="0" w:line="315" w:lineRule="atLeas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关于印发《竞技体育后备人才培养行动计划(2018—2022)》的通知</w:t>
      </w:r>
    </w:p>
    <w:p>
      <w:pPr>
        <w:pStyle w:val="2"/>
        <w:keepNext w:val="0"/>
        <w:keepLines w:val="0"/>
        <w:widowControl/>
        <w:suppressLineNumbers w:val="0"/>
        <w:spacing w:before="0" w:beforeAutospacing="0" w:line="315"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渝体〔2018〕472号</w:t>
      </w:r>
    </w:p>
    <w:p>
      <w:pPr>
        <w:pStyle w:val="2"/>
        <w:keepNext w:val="0"/>
        <w:keepLines w:val="0"/>
        <w:widowControl/>
        <w:suppressLineNumbers w:val="0"/>
        <w:spacing w:before="0" w:beforeAutospacing="0" w:line="315" w:lineRule="atLeast"/>
        <w:rPr>
          <w:rFonts w:hint="eastAsia" w:ascii="方正仿宋_GBK" w:hAnsi="方正仿宋_GBK" w:eastAsia="方正仿宋_GBK" w:cs="方正仿宋_GBK"/>
          <w:sz w:val="32"/>
          <w:szCs w:val="32"/>
        </w:rPr>
      </w:pPr>
    </w:p>
    <w:p>
      <w:pPr>
        <w:pStyle w:val="2"/>
        <w:keepNext w:val="0"/>
        <w:keepLines w:val="0"/>
        <w:widowControl/>
        <w:suppressLineNumbers w:val="0"/>
        <w:spacing w:before="0" w:beforeAutospacing="0" w:line="315"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各区县（自治县）体育局（文化委），两江新区社发局、万盛经开区体育局，各直属单位，机关各处室，各高校体育院（系），各市级单项协会：</w:t>
      </w:r>
    </w:p>
    <w:p>
      <w:pPr>
        <w:pStyle w:val="2"/>
        <w:keepNext w:val="0"/>
        <w:keepLines w:val="0"/>
        <w:widowControl/>
        <w:suppressLineNumbers w:val="0"/>
        <w:spacing w:line="315"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为对标对表落实全市“三大攻坚战”“八项行动计划”，经2018年8月30日市局党组第12次会议审议通过，现将《竞技体育后备人才培养行动计划（2018—2022）》印发你们，请结合实际认真贯彻落实。</w:t>
      </w:r>
    </w:p>
    <w:p>
      <w:pPr>
        <w:pStyle w:val="2"/>
        <w:keepNext w:val="0"/>
        <w:keepLines w:val="0"/>
        <w:widowControl/>
        <w:suppressLineNumbers w:val="0"/>
        <w:spacing w:line="315"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pStyle w:val="2"/>
        <w:keepNext w:val="0"/>
        <w:keepLines w:val="0"/>
        <w:widowControl/>
        <w:suppressLineNumbers w:val="0"/>
        <w:spacing w:line="315" w:lineRule="atLeast"/>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重庆市体育局</w:t>
      </w:r>
    </w:p>
    <w:p>
      <w:pPr>
        <w:pStyle w:val="2"/>
        <w:keepNext w:val="0"/>
        <w:keepLines w:val="0"/>
        <w:widowControl/>
        <w:suppressLineNumbers w:val="0"/>
        <w:spacing w:line="315" w:lineRule="atLeast"/>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                                 2018年10月10日</w:t>
      </w:r>
    </w:p>
    <w:p>
      <w:pPr>
        <w:pStyle w:val="2"/>
        <w:keepNext w:val="0"/>
        <w:keepLines w:val="0"/>
        <w:widowControl/>
        <w:suppressLineNumbers w:val="0"/>
        <w:spacing w:line="315" w:lineRule="atLeast"/>
        <w:rPr>
          <w:rFonts w:hint="eastAsia" w:ascii="方正仿宋_GBK" w:hAnsi="方正仿宋_GBK" w:eastAsia="方正仿宋_GBK" w:cs="方正仿宋_GBK"/>
          <w:sz w:val="32"/>
          <w:szCs w:val="32"/>
        </w:rPr>
      </w:pPr>
    </w:p>
    <w:p>
      <w:pPr>
        <w:pStyle w:val="2"/>
        <w:keepNext w:val="0"/>
        <w:keepLines w:val="0"/>
        <w:widowControl/>
        <w:suppressLineNumbers w:val="0"/>
        <w:spacing w:line="315" w:lineRule="atLeas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竞技体育后备人才培养行动计划</w:t>
      </w:r>
    </w:p>
    <w:p>
      <w:pPr>
        <w:pStyle w:val="2"/>
        <w:keepNext w:val="0"/>
        <w:keepLines w:val="0"/>
        <w:widowControl/>
        <w:suppressLineNumbers w:val="0"/>
        <w:spacing w:line="315"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（2018—2022）</w:t>
      </w:r>
    </w:p>
    <w:p>
      <w:pPr>
        <w:pStyle w:val="2"/>
        <w:keepNext w:val="0"/>
        <w:keepLines w:val="0"/>
        <w:widowControl/>
        <w:suppressLineNumbers w:val="0"/>
        <w:spacing w:line="315"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pStyle w:val="2"/>
        <w:keepNext w:val="0"/>
        <w:keepLines w:val="0"/>
        <w:widowControl/>
        <w:suppressLineNumbers w:val="0"/>
        <w:spacing w:line="315"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深入贯彻落实党的十九大精神和习近平总书记对我市“两点”定位、“两地”“两高”目标和“四个扎实”的要求，按照市委五届三次、四次全会的精神，对标对表落实全市“三大攻坚战”“八项行动计划”，着力夯实竞技体育后备人才基础，提升竞技体育整体实力，加快创建体育强市，努力提高城市影响力。结合我市实际，制定本行动计划。</w:t>
      </w:r>
    </w:p>
    <w:p>
      <w:pPr>
        <w:pStyle w:val="2"/>
        <w:keepNext w:val="0"/>
        <w:keepLines w:val="0"/>
        <w:widowControl/>
        <w:suppressLineNumbers w:val="0"/>
        <w:spacing w:line="315" w:lineRule="atLeast"/>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一、总体要求</w:t>
      </w:r>
    </w:p>
    <w:p>
      <w:pPr>
        <w:pStyle w:val="2"/>
        <w:keepNext w:val="0"/>
        <w:keepLines w:val="0"/>
        <w:widowControl/>
        <w:suppressLineNumbers w:val="0"/>
        <w:spacing w:line="315"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（一）指导思想</w:t>
      </w:r>
    </w:p>
    <w:p>
      <w:pPr>
        <w:pStyle w:val="2"/>
        <w:keepNext w:val="0"/>
        <w:keepLines w:val="0"/>
        <w:widowControl/>
        <w:suppressLineNumbers w:val="0"/>
        <w:spacing w:line="315"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习近平新时代中国特色社会主义思想为指导，深入学习贯彻党的十九大精神，厚植竞技体育后备人才基础，坚持政府主导与社会参与相结合，普及与提高并重，按照“选好苗子、打好基础、认真培养、积极输送”的要求，健全竞技体育后备人才培养体系，着力提升竞技体育后备人才培养水平，努力向国家和市优秀运动队输送更多的竞技体育后备人才。</w:t>
      </w:r>
    </w:p>
    <w:p>
      <w:pPr>
        <w:pStyle w:val="2"/>
        <w:keepNext w:val="0"/>
        <w:keepLines w:val="0"/>
        <w:widowControl/>
        <w:suppressLineNumbers w:val="0"/>
        <w:spacing w:line="315"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（二）基本原则</w:t>
      </w:r>
    </w:p>
    <w:p>
      <w:pPr>
        <w:pStyle w:val="2"/>
        <w:keepNext w:val="0"/>
        <w:keepLines w:val="0"/>
        <w:widowControl/>
        <w:suppressLineNumbers w:val="0"/>
        <w:spacing w:line="315"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——坚持政府主导。增强各级政府对竞技体育后备人才培养的主导作用，加大对竞技体育后备人才培养工作的资金投入和政策保障。吸纳社会资金投入竞技体育后备人才培养。</w:t>
      </w:r>
    </w:p>
    <w:p>
      <w:pPr>
        <w:pStyle w:val="2"/>
        <w:keepNext w:val="0"/>
        <w:keepLines w:val="0"/>
        <w:widowControl/>
        <w:suppressLineNumbers w:val="0"/>
        <w:spacing w:line="315"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——坚持部门协作。建立体育、教育部门协同机制，优化资源配置，构建“资源共享、优势互补、共同管理、各负其责”的体教结合新格局。</w:t>
      </w:r>
    </w:p>
    <w:p>
      <w:pPr>
        <w:pStyle w:val="2"/>
        <w:keepNext w:val="0"/>
        <w:keepLines w:val="0"/>
        <w:widowControl/>
        <w:suppressLineNumbers w:val="0"/>
        <w:spacing w:line="315"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——坚持统筹兼顾。根据全市竞技体育后备人才培养实际，理清思路，突出重点，兼顾一般，统筹推进全市竞技体育后备人才培养工作均衡发展。</w:t>
      </w:r>
    </w:p>
    <w:p>
      <w:pPr>
        <w:pStyle w:val="2"/>
        <w:keepNext w:val="0"/>
        <w:keepLines w:val="0"/>
        <w:widowControl/>
        <w:suppressLineNumbers w:val="0"/>
        <w:spacing w:line="315"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——坚持人才战略。实施教练员、科研人员、管理人员队伍培养计划，扩大队伍规模、提高队伍素质、完善队伍结构，建立健全体校教练员培养和晋升机制。</w:t>
      </w:r>
    </w:p>
    <w:p>
      <w:pPr>
        <w:pStyle w:val="2"/>
        <w:keepNext w:val="0"/>
        <w:keepLines w:val="0"/>
        <w:widowControl/>
        <w:suppressLineNumbers w:val="0"/>
        <w:spacing w:line="315" w:lineRule="atLeast"/>
        <w:ind w:firstLine="643"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二、工作目标</w:t>
      </w:r>
    </w:p>
    <w:p>
      <w:pPr>
        <w:pStyle w:val="2"/>
        <w:keepNext w:val="0"/>
        <w:keepLines w:val="0"/>
        <w:widowControl/>
        <w:suppressLineNumbers w:val="0"/>
        <w:spacing w:line="315"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到2022年，竞技体育后备人才培养工作体制机制进一步健全、保障更加有力。青少年体育赛事活动更加丰富，竞技体育后备人才三级训练体系更加完善，项目布局更加优化，青少年体育训练基础更加坚实。教练员、科研人员队伍规模不断扩大、素质不断提高。科学选材和科学训练评价标准初步建立，竞技体育后备人才数量和质量稳步提升。国家级青少年体育基地达到5个以上，在训青少年运动员达到30000名，市级重点业余体校达到18所，市级体育后备人才重点单项训练基地达到50个。输送到市优秀运动队等运动员达到100人以上。</w:t>
      </w:r>
    </w:p>
    <w:p>
      <w:pPr>
        <w:pStyle w:val="2"/>
        <w:keepNext w:val="0"/>
        <w:keepLines w:val="0"/>
        <w:widowControl/>
        <w:suppressLineNumbers w:val="0"/>
        <w:spacing w:line="315" w:lineRule="atLeast"/>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三、主要任务</w:t>
      </w:r>
    </w:p>
    <w:p>
      <w:pPr>
        <w:pStyle w:val="2"/>
        <w:keepNext w:val="0"/>
        <w:keepLines w:val="0"/>
        <w:widowControl/>
        <w:suppressLineNumbers w:val="0"/>
        <w:spacing w:line="315"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（一）健全竞技体育后备人才培养三级训练体系</w:t>
      </w:r>
    </w:p>
    <w:p>
      <w:pPr>
        <w:pStyle w:val="2"/>
        <w:keepNext w:val="0"/>
        <w:keepLines w:val="0"/>
        <w:widowControl/>
        <w:suppressLineNumbers w:val="0"/>
        <w:spacing w:line="315"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加强市级体校建设，做优“塔尖”。积极改善市级体校办学条件，科学设置运动项目，提升办学层次，建立学校、区县体校、市级体校、优秀运动队逐级输送的体制机制，不断扩大市级竞技体育后备人才规模。贯彻落实国务院《关于进一步加强运动员文化教育和运动员保障工作的指导意见》精神，推动落实九年义务教育阶段公办体校享受教育的相关配套政策，将运动员文化教育纳入教育部门管理。推进重庆市体育运动学校新校建设，努力将重庆市体育运动学校打造成场地设施先进、配套成熟、管理规范的国家高水平体育后备人才基地，积极争创国家青少年综合性训练中心。优化资源配置，建立共建共享机制，推进与区县、学校、社会共建市优秀运动队及二、三线运动队。</w:t>
      </w:r>
    </w:p>
    <w:p>
      <w:pPr>
        <w:pStyle w:val="2"/>
        <w:keepNext w:val="0"/>
        <w:keepLines w:val="0"/>
        <w:widowControl/>
        <w:suppressLineNumbers w:val="0"/>
        <w:spacing w:line="315"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提高区县体校、体育传统项目学校训练质量，做强“塔身”。科学布局区县体育运动项目，根据全市青少年体育训练实际，结合全国第二届青运会竞赛规程总则设项要求，科学统筹全市各区县项目布局，并对竞赛成绩突出、运动员输送较多的布局项目予以政策和资金扶持。加大重点体校、单项基地资金投入，对输送成绩突出的单位给予表彰奖励，对边远地区和重视竞技体育后备人才培养工作的区县给予政策和资金倾斜。鼓励区县非重点体校向重点体校输送优秀运动员共同培养，实行市运会双计分政策。恢复市级体育传统项目学校创建，对青少年体育训练工作开展好、输送成绩突出的传统项目学校给予表彰资助。支持具备条件的青少年体育社会组织参与单项基地申报工作。</w:t>
      </w:r>
    </w:p>
    <w:p>
      <w:pPr>
        <w:pStyle w:val="2"/>
        <w:keepNext w:val="0"/>
        <w:keepLines w:val="0"/>
        <w:widowControl/>
        <w:suppressLineNumbers w:val="0"/>
        <w:spacing w:line="315"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夯实学校体育，加强青少年体育社会组织建设，做实“塔基”。支持区县体校、青少年体育社会组织教练员进入学校开展课外体育训练，促进学生掌握2-3项体育技能，夯实竞技体育后备人才基础。加强校园足球工作，协助教育部门推进“一校一品”、“一校多品”建设。支持区县体校、青少年体育社会组织与学校联办运动队，支持幼儿园开展体育特色项目，逐步建立幼儿园到大学体系完备的竞技体育后备人才培养模式。开展青少年校外体育活动中心创建工作，提升青少年体育冬夏令营活动质量，让青少年冬夏令营活动和青少年校外体育活动中心成为培养兴趣、塑造品格、学习技能、选拔苗子的多元化培养平台。到2022年，每个区县建成1个校外体育活动中心，每个中心开展2—5个项目培训，每年组织各类青少年体育冬夏令营活动60次以上。鼓励各类青少年体育社会组织积极开展青少年体育训练，拓展青少年掌握1-2项体育技能的空间。</w:t>
      </w:r>
    </w:p>
    <w:p>
      <w:pPr>
        <w:pStyle w:val="2"/>
        <w:keepNext w:val="0"/>
        <w:keepLines w:val="0"/>
        <w:widowControl/>
        <w:suppressLineNumbers w:val="0"/>
        <w:spacing w:line="315"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（二）完善竞技体育后备人才赛事活动体系</w:t>
      </w:r>
    </w:p>
    <w:p>
      <w:pPr>
        <w:pStyle w:val="2"/>
        <w:keepNext w:val="0"/>
        <w:keepLines w:val="0"/>
        <w:widowControl/>
        <w:suppressLineNumbers w:val="0"/>
        <w:spacing w:line="315"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1.承接国家级青少年比赛。积极争取多承办国家U系列青少年体育赛事，为本市运动员争取参加高水平比赛机会。发挥国家级青少年赛事引领作用，进一步健全市级青少年赛事体系。</w:t>
      </w:r>
    </w:p>
    <w:p>
      <w:pPr>
        <w:pStyle w:val="2"/>
        <w:keepNext w:val="0"/>
        <w:keepLines w:val="0"/>
        <w:widowControl/>
        <w:suppressLineNumbers w:val="0"/>
        <w:spacing w:line="315"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2.建立健全市运会青少年组比赛运动员参赛资格制度。参加市运会青少年甲组运动员，须有2年参加市级计划赛事经历。参加市运会青少年乙组和丙组运动员，至少有1次参加市级计划赛事经历。</w:t>
      </w:r>
    </w:p>
    <w:p>
      <w:pPr>
        <w:pStyle w:val="2"/>
        <w:keepNext w:val="0"/>
        <w:keepLines w:val="0"/>
        <w:widowControl/>
        <w:suppressLineNumbers w:val="0"/>
        <w:spacing w:line="315"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3.夯实田径基础大项。制定市运会田径项目青少年乙组、丙组特殊计牌计分政策，每年举办一次“短跳王”田径比赛。</w:t>
      </w:r>
    </w:p>
    <w:p>
      <w:pPr>
        <w:pStyle w:val="2"/>
        <w:keepNext w:val="0"/>
        <w:keepLines w:val="0"/>
        <w:widowControl/>
        <w:suppressLineNumbers w:val="0"/>
        <w:spacing w:line="315"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4.提档升级市级青少年锦标赛和冠军赛。着力打造市级青少年锦标赛和冠军赛。举办阳光体育大会，增加精英赛项目，扩大参赛面。支持社会力量举办青少年体育赛事活动。</w:t>
      </w:r>
    </w:p>
    <w:p>
      <w:pPr>
        <w:pStyle w:val="2"/>
        <w:keepNext w:val="0"/>
        <w:keepLines w:val="0"/>
        <w:widowControl/>
        <w:suppressLineNumbers w:val="0"/>
        <w:spacing w:line="315"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增加足球、篮球、排球和田径、游泳、体操等项目的小项和年龄组别设置。逐步提高市级青少年锦标赛田径、游泳、乒乓球项目参赛门槛，控制参赛规模，提高比赛质量。建立区县选拔赛制度，鼓励区县建立以基础大项和本地特色项目为主的青少年体育竞赛体系。增设攀岩、冰球、花样滑冰、轮滑、击剑、雪上项目、马术等青少年比赛。</w:t>
      </w:r>
    </w:p>
    <w:p>
      <w:pPr>
        <w:pStyle w:val="2"/>
        <w:keepNext w:val="0"/>
        <w:keepLines w:val="0"/>
        <w:widowControl/>
        <w:suppressLineNumbers w:val="0"/>
        <w:spacing w:line="315"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6.注重幼儿体育项目发展。推广幼儿趣味田径、游泳、体操、足球、篮球、跳绳、轮滑等赛事活动。适时举办重庆市首届幼儿体育大会。适时将幼儿体育项目纳入市运会比赛项目。</w:t>
      </w:r>
    </w:p>
    <w:p>
      <w:pPr>
        <w:pStyle w:val="2"/>
        <w:keepNext w:val="0"/>
        <w:keepLines w:val="0"/>
        <w:widowControl/>
        <w:suppressLineNumbers w:val="0"/>
        <w:spacing w:line="315"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（三）构建竞技体育后备人才选材培养体系</w:t>
      </w:r>
    </w:p>
    <w:p>
      <w:pPr>
        <w:pStyle w:val="2"/>
        <w:keepNext w:val="0"/>
        <w:keepLines w:val="0"/>
        <w:widowControl/>
        <w:suppressLineNumbers w:val="0"/>
        <w:spacing w:line="315"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加大选材力度。在市体育科学研究所设立“体育后备人才选材工作室”，配置1-2名专职人员。成立全市科学选材和训练工作小组，建立健全科学选材和训练评价标准。支持区县成立科学选材和训练工作班子，重点体校配置1名专职或兼职的科研人员。加强选材科研人员培训，每年培训2次以上。</w:t>
      </w:r>
    </w:p>
    <w:p>
      <w:pPr>
        <w:pStyle w:val="2"/>
        <w:keepNext w:val="0"/>
        <w:keepLines w:val="0"/>
        <w:widowControl/>
        <w:suppressLineNumbers w:val="0"/>
        <w:spacing w:line="315"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2.建立后备人才库。各级体校要按照运动成绩、比赛名次、形态机能、身体素质、生理生化等指标，建立竞技体育后备人才库，实施动态管理。</w:t>
      </w:r>
    </w:p>
    <w:p>
      <w:pPr>
        <w:pStyle w:val="2"/>
        <w:keepNext w:val="0"/>
        <w:keepLines w:val="0"/>
        <w:widowControl/>
        <w:suppressLineNumbers w:val="0"/>
        <w:spacing w:line="315"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3.实施“育苗计划”。创造条件资助优秀运动员苗子，重点奖励输送优秀运动员苗子的教练员和单位。鼓励区县体育部门建立相应的输送奖励机制。</w:t>
      </w:r>
    </w:p>
    <w:p>
      <w:pPr>
        <w:pStyle w:val="2"/>
        <w:keepNext w:val="0"/>
        <w:keepLines w:val="0"/>
        <w:widowControl/>
        <w:suppressLineNumbers w:val="0"/>
        <w:spacing w:line="315"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4.规范训练内容。贯彻落实《中国青少年运动项目训练教学大纲》，加强训练规范化、正规化建设。建立检查和督导制度，体校定期开展春、秋两季《中国青少年运动项目训练教学大纲》测试。</w:t>
      </w:r>
    </w:p>
    <w:p>
      <w:pPr>
        <w:pStyle w:val="2"/>
        <w:keepNext w:val="0"/>
        <w:keepLines w:val="0"/>
        <w:widowControl/>
        <w:suppressLineNumbers w:val="0"/>
        <w:spacing w:line="315"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（四）加强竞技体育后备人才培养教练员队伍建设</w:t>
      </w:r>
    </w:p>
    <w:p>
      <w:pPr>
        <w:pStyle w:val="2"/>
        <w:keepNext w:val="0"/>
        <w:keepLines w:val="0"/>
        <w:widowControl/>
        <w:suppressLineNumbers w:val="0"/>
        <w:spacing w:line="315"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1.加强体校教练员培训。通过“请进来、走出去”，加强教练员培训。每年组织各类教练员培训班5—10次。到2022年，区县体校教练员轮训一次。建立区县体校优秀教练员到市优秀运动队跟队训练制度。</w:t>
      </w:r>
    </w:p>
    <w:p>
      <w:pPr>
        <w:pStyle w:val="2"/>
        <w:keepNext w:val="0"/>
        <w:keepLines w:val="0"/>
        <w:widowControl/>
        <w:suppressLineNumbers w:val="0"/>
        <w:spacing w:line="315"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提高基层体校教练员水平。成立教练员专家团队，发挥在岗和退休高水平教练员作用，通过举办培训班、到基层支教、指导训练等方式，提高基层体校教练员执教水平。支持教育部门利用学校教师编制，引进高水平退役运动员到体校任教。</w:t>
      </w:r>
    </w:p>
    <w:p>
      <w:pPr>
        <w:pStyle w:val="2"/>
        <w:keepNext w:val="0"/>
        <w:keepLines w:val="0"/>
        <w:widowControl/>
        <w:suppressLineNumbers w:val="0"/>
        <w:spacing w:line="315"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3.完善体校教练员管理制度。制定教练员任期目标、竞争择优、考核奖惩、福利待遇实施办法。建立教练员能上能下工作机制。完善运动员输送奖励和大赛成绩奖励办法，调动教练员工作主动性和积极性。</w:t>
      </w:r>
    </w:p>
    <w:p>
      <w:pPr>
        <w:pStyle w:val="2"/>
        <w:keepNext w:val="0"/>
        <w:keepLines w:val="0"/>
        <w:widowControl/>
        <w:suppressLineNumbers w:val="0"/>
        <w:spacing w:line="315" w:lineRule="atLeast"/>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四、保障措施</w:t>
      </w:r>
    </w:p>
    <w:p>
      <w:pPr>
        <w:pStyle w:val="2"/>
        <w:keepNext w:val="0"/>
        <w:keepLines w:val="0"/>
        <w:widowControl/>
        <w:suppressLineNumbers w:val="0"/>
        <w:spacing w:line="315"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加强组织领导。按照《关于加强竞技体育后备人才培养工作的指导意见》要求，各区县建立体育、教育等部门的联席会议制度，形成“资源共享、优势互补、共同管理、各负其责”的工作机制。每年召开1次联席会议。区县体育部门主要领导亲自抓、分管领导具体抓，配齐、配足、配强体校校长。制定竞技体育后备人才培养中长期发展规划。</w:t>
      </w:r>
    </w:p>
    <w:p>
      <w:pPr>
        <w:pStyle w:val="2"/>
        <w:keepNext w:val="0"/>
        <w:keepLines w:val="0"/>
        <w:widowControl/>
        <w:suppressLineNumbers w:val="0"/>
        <w:spacing w:line="315"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强化督促检查。认真贯彻落实党中央、国务院关于加强竞技体育后备人才培养工作的决策部署，落实竞技体育后备人才培养政策措施。建立督查机制，定期督查竞技体育后备人才培养工作。建立激励机制，制定输送奖励办法，提高输送积极性。</w:t>
      </w:r>
    </w:p>
    <w:p>
      <w:pPr>
        <w:pStyle w:val="2"/>
        <w:keepNext w:val="0"/>
        <w:keepLines w:val="0"/>
        <w:widowControl/>
        <w:suppressLineNumbers w:val="0"/>
        <w:spacing w:line="315"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加大资金投入。认真落实《少年儿童体育学校管理办法》要求，足额拨付体校学生伙食和服装费用。加大竞技体育后备人才培养资金投入，每年从体育彩票公益金中安排一定比例资金，用于竞技体育后备人才培养。落实财税相关优惠政策，鼓励、引导社会资本参与竞技体育后备人才培养工作。</w:t>
      </w:r>
    </w:p>
    <w:p>
      <w:pPr>
        <w:pStyle w:val="2"/>
        <w:keepNext w:val="0"/>
        <w:keepLines w:val="0"/>
        <w:widowControl/>
        <w:suppressLineNumbers w:val="0"/>
        <w:spacing w:line="315"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（四）加强舆论宣传。充分发挥新媒体作用，拓展宣传形式，加强各类体校工作的宣传。注重基层工作典型宣传，总结推广先进经验，营造竞技体育后备人才培养氛围。</w:t>
      </w:r>
    </w:p>
    <w:p>
      <w:pPr>
        <w:pStyle w:val="2"/>
        <w:keepNext w:val="0"/>
        <w:keepLines w:val="0"/>
        <w:widowControl/>
        <w:suppressLineNumbers w:val="0"/>
        <w:spacing w:line="315" w:lineRule="atLeast"/>
        <w:ind w:left="0" w:firstLine="42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pStyle w:val="2"/>
        <w:keepNext w:val="0"/>
        <w:keepLines w:val="0"/>
        <w:widowControl/>
        <w:suppressLineNumbers w:val="0"/>
        <w:spacing w:line="315"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w:t>
      </w:r>
    </w:p>
    <w:p>
      <w:pPr>
        <w:pStyle w:val="2"/>
        <w:keepNext w:val="0"/>
        <w:keepLines w:val="0"/>
        <w:widowControl/>
        <w:suppressLineNumbers w:val="0"/>
        <w:spacing w:line="315"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1.全市竞技体育后备人才培养行动计划任务分解表（2018——2022）</w:t>
      </w:r>
    </w:p>
    <w:p>
      <w:pPr>
        <w:pStyle w:val="2"/>
        <w:keepNext w:val="0"/>
        <w:keepLines w:val="0"/>
        <w:widowControl/>
        <w:suppressLineNumbers w:val="0"/>
        <w:spacing w:line="315"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2.全市区县业余体校重点项目布局指导意见表</w:t>
      </w:r>
    </w:p>
    <w:p>
      <w:pPr>
        <w:pStyle w:val="2"/>
        <w:keepNext w:val="0"/>
        <w:keepLines w:val="0"/>
        <w:widowControl/>
        <w:suppressLineNumbers w:val="0"/>
        <w:spacing w:line="315"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w:t>
      </w:r>
    </w:p>
    <w:p>
      <w:pPr>
        <w:pStyle w:val="2"/>
        <w:keepNext w:val="0"/>
        <w:keepLines w:val="0"/>
        <w:widowControl/>
        <w:suppressLineNumbers w:val="0"/>
        <w:spacing w:line="315" w:lineRule="atLeast"/>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附件1</w:t>
      </w:r>
    </w:p>
    <w:p>
      <w:pPr>
        <w:pStyle w:val="2"/>
        <w:keepNext w:val="0"/>
        <w:keepLines w:val="0"/>
        <w:widowControl/>
        <w:suppressLineNumbers w:val="0"/>
        <w:spacing w:line="315"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全市竞技体育后备人才培养行动计划任务分解表</w:t>
      </w:r>
    </w:p>
    <w:p>
      <w:pPr>
        <w:pStyle w:val="2"/>
        <w:keepNext w:val="0"/>
        <w:keepLines w:val="0"/>
        <w:widowControl/>
        <w:suppressLineNumbers w:val="0"/>
        <w:spacing w:line="315"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（2018-2022）</w:t>
      </w: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75" w:type="dxa"/>
          <w:left w:w="150" w:type="dxa"/>
          <w:bottom w:w="75" w:type="dxa"/>
          <w:right w:w="150" w:type="dxa"/>
        </w:tblCellMar>
      </w:tblPr>
      <w:tblGrid>
        <w:gridCol w:w="599"/>
        <w:gridCol w:w="2862"/>
        <w:gridCol w:w="1112"/>
        <w:gridCol w:w="769"/>
        <w:gridCol w:w="769"/>
        <w:gridCol w:w="769"/>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690" w:hRule="atLeast"/>
        </w:trPr>
        <w:tc>
          <w:tcPr>
            <w:tcW w:w="705" w:type="dxa"/>
            <w:vMerge w:val="restart"/>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号</w:t>
            </w:r>
          </w:p>
        </w:tc>
        <w:tc>
          <w:tcPr>
            <w:tcW w:w="5385" w:type="dxa"/>
            <w:vMerge w:val="restart"/>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项目名称</w:t>
            </w:r>
          </w:p>
        </w:tc>
        <w:tc>
          <w:tcPr>
            <w:tcW w:w="8640" w:type="dxa"/>
            <w:gridSpan w:val="5"/>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570" w:hRule="atLeast"/>
        </w:trPr>
        <w:tc>
          <w:tcPr>
            <w:tcW w:w="705" w:type="dxa"/>
            <w:vMerge w:val="continue"/>
            <w:shd w:val="clear"/>
            <w:tcMar>
              <w:top w:w="0" w:type="dxa"/>
              <w:left w:w="105" w:type="dxa"/>
              <w:bottom w:w="0" w:type="dxa"/>
              <w:right w:w="105" w:type="dxa"/>
            </w:tcMar>
            <w:vAlign w:val="center"/>
          </w:tcPr>
          <w:p>
            <w:pPr>
              <w:rPr>
                <w:rFonts w:hint="eastAsia" w:ascii="方正仿宋_GBK" w:hAnsi="方正仿宋_GBK" w:eastAsia="方正仿宋_GBK" w:cs="方正仿宋_GBK"/>
                <w:sz w:val="32"/>
                <w:szCs w:val="32"/>
              </w:rPr>
            </w:pPr>
          </w:p>
        </w:tc>
        <w:tc>
          <w:tcPr>
            <w:tcW w:w="5385" w:type="dxa"/>
            <w:vMerge w:val="continue"/>
            <w:shd w:val="clear"/>
            <w:tcMar>
              <w:top w:w="0" w:type="dxa"/>
              <w:left w:w="105" w:type="dxa"/>
              <w:bottom w:w="0" w:type="dxa"/>
              <w:right w:w="105" w:type="dxa"/>
            </w:tcMar>
            <w:vAlign w:val="center"/>
          </w:tcPr>
          <w:p>
            <w:pPr>
              <w:rPr>
                <w:rFonts w:hint="eastAsia" w:ascii="方正仿宋_GBK" w:hAnsi="方正仿宋_GBK" w:eastAsia="方正仿宋_GBK" w:cs="方正仿宋_GBK"/>
                <w:sz w:val="32"/>
                <w:szCs w:val="32"/>
              </w:rPr>
            </w:pPr>
          </w:p>
        </w:tc>
        <w:tc>
          <w:tcPr>
            <w:tcW w:w="19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2018</w:t>
            </w:r>
          </w:p>
        </w:tc>
        <w:tc>
          <w:tcPr>
            <w:tcW w:w="112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2019</w:t>
            </w:r>
          </w:p>
        </w:tc>
        <w:tc>
          <w:tcPr>
            <w:tcW w:w="112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2020</w:t>
            </w:r>
          </w:p>
        </w:tc>
        <w:tc>
          <w:tcPr>
            <w:tcW w:w="112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2021</w:t>
            </w:r>
          </w:p>
        </w:tc>
        <w:tc>
          <w:tcPr>
            <w:tcW w:w="156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495" w:hRule="atLeast"/>
        </w:trPr>
        <w:tc>
          <w:tcPr>
            <w:tcW w:w="70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w:t>
            </w:r>
          </w:p>
        </w:tc>
        <w:tc>
          <w:tcPr>
            <w:tcW w:w="538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认定重庆市重点业余体校建设（所）</w:t>
            </w:r>
          </w:p>
        </w:tc>
        <w:tc>
          <w:tcPr>
            <w:tcW w:w="19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14</w:t>
            </w:r>
          </w:p>
        </w:tc>
        <w:tc>
          <w:tcPr>
            <w:tcW w:w="112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15</w:t>
            </w:r>
          </w:p>
        </w:tc>
        <w:tc>
          <w:tcPr>
            <w:tcW w:w="112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16</w:t>
            </w:r>
          </w:p>
        </w:tc>
        <w:tc>
          <w:tcPr>
            <w:tcW w:w="112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17</w:t>
            </w:r>
          </w:p>
        </w:tc>
        <w:tc>
          <w:tcPr>
            <w:tcW w:w="156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495" w:hRule="atLeast"/>
        </w:trPr>
        <w:tc>
          <w:tcPr>
            <w:tcW w:w="70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2</w:t>
            </w:r>
          </w:p>
        </w:tc>
        <w:tc>
          <w:tcPr>
            <w:tcW w:w="538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认定体育后备人才重点单项训练基地（个）</w:t>
            </w:r>
          </w:p>
        </w:tc>
        <w:tc>
          <w:tcPr>
            <w:tcW w:w="19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30</w:t>
            </w:r>
          </w:p>
        </w:tc>
        <w:tc>
          <w:tcPr>
            <w:tcW w:w="112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35</w:t>
            </w:r>
          </w:p>
        </w:tc>
        <w:tc>
          <w:tcPr>
            <w:tcW w:w="112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40</w:t>
            </w:r>
          </w:p>
        </w:tc>
        <w:tc>
          <w:tcPr>
            <w:tcW w:w="112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45</w:t>
            </w:r>
          </w:p>
        </w:tc>
        <w:tc>
          <w:tcPr>
            <w:tcW w:w="156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495" w:hRule="atLeast"/>
        </w:trPr>
        <w:tc>
          <w:tcPr>
            <w:tcW w:w="70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3</w:t>
            </w:r>
          </w:p>
        </w:tc>
        <w:tc>
          <w:tcPr>
            <w:tcW w:w="538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认定重点青少年体育社会组织（个）</w:t>
            </w:r>
          </w:p>
        </w:tc>
        <w:tc>
          <w:tcPr>
            <w:tcW w:w="19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修改认定办法</w:t>
            </w:r>
          </w:p>
        </w:tc>
        <w:tc>
          <w:tcPr>
            <w:tcW w:w="112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12</w:t>
            </w:r>
          </w:p>
        </w:tc>
        <w:tc>
          <w:tcPr>
            <w:tcW w:w="112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16</w:t>
            </w:r>
          </w:p>
        </w:tc>
        <w:tc>
          <w:tcPr>
            <w:tcW w:w="112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25</w:t>
            </w:r>
          </w:p>
        </w:tc>
        <w:tc>
          <w:tcPr>
            <w:tcW w:w="156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495" w:hRule="atLeast"/>
        </w:trPr>
        <w:tc>
          <w:tcPr>
            <w:tcW w:w="70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4</w:t>
            </w:r>
          </w:p>
        </w:tc>
        <w:tc>
          <w:tcPr>
            <w:tcW w:w="538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创建青少年校外体育活动中心（个）</w:t>
            </w:r>
          </w:p>
        </w:tc>
        <w:tc>
          <w:tcPr>
            <w:tcW w:w="19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启动试点工作</w:t>
            </w:r>
          </w:p>
        </w:tc>
        <w:tc>
          <w:tcPr>
            <w:tcW w:w="112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10</w:t>
            </w:r>
          </w:p>
        </w:tc>
        <w:tc>
          <w:tcPr>
            <w:tcW w:w="112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20</w:t>
            </w:r>
          </w:p>
        </w:tc>
        <w:tc>
          <w:tcPr>
            <w:tcW w:w="112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30</w:t>
            </w:r>
          </w:p>
        </w:tc>
        <w:tc>
          <w:tcPr>
            <w:tcW w:w="156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495" w:hRule="atLeast"/>
        </w:trPr>
        <w:tc>
          <w:tcPr>
            <w:tcW w:w="70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5</w:t>
            </w:r>
          </w:p>
        </w:tc>
        <w:tc>
          <w:tcPr>
            <w:tcW w:w="538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认定重庆市体育传统项目学校建设（所）</w:t>
            </w:r>
          </w:p>
        </w:tc>
        <w:tc>
          <w:tcPr>
            <w:tcW w:w="19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制定认定办法</w:t>
            </w:r>
          </w:p>
        </w:tc>
        <w:tc>
          <w:tcPr>
            <w:tcW w:w="112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新建10</w:t>
            </w:r>
          </w:p>
        </w:tc>
        <w:tc>
          <w:tcPr>
            <w:tcW w:w="112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新建10</w:t>
            </w:r>
          </w:p>
        </w:tc>
        <w:tc>
          <w:tcPr>
            <w:tcW w:w="112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新建10</w:t>
            </w:r>
          </w:p>
        </w:tc>
        <w:tc>
          <w:tcPr>
            <w:tcW w:w="156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新建10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495" w:hRule="atLeast"/>
        </w:trPr>
        <w:tc>
          <w:tcPr>
            <w:tcW w:w="70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6</w:t>
            </w:r>
          </w:p>
        </w:tc>
        <w:tc>
          <w:tcPr>
            <w:tcW w:w="538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组织重庆市冬夏令营系列赛事（次）</w:t>
            </w:r>
          </w:p>
        </w:tc>
        <w:tc>
          <w:tcPr>
            <w:tcW w:w="19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30</w:t>
            </w:r>
          </w:p>
        </w:tc>
        <w:tc>
          <w:tcPr>
            <w:tcW w:w="112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40</w:t>
            </w:r>
          </w:p>
        </w:tc>
        <w:tc>
          <w:tcPr>
            <w:tcW w:w="112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50</w:t>
            </w:r>
          </w:p>
        </w:tc>
        <w:tc>
          <w:tcPr>
            <w:tcW w:w="112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60</w:t>
            </w:r>
          </w:p>
        </w:tc>
        <w:tc>
          <w:tcPr>
            <w:tcW w:w="156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495" w:hRule="atLeast"/>
        </w:trPr>
        <w:tc>
          <w:tcPr>
            <w:tcW w:w="70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7</w:t>
            </w:r>
          </w:p>
        </w:tc>
        <w:tc>
          <w:tcPr>
            <w:tcW w:w="538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举办竞技体育优秀苗子训练营（个）</w:t>
            </w:r>
          </w:p>
        </w:tc>
        <w:tc>
          <w:tcPr>
            <w:tcW w:w="19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10</w:t>
            </w:r>
          </w:p>
        </w:tc>
        <w:tc>
          <w:tcPr>
            <w:tcW w:w="112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12</w:t>
            </w:r>
          </w:p>
        </w:tc>
        <w:tc>
          <w:tcPr>
            <w:tcW w:w="112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15</w:t>
            </w:r>
          </w:p>
        </w:tc>
        <w:tc>
          <w:tcPr>
            <w:tcW w:w="112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16</w:t>
            </w:r>
          </w:p>
        </w:tc>
        <w:tc>
          <w:tcPr>
            <w:tcW w:w="156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495" w:hRule="atLeast"/>
        </w:trPr>
        <w:tc>
          <w:tcPr>
            <w:tcW w:w="70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8</w:t>
            </w:r>
          </w:p>
        </w:tc>
        <w:tc>
          <w:tcPr>
            <w:tcW w:w="538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选拔市级一类体育优秀苗子（名）</w:t>
            </w:r>
          </w:p>
        </w:tc>
        <w:tc>
          <w:tcPr>
            <w:tcW w:w="19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200</w:t>
            </w:r>
          </w:p>
        </w:tc>
        <w:tc>
          <w:tcPr>
            <w:tcW w:w="112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300</w:t>
            </w:r>
          </w:p>
        </w:tc>
        <w:tc>
          <w:tcPr>
            <w:tcW w:w="112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400</w:t>
            </w:r>
          </w:p>
        </w:tc>
        <w:tc>
          <w:tcPr>
            <w:tcW w:w="112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500</w:t>
            </w:r>
          </w:p>
        </w:tc>
        <w:tc>
          <w:tcPr>
            <w:tcW w:w="156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trHeight w:val="495" w:hRule="atLeast"/>
        </w:trPr>
        <w:tc>
          <w:tcPr>
            <w:tcW w:w="70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9</w:t>
            </w:r>
          </w:p>
        </w:tc>
        <w:tc>
          <w:tcPr>
            <w:tcW w:w="538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帮扶边远穷区县体校（个）</w:t>
            </w:r>
          </w:p>
        </w:tc>
        <w:tc>
          <w:tcPr>
            <w:tcW w:w="19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调研谋划</w:t>
            </w:r>
          </w:p>
        </w:tc>
        <w:tc>
          <w:tcPr>
            <w:tcW w:w="112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4</w:t>
            </w:r>
          </w:p>
        </w:tc>
        <w:tc>
          <w:tcPr>
            <w:tcW w:w="112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6</w:t>
            </w:r>
          </w:p>
        </w:tc>
        <w:tc>
          <w:tcPr>
            <w:tcW w:w="112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8</w:t>
            </w:r>
          </w:p>
        </w:tc>
        <w:tc>
          <w:tcPr>
            <w:tcW w:w="156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trHeight w:val="495" w:hRule="atLeast"/>
        </w:trPr>
        <w:tc>
          <w:tcPr>
            <w:tcW w:w="70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10</w:t>
            </w:r>
          </w:p>
        </w:tc>
        <w:tc>
          <w:tcPr>
            <w:tcW w:w="538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组织教练员培训（次）</w:t>
            </w:r>
          </w:p>
        </w:tc>
        <w:tc>
          <w:tcPr>
            <w:tcW w:w="19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5-10</w:t>
            </w:r>
          </w:p>
        </w:tc>
        <w:tc>
          <w:tcPr>
            <w:tcW w:w="112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5-10</w:t>
            </w:r>
          </w:p>
        </w:tc>
        <w:tc>
          <w:tcPr>
            <w:tcW w:w="112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50-10</w:t>
            </w:r>
          </w:p>
        </w:tc>
        <w:tc>
          <w:tcPr>
            <w:tcW w:w="112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5-10</w:t>
            </w:r>
          </w:p>
        </w:tc>
        <w:tc>
          <w:tcPr>
            <w:tcW w:w="156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5-10</w:t>
            </w:r>
          </w:p>
        </w:tc>
      </w:tr>
    </w:tbl>
    <w:p>
      <w:pPr>
        <w:pStyle w:val="2"/>
        <w:keepNext w:val="0"/>
        <w:keepLines w:val="0"/>
        <w:widowControl/>
        <w:suppressLineNumbers w:val="0"/>
        <w:spacing w:line="315"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w:t>
      </w:r>
    </w:p>
    <w:p>
      <w:pPr>
        <w:pStyle w:val="2"/>
        <w:keepNext w:val="0"/>
        <w:keepLines w:val="0"/>
        <w:widowControl/>
        <w:suppressLineNumbers w:val="0"/>
        <w:spacing w:line="315"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附件2</w:t>
      </w:r>
    </w:p>
    <w:p>
      <w:pPr>
        <w:pStyle w:val="2"/>
        <w:keepNext w:val="0"/>
        <w:keepLines w:val="0"/>
        <w:widowControl/>
        <w:suppressLineNumbers w:val="0"/>
        <w:spacing w:line="315"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全市区县业余体校重点项目布局指导意见表</w:t>
      </w:r>
    </w:p>
    <w:tbl>
      <w:tblPr>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75" w:type="dxa"/>
          <w:left w:w="150" w:type="dxa"/>
          <w:bottom w:w="75" w:type="dxa"/>
          <w:right w:w="150" w:type="dxa"/>
        </w:tblCellMar>
      </w:tblPr>
      <w:tblGrid>
        <w:gridCol w:w="1080"/>
        <w:gridCol w:w="2055"/>
        <w:gridCol w:w="6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序号</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区县</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万州</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举重、拳击、跳水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2</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黔江</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举重、柔道、拳击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3</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涪陵</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举重、拳击、跆拳道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4</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渝中</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跳水、射击、跆拳道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5</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大渡口</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羽毛球、拳击、武术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6</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江北</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田径、游泳、网球、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7</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沙坪坝</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艺术体操、田径、篮球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8</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九龙坡</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攀岩、空手道、射击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9</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南岸</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游泳、武术、网球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10</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北碚</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田径、足球、乒乓球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11</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渝北</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武术、射箭、网球、滑冰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12</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巴南</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田径、射击、网球、滑冰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13</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长寿</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田径、拳击、柔道、赛艇、皮划艇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14</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江津</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竞走、拳击、举重、武术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15</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合川</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田径、柔道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16</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永川</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拳击、摔跤、射击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17</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南川</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拳击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18</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綦江</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游泳、射击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19</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大足</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田径、水球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20</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璧山</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田径、摔跤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21</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铜梁</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游泳、篮球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22</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潼南</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射击、摔跤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23</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荣昌</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柔道、跆拳道、摔跤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24</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梁平</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乒乓球、武术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25</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城口</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射箭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26</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丰都</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拳击、跆拳、滑雪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27</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垫江</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网球、羽毛球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28</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武隆</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篮球、滑雪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29</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忠县</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篮球、跆拳道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30</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开州</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篮球、拳击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31</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云阳</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摔跤、举重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32</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奉节</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武术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33</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巫山</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射箭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34</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巫溪</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跆拳道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35</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石柱</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足球、滑雪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36</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秀山</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体育舞蹈、棋类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37</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酉阳</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篮球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38</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彭水</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篮球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75" w:type="dxa"/>
            <w:left w:w="150" w:type="dxa"/>
            <w:bottom w:w="75" w:type="dxa"/>
            <w:right w:w="150" w:type="dxa"/>
          </w:tblCellMar>
        </w:tblPrEx>
        <w:trPr>
          <w:trHeight w:val="600" w:hRule="atLeast"/>
        </w:trPr>
        <w:tc>
          <w:tcPr>
            <w:tcW w:w="108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39</w:t>
            </w:r>
          </w:p>
        </w:tc>
        <w:tc>
          <w:tcPr>
            <w:tcW w:w="2055"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万盛</w:t>
            </w:r>
          </w:p>
        </w:tc>
        <w:tc>
          <w:tcPr>
            <w:tcW w:w="6150" w:type="dxa"/>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bdr w:val="none" w:color="auto" w:sz="0" w:space="0"/>
              </w:rPr>
              <w:t>羽毛球、跆拳道</w:t>
            </w:r>
          </w:p>
        </w:tc>
      </w:tr>
    </w:tbl>
    <w:p>
      <w:pPr>
        <w:pStyle w:val="2"/>
        <w:keepNext w:val="0"/>
        <w:keepLines w:val="0"/>
        <w:widowControl/>
        <w:suppressLineNumbers w:val="0"/>
        <w:spacing w:line="315" w:lineRule="atLeast"/>
        <w:rPr>
          <w:rFonts w:hint="eastAsia" w:ascii="方正仿宋_GBK" w:hAnsi="方正仿宋_GBK" w:eastAsia="方正仿宋_GBK" w:cs="方正仿宋_GBK"/>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xM2Y3MjRhM2M3YTM1YWNhNGE5ZmRlNzNiOGEyNWMifQ=="/>
  </w:docVars>
  <w:rsids>
    <w:rsidRoot w:val="00000000"/>
    <w:rsid w:val="43187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2022-06-16T11:32:13Z</dcterms:created>
  <dc:creator>HLW</dc:creator>
  <cp:lastModifiedBy>SilverLining</cp:lastModifiedBy>
  <dcterms:modified xsi:type="dcterms:W3CDTF">2022-06-16T11:35:52Z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6BFD1AB280CB451E9F036566DE9CF3B2</vt:lpwstr>
  </property>
</Properties>
</file>