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2021年重庆市青少年高尔夫球锦标赛</w:t>
      </w:r>
    </w:p>
    <w:p>
      <w:pPr>
        <w:spacing w:line="600" w:lineRule="exact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报名表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代表队名称（盖章）：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领队（男/女）：教练（男/女）：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领队或教练员联系手机：</w:t>
      </w:r>
    </w:p>
    <w:tbl>
      <w:tblPr>
        <w:tblStyle w:val="3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677"/>
        <w:gridCol w:w="1083"/>
        <w:gridCol w:w="1716"/>
        <w:gridCol w:w="831"/>
        <w:gridCol w:w="721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运动员姓名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组别</w:t>
            </w: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参赛项目</w:t>
            </w:r>
          </w:p>
        </w:tc>
        <w:tc>
          <w:tcPr>
            <w:tcW w:w="2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团体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个人</w:t>
            </w:r>
          </w:p>
        </w:tc>
        <w:tc>
          <w:tcPr>
            <w:tcW w:w="2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kern w:val="0"/>
          <w:sz w:val="32"/>
          <w:szCs w:val="32"/>
        </w:rPr>
        <w:t>注：报名表必须打印（一式两份），报名后不得更改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C7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2021-02-22T08:24:53Z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